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79EAB" w14:textId="77777777" w:rsidR="003036A4" w:rsidRDefault="003D20E3">
      <w:pPr>
        <w:spacing w:afterLines="100" w:after="312" w:line="360" w:lineRule="auto"/>
        <w:jc w:val="center"/>
        <w:rPr>
          <w:rFonts w:ascii="Times New Roman" w:eastAsia="宋体" w:hAnsi="Times New Roman" w:cs="Times New Roman"/>
          <w:b/>
          <w:bCs/>
          <w:szCs w:val="22"/>
        </w:rPr>
      </w:pPr>
      <w:r>
        <w:rPr>
          <w:rFonts w:ascii="Times New Roman" w:hAnsi="Times New Roman" w:cs="Times New Roman"/>
          <w:b/>
          <w:szCs w:val="22"/>
        </w:rPr>
        <w:t xml:space="preserve">Supplementary information for </w:t>
      </w:r>
      <w:r>
        <w:rPr>
          <w:rFonts w:ascii="Times New Roman" w:eastAsia="宋体" w:hAnsi="Times New Roman" w:cs="Times New Roman"/>
          <w:b/>
          <w:bCs/>
          <w:szCs w:val="22"/>
        </w:rPr>
        <w:t>Spatial dominance over temporal dynamics in urban soil bacterial communities and its implications for forensic geolocation</w:t>
      </w:r>
    </w:p>
    <w:p w14:paraId="512EBBFE" w14:textId="77777777" w:rsidR="003036A4" w:rsidRDefault="003D20E3">
      <w:pPr>
        <w:spacing w:after="0" w:line="360" w:lineRule="auto"/>
        <w:rPr>
          <w:rFonts w:ascii="Times New Roman" w:hAnsi="Times New Roman" w:cs="Times New Roman"/>
          <w:szCs w:val="22"/>
        </w:rPr>
      </w:pPr>
      <w:bookmarkStart w:id="0" w:name="_Hlk219800755"/>
      <w:r>
        <w:rPr>
          <w:rFonts w:ascii="Times New Roman" w:hAnsi="Times New Roman" w:cs="Times New Roman"/>
          <w:szCs w:val="22"/>
        </w:rPr>
        <w:t xml:space="preserve">Running title: Spatial dominance in </w:t>
      </w:r>
      <w:r>
        <w:rPr>
          <w:rFonts w:ascii="Times New Roman" w:hAnsi="Times New Roman" w:cs="Times New Roman" w:hint="eastAsia"/>
          <w:szCs w:val="22"/>
        </w:rPr>
        <w:t>bacterial communities</w:t>
      </w:r>
    </w:p>
    <w:p w14:paraId="08EEF01E" w14:textId="50B69E60" w:rsidR="003036A4" w:rsidRDefault="003D20E3">
      <w:pPr>
        <w:spacing w:after="0" w:line="360" w:lineRule="auto"/>
        <w:jc w:val="both"/>
        <w:rPr>
          <w:rFonts w:ascii="Times New Roman" w:hAnsi="Times New Roman" w:cs="Times New Roman"/>
          <w:szCs w:val="22"/>
          <w:vertAlign w:val="superscript"/>
        </w:rPr>
      </w:pPr>
      <w:r>
        <w:rPr>
          <w:rFonts w:ascii="Times New Roman" w:hAnsi="Times New Roman" w:cs="Times New Roman"/>
          <w:szCs w:val="22"/>
        </w:rPr>
        <w:t xml:space="preserve">Author Names: </w:t>
      </w:r>
      <w:r>
        <w:rPr>
          <w:rFonts w:ascii="Times New Roman" w:eastAsia="宋体" w:hAnsi="Times New Roman" w:cs="Times New Roman"/>
          <w:szCs w:val="22"/>
        </w:rPr>
        <w:t>Qing Zhang</w:t>
      </w:r>
      <w:r>
        <w:rPr>
          <w:rFonts w:ascii="Times New Roman" w:hAnsi="Times New Roman" w:cs="Times New Roman"/>
          <w:vertAlign w:val="superscript"/>
        </w:rPr>
        <w:t xml:space="preserve"> </w:t>
      </w:r>
      <w:r w:rsidR="001E3B4F">
        <w:rPr>
          <w:rFonts w:ascii="Times New Roman" w:hAnsi="Times New Roman" w:cs="Times New Roman"/>
          <w:vertAlign w:val="superscript"/>
        </w:rPr>
        <w:t>a</w:t>
      </w:r>
      <w:r w:rsidR="001E3B4F">
        <w:rPr>
          <w:rFonts w:ascii="Times New Roman" w:hAnsi="Times New Roman" w:cs="Times New Roman"/>
          <w:color w:val="0000FF"/>
          <w:szCs w:val="22"/>
          <w:vertAlign w:val="superscript"/>
        </w:rPr>
        <w:t>,g</w:t>
      </w:r>
      <w:r>
        <w:rPr>
          <w:rFonts w:ascii="Times New Roman" w:hAnsi="Times New Roman" w:cs="Times New Roman"/>
          <w:szCs w:val="22"/>
        </w:rPr>
        <w:t>, Chang Zhao</w:t>
      </w:r>
      <w:r>
        <w:rPr>
          <w:rFonts w:ascii="Times New Roman" w:hAnsi="Times New Roman" w:cs="Times New Roman"/>
          <w:vertAlign w:val="superscript"/>
        </w:rPr>
        <w:t xml:space="preserve"> a</w:t>
      </w:r>
      <w:r>
        <w:rPr>
          <w:rFonts w:ascii="Times New Roman" w:hAnsi="Times New Roman" w:cs="Times New Roman"/>
          <w:szCs w:val="22"/>
        </w:rPr>
        <w:t>, Xiao Fu</w:t>
      </w:r>
      <w:r>
        <w:rPr>
          <w:rFonts w:ascii="Times New Roman" w:hAnsi="Times New Roman" w:cs="Times New Roman"/>
          <w:vertAlign w:val="superscript"/>
        </w:rPr>
        <w:t xml:space="preserve"> a</w:t>
      </w:r>
      <w:r>
        <w:rPr>
          <w:rFonts w:ascii="Times New Roman" w:hAnsi="Times New Roman" w:cs="Times New Roman"/>
          <w:szCs w:val="22"/>
        </w:rPr>
        <w:t>, Jiasheng Wu</w:t>
      </w:r>
      <w:r>
        <w:rPr>
          <w:rFonts w:ascii="Times New Roman" w:hAnsi="Times New Roman" w:cs="Times New Roman" w:hint="eastAsia"/>
          <w:szCs w:val="22"/>
          <w:vertAlign w:val="superscript"/>
        </w:rPr>
        <w:t>d</w:t>
      </w:r>
      <w:r>
        <w:rPr>
          <w:rFonts w:ascii="Times New Roman" w:hAnsi="Times New Roman" w:cs="Times New Roman"/>
          <w:szCs w:val="22"/>
        </w:rPr>
        <w:t>, Hengjun Zhang</w:t>
      </w:r>
      <w:r>
        <w:rPr>
          <w:rFonts w:ascii="Times New Roman" w:hAnsi="Times New Roman" w:cs="Times New Roman"/>
          <w:szCs w:val="22"/>
          <w:vertAlign w:val="superscript"/>
        </w:rPr>
        <w:t>e</w:t>
      </w:r>
      <w:r>
        <w:rPr>
          <w:rFonts w:ascii="Times New Roman" w:hAnsi="Times New Roman" w:cs="Times New Roman"/>
          <w:szCs w:val="22"/>
        </w:rPr>
        <w:t>, Haiyan Chu</w:t>
      </w:r>
      <w:r>
        <w:rPr>
          <w:rFonts w:ascii="Times New Roman" w:hAnsi="Times New Roman" w:cs="Times New Roman"/>
          <w:szCs w:val="22"/>
          <w:vertAlign w:val="superscript"/>
        </w:rPr>
        <w:t>a,b</w:t>
      </w:r>
      <w:r>
        <w:rPr>
          <w:rFonts w:ascii="Times New Roman" w:hAnsi="Times New Roman" w:cs="Times New Roman" w:hint="eastAsia"/>
          <w:szCs w:val="22"/>
        </w:rPr>
        <w:t>,</w:t>
      </w:r>
      <w:r>
        <w:rPr>
          <w:rFonts w:ascii="Times New Roman" w:hAnsi="Times New Roman" w:cs="Times New Roman"/>
          <w:szCs w:val="22"/>
        </w:rPr>
        <w:t xml:space="preserve"> Meiqing Yuan</w:t>
      </w:r>
      <w:r>
        <w:rPr>
          <w:rFonts w:ascii="Times New Roman" w:hAnsi="Times New Roman" w:cs="Times New Roman"/>
          <w:szCs w:val="22"/>
          <w:vertAlign w:val="superscript"/>
        </w:rPr>
        <w:t>f</w:t>
      </w:r>
      <w:r>
        <w:rPr>
          <w:rFonts w:ascii="Times New Roman" w:hAnsi="Times New Roman" w:cs="Times New Roman" w:hint="eastAsia"/>
          <w:szCs w:val="22"/>
          <w:vertAlign w:val="superscript"/>
        </w:rPr>
        <w:t>,</w:t>
      </w:r>
      <w:r>
        <w:rPr>
          <w:rFonts w:ascii="Times New Roman" w:hAnsi="Times New Roman" w:cs="Times New Roman"/>
          <w:szCs w:val="22"/>
          <w:vertAlign w:val="superscript"/>
        </w:rPr>
        <w:t>*</w:t>
      </w:r>
      <w:r>
        <w:rPr>
          <w:rFonts w:ascii="Times New Roman" w:hAnsi="Times New Roman" w:cs="Times New Roman"/>
          <w:szCs w:val="22"/>
        </w:rPr>
        <w:t>, Teng Yang</w:t>
      </w:r>
      <w:r>
        <w:rPr>
          <w:rFonts w:ascii="Times New Roman" w:hAnsi="Times New Roman" w:cs="Times New Roman"/>
          <w:szCs w:val="22"/>
          <w:vertAlign w:val="superscript"/>
        </w:rPr>
        <w:t>a,b,</w:t>
      </w:r>
      <w:r>
        <w:rPr>
          <w:rFonts w:ascii="Times New Roman" w:hAnsi="Times New Roman" w:cs="Times New Roman" w:hint="eastAsia"/>
          <w:szCs w:val="22"/>
          <w:vertAlign w:val="superscript"/>
        </w:rPr>
        <w:t>c,</w:t>
      </w:r>
      <w:r>
        <w:rPr>
          <w:rFonts w:ascii="Times New Roman" w:hAnsi="Times New Roman" w:cs="Times New Roman"/>
          <w:szCs w:val="22"/>
          <w:vertAlign w:val="superscript"/>
        </w:rPr>
        <w:t>*</w:t>
      </w:r>
    </w:p>
    <w:p w14:paraId="517E7781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hAnsi="Times New Roman" w:cs="Times New Roman"/>
          <w:vertAlign w:val="superscript"/>
        </w:rPr>
        <w:t>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宋体" w:hAnsi="Times New Roman" w:cs="Times New Roman" w:hint="eastAsia"/>
          <w:szCs w:val="22"/>
        </w:rPr>
        <w:t xml:space="preserve">State Key Laboratory of Soil and Sustainable Agriculture, Institute of Soil Science, Chinese Academy of Sciences, Nanjing 211135, China </w:t>
      </w:r>
    </w:p>
    <w:p w14:paraId="7BBB6A13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hAnsi="Times New Roman" w:cs="Times New Roman" w:hint="eastAsia"/>
          <w:vertAlign w:val="superscript"/>
        </w:rPr>
        <w:t>b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宋体" w:hAnsi="Times New Roman" w:cs="Times New Roman" w:hint="eastAsia"/>
          <w:szCs w:val="22"/>
        </w:rPr>
        <w:t>University of Chinese Academy of Sciences, Beijing 100049, China</w:t>
      </w:r>
    </w:p>
    <w:p w14:paraId="5FE14F6A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hAnsi="Times New Roman" w:cs="Times New Roman" w:hint="eastAsia"/>
          <w:vertAlign w:val="superscript"/>
        </w:rPr>
        <w:t>c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宋体" w:hAnsi="Times New Roman" w:cs="Times New Roman" w:hint="eastAsia"/>
          <w:szCs w:val="22"/>
        </w:rPr>
        <w:t>University of Chinese Academy of Sciences, Nanjing</w:t>
      </w:r>
      <w:r>
        <w:rPr>
          <w:rFonts w:ascii="Times New Roman" w:eastAsia="宋体" w:hAnsi="Times New Roman" w:cs="Times New Roman" w:hint="eastAsia"/>
          <w:szCs w:val="22"/>
        </w:rPr>
        <w:t xml:space="preserve"> 211135, China</w:t>
      </w:r>
    </w:p>
    <w:p w14:paraId="61B080BA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eastAsia="宋体" w:hAnsi="Times New Roman" w:cs="Times New Roman" w:hint="eastAsia"/>
          <w:szCs w:val="22"/>
          <w:vertAlign w:val="superscript"/>
        </w:rPr>
        <w:t>d</w:t>
      </w:r>
      <w:r>
        <w:rPr>
          <w:rFonts w:ascii="Times New Roman" w:eastAsia="宋体" w:hAnsi="Times New Roman" w:cs="Times New Roman"/>
          <w:szCs w:val="22"/>
        </w:rPr>
        <w:t xml:space="preserve"> Liwan Branch of Guangzhou Public Security Bureau, Guangzhou 510140, China</w:t>
      </w:r>
    </w:p>
    <w:p w14:paraId="4B475D00" w14:textId="77777777" w:rsidR="003036A4" w:rsidRDefault="003D20E3">
      <w:pPr>
        <w:spacing w:after="0" w:line="360" w:lineRule="auto"/>
        <w:jc w:val="both"/>
      </w:pPr>
      <w:r>
        <w:rPr>
          <w:rFonts w:ascii="Times New Roman" w:hAnsi="Times New Roman" w:cs="Times New Roman"/>
          <w:vertAlign w:val="superscript"/>
        </w:rPr>
        <w:t>e</w:t>
      </w:r>
      <w:r>
        <w:t xml:space="preserve"> </w:t>
      </w:r>
      <w:r>
        <w:rPr>
          <w:rFonts w:ascii="Times New Roman" w:eastAsia="宋体" w:hAnsi="Times New Roman" w:cs="Times New Roman"/>
          <w:szCs w:val="22"/>
        </w:rPr>
        <w:t>Public Security Bureau of Bayingolin Mongolian Autonomous Prefecture, Xinjiang</w:t>
      </w:r>
    </w:p>
    <w:p w14:paraId="0BC7A564" w14:textId="77777777" w:rsidR="003036A4" w:rsidRDefault="003D20E3">
      <w:pPr>
        <w:spacing w:after="0" w:line="36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f</w:t>
      </w:r>
      <w:r>
        <w:rPr>
          <w:rFonts w:ascii="Times New Roman" w:hAnsi="Times New Roman" w:cs="Times New Roman"/>
        </w:rPr>
        <w:t xml:space="preserve"> Institute of Forensic Science, Ministry of Public Security (MPS), Beijing 100038, </w:t>
      </w:r>
      <w:r>
        <w:rPr>
          <w:rFonts w:ascii="Times New Roman" w:hAnsi="Times New Roman" w:cs="Times New Roman"/>
        </w:rPr>
        <w:t>China</w:t>
      </w:r>
    </w:p>
    <w:p w14:paraId="580CBEBD" w14:textId="77777777" w:rsidR="001E3B4F" w:rsidRDefault="001E3B4F" w:rsidP="001E3B4F">
      <w:pPr>
        <w:spacing w:after="0" w:line="360" w:lineRule="auto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color w:val="0000FF"/>
          <w:vertAlign w:val="superscript"/>
        </w:rPr>
        <w:t>g</w:t>
      </w:r>
      <w:r>
        <w:rPr>
          <w:rFonts w:ascii="Times New Roman" w:hAnsi="Times New Roman" w:cs="Times New Roman"/>
          <w:color w:val="0000FF"/>
        </w:rPr>
        <w:t xml:space="preserve"> School of Ecology and Applied Meteorology, Nanjing University of Information Science and Technology, Nanjing 210044, China</w:t>
      </w:r>
    </w:p>
    <w:p w14:paraId="05209F62" w14:textId="77777777" w:rsidR="003036A4" w:rsidRPr="001E3B4F" w:rsidRDefault="003036A4">
      <w:pPr>
        <w:spacing w:after="0" w:line="360" w:lineRule="auto"/>
        <w:rPr>
          <w:rFonts w:ascii="Times New Roman" w:hAnsi="Times New Roman" w:cs="Times New Roman"/>
        </w:rPr>
      </w:pPr>
    </w:p>
    <w:p w14:paraId="4F8F32F7" w14:textId="77777777" w:rsidR="003036A4" w:rsidRDefault="003D20E3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Corresponding author</w:t>
      </w:r>
    </w:p>
    <w:p w14:paraId="43A308B2" w14:textId="77777777" w:rsidR="003036A4" w:rsidRDefault="003D20E3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Tel: +086-025-86881310; E-mail: tyang@issas.ac.cn</w:t>
      </w:r>
    </w:p>
    <w:p w14:paraId="60915BC5" w14:textId="77777777" w:rsidR="003036A4" w:rsidRDefault="003D20E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Tel: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+086-010-66269473;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</w:rPr>
        <w:t>E-mail: sequence17@163.com</w:t>
      </w:r>
      <w:bookmarkEnd w:id="0"/>
    </w:p>
    <w:p w14:paraId="3F25D96E" w14:textId="77777777" w:rsidR="003036A4" w:rsidRDefault="003D20E3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2A131AC4" w14:textId="77777777" w:rsidR="003036A4" w:rsidRDefault="003D20E3">
      <w:pPr>
        <w:spacing w:after="0" w:line="360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eastAsia="宋体" w:hAnsi="Times New Roman" w:cs="Times New Roman"/>
          <w:b/>
          <w:bCs/>
          <w:kern w:val="0"/>
          <w:szCs w:val="22"/>
          <w14:ligatures w14:val="none"/>
        </w:rPr>
        <w:lastRenderedPageBreak/>
        <w:t>Table S1</w:t>
      </w:r>
      <w:r>
        <w:rPr>
          <w:rFonts w:ascii="Times New Roman" w:eastAsia="宋体" w:hAnsi="Times New Roman" w:cs="Times New Roman"/>
          <w:kern w:val="0"/>
          <w:szCs w:val="22"/>
          <w14:ligatures w14:val="none"/>
        </w:rPr>
        <w:t xml:space="preserve"> Detailed sampling schedule across the two-year time series, including all 16 sampling time points spanning spring 2019 to spring 2020.</w:t>
      </w:r>
    </w:p>
    <w:tbl>
      <w:tblPr>
        <w:tblpPr w:leftFromText="180" w:rightFromText="180" w:vertAnchor="text" w:horzAnchor="margin" w:tblpY="122"/>
        <w:tblW w:w="8321" w:type="dxa"/>
        <w:tblLook w:val="04A0" w:firstRow="1" w:lastRow="0" w:firstColumn="1" w:lastColumn="0" w:noHBand="0" w:noVBand="1"/>
      </w:tblPr>
      <w:tblGrid>
        <w:gridCol w:w="1942"/>
        <w:gridCol w:w="2511"/>
        <w:gridCol w:w="2453"/>
        <w:gridCol w:w="1415"/>
      </w:tblGrid>
      <w:tr w:rsidR="003036A4" w14:paraId="036332D1" w14:textId="77777777">
        <w:trPr>
          <w:trHeight w:val="337"/>
        </w:trPr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F6A7D2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Sampling interval</w:t>
            </w: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90FC3B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Sampling Date (2019)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292E36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Sampling Date (2020)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DEB219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Season</w:t>
            </w:r>
          </w:p>
        </w:tc>
      </w:tr>
      <w:tr w:rsidR="003036A4" w14:paraId="7FEC089A" w14:textId="77777777">
        <w:trPr>
          <w:trHeight w:val="232"/>
        </w:trPr>
        <w:tc>
          <w:tcPr>
            <w:tcW w:w="19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FA12537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1 day</w:t>
            </w:r>
          </w:p>
        </w:tc>
        <w:tc>
          <w:tcPr>
            <w:tcW w:w="2511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41D65AE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2019.03.19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6D28E9D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2020.03.19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6B60509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Spring</w:t>
            </w:r>
          </w:p>
        </w:tc>
      </w:tr>
      <w:tr w:rsidR="003036A4" w14:paraId="037E6177" w14:textId="77777777">
        <w:trPr>
          <w:trHeight w:val="435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center"/>
          </w:tcPr>
          <w:p w14:paraId="1D12F016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 days</w:t>
            </w:r>
          </w:p>
        </w:tc>
        <w:tc>
          <w:tcPr>
            <w:tcW w:w="2511" w:type="dxa"/>
            <w:tcBorders>
              <w:top w:val="nil"/>
              <w:left w:val="nil"/>
              <w:right w:val="nil"/>
            </w:tcBorders>
            <w:vAlign w:val="center"/>
          </w:tcPr>
          <w:p w14:paraId="7A914472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2019.03.20</w:t>
            </w:r>
          </w:p>
        </w:tc>
        <w:tc>
          <w:tcPr>
            <w:tcW w:w="2453" w:type="dxa"/>
            <w:tcBorders>
              <w:top w:val="nil"/>
              <w:left w:val="nil"/>
              <w:right w:val="nil"/>
            </w:tcBorders>
            <w:vAlign w:val="center"/>
          </w:tcPr>
          <w:p w14:paraId="31FBBC0E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2020.03.20</w:t>
            </w: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  <w:vAlign w:val="center"/>
          </w:tcPr>
          <w:p w14:paraId="216A3BA1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Spring</w:t>
            </w:r>
          </w:p>
        </w:tc>
      </w:tr>
      <w:tr w:rsidR="003036A4" w14:paraId="27E3B699" w14:textId="77777777">
        <w:trPr>
          <w:trHeight w:val="435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center"/>
          </w:tcPr>
          <w:p w14:paraId="226DBAC5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3 days</w:t>
            </w:r>
          </w:p>
        </w:tc>
        <w:tc>
          <w:tcPr>
            <w:tcW w:w="2511" w:type="dxa"/>
            <w:tcBorders>
              <w:top w:val="nil"/>
              <w:left w:val="nil"/>
              <w:right w:val="nil"/>
            </w:tcBorders>
            <w:vAlign w:val="center"/>
          </w:tcPr>
          <w:p w14:paraId="66A2D54E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2019.03.21</w:t>
            </w:r>
          </w:p>
        </w:tc>
        <w:tc>
          <w:tcPr>
            <w:tcW w:w="2453" w:type="dxa"/>
            <w:tcBorders>
              <w:top w:val="nil"/>
              <w:left w:val="nil"/>
              <w:right w:val="nil"/>
            </w:tcBorders>
            <w:vAlign w:val="center"/>
          </w:tcPr>
          <w:p w14:paraId="0FDE04F4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2020.03.21</w:t>
            </w: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  <w:vAlign w:val="center"/>
          </w:tcPr>
          <w:p w14:paraId="5370C288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Spring</w:t>
            </w:r>
          </w:p>
        </w:tc>
      </w:tr>
      <w:tr w:rsidR="003036A4" w14:paraId="4B4D7863" w14:textId="77777777">
        <w:trPr>
          <w:trHeight w:val="435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center"/>
          </w:tcPr>
          <w:p w14:paraId="65E0C13B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1 week</w:t>
            </w:r>
          </w:p>
        </w:tc>
        <w:tc>
          <w:tcPr>
            <w:tcW w:w="2511" w:type="dxa"/>
            <w:tcBorders>
              <w:top w:val="nil"/>
              <w:left w:val="nil"/>
              <w:right w:val="nil"/>
            </w:tcBorders>
            <w:vAlign w:val="center"/>
          </w:tcPr>
          <w:p w14:paraId="7A61D05E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2019.03.26</w:t>
            </w:r>
          </w:p>
        </w:tc>
        <w:tc>
          <w:tcPr>
            <w:tcW w:w="2453" w:type="dxa"/>
            <w:tcBorders>
              <w:top w:val="nil"/>
              <w:left w:val="nil"/>
              <w:right w:val="nil"/>
            </w:tcBorders>
            <w:vAlign w:val="center"/>
          </w:tcPr>
          <w:p w14:paraId="1583A17C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2020.03.26</w:t>
            </w: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  <w:vAlign w:val="center"/>
          </w:tcPr>
          <w:p w14:paraId="75D6C4EC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Spring</w:t>
            </w:r>
          </w:p>
        </w:tc>
      </w:tr>
      <w:tr w:rsidR="003036A4" w14:paraId="260FB39E" w14:textId="77777777">
        <w:trPr>
          <w:trHeight w:val="435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center"/>
          </w:tcPr>
          <w:p w14:paraId="7610421B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 weeks</w:t>
            </w:r>
          </w:p>
        </w:tc>
        <w:tc>
          <w:tcPr>
            <w:tcW w:w="2511" w:type="dxa"/>
            <w:tcBorders>
              <w:top w:val="nil"/>
              <w:left w:val="nil"/>
              <w:right w:val="nil"/>
            </w:tcBorders>
            <w:vAlign w:val="center"/>
          </w:tcPr>
          <w:p w14:paraId="68C50556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2019.04.02</w:t>
            </w:r>
          </w:p>
        </w:tc>
        <w:tc>
          <w:tcPr>
            <w:tcW w:w="2453" w:type="dxa"/>
            <w:tcBorders>
              <w:top w:val="nil"/>
              <w:left w:val="nil"/>
              <w:right w:val="nil"/>
            </w:tcBorders>
            <w:vAlign w:val="center"/>
          </w:tcPr>
          <w:p w14:paraId="696A9413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2020.04.02</w:t>
            </w: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  <w:vAlign w:val="center"/>
          </w:tcPr>
          <w:p w14:paraId="38BF82F5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Spring</w:t>
            </w:r>
          </w:p>
        </w:tc>
      </w:tr>
      <w:tr w:rsidR="003036A4" w14:paraId="3DEC59FA" w14:textId="77777777">
        <w:trPr>
          <w:trHeight w:val="435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center"/>
          </w:tcPr>
          <w:p w14:paraId="436A7A3B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4 weeks</w:t>
            </w:r>
          </w:p>
        </w:tc>
        <w:tc>
          <w:tcPr>
            <w:tcW w:w="2511" w:type="dxa"/>
            <w:tcBorders>
              <w:top w:val="nil"/>
              <w:left w:val="nil"/>
              <w:right w:val="nil"/>
            </w:tcBorders>
            <w:vAlign w:val="center"/>
          </w:tcPr>
          <w:p w14:paraId="66E00E5C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2019.04.16</w:t>
            </w:r>
          </w:p>
        </w:tc>
        <w:tc>
          <w:tcPr>
            <w:tcW w:w="2453" w:type="dxa"/>
            <w:tcBorders>
              <w:top w:val="nil"/>
              <w:left w:val="nil"/>
              <w:right w:val="nil"/>
            </w:tcBorders>
            <w:vAlign w:val="center"/>
          </w:tcPr>
          <w:p w14:paraId="3C93D2F6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2020.04.16</w:t>
            </w: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  <w:vAlign w:val="center"/>
          </w:tcPr>
          <w:p w14:paraId="0E1104A8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Spring</w:t>
            </w:r>
          </w:p>
        </w:tc>
      </w:tr>
      <w:tr w:rsidR="003036A4" w14:paraId="56BD9D65" w14:textId="77777777">
        <w:trPr>
          <w:trHeight w:val="435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center"/>
          </w:tcPr>
          <w:p w14:paraId="2F44A775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 months</w:t>
            </w:r>
          </w:p>
        </w:tc>
        <w:tc>
          <w:tcPr>
            <w:tcW w:w="2511" w:type="dxa"/>
            <w:tcBorders>
              <w:top w:val="nil"/>
              <w:left w:val="nil"/>
              <w:right w:val="nil"/>
            </w:tcBorders>
            <w:vAlign w:val="center"/>
          </w:tcPr>
          <w:p w14:paraId="77D912F6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2019.05.21</w:t>
            </w:r>
          </w:p>
        </w:tc>
        <w:tc>
          <w:tcPr>
            <w:tcW w:w="2453" w:type="dxa"/>
            <w:tcBorders>
              <w:top w:val="nil"/>
              <w:left w:val="nil"/>
              <w:right w:val="nil"/>
            </w:tcBorders>
            <w:vAlign w:val="center"/>
          </w:tcPr>
          <w:p w14:paraId="5DB950F1" w14:textId="77777777" w:rsidR="003036A4" w:rsidRDefault="003036A4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  <w:vAlign w:val="center"/>
          </w:tcPr>
          <w:p w14:paraId="296304D8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Spring</w:t>
            </w:r>
          </w:p>
        </w:tc>
      </w:tr>
      <w:tr w:rsidR="003036A4" w14:paraId="5AB27BC2" w14:textId="77777777">
        <w:trPr>
          <w:trHeight w:val="435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center"/>
          </w:tcPr>
          <w:p w14:paraId="434C1E1B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3 months</w:t>
            </w:r>
          </w:p>
        </w:tc>
        <w:tc>
          <w:tcPr>
            <w:tcW w:w="2511" w:type="dxa"/>
            <w:tcBorders>
              <w:top w:val="nil"/>
              <w:left w:val="nil"/>
              <w:right w:val="nil"/>
            </w:tcBorders>
            <w:vAlign w:val="center"/>
          </w:tcPr>
          <w:p w14:paraId="5A2BD9A8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2019.06.18</w:t>
            </w:r>
          </w:p>
        </w:tc>
        <w:tc>
          <w:tcPr>
            <w:tcW w:w="2453" w:type="dxa"/>
            <w:tcBorders>
              <w:top w:val="nil"/>
              <w:left w:val="nil"/>
              <w:right w:val="nil"/>
            </w:tcBorders>
            <w:vAlign w:val="center"/>
          </w:tcPr>
          <w:p w14:paraId="5F49F8CA" w14:textId="77777777" w:rsidR="003036A4" w:rsidRDefault="003036A4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  <w:vAlign w:val="center"/>
          </w:tcPr>
          <w:p w14:paraId="33DA59C4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Summer</w:t>
            </w:r>
          </w:p>
        </w:tc>
      </w:tr>
      <w:tr w:rsidR="003036A4" w14:paraId="49FBC404" w14:textId="77777777">
        <w:trPr>
          <w:trHeight w:val="435"/>
        </w:trPr>
        <w:tc>
          <w:tcPr>
            <w:tcW w:w="1942" w:type="dxa"/>
            <w:tcBorders>
              <w:top w:val="nil"/>
              <w:left w:val="nil"/>
              <w:right w:val="nil"/>
            </w:tcBorders>
            <w:vAlign w:val="center"/>
          </w:tcPr>
          <w:p w14:paraId="0C42AD3A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6 months</w:t>
            </w:r>
          </w:p>
        </w:tc>
        <w:tc>
          <w:tcPr>
            <w:tcW w:w="2511" w:type="dxa"/>
            <w:tcBorders>
              <w:top w:val="nil"/>
              <w:left w:val="nil"/>
              <w:right w:val="nil"/>
            </w:tcBorders>
            <w:vAlign w:val="center"/>
          </w:tcPr>
          <w:p w14:paraId="74FC4530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2019.09.17</w:t>
            </w:r>
          </w:p>
        </w:tc>
        <w:tc>
          <w:tcPr>
            <w:tcW w:w="2453" w:type="dxa"/>
            <w:tcBorders>
              <w:top w:val="nil"/>
              <w:left w:val="nil"/>
              <w:right w:val="nil"/>
            </w:tcBorders>
            <w:vAlign w:val="center"/>
          </w:tcPr>
          <w:p w14:paraId="0CF72858" w14:textId="77777777" w:rsidR="003036A4" w:rsidRDefault="003036A4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right w:val="nil"/>
            </w:tcBorders>
            <w:vAlign w:val="center"/>
          </w:tcPr>
          <w:p w14:paraId="00D36CA6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Autumn</w:t>
            </w:r>
          </w:p>
        </w:tc>
      </w:tr>
      <w:tr w:rsidR="003036A4" w14:paraId="5BE717DF" w14:textId="77777777">
        <w:trPr>
          <w:trHeight w:val="426"/>
        </w:trPr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9BB1A2" w14:textId="77777777" w:rsidR="003036A4" w:rsidRDefault="003D20E3">
            <w:pPr>
              <w:widowControl/>
              <w:spacing w:after="0" w:line="360" w:lineRule="auto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9 months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FA738A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2019.12.17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2F26E3" w14:textId="77777777" w:rsidR="003036A4" w:rsidRDefault="003036A4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F39D51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Winter</w:t>
            </w:r>
          </w:p>
        </w:tc>
      </w:tr>
    </w:tbl>
    <w:p w14:paraId="4B8BB1FC" w14:textId="77777777" w:rsidR="003036A4" w:rsidRDefault="003D20E3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4937E092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eastAsia="宋体" w:hAnsi="Times New Roman" w:cs="Times New Roman"/>
          <w:b/>
          <w:bCs/>
          <w:szCs w:val="22"/>
        </w:rPr>
        <w:lastRenderedPageBreak/>
        <w:t>Table S2</w:t>
      </w:r>
      <w:r>
        <w:rPr>
          <w:rFonts w:ascii="Times New Roman" w:eastAsia="宋体" w:hAnsi="Times New Roman" w:cs="Times New Roman"/>
          <w:szCs w:val="22"/>
        </w:rPr>
        <w:t xml:space="preserve"> Pairwise PERMANOVA comparisons of bacterial community composition among different soil sources within each city.</w:t>
      </w:r>
    </w:p>
    <w:tbl>
      <w:tblPr>
        <w:tblStyle w:val="a9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1418"/>
        <w:gridCol w:w="1323"/>
        <w:gridCol w:w="1265"/>
        <w:gridCol w:w="1323"/>
      </w:tblGrid>
      <w:tr w:rsidR="003036A4" w14:paraId="636911F9" w14:textId="77777777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FAF1A93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Comparison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9B7BED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Statistical Metric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4" w:space="0" w:color="auto"/>
            </w:tcBorders>
          </w:tcPr>
          <w:p w14:paraId="16EE1D20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Beijing</w:t>
            </w:r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</w:tcBorders>
          </w:tcPr>
          <w:p w14:paraId="47E00900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Nanjing</w:t>
            </w:r>
          </w:p>
        </w:tc>
        <w:tc>
          <w:tcPr>
            <w:tcW w:w="1323" w:type="dxa"/>
            <w:tcBorders>
              <w:top w:val="single" w:sz="4" w:space="0" w:color="auto"/>
              <w:bottom w:val="single" w:sz="4" w:space="0" w:color="auto"/>
            </w:tcBorders>
          </w:tcPr>
          <w:p w14:paraId="78C61D90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Guangzhou</w:t>
            </w:r>
          </w:p>
        </w:tc>
      </w:tr>
      <w:tr w:rsidR="003036A4" w14:paraId="0C90D556" w14:textId="77777777">
        <w:tc>
          <w:tcPr>
            <w:tcW w:w="2977" w:type="dxa"/>
            <w:tcBorders>
              <w:top w:val="single" w:sz="4" w:space="0" w:color="auto"/>
              <w:bottom w:val="nil"/>
            </w:tcBorders>
          </w:tcPr>
          <w:p w14:paraId="50E3769E" w14:textId="77777777" w:rsidR="003036A4" w:rsidRDefault="003D20E3">
            <w:pPr>
              <w:spacing w:after="0" w:line="360" w:lineRule="auto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In situ soil vs. Tool soil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14:paraId="414A5A39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i/>
                <w:iCs/>
                <w:kern w:val="0"/>
                <w:szCs w:val="22"/>
                <w14:ligatures w14:val="none"/>
              </w:rPr>
              <w:t>R</w:t>
            </w:r>
            <w:r>
              <w:rPr>
                <w:kern w:val="0"/>
                <w:szCs w:val="22"/>
                <w14:ligatures w14:val="none"/>
              </w:rPr>
              <w:t>²</w:t>
            </w:r>
          </w:p>
        </w:tc>
        <w:tc>
          <w:tcPr>
            <w:tcW w:w="1323" w:type="dxa"/>
            <w:tcBorders>
              <w:top w:val="single" w:sz="4" w:space="0" w:color="auto"/>
              <w:bottom w:val="nil"/>
            </w:tcBorders>
          </w:tcPr>
          <w:p w14:paraId="5C7419D7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0.012</w:t>
            </w:r>
          </w:p>
        </w:tc>
        <w:tc>
          <w:tcPr>
            <w:tcW w:w="1265" w:type="dxa"/>
            <w:tcBorders>
              <w:top w:val="single" w:sz="4" w:space="0" w:color="auto"/>
              <w:bottom w:val="nil"/>
            </w:tcBorders>
          </w:tcPr>
          <w:p w14:paraId="6D1044D7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0.010</w:t>
            </w:r>
          </w:p>
        </w:tc>
        <w:tc>
          <w:tcPr>
            <w:tcW w:w="1323" w:type="dxa"/>
            <w:tcBorders>
              <w:top w:val="single" w:sz="4" w:space="0" w:color="auto"/>
              <w:bottom w:val="nil"/>
            </w:tcBorders>
          </w:tcPr>
          <w:p w14:paraId="242DCFFD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0.008</w:t>
            </w:r>
          </w:p>
        </w:tc>
      </w:tr>
      <w:tr w:rsidR="003036A4" w14:paraId="4EA00FC2" w14:textId="77777777">
        <w:tc>
          <w:tcPr>
            <w:tcW w:w="2977" w:type="dxa"/>
            <w:tcBorders>
              <w:top w:val="nil"/>
              <w:bottom w:val="nil"/>
            </w:tcBorders>
          </w:tcPr>
          <w:p w14:paraId="2B54EF1A" w14:textId="77777777" w:rsidR="003036A4" w:rsidRDefault="003036A4">
            <w:pPr>
              <w:spacing w:after="0" w:line="360" w:lineRule="auto"/>
              <w:rPr>
                <w:kern w:val="0"/>
                <w:szCs w:val="22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4658E63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i/>
                <w:iCs/>
                <w:kern w:val="0"/>
                <w:szCs w:val="22"/>
                <w14:ligatures w14:val="none"/>
              </w:rPr>
              <w:t>P</w:t>
            </w:r>
            <w:r>
              <w:rPr>
                <w:kern w:val="0"/>
                <w:szCs w:val="22"/>
                <w:vertAlign w:val="subscript"/>
                <w14:ligatures w14:val="none"/>
              </w:rPr>
              <w:t>adj</w:t>
            </w:r>
          </w:p>
        </w:tc>
        <w:tc>
          <w:tcPr>
            <w:tcW w:w="1323" w:type="dxa"/>
            <w:tcBorders>
              <w:top w:val="nil"/>
              <w:bottom w:val="nil"/>
            </w:tcBorders>
          </w:tcPr>
          <w:p w14:paraId="771452EA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0.054</w:t>
            </w:r>
          </w:p>
        </w:tc>
        <w:tc>
          <w:tcPr>
            <w:tcW w:w="1265" w:type="dxa"/>
            <w:tcBorders>
              <w:top w:val="nil"/>
              <w:bottom w:val="nil"/>
            </w:tcBorders>
          </w:tcPr>
          <w:p w14:paraId="61BDCB06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0.136</w:t>
            </w:r>
          </w:p>
        </w:tc>
        <w:tc>
          <w:tcPr>
            <w:tcW w:w="1323" w:type="dxa"/>
            <w:tcBorders>
              <w:top w:val="nil"/>
              <w:bottom w:val="nil"/>
            </w:tcBorders>
          </w:tcPr>
          <w:p w14:paraId="4922944C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0.713</w:t>
            </w:r>
          </w:p>
        </w:tc>
      </w:tr>
      <w:tr w:rsidR="003036A4" w14:paraId="13E0B9B9" w14:textId="77777777">
        <w:tc>
          <w:tcPr>
            <w:tcW w:w="2977" w:type="dxa"/>
            <w:tcBorders>
              <w:top w:val="nil"/>
            </w:tcBorders>
          </w:tcPr>
          <w:p w14:paraId="6D8971BF" w14:textId="77777777" w:rsidR="003036A4" w:rsidRDefault="003D20E3">
            <w:pPr>
              <w:spacing w:after="0" w:line="360" w:lineRule="auto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In situ soil vs. Shoe-sole soil</w:t>
            </w:r>
          </w:p>
        </w:tc>
        <w:tc>
          <w:tcPr>
            <w:tcW w:w="1418" w:type="dxa"/>
            <w:tcBorders>
              <w:top w:val="nil"/>
            </w:tcBorders>
          </w:tcPr>
          <w:p w14:paraId="4CDD9848" w14:textId="77777777" w:rsidR="003036A4" w:rsidRDefault="003D20E3">
            <w:pPr>
              <w:spacing w:after="0" w:line="360" w:lineRule="auto"/>
              <w:jc w:val="center"/>
              <w:rPr>
                <w:i/>
                <w:iCs/>
                <w:kern w:val="0"/>
                <w:szCs w:val="22"/>
                <w14:ligatures w14:val="none"/>
              </w:rPr>
            </w:pPr>
            <w:r>
              <w:rPr>
                <w:i/>
                <w:iCs/>
                <w:kern w:val="0"/>
                <w:szCs w:val="22"/>
                <w14:ligatures w14:val="none"/>
              </w:rPr>
              <w:t>R</w:t>
            </w:r>
            <w:r>
              <w:rPr>
                <w:kern w:val="0"/>
                <w:szCs w:val="22"/>
                <w14:ligatures w14:val="none"/>
              </w:rPr>
              <w:t>²</w:t>
            </w:r>
          </w:p>
        </w:tc>
        <w:tc>
          <w:tcPr>
            <w:tcW w:w="1323" w:type="dxa"/>
            <w:tcBorders>
              <w:top w:val="nil"/>
            </w:tcBorders>
          </w:tcPr>
          <w:p w14:paraId="6C27F192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0.016</w:t>
            </w:r>
          </w:p>
        </w:tc>
        <w:tc>
          <w:tcPr>
            <w:tcW w:w="1265" w:type="dxa"/>
            <w:tcBorders>
              <w:top w:val="nil"/>
            </w:tcBorders>
          </w:tcPr>
          <w:p w14:paraId="536B7210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0.016</w:t>
            </w:r>
          </w:p>
        </w:tc>
        <w:tc>
          <w:tcPr>
            <w:tcW w:w="1323" w:type="dxa"/>
            <w:tcBorders>
              <w:top w:val="nil"/>
            </w:tcBorders>
          </w:tcPr>
          <w:p w14:paraId="5C03ABC0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0.010</w:t>
            </w:r>
          </w:p>
        </w:tc>
      </w:tr>
      <w:tr w:rsidR="003036A4" w14:paraId="4FCE8AF4" w14:textId="77777777">
        <w:tc>
          <w:tcPr>
            <w:tcW w:w="2977" w:type="dxa"/>
          </w:tcPr>
          <w:p w14:paraId="2F41A0EF" w14:textId="77777777" w:rsidR="003036A4" w:rsidRDefault="003036A4">
            <w:pPr>
              <w:spacing w:after="0" w:line="360" w:lineRule="auto"/>
              <w:rPr>
                <w:kern w:val="0"/>
                <w:szCs w:val="22"/>
                <w:highlight w:val="yellow"/>
                <w14:ligatures w14:val="none"/>
              </w:rPr>
            </w:pPr>
          </w:p>
        </w:tc>
        <w:tc>
          <w:tcPr>
            <w:tcW w:w="1418" w:type="dxa"/>
          </w:tcPr>
          <w:p w14:paraId="03C7C98B" w14:textId="77777777" w:rsidR="003036A4" w:rsidRDefault="003D20E3">
            <w:pPr>
              <w:spacing w:after="0" w:line="360" w:lineRule="auto"/>
              <w:jc w:val="center"/>
              <w:rPr>
                <w:i/>
                <w:iCs/>
                <w:kern w:val="0"/>
                <w:szCs w:val="22"/>
                <w14:ligatures w14:val="none"/>
              </w:rPr>
            </w:pPr>
            <w:r>
              <w:rPr>
                <w:i/>
                <w:iCs/>
                <w:kern w:val="0"/>
                <w:szCs w:val="22"/>
                <w14:ligatures w14:val="none"/>
              </w:rPr>
              <w:t>P</w:t>
            </w:r>
            <w:r>
              <w:rPr>
                <w:kern w:val="0"/>
                <w:szCs w:val="22"/>
                <w:vertAlign w:val="subscript"/>
                <w14:ligatures w14:val="none"/>
              </w:rPr>
              <w:t>adj</w:t>
            </w:r>
          </w:p>
        </w:tc>
        <w:tc>
          <w:tcPr>
            <w:tcW w:w="1323" w:type="dxa"/>
          </w:tcPr>
          <w:p w14:paraId="228B8F5F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0.015</w:t>
            </w:r>
          </w:p>
        </w:tc>
        <w:tc>
          <w:tcPr>
            <w:tcW w:w="1265" w:type="dxa"/>
          </w:tcPr>
          <w:p w14:paraId="5F07F9FD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0.021</w:t>
            </w:r>
          </w:p>
        </w:tc>
        <w:tc>
          <w:tcPr>
            <w:tcW w:w="1323" w:type="dxa"/>
          </w:tcPr>
          <w:p w14:paraId="500E4DE1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0.306</w:t>
            </w:r>
          </w:p>
        </w:tc>
      </w:tr>
      <w:tr w:rsidR="003036A4" w14:paraId="0C2BDB50" w14:textId="77777777">
        <w:tc>
          <w:tcPr>
            <w:tcW w:w="2977" w:type="dxa"/>
          </w:tcPr>
          <w:p w14:paraId="41B580CB" w14:textId="77777777" w:rsidR="003036A4" w:rsidRDefault="003D20E3">
            <w:pPr>
              <w:spacing w:after="0" w:line="360" w:lineRule="auto"/>
              <w:rPr>
                <w:kern w:val="0"/>
                <w:szCs w:val="22"/>
                <w:highlight w:val="yellow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Tool soil vs. Shoe-sole soil</w:t>
            </w:r>
          </w:p>
        </w:tc>
        <w:tc>
          <w:tcPr>
            <w:tcW w:w="1418" w:type="dxa"/>
          </w:tcPr>
          <w:p w14:paraId="6B1AB087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i/>
                <w:iCs/>
                <w:kern w:val="0"/>
                <w:szCs w:val="22"/>
                <w14:ligatures w14:val="none"/>
              </w:rPr>
              <w:t>R</w:t>
            </w:r>
            <w:r>
              <w:rPr>
                <w:kern w:val="0"/>
                <w:szCs w:val="22"/>
                <w14:ligatures w14:val="none"/>
              </w:rPr>
              <w:t>²</w:t>
            </w:r>
          </w:p>
        </w:tc>
        <w:tc>
          <w:tcPr>
            <w:tcW w:w="1323" w:type="dxa"/>
          </w:tcPr>
          <w:p w14:paraId="79F32180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0.021</w:t>
            </w:r>
          </w:p>
        </w:tc>
        <w:tc>
          <w:tcPr>
            <w:tcW w:w="1265" w:type="dxa"/>
          </w:tcPr>
          <w:p w14:paraId="7F593271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0.020</w:t>
            </w:r>
          </w:p>
        </w:tc>
        <w:tc>
          <w:tcPr>
            <w:tcW w:w="1323" w:type="dxa"/>
          </w:tcPr>
          <w:p w14:paraId="1BF11E80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0.012</w:t>
            </w:r>
          </w:p>
        </w:tc>
      </w:tr>
      <w:tr w:rsidR="003036A4" w14:paraId="72ED2B4A" w14:textId="77777777">
        <w:tc>
          <w:tcPr>
            <w:tcW w:w="2977" w:type="dxa"/>
          </w:tcPr>
          <w:p w14:paraId="09893221" w14:textId="77777777" w:rsidR="003036A4" w:rsidRDefault="003036A4">
            <w:pPr>
              <w:spacing w:after="0" w:line="360" w:lineRule="auto"/>
              <w:rPr>
                <w:kern w:val="0"/>
                <w:szCs w:val="22"/>
                <w:highlight w:val="yellow"/>
                <w14:ligatures w14:val="none"/>
              </w:rPr>
            </w:pPr>
          </w:p>
        </w:tc>
        <w:tc>
          <w:tcPr>
            <w:tcW w:w="1418" w:type="dxa"/>
          </w:tcPr>
          <w:p w14:paraId="6F54D9F4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i/>
                <w:iCs/>
                <w:kern w:val="0"/>
                <w:szCs w:val="22"/>
                <w14:ligatures w14:val="none"/>
              </w:rPr>
              <w:t>P</w:t>
            </w:r>
            <w:r>
              <w:rPr>
                <w:kern w:val="0"/>
                <w:szCs w:val="22"/>
                <w:vertAlign w:val="subscript"/>
                <w14:ligatures w14:val="none"/>
              </w:rPr>
              <w:t>adj</w:t>
            </w:r>
          </w:p>
        </w:tc>
        <w:tc>
          <w:tcPr>
            <w:tcW w:w="1323" w:type="dxa"/>
          </w:tcPr>
          <w:p w14:paraId="253A47CC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0.107</w:t>
            </w:r>
          </w:p>
        </w:tc>
        <w:tc>
          <w:tcPr>
            <w:tcW w:w="1265" w:type="dxa"/>
          </w:tcPr>
          <w:p w14:paraId="47E13526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0.136</w:t>
            </w:r>
          </w:p>
        </w:tc>
        <w:tc>
          <w:tcPr>
            <w:tcW w:w="1323" w:type="dxa"/>
          </w:tcPr>
          <w:p w14:paraId="25C0DD0E" w14:textId="77777777" w:rsidR="003036A4" w:rsidRDefault="003D20E3">
            <w:pPr>
              <w:spacing w:after="0" w:line="360" w:lineRule="auto"/>
              <w:jc w:val="center"/>
              <w:rPr>
                <w:kern w:val="0"/>
                <w:szCs w:val="22"/>
                <w14:ligatures w14:val="none"/>
              </w:rPr>
            </w:pPr>
            <w:r>
              <w:rPr>
                <w:kern w:val="0"/>
                <w:szCs w:val="22"/>
                <w14:ligatures w14:val="none"/>
              </w:rPr>
              <w:t>0.829</w:t>
            </w:r>
          </w:p>
        </w:tc>
      </w:tr>
    </w:tbl>
    <w:p w14:paraId="0FA2A17C" w14:textId="77777777" w:rsidR="003036A4" w:rsidRDefault="003036A4">
      <w:pPr>
        <w:rPr>
          <w:rFonts w:ascii="Times New Roman" w:hAnsi="Times New Roman" w:cs="Times New Roman"/>
          <w:szCs w:val="22"/>
        </w:rPr>
      </w:pPr>
    </w:p>
    <w:p w14:paraId="6D19BF3A" w14:textId="77777777" w:rsidR="003036A4" w:rsidRDefault="003D20E3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0FCA0238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eastAsia="宋体" w:hAnsi="Times New Roman" w:cs="Times New Roman"/>
          <w:b/>
          <w:bCs/>
          <w:szCs w:val="22"/>
        </w:rPr>
        <w:lastRenderedPageBreak/>
        <w:t xml:space="preserve">Table S3 </w:t>
      </w:r>
      <w:r>
        <w:rPr>
          <w:rFonts w:ascii="Times New Roman" w:eastAsia="宋体" w:hAnsi="Times New Roman" w:cs="Times New Roman"/>
          <w:szCs w:val="22"/>
        </w:rPr>
        <w:t xml:space="preserve">Comparison of seasonal and interannual </w:t>
      </w:r>
      <w:r>
        <w:rPr>
          <w:rFonts w:ascii="Times New Roman" w:eastAsia="宋体" w:hAnsi="Times New Roman" w:cs="Times New Roman"/>
          <w:szCs w:val="22"/>
        </w:rPr>
        <w:t>variation in soil bacterial community composition within each city.</w:t>
      </w:r>
    </w:p>
    <w:tbl>
      <w:tblPr>
        <w:tblW w:w="8301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223"/>
        <w:gridCol w:w="2220"/>
        <w:gridCol w:w="1777"/>
      </w:tblGrid>
      <w:tr w:rsidR="003036A4" w14:paraId="54E4D418" w14:textId="77777777">
        <w:trPr>
          <w:trHeight w:val="584"/>
        </w:trPr>
        <w:tc>
          <w:tcPr>
            <w:tcW w:w="208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3C3D26B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bookmarkStart w:id="1" w:name="OLE_LINK6"/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City</w:t>
            </w:r>
          </w:p>
        </w:tc>
        <w:tc>
          <w:tcPr>
            <w:tcW w:w="2223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A6C35EE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bookmarkStart w:id="2" w:name="OLE_LINK39"/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Mean seasonal difference in Bray-Curtis dissimilarity</w:t>
            </w:r>
            <w:bookmarkEnd w:id="2"/>
          </w:p>
        </w:tc>
        <w:tc>
          <w:tcPr>
            <w:tcW w:w="22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45DA3E2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bookmarkStart w:id="3" w:name="OLE_LINK38"/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Mean interannual difference in Bray-Curtis dissimilarity</w:t>
            </w:r>
            <w:bookmarkEnd w:id="3"/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764E653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i/>
                <w:iCs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i/>
                <w:iCs/>
                <w:kern w:val="0"/>
                <w:szCs w:val="22"/>
                <w14:ligatures w14:val="none"/>
              </w:rPr>
              <w:t>P</w:t>
            </w: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-value</w:t>
            </w:r>
          </w:p>
        </w:tc>
      </w:tr>
      <w:tr w:rsidR="003036A4" w14:paraId="1BB4DC05" w14:textId="77777777">
        <w:trPr>
          <w:trHeight w:val="599"/>
        </w:trPr>
        <w:tc>
          <w:tcPr>
            <w:tcW w:w="2081" w:type="dxa"/>
            <w:tcBorders>
              <w:top w:val="single" w:sz="4" w:space="0" w:color="auto"/>
              <w:bottom w:val="nil"/>
            </w:tcBorders>
            <w:noWrap/>
            <w:vAlign w:val="center"/>
          </w:tcPr>
          <w:p w14:paraId="69A983AB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Beijing</w:t>
            </w:r>
          </w:p>
        </w:tc>
        <w:tc>
          <w:tcPr>
            <w:tcW w:w="2223" w:type="dxa"/>
            <w:tcBorders>
              <w:top w:val="single" w:sz="4" w:space="0" w:color="auto"/>
              <w:bottom w:val="nil"/>
            </w:tcBorders>
            <w:noWrap/>
            <w:vAlign w:val="center"/>
          </w:tcPr>
          <w:p w14:paraId="272D26FE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0.804</w:t>
            </w:r>
          </w:p>
        </w:tc>
        <w:tc>
          <w:tcPr>
            <w:tcW w:w="2220" w:type="dxa"/>
            <w:tcBorders>
              <w:top w:val="single" w:sz="4" w:space="0" w:color="auto"/>
              <w:bottom w:val="nil"/>
            </w:tcBorders>
            <w:noWrap/>
            <w:vAlign w:val="center"/>
          </w:tcPr>
          <w:p w14:paraId="0A3D9905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0.744</w:t>
            </w:r>
          </w:p>
        </w:tc>
        <w:tc>
          <w:tcPr>
            <w:tcW w:w="1777" w:type="dxa"/>
            <w:tcBorders>
              <w:top w:val="single" w:sz="4" w:space="0" w:color="auto"/>
              <w:bottom w:val="nil"/>
            </w:tcBorders>
            <w:noWrap/>
            <w:vAlign w:val="center"/>
          </w:tcPr>
          <w:p w14:paraId="782417E0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&lt; 0.001</w:t>
            </w:r>
          </w:p>
        </w:tc>
      </w:tr>
      <w:tr w:rsidR="003036A4" w14:paraId="4F29966F" w14:textId="77777777">
        <w:trPr>
          <w:trHeight w:val="304"/>
        </w:trPr>
        <w:tc>
          <w:tcPr>
            <w:tcW w:w="2081" w:type="dxa"/>
            <w:tcBorders>
              <w:top w:val="nil"/>
              <w:bottom w:val="nil"/>
            </w:tcBorders>
            <w:noWrap/>
            <w:vAlign w:val="center"/>
          </w:tcPr>
          <w:p w14:paraId="0469782C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Nanjing</w:t>
            </w:r>
          </w:p>
        </w:tc>
        <w:tc>
          <w:tcPr>
            <w:tcW w:w="2223" w:type="dxa"/>
            <w:tcBorders>
              <w:top w:val="nil"/>
              <w:bottom w:val="nil"/>
            </w:tcBorders>
            <w:noWrap/>
            <w:vAlign w:val="center"/>
          </w:tcPr>
          <w:p w14:paraId="5D33E6FB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0.861</w:t>
            </w:r>
          </w:p>
        </w:tc>
        <w:tc>
          <w:tcPr>
            <w:tcW w:w="2220" w:type="dxa"/>
            <w:tcBorders>
              <w:top w:val="nil"/>
              <w:bottom w:val="nil"/>
            </w:tcBorders>
            <w:noWrap/>
            <w:vAlign w:val="center"/>
          </w:tcPr>
          <w:p w14:paraId="2B311176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0.853</w:t>
            </w:r>
          </w:p>
        </w:tc>
        <w:tc>
          <w:tcPr>
            <w:tcW w:w="1777" w:type="dxa"/>
            <w:tcBorders>
              <w:top w:val="nil"/>
              <w:bottom w:val="nil"/>
            </w:tcBorders>
            <w:noWrap/>
            <w:vAlign w:val="center"/>
          </w:tcPr>
          <w:p w14:paraId="1477B363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0.031</w:t>
            </w:r>
          </w:p>
        </w:tc>
      </w:tr>
      <w:tr w:rsidR="003036A4" w14:paraId="2AAC9223" w14:textId="77777777">
        <w:trPr>
          <w:trHeight w:val="503"/>
        </w:trPr>
        <w:tc>
          <w:tcPr>
            <w:tcW w:w="2081" w:type="dxa"/>
            <w:tcBorders>
              <w:top w:val="nil"/>
            </w:tcBorders>
            <w:noWrap/>
            <w:vAlign w:val="center"/>
          </w:tcPr>
          <w:p w14:paraId="097D0661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Guangzhou</w:t>
            </w:r>
          </w:p>
        </w:tc>
        <w:tc>
          <w:tcPr>
            <w:tcW w:w="2223" w:type="dxa"/>
            <w:tcBorders>
              <w:top w:val="nil"/>
            </w:tcBorders>
            <w:noWrap/>
            <w:vAlign w:val="center"/>
          </w:tcPr>
          <w:p w14:paraId="1C6A79DA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0.814</w:t>
            </w:r>
          </w:p>
        </w:tc>
        <w:tc>
          <w:tcPr>
            <w:tcW w:w="2220" w:type="dxa"/>
            <w:tcBorders>
              <w:top w:val="nil"/>
            </w:tcBorders>
            <w:noWrap/>
            <w:vAlign w:val="center"/>
          </w:tcPr>
          <w:p w14:paraId="3BD16607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0.736</w:t>
            </w:r>
          </w:p>
        </w:tc>
        <w:tc>
          <w:tcPr>
            <w:tcW w:w="1777" w:type="dxa"/>
            <w:tcBorders>
              <w:top w:val="nil"/>
            </w:tcBorders>
            <w:noWrap/>
            <w:vAlign w:val="center"/>
          </w:tcPr>
          <w:p w14:paraId="6B43FF78" w14:textId="77777777" w:rsidR="003036A4" w:rsidRDefault="003D20E3">
            <w:pPr>
              <w:widowControl/>
              <w:spacing w:after="0" w:line="360" w:lineRule="auto"/>
              <w:jc w:val="center"/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宋体" w:hAnsi="Times New Roman" w:cs="Times New Roman"/>
                <w:kern w:val="0"/>
                <w:szCs w:val="22"/>
                <w14:ligatures w14:val="none"/>
              </w:rPr>
              <w:t>&lt; 0.001</w:t>
            </w:r>
          </w:p>
        </w:tc>
      </w:tr>
      <w:bookmarkEnd w:id="1"/>
    </w:tbl>
    <w:p w14:paraId="396EFFCA" w14:textId="77777777" w:rsidR="003036A4" w:rsidRDefault="003036A4">
      <w:pPr>
        <w:rPr>
          <w:rFonts w:ascii="Times New Roman" w:hAnsi="Times New Roman" w:cs="Times New Roman"/>
          <w:szCs w:val="22"/>
        </w:rPr>
      </w:pPr>
    </w:p>
    <w:p w14:paraId="7257AF43" w14:textId="77777777" w:rsidR="003036A4" w:rsidRDefault="003D20E3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609DF3B0" w14:textId="77777777" w:rsidR="00487434" w:rsidRDefault="00487434" w:rsidP="00487434">
      <w:r>
        <w:rPr>
          <w:noProof/>
        </w:rPr>
        <w:lastRenderedPageBreak/>
        <w:drawing>
          <wp:inline distT="0" distB="0" distL="0" distR="0" wp14:anchorId="140858E7" wp14:editId="1F4751B7">
            <wp:extent cx="5274310" cy="463296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3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A99BB" w14:textId="77777777" w:rsidR="00487434" w:rsidRDefault="00487434" w:rsidP="00487434">
      <w:pPr>
        <w:spacing w:line="360" w:lineRule="auto"/>
        <w:rPr>
          <w:rFonts w:ascii="Times New Roman" w:eastAsia="宋体" w:hAnsi="Times New Roman" w:cs="Times New Roman"/>
        </w:rPr>
      </w:pPr>
      <w:bookmarkStart w:id="4" w:name="OLE_LINK1"/>
      <w:r>
        <w:rPr>
          <w:rFonts w:ascii="Times New Roman" w:eastAsia="宋体" w:hAnsi="Times New Roman" w:cs="Times New Roman"/>
          <w:b/>
          <w:bCs/>
        </w:rPr>
        <w:t>Fig. S</w:t>
      </w:r>
      <w:bookmarkEnd w:id="4"/>
      <w:r>
        <w:rPr>
          <w:rFonts w:ascii="Times New Roman" w:eastAsia="宋体" w:hAnsi="Times New Roman" w:cs="Times New Roman" w:hint="eastAsia"/>
          <w:b/>
          <w:bCs/>
        </w:rPr>
        <w:t>1</w:t>
      </w:r>
      <w:r>
        <w:rPr>
          <w:rFonts w:ascii="Times New Roman" w:eastAsia="宋体" w:hAnsi="Times New Roman" w:cs="Times New Roman"/>
        </w:rPr>
        <w:t xml:space="preserve"> Geographical distribution of the study area and the multi-scale spatiotemporal sampling design. (</w:t>
      </w:r>
      <w:r>
        <w:rPr>
          <w:rFonts w:ascii="Times New Roman" w:eastAsia="宋体" w:hAnsi="Times New Roman" w:cs="Times New Roman"/>
          <w:b/>
          <w:bCs/>
        </w:rPr>
        <w:t>A-</w:t>
      </w:r>
      <w:r>
        <w:rPr>
          <w:rFonts w:ascii="Times New Roman" w:eastAsia="宋体" w:hAnsi="Times New Roman" w:cs="Times New Roman" w:hint="eastAsia"/>
          <w:b/>
          <w:bCs/>
        </w:rPr>
        <w:t>C</w:t>
      </w:r>
      <w:r>
        <w:rPr>
          <w:rFonts w:ascii="Times New Roman" w:eastAsia="宋体" w:hAnsi="Times New Roman" w:cs="Times New Roman"/>
        </w:rPr>
        <w:t>) Locations of the six study sites in three major Chinese cities: Beijing (Fengtai District), Nanjing (Xuanwu District), and Guangzhou (Liwan District). Two independent sites were established within each city. (</w:t>
      </w:r>
      <w:r>
        <w:rPr>
          <w:rFonts w:ascii="Times New Roman" w:eastAsia="宋体" w:hAnsi="Times New Roman" w:cs="Times New Roman"/>
          <w:b/>
          <w:bCs/>
        </w:rPr>
        <w:t>D</w:t>
      </w:r>
      <w:r>
        <w:rPr>
          <w:rFonts w:ascii="Times New Roman" w:eastAsia="宋体" w:hAnsi="Times New Roman" w:cs="Times New Roman"/>
        </w:rPr>
        <w:t>) Temporal sampling design illustrating the 16 sampling time points spanning 2019–2020, encompassing short-term (days), medium-term (weeks), and long-term (months) intervals, with resampling of key time points to enable interannual comparisons.</w:t>
      </w:r>
    </w:p>
    <w:p w14:paraId="20332B49" w14:textId="77777777" w:rsidR="003036A4" w:rsidRPr="00487434" w:rsidRDefault="003036A4">
      <w:pPr>
        <w:rPr>
          <w:rFonts w:ascii="Times New Roman" w:hAnsi="Times New Roman" w:cs="Times New Roman"/>
          <w:szCs w:val="22"/>
        </w:rPr>
      </w:pPr>
      <w:bookmarkStart w:id="5" w:name="_GoBack"/>
      <w:bookmarkEnd w:id="5"/>
    </w:p>
    <w:p w14:paraId="66105FC4" w14:textId="77777777" w:rsidR="003036A4" w:rsidRDefault="003D20E3">
      <w:pPr>
        <w:widowControl/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  <w:bookmarkStart w:id="6" w:name="OLE_LINK30"/>
      <w:r>
        <w:rPr>
          <w:rFonts w:ascii="Times New Roman" w:eastAsia="宋体" w:hAnsi="Times New Roman" w:cs="Times New Roman"/>
          <w:noProof/>
          <w:szCs w:val="22"/>
          <w14:ligatures w14:val="none"/>
        </w:rPr>
        <w:lastRenderedPageBreak/>
        <w:drawing>
          <wp:anchor distT="0" distB="0" distL="114300" distR="114300" simplePos="0" relativeHeight="251659264" behindDoc="0" locked="0" layoutInCell="1" allowOverlap="1" wp14:anchorId="3F63B06A" wp14:editId="6E73A1C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271135" cy="3265805"/>
            <wp:effectExtent l="0" t="0" r="5715" b="0"/>
            <wp:wrapTopAndBottom/>
            <wp:docPr id="11409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96" name="图片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8687" cy="3276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宋体" w:hAnsi="Times New Roman" w:cs="Times New Roman"/>
          <w:b/>
          <w:bCs/>
          <w:szCs w:val="22"/>
        </w:rPr>
        <w:t>Fig. S</w:t>
      </w:r>
      <w:r>
        <w:rPr>
          <w:rFonts w:ascii="Times New Roman" w:eastAsia="宋体" w:hAnsi="Times New Roman" w:cs="Times New Roman" w:hint="eastAsia"/>
          <w:b/>
          <w:bCs/>
          <w:szCs w:val="22"/>
        </w:rPr>
        <w:t>2</w:t>
      </w:r>
      <w:r>
        <w:rPr>
          <w:rFonts w:ascii="Times New Roman" w:eastAsia="宋体" w:hAnsi="Times New Roman" w:cs="Times New Roman"/>
          <w:szCs w:val="22"/>
        </w:rPr>
        <w:t xml:space="preserve"> Relative abundances of the dominant bacterial phyla (relative abundance &gt; 1%) across all samples. n=480.</w:t>
      </w:r>
    </w:p>
    <w:bookmarkEnd w:id="6"/>
    <w:p w14:paraId="1D36D0A6" w14:textId="77777777" w:rsidR="003036A4" w:rsidRDefault="003D20E3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5AEF401A" w14:textId="77777777" w:rsidR="003036A4" w:rsidRDefault="003D20E3">
      <w:pPr>
        <w:rPr>
          <w:rFonts w:ascii="Times New Roman" w:hAnsi="Times New Roman" w:cs="Times New Roman"/>
          <w:szCs w:val="22"/>
        </w:rPr>
      </w:pPr>
      <w:r>
        <w:rPr>
          <w:rFonts w:ascii="Times New Roman" w:eastAsia="宋体" w:hAnsi="Times New Roman" w:cs="Times New Roman"/>
          <w:noProof/>
          <w:szCs w:val="22"/>
          <w14:ligatures w14:val="none"/>
        </w:rPr>
        <w:lastRenderedPageBreak/>
        <w:drawing>
          <wp:inline distT="0" distB="0" distL="0" distR="0" wp14:anchorId="6512563D" wp14:editId="3585C9F0">
            <wp:extent cx="5274310" cy="4435475"/>
            <wp:effectExtent l="0" t="0" r="2540" b="3175"/>
            <wp:docPr id="30481742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817426" name="图片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35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B1072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bookmarkStart w:id="7" w:name="OLE_LINK77"/>
      <w:r>
        <w:rPr>
          <w:rFonts w:ascii="Times New Roman" w:eastAsia="宋体" w:hAnsi="Times New Roman" w:cs="Times New Roman"/>
          <w:b/>
          <w:bCs/>
          <w:szCs w:val="22"/>
        </w:rPr>
        <w:t>Fig. S3</w:t>
      </w:r>
      <w:r>
        <w:rPr>
          <w:rFonts w:ascii="Times New Roman" w:eastAsia="宋体" w:hAnsi="Times New Roman" w:cs="Times New Roman"/>
          <w:szCs w:val="22"/>
        </w:rPr>
        <w:t xml:space="preserve"> Venn diag</w:t>
      </w:r>
      <w:r>
        <w:rPr>
          <w:rFonts w:ascii="Times New Roman" w:eastAsia="宋体" w:hAnsi="Times New Roman" w:cs="Times New Roman"/>
          <w:szCs w:val="22"/>
        </w:rPr>
        <w:t xml:space="preserve">ram from variance partitioning analysis (VPA) illustrating the unique and shared contributions (adjusted </w:t>
      </w:r>
      <w:r>
        <w:rPr>
          <w:rFonts w:ascii="Times New Roman" w:eastAsia="宋体" w:hAnsi="Times New Roman" w:cs="Times New Roman"/>
          <w:i/>
          <w:iCs/>
          <w:szCs w:val="22"/>
        </w:rPr>
        <w:t>R</w:t>
      </w:r>
      <w:r>
        <w:rPr>
          <w:rFonts w:ascii="Times New Roman" w:eastAsia="宋体" w:hAnsi="Times New Roman" w:cs="Times New Roman"/>
          <w:szCs w:val="22"/>
        </w:rPr>
        <w:t xml:space="preserve">²) of spatial (“Space”), temporal (“Time”), and environmental (“Weather + Temperature”) factors to variation in soil bacterial community composition. </w:t>
      </w:r>
      <w:r>
        <w:rPr>
          <w:rFonts w:ascii="Times New Roman" w:eastAsia="宋体" w:hAnsi="Times New Roman" w:cs="Times New Roman"/>
          <w:szCs w:val="22"/>
        </w:rPr>
        <w:t>n = 480.</w:t>
      </w:r>
    </w:p>
    <w:bookmarkEnd w:id="7"/>
    <w:p w14:paraId="3732A794" w14:textId="77777777" w:rsidR="003036A4" w:rsidRDefault="003D20E3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2D539B27" w14:textId="77777777" w:rsidR="003036A4" w:rsidRDefault="003D20E3">
      <w:pPr>
        <w:rPr>
          <w:rFonts w:ascii="Times New Roman" w:hAnsi="Times New Roman" w:cs="Times New Roman"/>
          <w:szCs w:val="22"/>
        </w:rPr>
      </w:pPr>
      <w:r>
        <w:rPr>
          <w:rFonts w:ascii="Times New Roman" w:eastAsia="宋体" w:hAnsi="Times New Roman" w:cs="Times New Roman"/>
          <w:noProof/>
          <w:szCs w:val="22"/>
          <w14:ligatures w14:val="none"/>
        </w:rPr>
        <w:lastRenderedPageBreak/>
        <w:drawing>
          <wp:inline distT="0" distB="0" distL="0" distR="0" wp14:anchorId="456AD49E" wp14:editId="2E6B9D39">
            <wp:extent cx="5274310" cy="2075180"/>
            <wp:effectExtent l="0" t="0" r="2540" b="1270"/>
            <wp:docPr id="6709118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911815" name="图片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3FE75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eastAsia="宋体" w:hAnsi="Times New Roman" w:cs="Times New Roman"/>
          <w:b/>
          <w:bCs/>
          <w:szCs w:val="22"/>
        </w:rPr>
        <w:t>Fig. S4</w:t>
      </w:r>
      <w:r>
        <w:rPr>
          <w:rFonts w:ascii="Times New Roman" w:eastAsia="宋体" w:hAnsi="Times New Roman" w:cs="Times New Roman"/>
          <w:szCs w:val="22"/>
        </w:rPr>
        <w:t xml:space="preserve"> Drivers of soil bacterial community composition at the phylum level, showing the relative contributions (adjusted </w:t>
      </w:r>
      <w:r>
        <w:rPr>
          <w:rFonts w:ascii="Times New Roman" w:eastAsia="宋体" w:hAnsi="Times New Roman" w:cs="Times New Roman"/>
          <w:i/>
          <w:iCs/>
          <w:szCs w:val="22"/>
        </w:rPr>
        <w:t>R</w:t>
      </w:r>
      <w:r>
        <w:rPr>
          <w:rFonts w:ascii="Times New Roman" w:eastAsia="宋体" w:hAnsi="Times New Roman" w:cs="Times New Roman"/>
          <w:szCs w:val="22"/>
        </w:rPr>
        <w:t>²) of spatial, temporal, and soil source factors for the dominant bacterial phyla. n = 480.</w:t>
      </w:r>
    </w:p>
    <w:p w14:paraId="2BF5BFCC" w14:textId="77777777" w:rsidR="003036A4" w:rsidRDefault="003D20E3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0DCBC12A" w14:textId="77777777" w:rsidR="003036A4" w:rsidRDefault="003D20E3">
      <w:pPr>
        <w:rPr>
          <w:rFonts w:ascii="Times New Roman" w:hAnsi="Times New Roman" w:cs="Times New Roman"/>
          <w:szCs w:val="22"/>
        </w:rPr>
      </w:pPr>
      <w:r>
        <w:rPr>
          <w:rFonts w:ascii="Times New Roman" w:eastAsia="宋体" w:hAnsi="Times New Roman" w:cs="Times New Roman"/>
          <w:noProof/>
          <w:szCs w:val="22"/>
          <w14:ligatures w14:val="none"/>
        </w:rPr>
        <w:lastRenderedPageBreak/>
        <w:drawing>
          <wp:inline distT="0" distB="0" distL="0" distR="0" wp14:anchorId="717B55CB" wp14:editId="23972E88">
            <wp:extent cx="5274310" cy="4073525"/>
            <wp:effectExtent l="0" t="0" r="2540" b="3175"/>
            <wp:docPr id="20979274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927410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E29BE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eastAsia="宋体" w:hAnsi="Times New Roman" w:cs="Times New Roman"/>
          <w:b/>
          <w:bCs/>
          <w:szCs w:val="22"/>
        </w:rPr>
        <w:t>Fig. S5</w:t>
      </w:r>
      <w:r>
        <w:rPr>
          <w:rFonts w:ascii="Times New Roman" w:eastAsia="宋体" w:hAnsi="Times New Roman" w:cs="Times New Roman"/>
          <w:szCs w:val="22"/>
        </w:rPr>
        <w:t xml:space="preserve"> Spatial divergence of soil bacterial community composition at the urban scale. Panels illustrate bacterial community patterns within and between cities. (</w:t>
      </w:r>
      <w:r>
        <w:rPr>
          <w:rFonts w:ascii="Times New Roman" w:eastAsia="宋体" w:hAnsi="Times New Roman" w:cs="Times New Roman"/>
          <w:b/>
          <w:bCs/>
          <w:szCs w:val="22"/>
        </w:rPr>
        <w:t>A-C</w:t>
      </w:r>
      <w:r>
        <w:rPr>
          <w:rFonts w:ascii="Times New Roman" w:eastAsia="宋体" w:hAnsi="Times New Roman" w:cs="Times New Roman"/>
          <w:szCs w:val="22"/>
        </w:rPr>
        <w:t>) Non-metric multidimensional scaling (NMDS) ordinations based on Bray–Curtis dissimilarity for Be</w:t>
      </w:r>
      <w:r>
        <w:rPr>
          <w:rFonts w:ascii="Times New Roman" w:eastAsia="宋体" w:hAnsi="Times New Roman" w:cs="Times New Roman"/>
          <w:szCs w:val="22"/>
        </w:rPr>
        <w:t>ijing, Nanjing, and Guangzhou, respectively. Samples are colored by intra-city sampling site, and ellipses indicate 95% confidence intervals. (</w:t>
      </w:r>
      <w:r>
        <w:rPr>
          <w:rFonts w:ascii="Times New Roman" w:eastAsia="宋体" w:hAnsi="Times New Roman" w:cs="Times New Roman"/>
          <w:b/>
          <w:bCs/>
          <w:szCs w:val="22"/>
        </w:rPr>
        <w:t>D</w:t>
      </w:r>
      <w:r>
        <w:rPr>
          <w:rFonts w:ascii="Times New Roman" w:eastAsia="宋体" w:hAnsi="Times New Roman" w:cs="Times New Roman"/>
          <w:szCs w:val="22"/>
        </w:rPr>
        <w:t>) Boxplot comparing Bray–Curtis dissimilarities between inter-city and intra-city bacterial communities. n = 480</w:t>
      </w:r>
      <w:r>
        <w:rPr>
          <w:rFonts w:ascii="Times New Roman" w:eastAsia="宋体" w:hAnsi="Times New Roman" w:cs="Times New Roman"/>
          <w:szCs w:val="22"/>
        </w:rPr>
        <w:t>.</w:t>
      </w:r>
    </w:p>
    <w:p w14:paraId="065454CA" w14:textId="77777777" w:rsidR="003036A4" w:rsidRDefault="003D20E3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6C457909" w14:textId="77777777" w:rsidR="003036A4" w:rsidRDefault="003D20E3">
      <w:pPr>
        <w:rPr>
          <w:rFonts w:ascii="Times New Roman" w:hAnsi="Times New Roman" w:cs="Times New Roman"/>
          <w:szCs w:val="22"/>
        </w:rPr>
      </w:pPr>
      <w:r>
        <w:rPr>
          <w:rFonts w:ascii="Times New Roman" w:eastAsia="宋体" w:hAnsi="Times New Roman" w:cs="Times New Roman"/>
          <w:noProof/>
          <w:szCs w:val="22"/>
          <w14:ligatures w14:val="none"/>
        </w:rPr>
        <w:lastRenderedPageBreak/>
        <w:drawing>
          <wp:inline distT="0" distB="0" distL="0" distR="0" wp14:anchorId="79E0CC87" wp14:editId="40134EEE">
            <wp:extent cx="5274310" cy="1880235"/>
            <wp:effectExtent l="0" t="0" r="2540" b="5715"/>
            <wp:docPr id="39950599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505992" name="图片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13C31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eastAsia="宋体" w:hAnsi="Times New Roman" w:cs="Times New Roman"/>
          <w:b/>
          <w:bCs/>
          <w:szCs w:val="22"/>
        </w:rPr>
        <w:t>Fig. S6</w:t>
      </w:r>
      <w:r>
        <w:rPr>
          <w:rFonts w:ascii="Times New Roman" w:eastAsia="宋体" w:hAnsi="Times New Roman" w:cs="Times New Roman"/>
          <w:szCs w:val="22"/>
        </w:rPr>
        <w:t xml:space="preserve"> Drivers of soil bacterial community composition within each city. Panels show the relative contributions (adjusted </w:t>
      </w:r>
      <w:r>
        <w:rPr>
          <w:rFonts w:ascii="Times New Roman" w:eastAsia="宋体" w:hAnsi="Times New Roman" w:cs="Times New Roman"/>
          <w:i/>
          <w:iCs/>
          <w:szCs w:val="22"/>
        </w:rPr>
        <w:t>R</w:t>
      </w:r>
      <w:r>
        <w:rPr>
          <w:rFonts w:ascii="Times New Roman" w:eastAsia="宋体" w:hAnsi="Times New Roman" w:cs="Times New Roman"/>
          <w:szCs w:val="22"/>
        </w:rPr>
        <w:t>²) of spatial, temporal, and soil source factors to community composition for (</w:t>
      </w:r>
      <w:r>
        <w:rPr>
          <w:rFonts w:ascii="Times New Roman" w:eastAsia="宋体" w:hAnsi="Times New Roman" w:cs="Times New Roman"/>
          <w:b/>
          <w:bCs/>
          <w:szCs w:val="22"/>
        </w:rPr>
        <w:t>A</w:t>
      </w:r>
      <w:r>
        <w:rPr>
          <w:rFonts w:ascii="Times New Roman" w:eastAsia="宋体" w:hAnsi="Times New Roman" w:cs="Times New Roman"/>
          <w:szCs w:val="22"/>
        </w:rPr>
        <w:t>) Beijing, (</w:t>
      </w:r>
      <w:r>
        <w:rPr>
          <w:rFonts w:ascii="Times New Roman" w:eastAsia="宋体" w:hAnsi="Times New Roman" w:cs="Times New Roman"/>
          <w:b/>
          <w:bCs/>
          <w:szCs w:val="22"/>
        </w:rPr>
        <w:t>B</w:t>
      </w:r>
      <w:r>
        <w:rPr>
          <w:rFonts w:ascii="Times New Roman" w:eastAsia="宋体" w:hAnsi="Times New Roman" w:cs="Times New Roman"/>
          <w:szCs w:val="22"/>
        </w:rPr>
        <w:t>) Nanjing, and (</w:t>
      </w:r>
      <w:r>
        <w:rPr>
          <w:rFonts w:ascii="Times New Roman" w:eastAsia="宋体" w:hAnsi="Times New Roman" w:cs="Times New Roman"/>
          <w:b/>
          <w:bCs/>
          <w:szCs w:val="22"/>
        </w:rPr>
        <w:t>C</w:t>
      </w:r>
      <w:r>
        <w:rPr>
          <w:rFonts w:ascii="Times New Roman" w:eastAsia="宋体" w:hAnsi="Times New Roman" w:cs="Times New Roman"/>
          <w:szCs w:val="22"/>
        </w:rPr>
        <w:t>) Guangzhou. n =</w:t>
      </w:r>
      <w:r>
        <w:rPr>
          <w:rFonts w:ascii="Times New Roman" w:eastAsia="宋体" w:hAnsi="Times New Roman" w:cs="Times New Roman"/>
          <w:szCs w:val="22"/>
        </w:rPr>
        <w:t xml:space="preserve"> 160 for each city.</w:t>
      </w:r>
    </w:p>
    <w:p w14:paraId="21AEE943" w14:textId="77777777" w:rsidR="003036A4" w:rsidRDefault="003D20E3">
      <w:pPr>
        <w:widowControl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</w:p>
    <w:p w14:paraId="4E37716D" w14:textId="77777777" w:rsidR="003036A4" w:rsidRDefault="003D20E3">
      <w:pPr>
        <w:rPr>
          <w:rFonts w:ascii="Times New Roman" w:hAnsi="Times New Roman" w:cs="Times New Roman"/>
          <w:szCs w:val="22"/>
        </w:rPr>
      </w:pPr>
      <w:r>
        <w:rPr>
          <w:rFonts w:ascii="Times New Roman" w:eastAsia="宋体" w:hAnsi="Times New Roman" w:cs="Times New Roman"/>
          <w:noProof/>
          <w:szCs w:val="22"/>
          <w14:ligatures w14:val="none"/>
        </w:rPr>
        <w:lastRenderedPageBreak/>
        <w:drawing>
          <wp:inline distT="0" distB="0" distL="0" distR="0" wp14:anchorId="3FC7CBEA" wp14:editId="6EE6A679">
            <wp:extent cx="5274310" cy="2020570"/>
            <wp:effectExtent l="0" t="0" r="2540" b="0"/>
            <wp:docPr id="173783506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835061" name="图片 7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74461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bookmarkStart w:id="8" w:name="OLE_LINK18"/>
      <w:r>
        <w:rPr>
          <w:rFonts w:ascii="Times New Roman" w:eastAsia="宋体" w:hAnsi="Times New Roman" w:cs="Times New Roman"/>
          <w:b/>
          <w:bCs/>
          <w:szCs w:val="22"/>
        </w:rPr>
        <w:t>Fig. S7</w:t>
      </w:r>
      <w:r>
        <w:rPr>
          <w:rFonts w:ascii="Times New Roman" w:eastAsia="宋体" w:hAnsi="Times New Roman" w:cs="Times New Roman"/>
          <w:szCs w:val="22"/>
        </w:rPr>
        <w:t xml:space="preserve"> Spatial distribution patterns of soil bacterial communities from different sources at the city scale. Non-metric multidimensional scaling (NMDS) ordinations based on Bray–Curtis dissimilarity for bacterial communities from i</w:t>
      </w:r>
      <w:r>
        <w:rPr>
          <w:rFonts w:ascii="Times New Roman" w:eastAsia="宋体" w:hAnsi="Times New Roman" w:cs="Times New Roman"/>
          <w:szCs w:val="22"/>
        </w:rPr>
        <w:t>n situ soil (green circles), tool soil (red triangles), and shoe-sole soil (blue squares) in (</w:t>
      </w:r>
      <w:r>
        <w:rPr>
          <w:rFonts w:ascii="Times New Roman" w:eastAsia="宋体" w:hAnsi="Times New Roman" w:cs="Times New Roman"/>
          <w:b/>
          <w:bCs/>
          <w:szCs w:val="22"/>
        </w:rPr>
        <w:t>A</w:t>
      </w:r>
      <w:r>
        <w:rPr>
          <w:rFonts w:ascii="Times New Roman" w:eastAsia="宋体" w:hAnsi="Times New Roman" w:cs="Times New Roman"/>
          <w:szCs w:val="22"/>
        </w:rPr>
        <w:t>) Beijing, (</w:t>
      </w:r>
      <w:r>
        <w:rPr>
          <w:rFonts w:ascii="Times New Roman" w:eastAsia="宋体" w:hAnsi="Times New Roman" w:cs="Times New Roman"/>
          <w:b/>
          <w:bCs/>
          <w:szCs w:val="22"/>
        </w:rPr>
        <w:t>B</w:t>
      </w:r>
      <w:r>
        <w:rPr>
          <w:rFonts w:ascii="Times New Roman" w:eastAsia="宋体" w:hAnsi="Times New Roman" w:cs="Times New Roman"/>
          <w:szCs w:val="22"/>
        </w:rPr>
        <w:t>) Nanjing, and (</w:t>
      </w:r>
      <w:r>
        <w:rPr>
          <w:rFonts w:ascii="Times New Roman" w:eastAsia="宋体" w:hAnsi="Times New Roman" w:cs="Times New Roman"/>
          <w:b/>
          <w:bCs/>
          <w:szCs w:val="22"/>
        </w:rPr>
        <w:t>C</w:t>
      </w:r>
      <w:r>
        <w:rPr>
          <w:rFonts w:ascii="Times New Roman" w:eastAsia="宋体" w:hAnsi="Times New Roman" w:cs="Times New Roman"/>
          <w:szCs w:val="22"/>
        </w:rPr>
        <w:t>) Guangzhou. Ellipses indicate 95% confidence intervals for each source group.</w:t>
      </w:r>
    </w:p>
    <w:bookmarkEnd w:id="8"/>
    <w:p w14:paraId="71D718A6" w14:textId="77777777" w:rsidR="003036A4" w:rsidRDefault="003D20E3">
      <w:pPr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br w:type="page"/>
      </w:r>
      <w:r>
        <w:rPr>
          <w:rFonts w:ascii="Times New Roman" w:hAnsi="Times New Roman" w:cs="Times New Roman" w:hint="eastAsia"/>
          <w:noProof/>
          <w:szCs w:val="22"/>
        </w:rPr>
        <w:lastRenderedPageBreak/>
        <w:drawing>
          <wp:inline distT="0" distB="0" distL="114300" distR="114300" wp14:anchorId="218D6153" wp14:editId="47DB803F">
            <wp:extent cx="5268595" cy="3369310"/>
            <wp:effectExtent l="0" t="0" r="8255" b="2540"/>
            <wp:docPr id="1" name="图片 1" descr="fe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east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6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98938" w14:textId="77777777" w:rsidR="003036A4" w:rsidRDefault="003D20E3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eastAsia="宋体" w:hAnsi="Times New Roman" w:cs="Times New Roman"/>
          <w:b/>
          <w:bCs/>
          <w:color w:val="0000FF"/>
          <w:szCs w:val="22"/>
        </w:rPr>
        <w:t>Fig. S</w:t>
      </w:r>
      <w:r>
        <w:rPr>
          <w:rFonts w:ascii="Times New Roman" w:eastAsia="宋体" w:hAnsi="Times New Roman" w:cs="Times New Roman" w:hint="eastAsia"/>
          <w:b/>
          <w:bCs/>
          <w:color w:val="0000FF"/>
          <w:szCs w:val="22"/>
        </w:rPr>
        <w:t>8</w:t>
      </w:r>
      <w:r>
        <w:rPr>
          <w:rFonts w:ascii="Times New Roman" w:eastAsia="宋体" w:hAnsi="Times New Roman" w:cs="Times New Roman"/>
          <w:color w:val="0000FF"/>
          <w:szCs w:val="22"/>
        </w:rPr>
        <w:t xml:space="preserve"> </w:t>
      </w:r>
      <w:r>
        <w:rPr>
          <w:rFonts w:ascii="Times New Roman" w:eastAsia="宋体" w:hAnsi="Times New Roman" w:cs="Times New Roman" w:hint="eastAsia"/>
          <w:color w:val="0000FF"/>
          <w:szCs w:val="22"/>
        </w:rPr>
        <w:t>Fast expectation-maximization microbial s</w:t>
      </w:r>
      <w:r>
        <w:rPr>
          <w:rFonts w:ascii="Times New Roman" w:eastAsia="宋体" w:hAnsi="Times New Roman" w:cs="Times New Roman" w:hint="eastAsia"/>
          <w:color w:val="0000FF"/>
          <w:szCs w:val="22"/>
        </w:rPr>
        <w:t xml:space="preserve">ource tracking (FEAST) estimates of city-level source contributions for 12 randomly selected sink samples, including tool soil and shoe-sole soil, from three cities in China. </w:t>
      </w:r>
      <w:r>
        <w:rPr>
          <w:rFonts w:ascii="Times New Roman" w:hAnsi="Times New Roman" w:cs="Times New Roman" w:hint="eastAsia"/>
          <w:szCs w:val="22"/>
        </w:rPr>
        <w:br w:type="page"/>
      </w:r>
    </w:p>
    <w:p w14:paraId="2B721F5B" w14:textId="77777777" w:rsidR="003036A4" w:rsidRDefault="003D20E3">
      <w:pPr>
        <w:rPr>
          <w:rFonts w:ascii="Times New Roman" w:hAnsi="Times New Roman" w:cs="Times New Roman"/>
          <w:szCs w:val="22"/>
        </w:rPr>
      </w:pPr>
      <w:r>
        <w:rPr>
          <w:rFonts w:ascii="Times New Roman" w:eastAsia="宋体" w:hAnsi="Times New Roman" w:cs="Times New Roman"/>
          <w:noProof/>
          <w:szCs w:val="22"/>
          <w14:ligatures w14:val="none"/>
        </w:rPr>
        <w:lastRenderedPageBreak/>
        <w:drawing>
          <wp:inline distT="0" distB="0" distL="0" distR="0" wp14:anchorId="4AD3DB96" wp14:editId="3C9BD625">
            <wp:extent cx="5273675" cy="4754880"/>
            <wp:effectExtent l="0" t="0" r="3175" b="7620"/>
            <wp:docPr id="12366576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657640" name="图片 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96" cy="4760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9C31E" w14:textId="77777777" w:rsidR="003036A4" w:rsidRDefault="003D20E3">
      <w:pPr>
        <w:spacing w:after="0" w:line="360" w:lineRule="auto"/>
        <w:jc w:val="both"/>
        <w:rPr>
          <w:rFonts w:ascii="Times New Roman" w:eastAsia="宋体" w:hAnsi="Times New Roman" w:cs="Times New Roman"/>
          <w:szCs w:val="22"/>
        </w:rPr>
      </w:pPr>
      <w:r>
        <w:rPr>
          <w:rFonts w:ascii="Times New Roman" w:eastAsia="宋体" w:hAnsi="Times New Roman" w:cs="Times New Roman"/>
          <w:b/>
          <w:bCs/>
          <w:color w:val="0000FF"/>
          <w:szCs w:val="22"/>
        </w:rPr>
        <w:t>Fig. S</w:t>
      </w:r>
      <w:r>
        <w:rPr>
          <w:rFonts w:ascii="Times New Roman" w:eastAsia="宋体" w:hAnsi="Times New Roman" w:cs="Times New Roman" w:hint="eastAsia"/>
          <w:b/>
          <w:bCs/>
          <w:color w:val="0000FF"/>
          <w:szCs w:val="22"/>
        </w:rPr>
        <w:t>9</w:t>
      </w:r>
      <w:r>
        <w:rPr>
          <w:rFonts w:ascii="Times New Roman" w:eastAsia="宋体" w:hAnsi="Times New Roman" w:cs="Times New Roman"/>
          <w:szCs w:val="22"/>
        </w:rPr>
        <w:t xml:space="preserve"> Comparison of seasonal and interannual differences in soil bacterial community Bray–Curtis dissimilarity. Seasonal differences represent community dissimilarity among seasons within 2019, whereas interannual differences represent dissimilarity between cor</w:t>
      </w:r>
      <w:r>
        <w:rPr>
          <w:rFonts w:ascii="Times New Roman" w:eastAsia="宋体" w:hAnsi="Times New Roman" w:cs="Times New Roman"/>
          <w:szCs w:val="22"/>
        </w:rPr>
        <w:t>responding months in 2019 and 2020.</w:t>
      </w:r>
    </w:p>
    <w:p w14:paraId="612F46AA" w14:textId="77777777" w:rsidR="003036A4" w:rsidRDefault="003036A4">
      <w:pPr>
        <w:rPr>
          <w:rFonts w:ascii="Times New Roman" w:hAnsi="Times New Roman" w:cs="Times New Roman"/>
          <w:szCs w:val="22"/>
        </w:rPr>
      </w:pPr>
    </w:p>
    <w:sectPr w:rsidR="003036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F0A02A" w14:textId="77777777" w:rsidR="003D20E3" w:rsidRDefault="003D20E3">
      <w:pPr>
        <w:spacing w:line="240" w:lineRule="auto"/>
      </w:pPr>
      <w:r>
        <w:separator/>
      </w:r>
    </w:p>
  </w:endnote>
  <w:endnote w:type="continuationSeparator" w:id="0">
    <w:p w14:paraId="11202FC8" w14:textId="77777777" w:rsidR="003D20E3" w:rsidRDefault="003D20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B5828" w14:textId="77777777" w:rsidR="003D20E3" w:rsidRDefault="003D20E3">
      <w:pPr>
        <w:spacing w:after="0"/>
      </w:pPr>
      <w:r>
        <w:separator/>
      </w:r>
    </w:p>
  </w:footnote>
  <w:footnote w:type="continuationSeparator" w:id="0">
    <w:p w14:paraId="03E5CBC4" w14:textId="77777777" w:rsidR="003D20E3" w:rsidRDefault="003D20E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140"/>
    <w:rsid w:val="00070140"/>
    <w:rsid w:val="000A5A68"/>
    <w:rsid w:val="00147016"/>
    <w:rsid w:val="001E3B4F"/>
    <w:rsid w:val="00287B74"/>
    <w:rsid w:val="003036A4"/>
    <w:rsid w:val="003A7F26"/>
    <w:rsid w:val="003D20E3"/>
    <w:rsid w:val="003D3495"/>
    <w:rsid w:val="003D4DB3"/>
    <w:rsid w:val="00487434"/>
    <w:rsid w:val="00514E92"/>
    <w:rsid w:val="00531076"/>
    <w:rsid w:val="0053640B"/>
    <w:rsid w:val="005916F8"/>
    <w:rsid w:val="005C1258"/>
    <w:rsid w:val="005F7166"/>
    <w:rsid w:val="0061160F"/>
    <w:rsid w:val="00632AAA"/>
    <w:rsid w:val="0068446A"/>
    <w:rsid w:val="00886C8D"/>
    <w:rsid w:val="008F123D"/>
    <w:rsid w:val="00910572"/>
    <w:rsid w:val="009315B2"/>
    <w:rsid w:val="009350DB"/>
    <w:rsid w:val="00A00895"/>
    <w:rsid w:val="00A0565B"/>
    <w:rsid w:val="00A21112"/>
    <w:rsid w:val="00A612F3"/>
    <w:rsid w:val="00AC29D3"/>
    <w:rsid w:val="00B60BBC"/>
    <w:rsid w:val="00BF7178"/>
    <w:rsid w:val="00D36E4A"/>
    <w:rsid w:val="00DE5EA5"/>
    <w:rsid w:val="00E1605F"/>
    <w:rsid w:val="00E44407"/>
    <w:rsid w:val="00E55746"/>
    <w:rsid w:val="00F70EA3"/>
    <w:rsid w:val="09EF4C97"/>
    <w:rsid w:val="12C05630"/>
    <w:rsid w:val="2822126C"/>
    <w:rsid w:val="2CC80ED2"/>
    <w:rsid w:val="461C16C9"/>
    <w:rsid w:val="4F536BBC"/>
    <w:rsid w:val="516F4826"/>
    <w:rsid w:val="6893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7DFBD0C"/>
  <w15:docId w15:val="{BC318A66-ED54-4925-BFB7-6CAA224D3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6">
    <w:name w:val="Subtitle"/>
    <w:basedOn w:val="a"/>
    <w:next w:val="a"/>
    <w:link w:val="Char2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Title"/>
    <w:basedOn w:val="a"/>
    <w:next w:val="a"/>
    <w:link w:val="Char3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annotation subject"/>
    <w:basedOn w:val="a3"/>
    <w:next w:val="a3"/>
    <w:link w:val="Char4"/>
    <w:uiPriority w:val="99"/>
    <w:semiHidden/>
    <w:unhideWhenUsed/>
    <w:qFormat/>
    <w:rPr>
      <w:b/>
      <w:bCs/>
    </w:rPr>
  </w:style>
  <w:style w:type="table" w:styleId="a9">
    <w:name w:val="Table Grid"/>
    <w:basedOn w:val="a1"/>
    <w:uiPriority w:val="39"/>
    <w:qFormat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qFormat/>
    <w:rPr>
      <w:rFonts w:cstheme="majorBidi"/>
      <w:color w:val="2F5496" w:themeColor="accent1" w:themeShade="BF"/>
      <w:sz w:val="24"/>
    </w:rPr>
  </w:style>
  <w:style w:type="character" w:customStyle="1" w:styleId="6Char">
    <w:name w:val="标题 6 Char"/>
    <w:basedOn w:val="a0"/>
    <w:link w:val="6"/>
    <w:uiPriority w:val="9"/>
    <w:semiHidden/>
    <w:qFormat/>
    <w:rPr>
      <w:rFonts w:cstheme="majorBidi"/>
      <w:b/>
      <w:bCs/>
      <w:color w:val="2F5496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Char3">
    <w:name w:val="标题 Char"/>
    <w:basedOn w:val="a0"/>
    <w:link w:val="a7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2">
    <w:name w:val="副标题 Char"/>
    <w:basedOn w:val="a0"/>
    <w:link w:val="a6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Quote"/>
    <w:basedOn w:val="a"/>
    <w:next w:val="a"/>
    <w:link w:val="Char5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5">
    <w:name w:val="引用 Char"/>
    <w:basedOn w:val="a0"/>
    <w:link w:val="ac"/>
    <w:uiPriority w:val="29"/>
    <w:qFormat/>
    <w:rPr>
      <w:i/>
      <w:iCs/>
      <w:color w:val="404040" w:themeColor="text1" w:themeTint="BF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e">
    <w:name w:val="Intense Quote"/>
    <w:basedOn w:val="a"/>
    <w:next w:val="a"/>
    <w:link w:val="Char6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6">
    <w:name w:val="明显引用 Char"/>
    <w:basedOn w:val="a0"/>
    <w:link w:val="ae"/>
    <w:uiPriority w:val="30"/>
    <w:qFormat/>
    <w:rPr>
      <w:i/>
      <w:iCs/>
      <w:color w:val="2F5496" w:themeColor="accent1" w:themeShade="BF"/>
    </w:rPr>
  </w:style>
  <w:style w:type="character" w:customStyle="1" w:styleId="11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2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Char">
    <w:name w:val="批注文字 Char"/>
    <w:basedOn w:val="a0"/>
    <w:link w:val="a3"/>
    <w:uiPriority w:val="99"/>
    <w:semiHidden/>
    <w:qFormat/>
  </w:style>
  <w:style w:type="character" w:customStyle="1" w:styleId="Char4">
    <w:name w:val="批注主题 Char"/>
    <w:basedOn w:val="Char"/>
    <w:link w:val="a8"/>
    <w:uiPriority w:val="99"/>
    <w:semiHidden/>
    <w:qFormat/>
    <w:rPr>
      <w:b/>
      <w:bCs/>
    </w:rPr>
  </w:style>
  <w:style w:type="paragraph" w:customStyle="1" w:styleId="13">
    <w:name w:val="修订1"/>
    <w:hidden/>
    <w:uiPriority w:val="99"/>
    <w:semiHidden/>
    <w:qFormat/>
    <w:rPr>
      <w:kern w:val="2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tif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53361-F628-4895-943D-27D1FC774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13</Pages>
  <Words>801</Words>
  <Characters>4569</Characters>
  <Application>Microsoft Office Word</Application>
  <DocSecurity>0</DocSecurity>
  <Lines>38</Lines>
  <Paragraphs>10</Paragraphs>
  <ScaleCrop>false</ScaleCrop>
  <Company/>
  <LinksUpToDate>false</LinksUpToDate>
  <CharactersWithSpaces>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Qing Zhang</dc:creator>
  <cp:lastModifiedBy>SEL</cp:lastModifiedBy>
  <cp:revision>12</cp:revision>
  <dcterms:created xsi:type="dcterms:W3CDTF">2026-01-28T10:20:00Z</dcterms:created>
  <dcterms:modified xsi:type="dcterms:W3CDTF">2026-04-09T01:47:00Z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eyJoZGlkIjoiOTQxNDZlYWQxN2RkYzM5Nzg1ZmUyOWUzYmRiZDE1YWMiLCJ1c2VySWQiOiI1ODkyOTU5ODEifQ==</vt:lpwstr>
  </property>
  <property fmtid="{D5CDD505-2E9C-101B-9397-08002B2CF9AE}" pid="3" name="KSOProductBuildVer">
    <vt:lpwstr>2052-12.1.0.25225</vt:lpwstr>
  </property>
  <property fmtid="{D5CDD505-2E9C-101B-9397-08002B2CF9AE}" pid="4" name="ICV">
    <vt:lpwstr>5041872F580A40DB9B0333364F9BA6B7_12</vt:lpwstr>
  </property>
</Properties>
</file>