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4EE91" w14:textId="77777777" w:rsidR="00B67A92" w:rsidRDefault="00000000">
      <w:pPr>
        <w:pStyle w:val="a4"/>
        <w:jc w:val="both"/>
        <w:rPr>
          <w:rFonts w:ascii="Times New Roman" w:hAnsi="Times New Roman" w:cs="Times New Roman"/>
        </w:rPr>
      </w:pPr>
      <w:bookmarkStart w:id="0" w:name="_Hlk61014651"/>
      <w:bookmarkEnd w:id="0"/>
      <w:r>
        <w:rPr>
          <w:rFonts w:ascii="Times New Roman" w:hAnsi="Times New Roman" w:cs="Times New Roman"/>
        </w:rPr>
        <w:t>Supporting Information</w:t>
      </w:r>
    </w:p>
    <w:p w14:paraId="53B12317" w14:textId="77777777" w:rsidR="00B67A92" w:rsidRDefault="00B67A92">
      <w:pPr>
        <w:spacing w:line="480" w:lineRule="auto"/>
        <w:rPr>
          <w:rFonts w:ascii="Times New Roman" w:eastAsia="宋体" w:hAnsi="Times New Roman" w:cs="Times New Roman"/>
          <w:b/>
          <w:bCs/>
          <w:sz w:val="32"/>
          <w:szCs w:val="32"/>
        </w:rPr>
      </w:pPr>
      <w:bookmarkStart w:id="1" w:name="OLE_LINK5"/>
    </w:p>
    <w:p w14:paraId="4D9C1135" w14:textId="77777777" w:rsidR="00B67A92" w:rsidRDefault="00000000">
      <w:pPr>
        <w:spacing w:line="480" w:lineRule="auto"/>
        <w:rPr>
          <w:rFonts w:ascii="Times New Roman" w:eastAsia="宋体" w:hAnsi="Times New Roman" w:cs="Times New Roman"/>
          <w:b/>
          <w:bCs/>
          <w:sz w:val="28"/>
          <w:szCs w:val="28"/>
        </w:rPr>
      </w:pPr>
      <w:r>
        <w:rPr>
          <w:rFonts w:ascii="Times New Roman" w:eastAsia="宋体" w:hAnsi="Times New Roman" w:cs="Times New Roman"/>
          <w:b/>
          <w:bCs/>
          <w:sz w:val="32"/>
          <w:szCs w:val="32"/>
          <w:lang w:bidi="ar"/>
        </w:rPr>
        <w:t>Increasing microbial risks under co-contamination: View from virulence factor genes</w:t>
      </w:r>
      <w:r>
        <w:rPr>
          <w:rFonts w:ascii="Times New Roman" w:eastAsia="宋体" w:hAnsi="Times New Roman" w:cs="Times New Roman" w:hint="eastAsia"/>
          <w:b/>
          <w:bCs/>
          <w:sz w:val="28"/>
          <w:szCs w:val="28"/>
        </w:rPr>
        <w:t xml:space="preserve">  </w:t>
      </w:r>
    </w:p>
    <w:p w14:paraId="774CEEA6" w14:textId="77777777" w:rsidR="00B67A92" w:rsidRDefault="00000000">
      <w:pPr>
        <w:pStyle w:val="1"/>
        <w:rPr>
          <w:rFonts w:ascii="Times New Roman" w:hAnsi="Times New Roman" w:cs="Times New Roman"/>
          <w:b w:val="0"/>
          <w:bCs/>
          <w:sz w:val="24"/>
          <w:vertAlign w:val="superscript"/>
        </w:rPr>
      </w:pPr>
      <w:bookmarkStart w:id="2" w:name="OLE_LINK7"/>
      <w:r>
        <w:rPr>
          <w:rFonts w:ascii="Times New Roman" w:hAnsi="Times New Roman" w:cs="Times New Roman"/>
          <w:b w:val="0"/>
          <w:bCs/>
          <w:sz w:val="24"/>
        </w:rPr>
        <w:t xml:space="preserve">Lijuan </w:t>
      </w:r>
      <w:proofErr w:type="spellStart"/>
      <w:proofErr w:type="gramStart"/>
      <w:r>
        <w:rPr>
          <w:rFonts w:ascii="Times New Roman" w:hAnsi="Times New Roman" w:cs="Times New Roman"/>
          <w:b w:val="0"/>
          <w:bCs/>
          <w:sz w:val="24"/>
        </w:rPr>
        <w:t>Ma</w:t>
      </w:r>
      <w:r>
        <w:rPr>
          <w:rFonts w:ascii="Times New Roman" w:hAnsi="Times New Roman" w:cs="Times New Roman"/>
          <w:b w:val="0"/>
          <w:bCs/>
          <w:sz w:val="24"/>
          <w:vertAlign w:val="superscript"/>
        </w:rPr>
        <w:t>a,b</w:t>
      </w:r>
      <w:proofErr w:type="spellEnd"/>
      <w:proofErr w:type="gramEnd"/>
      <w:r>
        <w:rPr>
          <w:rFonts w:ascii="Times New Roman" w:hAnsi="Times New Roman" w:cs="Times New Roman"/>
          <w:b w:val="0"/>
          <w:bCs/>
          <w:sz w:val="24"/>
        </w:rPr>
        <w:t>, Fei Zheng</w:t>
      </w:r>
      <w:r>
        <w:rPr>
          <w:rFonts w:ascii="Times New Roman" w:hAnsi="Times New Roman" w:cs="Times New Roman"/>
          <w:b w:val="0"/>
          <w:bCs/>
          <w:sz w:val="24"/>
          <w:vertAlign w:val="superscript"/>
        </w:rPr>
        <w:t>a</w:t>
      </w:r>
      <w:r>
        <w:rPr>
          <w:rFonts w:ascii="Times New Roman" w:hAnsi="Times New Roman" w:cs="Times New Roman"/>
          <w:b w:val="0"/>
          <w:bCs/>
          <w:sz w:val="24"/>
        </w:rPr>
        <w:t xml:space="preserve">, Lu </w:t>
      </w:r>
      <w:proofErr w:type="spellStart"/>
      <w:proofErr w:type="gramStart"/>
      <w:r>
        <w:rPr>
          <w:rFonts w:ascii="Times New Roman" w:hAnsi="Times New Roman" w:cs="Times New Roman"/>
          <w:b w:val="0"/>
          <w:bCs/>
          <w:sz w:val="24"/>
        </w:rPr>
        <w:t>Wang</w:t>
      </w:r>
      <w:r>
        <w:rPr>
          <w:rFonts w:ascii="Times New Roman" w:hAnsi="Times New Roman" w:cs="Times New Roman"/>
          <w:b w:val="0"/>
          <w:bCs/>
          <w:sz w:val="24"/>
          <w:vertAlign w:val="superscript"/>
        </w:rPr>
        <w:t>b,c</w:t>
      </w:r>
      <w:proofErr w:type="spellEnd"/>
      <w:proofErr w:type="gramEnd"/>
      <w:r>
        <w:rPr>
          <w:rFonts w:ascii="Times New Roman" w:hAnsi="Times New Roman" w:cs="Times New Roman"/>
          <w:b w:val="0"/>
          <w:bCs/>
          <w:sz w:val="24"/>
          <w:vertAlign w:val="superscript"/>
        </w:rPr>
        <w:t>*</w:t>
      </w:r>
      <w:r>
        <w:rPr>
          <w:rFonts w:ascii="Times New Roman" w:hAnsi="Times New Roman" w:cs="Times New Roman"/>
          <w:b w:val="0"/>
          <w:bCs/>
          <w:sz w:val="24"/>
        </w:rPr>
        <w:t xml:space="preserve">, Dong </w:t>
      </w:r>
      <w:proofErr w:type="spellStart"/>
      <w:proofErr w:type="gramStart"/>
      <w:r>
        <w:rPr>
          <w:rFonts w:ascii="Times New Roman" w:hAnsi="Times New Roman" w:cs="Times New Roman"/>
          <w:b w:val="0"/>
          <w:bCs/>
          <w:sz w:val="24"/>
        </w:rPr>
        <w:t>Zhu</w:t>
      </w:r>
      <w:bookmarkEnd w:id="2"/>
      <w:r>
        <w:rPr>
          <w:rFonts w:ascii="Times New Roman" w:hAnsi="Times New Roman" w:cs="Times New Roman"/>
          <w:b w:val="0"/>
          <w:bCs/>
          <w:sz w:val="24"/>
          <w:vertAlign w:val="superscript"/>
        </w:rPr>
        <w:t>b,c</w:t>
      </w:r>
      <w:proofErr w:type="spellEnd"/>
      <w:proofErr w:type="gramEnd"/>
      <w:r>
        <w:rPr>
          <w:rFonts w:ascii="Times New Roman" w:hAnsi="Times New Roman" w:cs="Times New Roman"/>
          <w:b w:val="0"/>
          <w:bCs/>
          <w:sz w:val="24"/>
          <w:vertAlign w:val="superscript"/>
        </w:rPr>
        <w:t>*</w:t>
      </w:r>
    </w:p>
    <w:p w14:paraId="5D6C52AF" w14:textId="77777777" w:rsidR="00B67A92" w:rsidRDefault="00000000">
      <w:pPr>
        <w:spacing w:beforeLines="50" w:before="156" w:line="360" w:lineRule="auto"/>
        <w:rPr>
          <w:rFonts w:ascii="Times New Roman" w:hAnsi="Times New Roman" w:cs="Times New Roman"/>
          <w:sz w:val="24"/>
        </w:rPr>
      </w:pPr>
      <w:proofErr w:type="spellStart"/>
      <w:r>
        <w:rPr>
          <w:rFonts w:ascii="Times New Roman" w:hAnsi="Times New Roman" w:cs="Times New Roman"/>
          <w:sz w:val="24"/>
          <w:vertAlign w:val="superscript"/>
        </w:rPr>
        <w:t>a</w:t>
      </w:r>
      <w:r>
        <w:rPr>
          <w:rFonts w:ascii="Times New Roman" w:hAnsi="Times New Roman" w:cs="Times New Roman"/>
          <w:sz w:val="24"/>
        </w:rPr>
        <w:t>College</w:t>
      </w:r>
      <w:proofErr w:type="spellEnd"/>
      <w:r>
        <w:rPr>
          <w:rFonts w:ascii="Times New Roman" w:hAnsi="Times New Roman" w:cs="Times New Roman"/>
          <w:sz w:val="24"/>
        </w:rPr>
        <w:t xml:space="preserve"> of Life Science, Hebei University, Baoding 071002, China</w:t>
      </w:r>
    </w:p>
    <w:p w14:paraId="1FACF17F" w14:textId="77777777" w:rsidR="00B67A92" w:rsidRDefault="00000000">
      <w:pPr>
        <w:spacing w:beforeLines="50" w:before="156" w:line="360" w:lineRule="auto"/>
        <w:rPr>
          <w:rFonts w:ascii="Times New Roman" w:hAnsi="Times New Roman" w:cs="Times New Roman"/>
          <w:sz w:val="24"/>
          <w:vertAlign w:val="superscript"/>
        </w:rPr>
      </w:pPr>
      <w:proofErr w:type="spellStart"/>
      <w:r>
        <w:rPr>
          <w:rFonts w:ascii="Times New Roman" w:hAnsi="Times New Roman" w:cs="Times New Roman"/>
          <w:sz w:val="24"/>
          <w:vertAlign w:val="superscript"/>
        </w:rPr>
        <w:t>b</w:t>
      </w:r>
      <w:r>
        <w:rPr>
          <w:rFonts w:ascii="Times New Roman" w:hAnsi="Times New Roman" w:cs="Times New Roman"/>
          <w:sz w:val="24"/>
        </w:rPr>
        <w:t>State</w:t>
      </w:r>
      <w:proofErr w:type="spellEnd"/>
      <w:r>
        <w:rPr>
          <w:rFonts w:ascii="Times New Roman" w:hAnsi="Times New Roman" w:cs="Times New Roman"/>
          <w:sz w:val="24"/>
        </w:rPr>
        <w:t xml:space="preserve"> Key Laboratory of Regional and Urban Ecology, Ningbo Observation and Research Station, Institute of Urban Environment, Chinese Academy of Sciences, Xiamen 361021, China</w:t>
      </w:r>
    </w:p>
    <w:p w14:paraId="08170BCC" w14:textId="1576BDA9" w:rsidR="0002243C" w:rsidRPr="0002243C" w:rsidRDefault="00000000" w:rsidP="0002243C">
      <w:pPr>
        <w:spacing w:beforeLines="50" w:before="156" w:line="360" w:lineRule="auto"/>
        <w:rPr>
          <w:rFonts w:ascii="Times New Roman" w:hAnsi="Times New Roman" w:cs="Times New Roman"/>
        </w:rPr>
      </w:pPr>
      <w:proofErr w:type="spellStart"/>
      <w:r>
        <w:rPr>
          <w:rFonts w:ascii="Times New Roman" w:hAnsi="Times New Roman" w:cs="Times New Roman"/>
          <w:sz w:val="24"/>
          <w:vertAlign w:val="superscript"/>
        </w:rPr>
        <w:t>c</w:t>
      </w:r>
      <w:r>
        <w:rPr>
          <w:rFonts w:ascii="Times New Roman" w:hAnsi="Times New Roman" w:cs="Times New Roman"/>
          <w:sz w:val="24"/>
        </w:rPr>
        <w:t>Zhejiang</w:t>
      </w:r>
      <w:proofErr w:type="spellEnd"/>
      <w:r>
        <w:rPr>
          <w:rFonts w:ascii="Times New Roman" w:hAnsi="Times New Roman" w:cs="Times New Roman"/>
          <w:sz w:val="24"/>
        </w:rPr>
        <w:t xml:space="preserve"> Key Laboratory of Pollution Control for Port-Petrochemical Industry, CAS </w:t>
      </w:r>
      <w:proofErr w:type="spellStart"/>
      <w:r>
        <w:rPr>
          <w:rFonts w:ascii="Times New Roman" w:hAnsi="Times New Roman" w:cs="Times New Roman"/>
          <w:sz w:val="24"/>
        </w:rPr>
        <w:t>Haixi</w:t>
      </w:r>
      <w:proofErr w:type="spellEnd"/>
      <w:r>
        <w:rPr>
          <w:rFonts w:ascii="Times New Roman" w:hAnsi="Times New Roman" w:cs="Times New Roman"/>
          <w:sz w:val="24"/>
        </w:rPr>
        <w:t xml:space="preserve"> Industrial Technology Innovation Center in </w:t>
      </w:r>
      <w:proofErr w:type="spellStart"/>
      <w:r>
        <w:rPr>
          <w:rFonts w:ascii="Times New Roman" w:hAnsi="Times New Roman" w:cs="Times New Roman"/>
          <w:sz w:val="24"/>
        </w:rPr>
        <w:t>Beilun</w:t>
      </w:r>
      <w:proofErr w:type="spellEnd"/>
      <w:r>
        <w:rPr>
          <w:rFonts w:ascii="Times New Roman" w:hAnsi="Times New Roman" w:cs="Times New Roman"/>
          <w:sz w:val="24"/>
        </w:rPr>
        <w:t>, Ningbo 315830, China</w:t>
      </w:r>
      <w:bookmarkEnd w:id="1"/>
      <w:r>
        <w:rPr>
          <w:rFonts w:ascii="Times New Roman" w:hAnsi="Times New Roman" w:cs="Times New Roman"/>
        </w:rPr>
        <w:br w:type="page"/>
      </w:r>
    </w:p>
    <w:p w14:paraId="09D281CD" w14:textId="7AA7B1E9" w:rsidR="00B67A92" w:rsidRPr="0002243C" w:rsidRDefault="008E13F9">
      <w:pPr>
        <w:widowControl/>
        <w:spacing w:line="468" w:lineRule="auto"/>
        <w:rPr>
          <w:rFonts w:ascii="Times New Roman" w:hAnsi="Times New Roman" w:cs="Times New Roman"/>
          <w:b/>
          <w:bCs/>
          <w:color w:val="000000"/>
          <w:kern w:val="0"/>
          <w:szCs w:val="21"/>
        </w:rPr>
      </w:pPr>
      <w:r w:rsidRPr="00C543E0">
        <w:rPr>
          <w:rFonts w:ascii="Times New Roman" w:hAnsi="Times New Roman" w:cs="Times New Roman"/>
          <w:noProof/>
          <w:color w:val="4874CB" w:themeColor="accent1"/>
          <w:sz w:val="24"/>
        </w:rPr>
        <w:lastRenderedPageBreak/>
        <w:drawing>
          <wp:anchor distT="0" distB="0" distL="114300" distR="114300" simplePos="0" relativeHeight="251670528" behindDoc="0" locked="0" layoutInCell="1" allowOverlap="1" wp14:anchorId="18F682DE" wp14:editId="0284A7BB">
            <wp:simplePos x="0" y="0"/>
            <wp:positionH relativeFrom="margin">
              <wp:align>center</wp:align>
            </wp:positionH>
            <wp:positionV relativeFrom="margin">
              <wp:align>top</wp:align>
            </wp:positionV>
            <wp:extent cx="5328563" cy="3276000"/>
            <wp:effectExtent l="0" t="0" r="5715" b="635"/>
            <wp:wrapSquare wrapText="bothSides"/>
            <wp:docPr id="5020421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042101" name=""/>
                    <pic:cNvPicPr/>
                  </pic:nvPicPr>
                  <pic:blipFill rotWithShape="1">
                    <a:blip r:embed="rId6" cstate="print">
                      <a:extLst>
                        <a:ext uri="{28A0092B-C50C-407E-A947-70E740481C1C}">
                          <a14:useLocalDpi xmlns:a14="http://schemas.microsoft.com/office/drawing/2010/main" val="0"/>
                        </a:ext>
                      </a:extLst>
                    </a:blip>
                    <a:srcRect t="434"/>
                    <a:stretch>
                      <a:fillRect/>
                    </a:stretch>
                  </pic:blipFill>
                  <pic:spPr bwMode="auto">
                    <a:xfrm>
                      <a:off x="0" y="0"/>
                      <a:ext cx="5328563" cy="327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243C">
        <w:rPr>
          <w:rFonts w:ascii="Times New Roman" w:hAnsi="Times New Roman" w:cs="Times New Roman"/>
          <w:b/>
          <w:bCs/>
          <w:color w:val="000000"/>
          <w:kern w:val="0"/>
          <w:szCs w:val="21"/>
        </w:rPr>
        <w:t xml:space="preserve">Fig. S1 Functional classification and abundance of virulence factor genes (VFGs) under different pH and pollutant </w:t>
      </w:r>
      <w:proofErr w:type="gramStart"/>
      <w:r w:rsidR="0002243C">
        <w:rPr>
          <w:rFonts w:ascii="Times New Roman" w:hAnsi="Times New Roman" w:cs="Times New Roman"/>
          <w:b/>
          <w:bCs/>
          <w:color w:val="000000"/>
          <w:kern w:val="0"/>
          <w:szCs w:val="21"/>
        </w:rPr>
        <w:t>treatments.</w:t>
      </w:r>
      <w:r w:rsidR="0002243C">
        <w:rPr>
          <w:rFonts w:ascii="Times New Roman" w:hAnsi="Times New Roman" w:cs="Times New Roman"/>
          <w:bCs/>
          <w:color w:val="000000"/>
          <w:kern w:val="0"/>
          <w:szCs w:val="21"/>
        </w:rPr>
        <w:t>（</w:t>
      </w:r>
      <w:proofErr w:type="gramEnd"/>
      <w:r w:rsidR="0002243C">
        <w:rPr>
          <w:rFonts w:ascii="Times New Roman" w:hAnsi="Times New Roman" w:cs="Times New Roman"/>
          <w:bCs/>
          <w:color w:val="000000"/>
          <w:kern w:val="0"/>
          <w:szCs w:val="21"/>
        </w:rPr>
        <w:t>A and B</w:t>
      </w:r>
      <w:r w:rsidR="0002243C">
        <w:rPr>
          <w:rFonts w:ascii="Times New Roman" w:hAnsi="Times New Roman" w:cs="Times New Roman"/>
          <w:bCs/>
          <w:color w:val="000000"/>
          <w:kern w:val="0"/>
          <w:szCs w:val="21"/>
        </w:rPr>
        <w:t>）</w:t>
      </w:r>
      <w:r w:rsidR="0002243C">
        <w:rPr>
          <w:rFonts w:ascii="Times New Roman" w:hAnsi="Times New Roman" w:cs="Times New Roman"/>
          <w:bCs/>
          <w:color w:val="000000"/>
          <w:kern w:val="0"/>
          <w:szCs w:val="21"/>
        </w:rPr>
        <w:t xml:space="preserve">Bubble plots showing the relative abundance of major VFG functional categories across five pH levels (pH1-pH5) and four treatments (CK, As, TCC, AT). Bubble size corresponds to the relative abundance (copies per 16S rRNA gene) of each function. (C) Pie chart summarizing the overall functional distribution of VFGs. VFGs related to adherence, </w:t>
      </w:r>
      <w:proofErr w:type="spellStart"/>
      <w:r w:rsidR="0002243C">
        <w:rPr>
          <w:rFonts w:ascii="Times New Roman" w:hAnsi="Times New Roman" w:cs="Times New Roman"/>
          <w:bCs/>
          <w:color w:val="000000"/>
          <w:kern w:val="0"/>
          <w:szCs w:val="21"/>
        </w:rPr>
        <w:t>fimbrial</w:t>
      </w:r>
      <w:proofErr w:type="spellEnd"/>
      <w:r w:rsidR="0002243C">
        <w:rPr>
          <w:rFonts w:ascii="Times New Roman" w:hAnsi="Times New Roman" w:cs="Times New Roman"/>
          <w:bCs/>
          <w:color w:val="000000"/>
          <w:kern w:val="0"/>
          <w:szCs w:val="21"/>
        </w:rPr>
        <w:t xml:space="preserve"> adhesion, and motility dominated the profiles across all conditions, accounting for the majority of detected VFG abundance. </w:t>
      </w:r>
      <w:r w:rsidR="0002243C">
        <w:rPr>
          <w:rFonts w:ascii="Times New Roman" w:hAnsi="Times New Roman" w:cs="Times New Roman"/>
          <w:bCs/>
          <w:color w:val="000000"/>
          <w:kern w:val="0"/>
          <w:szCs w:val="18"/>
        </w:rPr>
        <w:br w:type="page"/>
      </w:r>
    </w:p>
    <w:p w14:paraId="6BCA5502" w14:textId="487B4DC0" w:rsidR="00B67A92" w:rsidRDefault="0002243C">
      <w:pPr>
        <w:widowControl/>
        <w:spacing w:line="468" w:lineRule="auto"/>
        <w:rPr>
          <w:rFonts w:ascii="Times New Roman" w:hAnsi="Times New Roman" w:cs="Times New Roman"/>
          <w:bCs/>
          <w:color w:val="000000"/>
          <w:kern w:val="0"/>
          <w:szCs w:val="18"/>
        </w:rPr>
      </w:pPr>
      <w:r>
        <w:rPr>
          <w:rFonts w:ascii="Times New Roman" w:hAnsi="Times New Roman" w:cs="Times New Roman" w:hint="eastAsia"/>
          <w:b/>
          <w:noProof/>
          <w:color w:val="000000"/>
          <w:kern w:val="0"/>
          <w:szCs w:val="18"/>
        </w:rPr>
        <w:lastRenderedPageBreak/>
        <w:drawing>
          <wp:anchor distT="0" distB="0" distL="114300" distR="114300" simplePos="0" relativeHeight="251665408" behindDoc="0" locked="0" layoutInCell="1" allowOverlap="1" wp14:anchorId="0AC3CEF4" wp14:editId="6FA8D288">
            <wp:simplePos x="1146810" y="931545"/>
            <wp:positionH relativeFrom="margin">
              <wp:align>center</wp:align>
            </wp:positionH>
            <wp:positionV relativeFrom="margin">
              <wp:align>top</wp:align>
            </wp:positionV>
            <wp:extent cx="5270500" cy="4727575"/>
            <wp:effectExtent l="0" t="0" r="6350" b="0"/>
            <wp:wrapSquare wrapText="bothSides"/>
            <wp:docPr id="67839746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0500" cy="4727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color w:val="000000"/>
          <w:kern w:val="0"/>
          <w:szCs w:val="18"/>
        </w:rPr>
        <w:t>Fig. S2 Heat map showing the variation of dominant virulence factor genes (VFGs) under different treatments (CK, As, TCC, AT) and pH conditions (pH1</w:t>
      </w:r>
      <w:r>
        <w:rPr>
          <w:rFonts w:ascii="Times New Roman" w:hAnsi="Times New Roman" w:cs="Times New Roman" w:hint="eastAsia"/>
          <w:b/>
          <w:color w:val="000000"/>
          <w:kern w:val="0"/>
          <w:szCs w:val="18"/>
        </w:rPr>
        <w:t>-</w:t>
      </w:r>
      <w:r>
        <w:rPr>
          <w:rFonts w:ascii="Times New Roman" w:hAnsi="Times New Roman" w:cs="Times New Roman"/>
          <w:b/>
          <w:color w:val="000000"/>
          <w:kern w:val="0"/>
          <w:szCs w:val="18"/>
        </w:rPr>
        <w:t xml:space="preserve">pH5). </w:t>
      </w:r>
      <w:r>
        <w:rPr>
          <w:rFonts w:ascii="Times New Roman" w:hAnsi="Times New Roman" w:cs="Times New Roman"/>
          <w:bCs/>
          <w:color w:val="000000"/>
          <w:kern w:val="0"/>
          <w:szCs w:val="18"/>
        </w:rPr>
        <w:t xml:space="preserve">Colors represent normalized relative abundance of individual VFGs. </w:t>
      </w:r>
      <w:r>
        <w:rPr>
          <w:rFonts w:ascii="Times New Roman" w:hAnsi="Times New Roman" w:cs="Times New Roman"/>
          <w:bCs/>
          <w:color w:val="000000"/>
          <w:kern w:val="0"/>
          <w:szCs w:val="18"/>
        </w:rPr>
        <w:br w:type="page"/>
      </w:r>
    </w:p>
    <w:p w14:paraId="4C2C2F21" w14:textId="051E81A7" w:rsidR="00B67A92" w:rsidRDefault="0002243C">
      <w:pPr>
        <w:widowControl/>
        <w:spacing w:line="468" w:lineRule="auto"/>
        <w:rPr>
          <w:rFonts w:ascii="Times New Roman" w:hAnsi="Times New Roman" w:cs="Times New Roman"/>
          <w:bCs/>
          <w:color w:val="000000"/>
          <w:kern w:val="0"/>
          <w:szCs w:val="18"/>
        </w:rPr>
      </w:pPr>
      <w:r>
        <w:rPr>
          <w:rFonts w:ascii="Times New Roman" w:hAnsi="Times New Roman" w:cs="Times New Roman"/>
          <w:b/>
          <w:noProof/>
          <w:color w:val="000000"/>
          <w:kern w:val="0"/>
          <w:szCs w:val="18"/>
        </w:rPr>
        <w:lastRenderedPageBreak/>
        <w:drawing>
          <wp:anchor distT="0" distB="0" distL="114300" distR="114300" simplePos="0" relativeHeight="251666432" behindDoc="0" locked="0" layoutInCell="1" allowOverlap="1" wp14:anchorId="7E9B9DD2" wp14:editId="7FD37E7F">
            <wp:simplePos x="1146810" y="982980"/>
            <wp:positionH relativeFrom="margin">
              <wp:align>center</wp:align>
            </wp:positionH>
            <wp:positionV relativeFrom="margin">
              <wp:align>top</wp:align>
            </wp:positionV>
            <wp:extent cx="5270500" cy="3614420"/>
            <wp:effectExtent l="0" t="0" r="6350" b="5080"/>
            <wp:wrapSquare wrapText="bothSides"/>
            <wp:docPr id="185976308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0500" cy="36144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color w:val="000000"/>
          <w:kern w:val="0"/>
          <w:szCs w:val="18"/>
        </w:rPr>
        <w:t xml:space="preserve">Fig. S3 Phylum-level composition of soil microbial communities under different pH conditions. </w:t>
      </w:r>
      <w:r>
        <w:rPr>
          <w:rFonts w:ascii="Times New Roman" w:hAnsi="Times New Roman" w:cs="Times New Roman"/>
          <w:bCs/>
          <w:color w:val="000000"/>
          <w:kern w:val="0"/>
          <w:szCs w:val="18"/>
        </w:rPr>
        <w:t>The stacked bar chart illustrates the relative abundance of all bacterial phyla across five pH treatments (pH1</w:t>
      </w:r>
      <w:r>
        <w:rPr>
          <w:rFonts w:ascii="Times New Roman" w:hAnsi="Times New Roman" w:cs="Times New Roman" w:hint="eastAsia"/>
          <w:bCs/>
          <w:color w:val="000000"/>
          <w:kern w:val="0"/>
          <w:szCs w:val="18"/>
        </w:rPr>
        <w:t>-</w:t>
      </w:r>
      <w:r>
        <w:rPr>
          <w:rFonts w:ascii="Times New Roman" w:hAnsi="Times New Roman" w:cs="Times New Roman"/>
          <w:bCs/>
          <w:color w:val="000000"/>
          <w:kern w:val="0"/>
          <w:szCs w:val="18"/>
        </w:rPr>
        <w:t>pH5).</w:t>
      </w:r>
      <w:r>
        <w:rPr>
          <w:rFonts w:ascii="Times New Roman" w:hAnsi="Times New Roman" w:cs="Times New Roman"/>
        </w:rPr>
        <w:br w:type="page"/>
      </w:r>
    </w:p>
    <w:p w14:paraId="5618D323" w14:textId="2974FB93" w:rsidR="00B67A92" w:rsidRDefault="0002243C">
      <w:pPr>
        <w:widowControl/>
        <w:spacing w:line="468" w:lineRule="auto"/>
        <w:rPr>
          <w:rFonts w:ascii="Times New Roman" w:hAnsi="Times New Roman" w:cs="Times New Roman"/>
          <w:bCs/>
          <w:color w:val="000000"/>
          <w:kern w:val="0"/>
          <w:szCs w:val="18"/>
        </w:rPr>
      </w:pPr>
      <w:r>
        <w:rPr>
          <w:rFonts w:ascii="Times New Roman" w:hAnsi="Times New Roman" w:cs="Times New Roman"/>
          <w:b/>
          <w:noProof/>
          <w:color w:val="000000"/>
          <w:kern w:val="0"/>
          <w:szCs w:val="18"/>
        </w:rPr>
        <w:lastRenderedPageBreak/>
        <w:drawing>
          <wp:anchor distT="0" distB="0" distL="114300" distR="114300" simplePos="0" relativeHeight="251667456" behindDoc="0" locked="0" layoutInCell="1" allowOverlap="1" wp14:anchorId="312980E3" wp14:editId="78A8D3D5">
            <wp:simplePos x="1143000" y="933450"/>
            <wp:positionH relativeFrom="margin">
              <wp:align>center</wp:align>
            </wp:positionH>
            <wp:positionV relativeFrom="margin">
              <wp:align>top</wp:align>
            </wp:positionV>
            <wp:extent cx="5270500" cy="4521200"/>
            <wp:effectExtent l="0" t="0" r="6350" b="0"/>
            <wp:wrapSquare wrapText="bothSides"/>
            <wp:docPr id="1744676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0500" cy="452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color w:val="000000"/>
          <w:kern w:val="0"/>
          <w:szCs w:val="18"/>
        </w:rPr>
        <w:t xml:space="preserve">Fig. S4 </w:t>
      </w:r>
      <w:proofErr w:type="gramStart"/>
      <w:r>
        <w:rPr>
          <w:rFonts w:ascii="Times New Roman" w:hAnsi="Times New Roman" w:cs="Times New Roman"/>
          <w:b/>
          <w:color w:val="000000"/>
          <w:kern w:val="0"/>
          <w:szCs w:val="18"/>
        </w:rPr>
        <w:t>Random forest</w:t>
      </w:r>
      <w:proofErr w:type="gramEnd"/>
      <w:r>
        <w:rPr>
          <w:rFonts w:ascii="Times New Roman" w:hAnsi="Times New Roman" w:cs="Times New Roman"/>
          <w:b/>
          <w:color w:val="000000"/>
          <w:kern w:val="0"/>
          <w:szCs w:val="18"/>
        </w:rPr>
        <w:t xml:space="preserve"> analysis showing phylum-level importance for predicting total VFG abundance. </w:t>
      </w:r>
      <w:r>
        <w:rPr>
          <w:rFonts w:ascii="Times New Roman" w:hAnsi="Times New Roman" w:cs="Times New Roman"/>
          <w:bCs/>
          <w:color w:val="000000"/>
          <w:kern w:val="0"/>
          <w:szCs w:val="18"/>
        </w:rPr>
        <w:t xml:space="preserve">Bars represent the relative importance of each bacterial phylum in shaping the total abundance of VFGs, as determined by random forest modeling. Gray bars indicate low-abundance phyla (mean relative abundance &lt; 0.02). Orange bars represent phyla with a positive correlation with </w:t>
      </w:r>
      <w:proofErr w:type="spellStart"/>
      <w:r>
        <w:rPr>
          <w:rFonts w:ascii="Times New Roman" w:hAnsi="Times New Roman" w:cs="Times New Roman"/>
          <w:bCs/>
          <w:color w:val="000000"/>
          <w:kern w:val="0"/>
          <w:szCs w:val="18"/>
        </w:rPr>
        <w:t>pH.</w:t>
      </w:r>
      <w:proofErr w:type="spellEnd"/>
      <w:r>
        <w:rPr>
          <w:rFonts w:ascii="Times New Roman" w:hAnsi="Times New Roman" w:cs="Times New Roman"/>
          <w:bCs/>
          <w:color w:val="000000"/>
          <w:kern w:val="0"/>
          <w:szCs w:val="18"/>
        </w:rPr>
        <w:t xml:space="preserve"> Blue bars represent phyla with a negative correlation with </w:t>
      </w:r>
      <w:proofErr w:type="spellStart"/>
      <w:r>
        <w:rPr>
          <w:rFonts w:ascii="Times New Roman" w:hAnsi="Times New Roman" w:cs="Times New Roman"/>
          <w:bCs/>
          <w:color w:val="000000"/>
          <w:kern w:val="0"/>
          <w:szCs w:val="18"/>
        </w:rPr>
        <w:t>pH.</w:t>
      </w:r>
      <w:proofErr w:type="spellEnd"/>
      <w:r>
        <w:rPr>
          <w:rFonts w:ascii="Times New Roman" w:hAnsi="Times New Roman" w:cs="Times New Roman"/>
          <w:bCs/>
          <w:color w:val="000000"/>
          <w:kern w:val="0"/>
          <w:szCs w:val="18"/>
        </w:rPr>
        <w:t xml:space="preserve"> Significant levels: * </w:t>
      </w:r>
      <w:r>
        <w:rPr>
          <w:rFonts w:ascii="Times New Roman" w:hAnsi="Times New Roman" w:cs="Times New Roman"/>
          <w:bCs/>
          <w:i/>
          <w:iCs/>
          <w:color w:val="000000"/>
          <w:kern w:val="0"/>
          <w:szCs w:val="18"/>
        </w:rPr>
        <w:t>P</w:t>
      </w:r>
      <w:r>
        <w:rPr>
          <w:rFonts w:ascii="Times New Roman" w:hAnsi="Times New Roman" w:cs="Times New Roman"/>
          <w:bCs/>
          <w:color w:val="000000"/>
          <w:kern w:val="0"/>
          <w:szCs w:val="18"/>
        </w:rPr>
        <w:t xml:space="preserve"> &lt; 0.05, ** </w:t>
      </w:r>
      <w:r>
        <w:rPr>
          <w:rFonts w:ascii="Times New Roman" w:hAnsi="Times New Roman" w:cs="Times New Roman"/>
          <w:bCs/>
          <w:i/>
          <w:iCs/>
          <w:color w:val="000000"/>
          <w:kern w:val="0"/>
          <w:szCs w:val="18"/>
        </w:rPr>
        <w:t>P</w:t>
      </w:r>
      <w:r>
        <w:rPr>
          <w:rFonts w:ascii="Times New Roman" w:hAnsi="Times New Roman" w:cs="Times New Roman"/>
          <w:bCs/>
          <w:color w:val="000000"/>
          <w:kern w:val="0"/>
          <w:szCs w:val="18"/>
        </w:rPr>
        <w:t xml:space="preserve"> &lt; 0.01 and *** </w:t>
      </w:r>
      <w:r>
        <w:rPr>
          <w:rFonts w:ascii="Times New Roman" w:hAnsi="Times New Roman" w:cs="Times New Roman"/>
          <w:bCs/>
          <w:i/>
          <w:iCs/>
          <w:color w:val="000000"/>
          <w:kern w:val="0"/>
          <w:szCs w:val="18"/>
        </w:rPr>
        <w:t>P</w:t>
      </w:r>
      <w:r>
        <w:rPr>
          <w:rFonts w:ascii="Times New Roman" w:hAnsi="Times New Roman" w:cs="Times New Roman"/>
          <w:bCs/>
          <w:color w:val="000000"/>
          <w:kern w:val="0"/>
          <w:szCs w:val="18"/>
        </w:rPr>
        <w:t xml:space="preserve"> &lt; 0.001.</w:t>
      </w:r>
      <w:r>
        <w:rPr>
          <w:rFonts w:ascii="Times New Roman" w:hAnsi="Times New Roman" w:cs="Times New Roman"/>
          <w:bCs/>
          <w:color w:val="000000"/>
          <w:kern w:val="0"/>
          <w:szCs w:val="18"/>
        </w:rPr>
        <w:br w:type="page"/>
      </w:r>
    </w:p>
    <w:p w14:paraId="1168D0DE" w14:textId="5D7C2519" w:rsidR="00B67A92" w:rsidRDefault="0002243C">
      <w:pPr>
        <w:widowControl/>
        <w:spacing w:line="468" w:lineRule="auto"/>
        <w:rPr>
          <w:rFonts w:ascii="Times New Roman" w:hAnsi="Times New Roman" w:cs="Times New Roman"/>
          <w:b/>
          <w:color w:val="000000"/>
          <w:kern w:val="0"/>
          <w:szCs w:val="18"/>
        </w:rPr>
      </w:pPr>
      <w:r>
        <w:rPr>
          <w:rFonts w:ascii="Times New Roman" w:hAnsi="Times New Roman" w:cs="Times New Roman"/>
          <w:b/>
          <w:noProof/>
          <w:color w:val="000000"/>
          <w:kern w:val="0"/>
          <w:szCs w:val="18"/>
        </w:rPr>
        <w:lastRenderedPageBreak/>
        <w:drawing>
          <wp:anchor distT="0" distB="0" distL="114300" distR="114300" simplePos="0" relativeHeight="251668480" behindDoc="0" locked="0" layoutInCell="1" allowOverlap="1" wp14:anchorId="06E75FAF" wp14:editId="4C29BF9D">
            <wp:simplePos x="1143000" y="965200"/>
            <wp:positionH relativeFrom="margin">
              <wp:align>center</wp:align>
            </wp:positionH>
            <wp:positionV relativeFrom="margin">
              <wp:align>top</wp:align>
            </wp:positionV>
            <wp:extent cx="5270500" cy="3060700"/>
            <wp:effectExtent l="0" t="0" r="6350" b="6350"/>
            <wp:wrapSquare wrapText="bothSides"/>
            <wp:docPr id="13693013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0500" cy="3060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color w:val="000000"/>
          <w:kern w:val="0"/>
          <w:szCs w:val="18"/>
        </w:rPr>
        <w:t>Fig. S5 Relative abundance of α-Proteobacteria and γ-Proteobacteria across different pH conditions.</w:t>
      </w:r>
    </w:p>
    <w:sectPr w:rsidR="00B67A92">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D0F00" w14:textId="77777777" w:rsidR="00F3244D" w:rsidRDefault="00F3244D" w:rsidP="0002243C">
      <w:r>
        <w:separator/>
      </w:r>
    </w:p>
  </w:endnote>
  <w:endnote w:type="continuationSeparator" w:id="0">
    <w:p w14:paraId="04AF58FF" w14:textId="77777777" w:rsidR="00F3244D" w:rsidRDefault="00F3244D" w:rsidP="00022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04A76" w14:textId="77777777" w:rsidR="00F3244D" w:rsidRDefault="00F3244D" w:rsidP="0002243C">
      <w:r>
        <w:separator/>
      </w:r>
    </w:p>
  </w:footnote>
  <w:footnote w:type="continuationSeparator" w:id="0">
    <w:p w14:paraId="142BB9E5" w14:textId="77777777" w:rsidR="00F3244D" w:rsidRDefault="00F3244D" w:rsidP="000224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6BE418F"/>
    <w:rsid w:val="0002243C"/>
    <w:rsid w:val="00022792"/>
    <w:rsid w:val="001C2D97"/>
    <w:rsid w:val="007F2D6D"/>
    <w:rsid w:val="008E13F9"/>
    <w:rsid w:val="008F1C8A"/>
    <w:rsid w:val="00A946B4"/>
    <w:rsid w:val="00B00BD6"/>
    <w:rsid w:val="00B67A92"/>
    <w:rsid w:val="00EA34D8"/>
    <w:rsid w:val="00F3244D"/>
    <w:rsid w:val="0EBF2D0B"/>
    <w:rsid w:val="115A68FB"/>
    <w:rsid w:val="18053D72"/>
    <w:rsid w:val="36BE418F"/>
    <w:rsid w:val="3CD93311"/>
    <w:rsid w:val="487737CC"/>
    <w:rsid w:val="490A21F5"/>
    <w:rsid w:val="4B3A7C3A"/>
    <w:rsid w:val="4EA57346"/>
    <w:rsid w:val="552A1E7A"/>
    <w:rsid w:val="60033294"/>
    <w:rsid w:val="75224D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CD5E57E"/>
  <w15:docId w15:val="{EB9862D0-3D49-46FA-AC84-1528F9D8D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ne number" w:qFormat="1"/>
    <w:lsdException w:name="Title" w:uiPriority="10"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paragraph" w:styleId="a4">
    <w:name w:val="Title"/>
    <w:basedOn w:val="a"/>
    <w:next w:val="a"/>
    <w:uiPriority w:val="10"/>
    <w:qFormat/>
    <w:pPr>
      <w:spacing w:before="240" w:after="60"/>
      <w:jc w:val="center"/>
      <w:outlineLvl w:val="0"/>
    </w:pPr>
    <w:rPr>
      <w:rFonts w:asciiTheme="majorHAnsi" w:eastAsia="宋体" w:hAnsiTheme="majorHAnsi" w:cstheme="majorBidi"/>
      <w:b/>
      <w:bCs/>
      <w:sz w:val="32"/>
      <w:szCs w:val="32"/>
    </w:rPr>
  </w:style>
  <w:style w:type="character" w:styleId="a5">
    <w:name w:val="line number"/>
    <w:basedOn w:val="a0"/>
    <w:qFormat/>
  </w:style>
  <w:style w:type="paragraph" w:styleId="a6">
    <w:name w:val="header"/>
    <w:basedOn w:val="a"/>
    <w:link w:val="a7"/>
    <w:rsid w:val="0002243C"/>
    <w:pPr>
      <w:tabs>
        <w:tab w:val="center" w:pos="4153"/>
        <w:tab w:val="right" w:pos="8306"/>
      </w:tabs>
      <w:snapToGrid w:val="0"/>
      <w:jc w:val="center"/>
    </w:pPr>
    <w:rPr>
      <w:sz w:val="18"/>
      <w:szCs w:val="18"/>
    </w:rPr>
  </w:style>
  <w:style w:type="character" w:customStyle="1" w:styleId="a7">
    <w:name w:val="页眉 字符"/>
    <w:basedOn w:val="a0"/>
    <w:link w:val="a6"/>
    <w:rsid w:val="0002243C"/>
    <w:rPr>
      <w:rFonts w:asciiTheme="minorHAnsi" w:eastAsiaTheme="minorEastAsia" w:hAnsiTheme="minorHAnsi" w:cstheme="minorBidi"/>
      <w:kern w:val="2"/>
      <w:sz w:val="18"/>
      <w:szCs w:val="18"/>
    </w:rPr>
  </w:style>
  <w:style w:type="paragraph" w:styleId="a8">
    <w:name w:val="footer"/>
    <w:basedOn w:val="a"/>
    <w:link w:val="a9"/>
    <w:rsid w:val="0002243C"/>
    <w:pPr>
      <w:tabs>
        <w:tab w:val="center" w:pos="4153"/>
        <w:tab w:val="right" w:pos="8306"/>
      </w:tabs>
      <w:snapToGrid w:val="0"/>
      <w:jc w:val="left"/>
    </w:pPr>
    <w:rPr>
      <w:sz w:val="18"/>
      <w:szCs w:val="18"/>
    </w:rPr>
  </w:style>
  <w:style w:type="character" w:customStyle="1" w:styleId="a9">
    <w:name w:val="页脚 字符"/>
    <w:basedOn w:val="a0"/>
    <w:link w:val="a8"/>
    <w:rsid w:val="0002243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webSettings" Target="webSettings.xml"/><Relationship Id="rId7" Type="http://schemas.openxmlformats.org/officeDocument/2006/relationships/image" Target="media/image2.tif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tiff"/><Relationship Id="rId4" Type="http://schemas.openxmlformats.org/officeDocument/2006/relationships/footnotes" Target="footnotes.xml"/><Relationship Id="rId9" Type="http://schemas.openxmlformats.org/officeDocument/2006/relationships/image" Target="media/image4.tif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319</Words>
  <Characters>1909</Characters>
  <Application>Microsoft Office Word</Application>
  <DocSecurity>0</DocSecurity>
  <Lines>32</Lines>
  <Paragraphs>12</Paragraphs>
  <ScaleCrop>false</ScaleCrop>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晨光亦好</dc:creator>
  <cp:lastModifiedBy>Jane Smith</cp:lastModifiedBy>
  <cp:revision>5</cp:revision>
  <dcterms:created xsi:type="dcterms:W3CDTF">2025-08-12T09:10:00Z</dcterms:created>
  <dcterms:modified xsi:type="dcterms:W3CDTF">2025-10-21T01:53:00Z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E9FDC426B4E240E5A8B9B248769E5701_11</vt:lpwstr>
  </property>
  <property fmtid="{D5CDD505-2E9C-101B-9397-08002B2CF9AE}" pid="4" name="KSOTemplateDocerSaveRecord">
    <vt:lpwstr>eyJoZGlkIjoiNTU0ZmIwYTQ3NzlmZGUxZmU3Zjk0M2IyZTNmM2IxNjAiLCJ1c2VySWQiOiI1NzQ1MDc4NTMifQ==</vt:lpwstr>
  </property>
</Properties>
</file>