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C84A0" w14:textId="77777777" w:rsidR="000269CF" w:rsidRDefault="00000000">
      <w:pPr>
        <w:adjustRightInd w:val="0"/>
        <w:snapToGrid w:val="0"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Supplementary Materials for</w:t>
      </w:r>
    </w:p>
    <w:p w14:paraId="0BA89458" w14:textId="77777777" w:rsidR="000269CF" w:rsidRDefault="00000000">
      <w:pPr>
        <w:adjustRightInd w:val="0"/>
        <w:snapToGrid w:val="0"/>
        <w:spacing w:line="48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iCs/>
          <w:sz w:val="24"/>
          <w:szCs w:val="24"/>
        </w:rPr>
        <w:t>Microplastics mineralization accelerates soil organic carbon decomposition by positive priming effects: A meta-analysis</w:t>
      </w:r>
    </w:p>
    <w:p w14:paraId="5D4F9982" w14:textId="77777777" w:rsidR="000269CF" w:rsidRDefault="00000000">
      <w:pPr>
        <w:adjustRightInd w:val="0"/>
        <w:snapToGrid w:val="0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C0EA24" w14:textId="77777777" w:rsidR="000269CF" w:rsidRDefault="00000000">
      <w:pPr>
        <w:adjustRightInd w:val="0"/>
        <w:snapToGrid w:val="0"/>
        <w:spacing w:line="48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Shuotian Lai, </w:t>
      </w:r>
      <w:r>
        <w:rPr>
          <w:rFonts w:ascii="Times New Roman" w:hAnsi="Times New Roman" w:cs="Times New Roman" w:hint="eastAsia"/>
          <w:sz w:val="24"/>
          <w:szCs w:val="24"/>
        </w:rPr>
        <w:t xml:space="preserve">Changlin Xu, </w:t>
      </w:r>
      <w:r>
        <w:rPr>
          <w:rFonts w:ascii="Times New Roman" w:hAnsi="Times New Roman" w:cs="Times New Roman"/>
          <w:sz w:val="24"/>
          <w:szCs w:val="24"/>
        </w:rPr>
        <w:t>Wenao Wu, Xudong Wang,</w:t>
      </w:r>
      <w:r>
        <w:rPr>
          <w:rFonts w:ascii="Times New Roman" w:hAnsi="Times New Roman" w:cs="Times New Roman" w:hint="eastAsia"/>
          <w:sz w:val="24"/>
          <w:szCs w:val="24"/>
        </w:rPr>
        <w:t xml:space="preserve"> Yongxiang Yu,</w:t>
      </w:r>
      <w:r>
        <w:rPr>
          <w:rFonts w:ascii="Times New Roman" w:hAnsi="Times New Roman" w:cs="Times New Roman"/>
          <w:sz w:val="24"/>
          <w:szCs w:val="24"/>
        </w:rPr>
        <w:t xml:space="preserve"> Biao Zhu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</w:p>
    <w:p w14:paraId="70E33FB7" w14:textId="77777777" w:rsidR="000269CF" w:rsidRDefault="000269CF">
      <w:pPr>
        <w:adjustRightInd w:val="0"/>
        <w:snapToGrid w:val="0"/>
        <w:spacing w:line="480" w:lineRule="auto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59104B1C" w14:textId="77777777" w:rsidR="000269CF" w:rsidRDefault="00000000">
      <w:pPr>
        <w:adjustRightInd w:val="0"/>
        <w:snapToGrid w:val="0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bCs/>
          <w:sz w:val="24"/>
          <w:szCs w:val="24"/>
        </w:rPr>
        <w:t xml:space="preserve">Corresponding author: </w:t>
      </w:r>
      <w:hyperlink r:id="rId8" w:history="1">
        <w:r w:rsidR="000269CF">
          <w:rPr>
            <w:rStyle w:val="af1"/>
            <w:rFonts w:ascii="Times New Roman" w:hAnsi="Times New Roman" w:cs="Times New Roman" w:hint="eastAsia"/>
            <w:sz w:val="24"/>
            <w:szCs w:val="24"/>
          </w:rPr>
          <w:t>biaozhu@pku.edu.cn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611E6648" w14:textId="77777777" w:rsidR="000269CF" w:rsidRDefault="000269CF">
      <w:pPr>
        <w:adjustRightInd w:val="0"/>
        <w:snapToGrid w:val="0"/>
        <w:spacing w:line="480" w:lineRule="auto"/>
        <w:jc w:val="left"/>
        <w:rPr>
          <w:rStyle w:val="af1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6646D4AF" w14:textId="77777777" w:rsidR="000269CF" w:rsidRDefault="00000000">
      <w:pPr>
        <w:adjustRightInd w:val="0"/>
        <w:snapToGrid w:val="0"/>
        <w:spacing w:line="480" w:lineRule="auto"/>
        <w:jc w:val="left"/>
        <w:rPr>
          <w:rStyle w:val="af1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af1"/>
          <w:rFonts w:ascii="Times New Roman" w:hAnsi="Times New Roman" w:cs="Times New Roman"/>
          <w:color w:val="auto"/>
          <w:sz w:val="24"/>
          <w:szCs w:val="24"/>
          <w:u w:val="none"/>
        </w:rPr>
        <w:t>This file includes:</w:t>
      </w:r>
    </w:p>
    <w:p w14:paraId="465A396E" w14:textId="77777777" w:rsidR="000269CF" w:rsidRDefault="00000000">
      <w:pPr>
        <w:adjustRightInd w:val="0"/>
        <w:snapToGrid w:val="0"/>
        <w:spacing w:line="480" w:lineRule="auto"/>
        <w:ind w:firstLine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Figures S1-S</w:t>
      </w:r>
      <w:r>
        <w:rPr>
          <w:rFonts w:ascii="Times New Roman" w:hAnsi="Times New Roman" w:cs="Times New Roman" w:hint="eastAsia"/>
          <w:sz w:val="24"/>
          <w:szCs w:val="24"/>
        </w:rPr>
        <w:t>5</w:t>
      </w:r>
    </w:p>
    <w:p w14:paraId="0E5A1478" w14:textId="77777777" w:rsidR="000269CF" w:rsidRDefault="00000000">
      <w:pPr>
        <w:adjustRightInd w:val="0"/>
        <w:snapToGrid w:val="0"/>
        <w:spacing w:line="480" w:lineRule="auto"/>
        <w:ind w:firstLine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Tables S1-S2</w:t>
      </w:r>
    </w:p>
    <w:p w14:paraId="30CFFB76" w14:textId="77777777" w:rsidR="000269CF" w:rsidRDefault="00000000">
      <w:pPr>
        <w:adjustRightInd w:val="0"/>
        <w:snapToGrid w:val="0"/>
        <w:spacing w:line="480" w:lineRule="auto"/>
        <w:ind w:firstLine="420"/>
        <w:jc w:val="left"/>
        <w:rPr>
          <w:rFonts w:hint="eastAsia"/>
        </w:rPr>
      </w:pPr>
      <w:r>
        <w:rPr>
          <w:rFonts w:ascii="Times New Roman" w:hAnsi="Times New Roman" w:cs="Times New Roman"/>
          <w:sz w:val="24"/>
          <w:szCs w:val="24"/>
        </w:rPr>
        <w:t>Text S1</w:t>
      </w:r>
      <w:r>
        <w:rPr>
          <w:rFonts w:hint="eastAsia"/>
        </w:rPr>
        <w:br w:type="page"/>
      </w:r>
    </w:p>
    <w:p w14:paraId="35EEBCBA" w14:textId="77777777" w:rsidR="000269CF" w:rsidRDefault="00000000">
      <w:pPr>
        <w:adjustRightInd w:val="0"/>
        <w:snapToGrid w:val="0"/>
        <w:spacing w:line="48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114300" distR="114300" wp14:anchorId="5966F1AE" wp14:editId="5D529566">
            <wp:extent cx="5753735" cy="4779645"/>
            <wp:effectExtent l="0" t="0" r="18415" b="1905"/>
            <wp:docPr id="1" name="图片 1" descr="Fig. 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ig. S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53735" cy="477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5C21A9" w14:textId="69F81227" w:rsidR="000269CF" w:rsidRDefault="00000000" w:rsidP="003B078A">
      <w:pPr>
        <w:adjustRightInd w:val="0"/>
        <w:snapToGrid w:val="0"/>
        <w:spacing w:line="480" w:lineRule="auto"/>
        <w:outlineLvl w:val="0"/>
        <w:rPr>
          <w:rFonts w:hint="eastAsia"/>
        </w:rPr>
      </w:pPr>
      <w:r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S1 </w:t>
      </w:r>
      <w:r>
        <w:rPr>
          <w:rFonts w:ascii="Times New Roman" w:hAnsi="Times New Roman" w:cs="Times New Roman" w:hint="eastAsia"/>
          <w:sz w:val="24"/>
          <w:szCs w:val="24"/>
        </w:rPr>
        <w:t>PRISMA 2020 Flow Diagram showing the procedure of study selection in this meta-analysis.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68437B9" w14:textId="77777777" w:rsidR="000269CF" w:rsidRDefault="00000000">
      <w:pPr>
        <w:adjustRightInd w:val="0"/>
        <w:snapToGrid w:val="0"/>
        <w:spacing w:line="480" w:lineRule="auto"/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443A4731" wp14:editId="0AC9F42D">
            <wp:extent cx="5759450" cy="2879725"/>
            <wp:effectExtent l="0" t="0" r="0" b="0"/>
            <wp:docPr id="54228327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283272" name="图片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E764D" w14:textId="22235A8B" w:rsidR="000269CF" w:rsidRDefault="00000000" w:rsidP="000644A0">
      <w:pPr>
        <w:adjustRightInd w:val="0"/>
        <w:snapToGrid w:val="0"/>
        <w:spacing w:line="480" w:lineRule="auto"/>
        <w:outlineLvl w:val="0"/>
        <w:rPr>
          <w:rFonts w:hint="eastAsia"/>
        </w:rPr>
      </w:pPr>
      <w:r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S2 </w:t>
      </w:r>
      <w:r>
        <w:rPr>
          <w:rFonts w:ascii="Times New Roman" w:hAnsi="Times New Roman" w:cs="Times New Roman" w:hint="eastAsia"/>
          <w:sz w:val="24"/>
          <w:szCs w:val="24"/>
        </w:rPr>
        <w:t xml:space="preserve">Global distributions of current microplastics priming effect experiments included in this study. A total of 103 </w:t>
      </w:r>
      <w:r>
        <w:rPr>
          <w:rFonts w:ascii="Times New Roman" w:hAnsi="Times New Roman" w:cs="Times New Roman"/>
          <w:sz w:val="24"/>
          <w:szCs w:val="24"/>
        </w:rPr>
        <w:t xml:space="preserve">observations </w:t>
      </w:r>
      <w:r>
        <w:rPr>
          <w:rFonts w:ascii="Times New Roman" w:hAnsi="Times New Roman" w:cs="Times New Roman" w:hint="eastAsia"/>
          <w:sz w:val="24"/>
          <w:szCs w:val="24"/>
        </w:rPr>
        <w:t>were collected at 20 sites obtained from 12 peer-reviewed journal articles published before May 2025.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8DD5345" w14:textId="77777777" w:rsidR="000269CF" w:rsidRDefault="00000000">
      <w:pPr>
        <w:adjustRightInd w:val="0"/>
        <w:snapToGrid w:val="0"/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0A91FDE" wp14:editId="73383FFE">
            <wp:extent cx="5759450" cy="3466465"/>
            <wp:effectExtent l="0" t="0" r="0" b="635"/>
            <wp:docPr id="118731701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7317016" name="图片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46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6A29B5" w14:textId="3DBD5BD9" w:rsidR="000269CF" w:rsidRDefault="00000000" w:rsidP="00B541F9">
      <w:pPr>
        <w:adjustRightInd w:val="0"/>
        <w:snapToGrid w:val="0"/>
        <w:spacing w:line="48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S3 </w:t>
      </w:r>
      <w:r>
        <w:rPr>
          <w:rFonts w:ascii="Times New Roman" w:hAnsi="Times New Roman" w:cs="Times New Roman" w:hint="eastAsia"/>
          <w:sz w:val="24"/>
          <w:szCs w:val="24"/>
        </w:rPr>
        <w:t>The relationships between microplastics mineralization rate and soil variables. The dashed line denotes non-significant fitted results (</w:t>
      </w:r>
      <w:r>
        <w:rPr>
          <w:rFonts w:ascii="Times New Roman" w:hAnsi="Times New Roman" w:cs="Times New Roman"/>
          <w:i/>
          <w:iCs/>
          <w:sz w:val="24"/>
          <w:szCs w:val="24"/>
        </w:rPr>
        <w:t>P</w:t>
      </w:r>
      <w:r>
        <w:rPr>
          <w:rFonts w:ascii="Times New Roman" w:hAnsi="Times New Roman" w:cs="Times New Roman" w:hint="eastAsia"/>
          <w:sz w:val="24"/>
          <w:szCs w:val="24"/>
        </w:rPr>
        <w:t xml:space="preserve"> &gt; 0.05). Gray shadow shows 95% confidence intervals. The marginal (m) and conditional (c) </w:t>
      </w:r>
      <w:r>
        <w:rPr>
          <w:rFonts w:ascii="Times New Roman" w:hAnsi="Times New Roman" w:cs="Times New Roman" w:hint="eastAsia"/>
          <w:i/>
          <w:iCs/>
          <w:sz w:val="24"/>
          <w:szCs w:val="24"/>
        </w:rPr>
        <w:t>R</w:t>
      </w:r>
      <w:r>
        <w:rPr>
          <w:rFonts w:ascii="Times New Roman" w:hAnsi="Times New Roman" w:cs="Times New Roman" w:hint="eastAsia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represent</w:t>
      </w:r>
      <w:r>
        <w:rPr>
          <w:rFonts w:ascii="Times New Roman" w:hAnsi="Times New Roman" w:cs="Times New Roman" w:hint="eastAsia"/>
          <w:sz w:val="24"/>
          <w:szCs w:val="24"/>
        </w:rPr>
        <w:t xml:space="preserve"> the degree of explanation by fixed effects and by both fixed and random effects (study), respectively. Soil Clay, soil clay concentration; Soil WHC, soil water holding capacity; Soil Temperature, incubation temperature; Soil C, soil organic carbon concentration; Soil TN, soil total nitrogen concentration; Soil CN, soil carbon and nitrogen ratio. 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CCF040F" w14:textId="77777777" w:rsidR="000269CF" w:rsidRDefault="00000000">
      <w:pPr>
        <w:adjustRightInd w:val="0"/>
        <w:snapToGrid w:val="0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FFBE3E4" wp14:editId="0D628782">
            <wp:extent cx="5759450" cy="1729105"/>
            <wp:effectExtent l="0" t="0" r="0" b="4445"/>
            <wp:docPr id="132752768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527686" name="图片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172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893B6C" w14:textId="381C25B5" w:rsidR="000269CF" w:rsidRDefault="00000000" w:rsidP="00B541F9">
      <w:pPr>
        <w:adjustRightInd w:val="0"/>
        <w:snapToGrid w:val="0"/>
        <w:spacing w:line="48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S4 </w:t>
      </w:r>
      <w:r>
        <w:rPr>
          <w:rFonts w:ascii="Times New Roman" w:hAnsi="Times New Roman" w:cs="Times New Roman" w:hint="eastAsia"/>
          <w:sz w:val="24"/>
          <w:szCs w:val="24"/>
        </w:rPr>
        <w:t xml:space="preserve">Changes in microplastics daily mineralization rate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(a)</w:t>
      </w:r>
      <w:r>
        <w:rPr>
          <w:rFonts w:ascii="Times New Roman" w:hAnsi="Times New Roman" w:cs="Times New Roman" w:hint="eastAsia"/>
          <w:sz w:val="24"/>
          <w:szCs w:val="24"/>
        </w:rPr>
        <w:t xml:space="preserve"> and priming effect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(b)</w:t>
      </w:r>
      <w:r>
        <w:rPr>
          <w:rFonts w:ascii="Times New Roman" w:hAnsi="Times New Roman" w:cs="Times New Roman" w:hint="eastAsia"/>
          <w:sz w:val="24"/>
          <w:szCs w:val="24"/>
        </w:rPr>
        <w:t xml:space="preserve"> with incubation time as well as the relationships between microplastics mineralization rate and priming effect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(c)</w:t>
      </w:r>
      <w:r>
        <w:rPr>
          <w:rFonts w:ascii="Times New Roman" w:hAnsi="Times New Roman" w:cs="Times New Roman" w:hint="eastAsia"/>
          <w:sz w:val="24"/>
          <w:szCs w:val="24"/>
        </w:rPr>
        <w:t xml:space="preserve">. The red and blue points in panels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>
        <w:rPr>
          <w:rFonts w:ascii="Times New Roman" w:hAnsi="Times New Roman" w:cs="Times New Roman" w:hint="eastAsia"/>
          <w:sz w:val="24"/>
          <w:szCs w:val="24"/>
        </w:rPr>
        <w:t xml:space="preserve"> and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 xml:space="preserve"> represent positive and negative priming effect, respectively. The red and blue lines in panel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 xml:space="preserve"> indicate the correlation between MPs mineralization rate and positive and negative MPs priming effect, respectively. The marginal (m) and conditional (c) </w:t>
      </w:r>
      <w:r>
        <w:rPr>
          <w:rFonts w:ascii="Times New Roman" w:hAnsi="Times New Roman" w:cs="Times New Roman" w:hint="eastAsia"/>
          <w:i/>
          <w:iCs/>
          <w:sz w:val="24"/>
          <w:szCs w:val="24"/>
        </w:rPr>
        <w:t>R</w:t>
      </w:r>
      <w:r>
        <w:rPr>
          <w:rFonts w:ascii="Times New Roman" w:hAnsi="Times New Roman" w:cs="Times New Roman" w:hint="eastAsia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 w:hint="eastAsia"/>
          <w:sz w:val="24"/>
          <w:szCs w:val="24"/>
        </w:rPr>
        <w:t xml:space="preserve"> in panel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represent</w:t>
      </w:r>
      <w:r>
        <w:rPr>
          <w:rFonts w:ascii="Times New Roman" w:hAnsi="Times New Roman" w:cs="Times New Roman" w:hint="eastAsia"/>
          <w:sz w:val="24"/>
          <w:szCs w:val="24"/>
        </w:rPr>
        <w:t xml:space="preserve"> the degree of explanation by fixed effects and by both fixed and random effects (study), respectively. 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AB963D7" w14:textId="77777777" w:rsidR="000269CF" w:rsidRDefault="00000000">
      <w:pPr>
        <w:widowControl/>
        <w:adjustRightInd w:val="0"/>
        <w:snapToGrid w:val="0"/>
        <w:spacing w:line="48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7F54C5D" wp14:editId="387F3FDC">
            <wp:extent cx="5759450" cy="3670300"/>
            <wp:effectExtent l="0" t="0" r="0" b="6350"/>
            <wp:docPr id="12439404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940410" name="图片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67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032C50" w14:textId="2568BD98" w:rsidR="000269CF" w:rsidRDefault="00000000" w:rsidP="00B541F9">
      <w:pPr>
        <w:adjustRightInd w:val="0"/>
        <w:snapToGrid w:val="0"/>
        <w:spacing w:line="48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S5 </w:t>
      </w:r>
      <w:r>
        <w:rPr>
          <w:rFonts w:ascii="Times New Roman" w:hAnsi="Times New Roman" w:cs="Times New Roman" w:hint="eastAsia"/>
          <w:sz w:val="24"/>
          <w:szCs w:val="24"/>
        </w:rPr>
        <w:t>The relationships between the natural logarithm of response ratio (ln</w:t>
      </w:r>
      <w:r>
        <w:rPr>
          <w:rFonts w:ascii="Times New Roman" w:hAnsi="Times New Roman" w:cs="Times New Roman" w:hint="eastAsia"/>
          <w:i/>
          <w:iCs/>
          <w:sz w:val="24"/>
          <w:szCs w:val="24"/>
        </w:rPr>
        <w:t>RR</w:t>
      </w:r>
      <w:r>
        <w:rPr>
          <w:rFonts w:ascii="Times New Roman" w:hAnsi="Times New Roman" w:cs="Times New Roman" w:hint="eastAsia"/>
          <w:sz w:val="24"/>
          <w:szCs w:val="24"/>
        </w:rPr>
        <w:t xml:space="preserve">) and soil variables. </w:t>
      </w:r>
      <w:bookmarkStart w:id="0" w:name="_Hlk197437587"/>
      <w:r>
        <w:rPr>
          <w:rFonts w:ascii="Times New Roman" w:hAnsi="Times New Roman" w:cs="Times New Roman" w:hint="eastAsia"/>
          <w:sz w:val="24"/>
          <w:szCs w:val="24"/>
        </w:rPr>
        <w:t>The dashed line denotes non-significant fitted results (</w:t>
      </w:r>
      <w:r>
        <w:rPr>
          <w:rFonts w:ascii="Times New Roman" w:hAnsi="Times New Roman" w:cs="Times New Roman" w:hint="eastAsia"/>
          <w:i/>
          <w:iCs/>
          <w:sz w:val="24"/>
          <w:szCs w:val="24"/>
        </w:rPr>
        <w:t>P</w:t>
      </w:r>
      <w:r>
        <w:rPr>
          <w:rFonts w:ascii="Times New Roman" w:hAnsi="Times New Roman" w:cs="Times New Roman" w:hint="eastAsia"/>
          <w:sz w:val="24"/>
          <w:szCs w:val="24"/>
        </w:rPr>
        <w:t xml:space="preserve"> &gt; 0.05).</w:t>
      </w:r>
      <w:bookmarkEnd w:id="0"/>
      <w:r>
        <w:rPr>
          <w:rFonts w:ascii="Times New Roman" w:hAnsi="Times New Roman" w:cs="Times New Roman" w:hint="eastAsia"/>
          <w:sz w:val="24"/>
          <w:szCs w:val="24"/>
        </w:rPr>
        <w:t xml:space="preserve"> Gray shadow shows 95% confidence intervals. The marginal (m) and conditional (c) </w:t>
      </w:r>
      <w:r>
        <w:rPr>
          <w:rFonts w:ascii="Times New Roman" w:hAnsi="Times New Roman" w:cs="Times New Roman" w:hint="eastAsia"/>
          <w:i/>
          <w:iCs/>
          <w:sz w:val="24"/>
          <w:szCs w:val="24"/>
        </w:rPr>
        <w:t>R</w:t>
      </w:r>
      <w:r>
        <w:rPr>
          <w:rFonts w:ascii="Times New Roman" w:hAnsi="Times New Roman" w:cs="Times New Roman" w:hint="eastAsia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represent</w:t>
      </w:r>
      <w:r>
        <w:rPr>
          <w:rFonts w:ascii="Times New Roman" w:hAnsi="Times New Roman" w:cs="Times New Roman" w:hint="eastAsia"/>
          <w:sz w:val="24"/>
          <w:szCs w:val="24"/>
        </w:rPr>
        <w:t xml:space="preserve"> the degree of explanation by fixed effects and by both fixed and random effects (study), respectively. Soil Clay, soil clay concentration; Soil WHC, soil water holding capacity; Soil Temperature, incubation temperature; Soil C, soil organic carbon concentration; Soil TN, soil total nitrogen concentration.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2C7D53A" w14:textId="77777777" w:rsidR="000269CF" w:rsidRDefault="00000000">
      <w:pPr>
        <w:widowControl/>
        <w:adjustRightInd w:val="0"/>
        <w:snapToGrid w:val="0"/>
        <w:spacing w:line="48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lastRenderedPageBreak/>
        <w:t>Tabel S1</w:t>
      </w:r>
      <w:r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Examinations for publication bias using the Egger</w:t>
      </w:r>
      <w:r>
        <w:rPr>
          <w:rFonts w:ascii="Times New Roman" w:hAnsi="Times New Roman" w:cs="Times New Roman" w:hint="eastAsia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test. Results indicated that there was no publication bias.</w:t>
      </w:r>
    </w:p>
    <w:tbl>
      <w:tblPr>
        <w:tblStyle w:val="af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5"/>
        <w:gridCol w:w="5275"/>
      </w:tblGrid>
      <w:tr w:rsidR="000269CF" w14:paraId="0F7B9F67" w14:textId="77777777">
        <w:trPr>
          <w:trHeight w:val="567"/>
        </w:trPr>
        <w:tc>
          <w:tcPr>
            <w:tcW w:w="2092" w:type="pct"/>
            <w:tcBorders>
              <w:top w:val="single" w:sz="8" w:space="0" w:color="auto"/>
            </w:tcBorders>
            <w:vAlign w:val="center"/>
          </w:tcPr>
          <w:p w14:paraId="474BD595" w14:textId="77777777" w:rsidR="000269CF" w:rsidRDefault="000269CF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8" w:type="pct"/>
            <w:tcBorders>
              <w:top w:val="single" w:sz="8" w:space="0" w:color="auto"/>
            </w:tcBorders>
            <w:vAlign w:val="center"/>
          </w:tcPr>
          <w:p w14:paraId="434D81DC" w14:textId="77777777" w:rsidR="000269CF" w:rsidRDefault="00000000">
            <w:pPr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MPs priming effect</w:t>
            </w:r>
          </w:p>
        </w:tc>
      </w:tr>
      <w:tr w:rsidR="000269CF" w14:paraId="4EBCC3D7" w14:textId="77777777">
        <w:trPr>
          <w:trHeight w:val="567"/>
        </w:trPr>
        <w:tc>
          <w:tcPr>
            <w:tcW w:w="2092" w:type="pct"/>
            <w:tcBorders>
              <w:top w:val="single" w:sz="8" w:space="0" w:color="auto"/>
            </w:tcBorders>
            <w:vAlign w:val="center"/>
          </w:tcPr>
          <w:p w14:paraId="149EFB07" w14:textId="77777777" w:rsidR="000269CF" w:rsidRDefault="00000000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Sample size (</w:t>
            </w:r>
            <w:r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)</w:t>
            </w:r>
          </w:p>
        </w:tc>
        <w:tc>
          <w:tcPr>
            <w:tcW w:w="2908" w:type="pct"/>
            <w:tcBorders>
              <w:top w:val="single" w:sz="8" w:space="0" w:color="auto"/>
            </w:tcBorders>
            <w:vAlign w:val="center"/>
          </w:tcPr>
          <w:p w14:paraId="3210EF65" w14:textId="77777777" w:rsidR="000269CF" w:rsidRDefault="00000000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103</w:t>
            </w:r>
          </w:p>
        </w:tc>
      </w:tr>
      <w:tr w:rsidR="000269CF" w14:paraId="4C96A9A0" w14:textId="77777777">
        <w:trPr>
          <w:trHeight w:val="567"/>
        </w:trPr>
        <w:tc>
          <w:tcPr>
            <w:tcW w:w="2092" w:type="pct"/>
            <w:vAlign w:val="center"/>
          </w:tcPr>
          <w:p w14:paraId="3AB1FA41" w14:textId="77777777" w:rsidR="000269CF" w:rsidRDefault="00000000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z</w:t>
            </w:r>
          </w:p>
        </w:tc>
        <w:tc>
          <w:tcPr>
            <w:tcW w:w="2908" w:type="pct"/>
            <w:vAlign w:val="center"/>
          </w:tcPr>
          <w:p w14:paraId="58DA5FB6" w14:textId="77777777" w:rsidR="000269CF" w:rsidRDefault="00000000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-1.403</w:t>
            </w:r>
          </w:p>
        </w:tc>
      </w:tr>
      <w:tr w:rsidR="000269CF" w14:paraId="75E4B46E" w14:textId="77777777">
        <w:trPr>
          <w:trHeight w:val="567"/>
        </w:trPr>
        <w:tc>
          <w:tcPr>
            <w:tcW w:w="2092" w:type="pct"/>
            <w:tcBorders>
              <w:bottom w:val="single" w:sz="8" w:space="0" w:color="auto"/>
            </w:tcBorders>
            <w:vAlign w:val="center"/>
          </w:tcPr>
          <w:p w14:paraId="4AF6372A" w14:textId="77777777" w:rsidR="000269CF" w:rsidRDefault="00000000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value</w:t>
            </w:r>
          </w:p>
        </w:tc>
        <w:tc>
          <w:tcPr>
            <w:tcW w:w="2908" w:type="pct"/>
            <w:tcBorders>
              <w:bottom w:val="single" w:sz="8" w:space="0" w:color="auto"/>
            </w:tcBorders>
            <w:vAlign w:val="center"/>
          </w:tcPr>
          <w:p w14:paraId="62AF3081" w14:textId="77777777" w:rsidR="000269CF" w:rsidRDefault="00000000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0.161</w:t>
            </w:r>
          </w:p>
        </w:tc>
      </w:tr>
    </w:tbl>
    <w:p w14:paraId="61EACB8E" w14:textId="77777777" w:rsidR="000269CF" w:rsidRDefault="00000000">
      <w:pPr>
        <w:widowControl/>
        <w:adjustRightInd w:val="0"/>
        <w:snapToGrid w:val="0"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  <w:sectPr w:rsidR="000269CF">
          <w:headerReference w:type="default" r:id="rId14"/>
          <w:footerReference w:type="default" r:id="rId15"/>
          <w:pgSz w:w="11906" w:h="16838"/>
          <w:pgMar w:top="1418" w:right="1418" w:bottom="1418" w:left="1418" w:header="720" w:footer="720" w:gutter="0"/>
          <w:lnNumType w:countBy="1" w:restart="continuous"/>
          <w:cols w:space="720"/>
          <w:docGrid w:linePitch="286"/>
        </w:sect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790007F" w14:textId="77777777" w:rsidR="000269CF" w:rsidRDefault="00000000">
      <w:pPr>
        <w:widowControl/>
        <w:adjustRightInd w:val="0"/>
        <w:snapToGrid w:val="0"/>
        <w:spacing w:line="48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lastRenderedPageBreak/>
        <w:t>Tabel S2</w:t>
      </w:r>
      <w:r>
        <w:rPr>
          <w:rFonts w:ascii="Times New Roman" w:hAnsi="Times New Roman" w:cs="Times New Roman" w:hint="eastAsia"/>
          <w:sz w:val="24"/>
          <w:szCs w:val="24"/>
          <w:lang w:val="en-GB"/>
        </w:rPr>
        <w:t xml:space="preserve"> The</w:t>
      </w:r>
      <w:r>
        <w:rPr>
          <w:rFonts w:ascii="Times New Roman" w:hAnsi="Times New Roman" w:cs="Times New Roman" w:hint="eastAsia"/>
          <w:sz w:val="24"/>
          <w:szCs w:val="24"/>
        </w:rPr>
        <w:t xml:space="preserve"> microplastics mineralization rate and the</w:t>
      </w:r>
      <w:r>
        <w:rPr>
          <w:rFonts w:ascii="Times New Roman" w:hAnsi="Times New Roman" w:cs="Times New Roman" w:hint="eastAsia"/>
          <w:sz w:val="24"/>
          <w:szCs w:val="24"/>
          <w:lang w:val="en-GB"/>
        </w:rPr>
        <w:t xml:space="preserve"> weighted response ratio of </w:t>
      </w:r>
      <w:r>
        <w:rPr>
          <w:rFonts w:ascii="Times New Roman" w:hAnsi="Times New Roman" w:cs="Times New Roman" w:hint="eastAsia"/>
          <w:sz w:val="24"/>
          <w:szCs w:val="24"/>
        </w:rPr>
        <w:t xml:space="preserve">microplastics priming effect after excluding </w:t>
      </w:r>
      <w:r>
        <w:rPr>
          <w:rFonts w:ascii="Times New Roman" w:hAnsi="Times New Roman" w:cs="Times New Roman"/>
          <w:sz w:val="24"/>
          <w:szCs w:val="24"/>
        </w:rPr>
        <w:t>outliers</w:t>
      </w:r>
      <w:r>
        <w:rPr>
          <w:rFonts w:ascii="Times New Roman" w:hAnsi="Times New Roman" w:cs="Times New Roman" w:hint="eastAsia"/>
          <w:sz w:val="24"/>
          <w:szCs w:val="24"/>
        </w:rPr>
        <w:t>. Results indicate that outliers removal have no significant impact on the direction and magnitude of effect sizes, confidence intervals and significance levels.</w:t>
      </w:r>
    </w:p>
    <w:tbl>
      <w:tblPr>
        <w:tblStyle w:val="af"/>
        <w:tblW w:w="1675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34"/>
        <w:gridCol w:w="3087"/>
        <w:gridCol w:w="1940"/>
        <w:gridCol w:w="1071"/>
        <w:gridCol w:w="1150"/>
        <w:gridCol w:w="1058"/>
        <w:gridCol w:w="1072"/>
        <w:gridCol w:w="1091"/>
        <w:gridCol w:w="1093"/>
        <w:gridCol w:w="1134"/>
        <w:gridCol w:w="1058"/>
        <w:gridCol w:w="1066"/>
      </w:tblGrid>
      <w:tr w:rsidR="000269CF" w14:paraId="0A8DA4DF" w14:textId="77777777">
        <w:trPr>
          <w:trHeight w:val="57"/>
          <w:jc w:val="center"/>
        </w:trPr>
        <w:tc>
          <w:tcPr>
            <w:tcW w:w="1934" w:type="dxa"/>
            <w:vMerge w:val="restart"/>
            <w:tcBorders>
              <w:top w:val="single" w:sz="8" w:space="0" w:color="auto"/>
            </w:tcBorders>
            <w:vAlign w:val="center"/>
          </w:tcPr>
          <w:p w14:paraId="3A6FCFEB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Outliers removal</w:t>
            </w:r>
          </w:p>
        </w:tc>
        <w:tc>
          <w:tcPr>
            <w:tcW w:w="3087" w:type="dxa"/>
            <w:vMerge w:val="restart"/>
            <w:tcBorders>
              <w:top w:val="single" w:sz="8" w:space="0" w:color="auto"/>
            </w:tcBorders>
            <w:vAlign w:val="center"/>
          </w:tcPr>
          <w:p w14:paraId="6E8844A8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Variable</w:t>
            </w:r>
          </w:p>
        </w:tc>
        <w:tc>
          <w:tcPr>
            <w:tcW w:w="1940" w:type="dxa"/>
            <w:vMerge w:val="restart"/>
            <w:tcBorders>
              <w:top w:val="single" w:sz="8" w:space="0" w:color="auto"/>
            </w:tcBorders>
            <w:vAlign w:val="center"/>
          </w:tcPr>
          <w:p w14:paraId="7CBEDC82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  <w:vMerge w:val="restart"/>
            <w:tcBorders>
              <w:top w:val="single" w:sz="8" w:space="0" w:color="auto"/>
            </w:tcBorders>
            <w:vAlign w:val="center"/>
          </w:tcPr>
          <w:p w14:paraId="411E749E" w14:textId="77777777" w:rsidR="000269CF" w:rsidRDefault="00000000" w:rsidP="00D301DD">
            <w:pPr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Total</w:t>
            </w:r>
          </w:p>
        </w:tc>
        <w:tc>
          <w:tcPr>
            <w:tcW w:w="8722" w:type="dxa"/>
            <w:gridSpan w:val="8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86CA1F2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Subgroup</w:t>
            </w:r>
          </w:p>
        </w:tc>
      </w:tr>
      <w:tr w:rsidR="000269CF" w14:paraId="416C19A0" w14:textId="77777777">
        <w:trPr>
          <w:trHeight w:val="396"/>
          <w:jc w:val="center"/>
        </w:trPr>
        <w:tc>
          <w:tcPr>
            <w:tcW w:w="1934" w:type="dxa"/>
            <w:vMerge/>
            <w:vAlign w:val="center"/>
          </w:tcPr>
          <w:p w14:paraId="76FABE53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  <w:vMerge/>
            <w:vAlign w:val="center"/>
          </w:tcPr>
          <w:p w14:paraId="0C6462A7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vMerge/>
            <w:vAlign w:val="center"/>
          </w:tcPr>
          <w:p w14:paraId="022954BF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  <w:vMerge/>
            <w:vAlign w:val="center"/>
          </w:tcPr>
          <w:p w14:paraId="06A4E015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8" w:type="dxa"/>
            <w:gridSpan w:val="2"/>
            <w:tcBorders>
              <w:top w:val="single" w:sz="8" w:space="0" w:color="auto"/>
            </w:tcBorders>
            <w:vAlign w:val="center"/>
          </w:tcPr>
          <w:p w14:paraId="7E353E0C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MPs type</w:t>
            </w:r>
          </w:p>
        </w:tc>
        <w:tc>
          <w:tcPr>
            <w:tcW w:w="3256" w:type="dxa"/>
            <w:gridSpan w:val="3"/>
            <w:tcBorders>
              <w:top w:val="single" w:sz="8" w:space="0" w:color="auto"/>
            </w:tcBorders>
            <w:vAlign w:val="center"/>
          </w:tcPr>
          <w:p w14:paraId="5B9A60F0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MPs size</w:t>
            </w:r>
          </w:p>
        </w:tc>
        <w:tc>
          <w:tcPr>
            <w:tcW w:w="3258" w:type="dxa"/>
            <w:gridSpan w:val="3"/>
            <w:tcBorders>
              <w:top w:val="single" w:sz="8" w:space="0" w:color="auto"/>
            </w:tcBorders>
            <w:vAlign w:val="center"/>
          </w:tcPr>
          <w:p w14:paraId="4C85BB37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MPs concentration</w:t>
            </w:r>
          </w:p>
        </w:tc>
      </w:tr>
      <w:tr w:rsidR="000269CF" w14:paraId="156D220D" w14:textId="77777777" w:rsidTr="00D301DD">
        <w:trPr>
          <w:trHeight w:val="355"/>
          <w:jc w:val="center"/>
        </w:trPr>
        <w:tc>
          <w:tcPr>
            <w:tcW w:w="1934" w:type="dxa"/>
            <w:vMerge/>
            <w:tcBorders>
              <w:bottom w:val="single" w:sz="8" w:space="0" w:color="auto"/>
            </w:tcBorders>
            <w:vAlign w:val="center"/>
          </w:tcPr>
          <w:p w14:paraId="6B1FF77F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  <w:vMerge/>
            <w:tcBorders>
              <w:bottom w:val="single" w:sz="8" w:space="0" w:color="auto"/>
            </w:tcBorders>
            <w:vAlign w:val="center"/>
          </w:tcPr>
          <w:p w14:paraId="4466C450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vMerge/>
            <w:tcBorders>
              <w:bottom w:val="single" w:sz="8" w:space="0" w:color="auto"/>
            </w:tcBorders>
            <w:vAlign w:val="center"/>
          </w:tcPr>
          <w:p w14:paraId="35861099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  <w:vMerge/>
            <w:tcBorders>
              <w:bottom w:val="single" w:sz="8" w:space="0" w:color="auto"/>
            </w:tcBorders>
            <w:vAlign w:val="center"/>
          </w:tcPr>
          <w:p w14:paraId="733787C2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  <w:tcBorders>
              <w:bottom w:val="single" w:sz="8" w:space="0" w:color="auto"/>
            </w:tcBorders>
            <w:vAlign w:val="center"/>
          </w:tcPr>
          <w:p w14:paraId="346016F0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Bio</w:t>
            </w:r>
          </w:p>
        </w:tc>
        <w:tc>
          <w:tcPr>
            <w:tcW w:w="1058" w:type="dxa"/>
            <w:tcBorders>
              <w:bottom w:val="single" w:sz="8" w:space="0" w:color="auto"/>
            </w:tcBorders>
            <w:vAlign w:val="center"/>
          </w:tcPr>
          <w:p w14:paraId="655CB998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Con</w:t>
            </w:r>
          </w:p>
        </w:tc>
        <w:tc>
          <w:tcPr>
            <w:tcW w:w="1072" w:type="dxa"/>
            <w:tcBorders>
              <w:bottom w:val="single" w:sz="8" w:space="0" w:color="auto"/>
            </w:tcBorders>
            <w:vAlign w:val="center"/>
          </w:tcPr>
          <w:p w14:paraId="3148F634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≤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1mm</w:t>
            </w:r>
          </w:p>
        </w:tc>
        <w:tc>
          <w:tcPr>
            <w:tcW w:w="1091" w:type="dxa"/>
            <w:tcBorders>
              <w:bottom w:val="single" w:sz="8" w:space="0" w:color="auto"/>
            </w:tcBorders>
            <w:vAlign w:val="center"/>
          </w:tcPr>
          <w:p w14:paraId="5719F7A4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&gt;1mm</w:t>
            </w:r>
          </w:p>
        </w:tc>
        <w:tc>
          <w:tcPr>
            <w:tcW w:w="1093" w:type="dxa"/>
            <w:tcBorders>
              <w:bottom w:val="single" w:sz="8" w:space="0" w:color="auto"/>
            </w:tcBorders>
            <w:vAlign w:val="center"/>
          </w:tcPr>
          <w:p w14:paraId="1A3E24C0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Others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14:paraId="5D1488E1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&lt;1%</w:t>
            </w:r>
          </w:p>
        </w:tc>
        <w:tc>
          <w:tcPr>
            <w:tcW w:w="1058" w:type="dxa"/>
            <w:tcBorders>
              <w:bottom w:val="single" w:sz="8" w:space="0" w:color="auto"/>
            </w:tcBorders>
            <w:vAlign w:val="center"/>
          </w:tcPr>
          <w:p w14:paraId="77D4033D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1%-3%</w:t>
            </w:r>
          </w:p>
        </w:tc>
        <w:tc>
          <w:tcPr>
            <w:tcW w:w="1066" w:type="dxa"/>
            <w:tcBorders>
              <w:bottom w:val="single" w:sz="8" w:space="0" w:color="auto"/>
            </w:tcBorders>
            <w:vAlign w:val="center"/>
          </w:tcPr>
          <w:p w14:paraId="1B8D43C2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&gt;3%</w:t>
            </w:r>
          </w:p>
        </w:tc>
      </w:tr>
      <w:tr w:rsidR="000269CF" w14:paraId="5D1678BC" w14:textId="77777777">
        <w:trPr>
          <w:trHeight w:val="57"/>
          <w:jc w:val="center"/>
        </w:trPr>
        <w:tc>
          <w:tcPr>
            <w:tcW w:w="1934" w:type="dxa"/>
            <w:vMerge w:val="restart"/>
            <w:tcBorders>
              <w:top w:val="single" w:sz="8" w:space="0" w:color="auto"/>
            </w:tcBorders>
          </w:tcPr>
          <w:p w14:paraId="16C00585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Before removal</w:t>
            </w:r>
          </w:p>
        </w:tc>
        <w:tc>
          <w:tcPr>
            <w:tcW w:w="3087" w:type="dxa"/>
            <w:vMerge w:val="restart"/>
            <w:tcBorders>
              <w:top w:val="single" w:sz="8" w:space="0" w:color="auto"/>
            </w:tcBorders>
          </w:tcPr>
          <w:p w14:paraId="5FA08D04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Microplastics mineralization rate</w:t>
            </w:r>
          </w:p>
        </w:tc>
        <w:tc>
          <w:tcPr>
            <w:tcW w:w="1940" w:type="dxa"/>
            <w:tcBorders>
              <w:top w:val="single" w:sz="8" w:space="0" w:color="auto"/>
              <w:bottom w:val="nil"/>
            </w:tcBorders>
            <w:vAlign w:val="center"/>
          </w:tcPr>
          <w:p w14:paraId="2D4EBA28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Sample size (</w:t>
            </w:r>
            <w:r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)</w:t>
            </w:r>
          </w:p>
        </w:tc>
        <w:tc>
          <w:tcPr>
            <w:tcW w:w="1071" w:type="dxa"/>
            <w:tcBorders>
              <w:top w:val="single" w:sz="8" w:space="0" w:color="auto"/>
              <w:bottom w:val="nil"/>
            </w:tcBorders>
            <w:vAlign w:val="center"/>
          </w:tcPr>
          <w:p w14:paraId="404852FE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 </w:t>
            </w:r>
          </w:p>
        </w:tc>
        <w:tc>
          <w:tcPr>
            <w:tcW w:w="1150" w:type="dxa"/>
            <w:tcBorders>
              <w:top w:val="single" w:sz="8" w:space="0" w:color="auto"/>
              <w:bottom w:val="nil"/>
            </w:tcBorders>
            <w:vAlign w:val="center"/>
          </w:tcPr>
          <w:p w14:paraId="31A4B889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77 </w:t>
            </w:r>
          </w:p>
        </w:tc>
        <w:tc>
          <w:tcPr>
            <w:tcW w:w="1058" w:type="dxa"/>
            <w:tcBorders>
              <w:top w:val="single" w:sz="8" w:space="0" w:color="auto"/>
              <w:bottom w:val="nil"/>
            </w:tcBorders>
            <w:vAlign w:val="center"/>
          </w:tcPr>
          <w:p w14:paraId="17482694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</w:p>
        </w:tc>
        <w:tc>
          <w:tcPr>
            <w:tcW w:w="1072" w:type="dxa"/>
            <w:tcBorders>
              <w:top w:val="single" w:sz="8" w:space="0" w:color="auto"/>
              <w:bottom w:val="nil"/>
            </w:tcBorders>
            <w:vAlign w:val="center"/>
          </w:tcPr>
          <w:p w14:paraId="45FCC831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 </w:t>
            </w:r>
          </w:p>
        </w:tc>
        <w:tc>
          <w:tcPr>
            <w:tcW w:w="1091" w:type="dxa"/>
            <w:tcBorders>
              <w:top w:val="single" w:sz="8" w:space="0" w:color="auto"/>
              <w:bottom w:val="nil"/>
            </w:tcBorders>
            <w:vAlign w:val="center"/>
          </w:tcPr>
          <w:p w14:paraId="0D98E422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1093" w:type="dxa"/>
            <w:tcBorders>
              <w:top w:val="single" w:sz="8" w:space="0" w:color="auto"/>
              <w:bottom w:val="nil"/>
            </w:tcBorders>
            <w:vAlign w:val="center"/>
          </w:tcPr>
          <w:p w14:paraId="3D74A825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1134" w:type="dxa"/>
            <w:tcBorders>
              <w:top w:val="single" w:sz="8" w:space="0" w:color="auto"/>
              <w:bottom w:val="nil"/>
            </w:tcBorders>
            <w:vAlign w:val="center"/>
          </w:tcPr>
          <w:p w14:paraId="3F636B55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 </w:t>
            </w:r>
          </w:p>
        </w:tc>
        <w:tc>
          <w:tcPr>
            <w:tcW w:w="1058" w:type="dxa"/>
            <w:tcBorders>
              <w:top w:val="single" w:sz="8" w:space="0" w:color="auto"/>
              <w:bottom w:val="nil"/>
            </w:tcBorders>
            <w:vAlign w:val="center"/>
          </w:tcPr>
          <w:p w14:paraId="64197830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</w:p>
        </w:tc>
        <w:tc>
          <w:tcPr>
            <w:tcW w:w="1066" w:type="dxa"/>
            <w:tcBorders>
              <w:top w:val="single" w:sz="8" w:space="0" w:color="auto"/>
              <w:bottom w:val="nil"/>
            </w:tcBorders>
            <w:vAlign w:val="center"/>
          </w:tcPr>
          <w:p w14:paraId="4024C140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</w:tr>
      <w:tr w:rsidR="000269CF" w14:paraId="11A96139" w14:textId="77777777">
        <w:trPr>
          <w:trHeight w:val="57"/>
          <w:jc w:val="center"/>
        </w:trPr>
        <w:tc>
          <w:tcPr>
            <w:tcW w:w="1934" w:type="dxa"/>
            <w:vMerge/>
            <w:vAlign w:val="center"/>
          </w:tcPr>
          <w:p w14:paraId="42229EE3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  <w:vMerge/>
          </w:tcPr>
          <w:p w14:paraId="45363518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nil"/>
              <w:bottom w:val="nil"/>
            </w:tcBorders>
            <w:vAlign w:val="center"/>
          </w:tcPr>
          <w:p w14:paraId="4B9FB043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Mean</w:t>
            </w:r>
          </w:p>
        </w:tc>
        <w:tc>
          <w:tcPr>
            <w:tcW w:w="1071" w:type="dxa"/>
            <w:tcBorders>
              <w:top w:val="nil"/>
              <w:bottom w:val="nil"/>
            </w:tcBorders>
            <w:vAlign w:val="center"/>
          </w:tcPr>
          <w:p w14:paraId="4839CC50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0.114 </w:t>
            </w:r>
          </w:p>
        </w:tc>
        <w:tc>
          <w:tcPr>
            <w:tcW w:w="1150" w:type="dxa"/>
            <w:tcBorders>
              <w:top w:val="nil"/>
              <w:bottom w:val="nil"/>
            </w:tcBorders>
            <w:vAlign w:val="center"/>
          </w:tcPr>
          <w:p w14:paraId="6C5FE7F6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0.131 </w:t>
            </w:r>
          </w:p>
        </w:tc>
        <w:tc>
          <w:tcPr>
            <w:tcW w:w="1058" w:type="dxa"/>
            <w:tcBorders>
              <w:top w:val="nil"/>
              <w:bottom w:val="nil"/>
            </w:tcBorders>
            <w:vAlign w:val="center"/>
          </w:tcPr>
          <w:p w14:paraId="3652AC79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0.004 </w:t>
            </w:r>
          </w:p>
        </w:tc>
        <w:tc>
          <w:tcPr>
            <w:tcW w:w="1072" w:type="dxa"/>
            <w:tcBorders>
              <w:top w:val="nil"/>
              <w:bottom w:val="nil"/>
            </w:tcBorders>
            <w:vAlign w:val="center"/>
          </w:tcPr>
          <w:p w14:paraId="1CAF6B36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0.148 </w:t>
            </w:r>
          </w:p>
        </w:tc>
        <w:tc>
          <w:tcPr>
            <w:tcW w:w="1091" w:type="dxa"/>
            <w:tcBorders>
              <w:top w:val="nil"/>
              <w:bottom w:val="nil"/>
            </w:tcBorders>
            <w:vAlign w:val="center"/>
          </w:tcPr>
          <w:p w14:paraId="10B0B483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0.021 </w:t>
            </w:r>
          </w:p>
        </w:tc>
        <w:tc>
          <w:tcPr>
            <w:tcW w:w="1093" w:type="dxa"/>
            <w:tcBorders>
              <w:top w:val="nil"/>
              <w:bottom w:val="nil"/>
            </w:tcBorders>
            <w:vAlign w:val="center"/>
          </w:tcPr>
          <w:p w14:paraId="6609BA6A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0.097 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1E415086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0.071 </w:t>
            </w:r>
          </w:p>
        </w:tc>
        <w:tc>
          <w:tcPr>
            <w:tcW w:w="1058" w:type="dxa"/>
            <w:tcBorders>
              <w:top w:val="nil"/>
              <w:bottom w:val="nil"/>
            </w:tcBorders>
            <w:vAlign w:val="center"/>
          </w:tcPr>
          <w:p w14:paraId="4ABADA41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0.161 </w:t>
            </w:r>
          </w:p>
        </w:tc>
        <w:tc>
          <w:tcPr>
            <w:tcW w:w="1066" w:type="dxa"/>
            <w:tcBorders>
              <w:top w:val="nil"/>
              <w:bottom w:val="nil"/>
            </w:tcBorders>
            <w:vAlign w:val="center"/>
          </w:tcPr>
          <w:p w14:paraId="7D53C494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0.063 </w:t>
            </w:r>
          </w:p>
        </w:tc>
      </w:tr>
      <w:tr w:rsidR="000269CF" w14:paraId="0F412CC7" w14:textId="77777777">
        <w:trPr>
          <w:trHeight w:val="57"/>
          <w:jc w:val="center"/>
        </w:trPr>
        <w:tc>
          <w:tcPr>
            <w:tcW w:w="1934" w:type="dxa"/>
            <w:vMerge/>
            <w:vAlign w:val="center"/>
          </w:tcPr>
          <w:p w14:paraId="2A037A23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  <w:vMerge/>
          </w:tcPr>
          <w:p w14:paraId="62714D8E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nil"/>
              <w:bottom w:val="nil"/>
            </w:tcBorders>
            <w:vAlign w:val="center"/>
          </w:tcPr>
          <w:p w14:paraId="2FB92D4F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CI</w:t>
            </w:r>
            <w:r>
              <w:rPr>
                <w:rFonts w:ascii="Times New Roman" w:hAnsi="Times New Roman" w:cs="Times New Roman" w:hint="eastAsia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071" w:type="dxa"/>
            <w:tcBorders>
              <w:top w:val="nil"/>
              <w:bottom w:val="nil"/>
            </w:tcBorders>
            <w:vAlign w:val="center"/>
          </w:tcPr>
          <w:p w14:paraId="6E0BF8AD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0.064 </w:t>
            </w:r>
          </w:p>
        </w:tc>
        <w:tc>
          <w:tcPr>
            <w:tcW w:w="1150" w:type="dxa"/>
            <w:tcBorders>
              <w:top w:val="nil"/>
              <w:bottom w:val="nil"/>
            </w:tcBorders>
            <w:vAlign w:val="center"/>
          </w:tcPr>
          <w:p w14:paraId="5C5001E7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0.074 </w:t>
            </w:r>
          </w:p>
        </w:tc>
        <w:tc>
          <w:tcPr>
            <w:tcW w:w="1058" w:type="dxa"/>
            <w:tcBorders>
              <w:top w:val="nil"/>
              <w:bottom w:val="nil"/>
            </w:tcBorders>
            <w:vAlign w:val="center"/>
          </w:tcPr>
          <w:p w14:paraId="0465DAE8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-0.003 </w:t>
            </w:r>
          </w:p>
        </w:tc>
        <w:tc>
          <w:tcPr>
            <w:tcW w:w="1072" w:type="dxa"/>
            <w:tcBorders>
              <w:top w:val="nil"/>
              <w:bottom w:val="nil"/>
            </w:tcBorders>
            <w:vAlign w:val="center"/>
          </w:tcPr>
          <w:p w14:paraId="528B9D8B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0.044 </w:t>
            </w:r>
          </w:p>
        </w:tc>
        <w:tc>
          <w:tcPr>
            <w:tcW w:w="1091" w:type="dxa"/>
            <w:tcBorders>
              <w:top w:val="nil"/>
              <w:bottom w:val="nil"/>
            </w:tcBorders>
            <w:vAlign w:val="center"/>
          </w:tcPr>
          <w:p w14:paraId="5127BE3A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0.010 </w:t>
            </w:r>
          </w:p>
        </w:tc>
        <w:tc>
          <w:tcPr>
            <w:tcW w:w="1093" w:type="dxa"/>
            <w:tcBorders>
              <w:top w:val="nil"/>
              <w:bottom w:val="nil"/>
            </w:tcBorders>
            <w:vAlign w:val="center"/>
          </w:tcPr>
          <w:p w14:paraId="7CB9A403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0.065 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78D60B56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0.036 </w:t>
            </w:r>
          </w:p>
        </w:tc>
        <w:tc>
          <w:tcPr>
            <w:tcW w:w="1058" w:type="dxa"/>
            <w:tcBorders>
              <w:top w:val="nil"/>
              <w:bottom w:val="nil"/>
            </w:tcBorders>
            <w:vAlign w:val="center"/>
          </w:tcPr>
          <w:p w14:paraId="467DD302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0.063 </w:t>
            </w:r>
          </w:p>
        </w:tc>
        <w:tc>
          <w:tcPr>
            <w:tcW w:w="1066" w:type="dxa"/>
            <w:tcBorders>
              <w:top w:val="nil"/>
              <w:bottom w:val="nil"/>
            </w:tcBorders>
            <w:vAlign w:val="center"/>
          </w:tcPr>
          <w:p w14:paraId="6414DBCD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0.035 </w:t>
            </w:r>
          </w:p>
        </w:tc>
      </w:tr>
      <w:tr w:rsidR="000269CF" w14:paraId="045B82D2" w14:textId="77777777">
        <w:trPr>
          <w:trHeight w:val="57"/>
          <w:jc w:val="center"/>
        </w:trPr>
        <w:tc>
          <w:tcPr>
            <w:tcW w:w="1934" w:type="dxa"/>
            <w:vMerge/>
            <w:vAlign w:val="center"/>
          </w:tcPr>
          <w:p w14:paraId="525F97F2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  <w:vMerge/>
          </w:tcPr>
          <w:p w14:paraId="38550DF5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nil"/>
              <w:bottom w:val="nil"/>
            </w:tcBorders>
            <w:vAlign w:val="center"/>
          </w:tcPr>
          <w:p w14:paraId="32055130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CI</w:t>
            </w:r>
            <w:r>
              <w:rPr>
                <w:rFonts w:ascii="Times New Roman" w:hAnsi="Times New Roman" w:cs="Times New Roman" w:hint="eastAsia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071" w:type="dxa"/>
            <w:tcBorders>
              <w:top w:val="nil"/>
              <w:bottom w:val="nil"/>
            </w:tcBorders>
            <w:vAlign w:val="center"/>
          </w:tcPr>
          <w:p w14:paraId="11086878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0.163 </w:t>
            </w:r>
          </w:p>
        </w:tc>
        <w:tc>
          <w:tcPr>
            <w:tcW w:w="1150" w:type="dxa"/>
            <w:tcBorders>
              <w:top w:val="nil"/>
              <w:bottom w:val="nil"/>
            </w:tcBorders>
            <w:vAlign w:val="center"/>
          </w:tcPr>
          <w:p w14:paraId="0A9C88C2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0.187 </w:t>
            </w:r>
          </w:p>
        </w:tc>
        <w:tc>
          <w:tcPr>
            <w:tcW w:w="1058" w:type="dxa"/>
            <w:tcBorders>
              <w:top w:val="nil"/>
              <w:bottom w:val="nil"/>
            </w:tcBorders>
            <w:vAlign w:val="center"/>
          </w:tcPr>
          <w:p w14:paraId="323720B1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0.012 </w:t>
            </w:r>
          </w:p>
        </w:tc>
        <w:tc>
          <w:tcPr>
            <w:tcW w:w="1072" w:type="dxa"/>
            <w:tcBorders>
              <w:top w:val="nil"/>
              <w:bottom w:val="nil"/>
            </w:tcBorders>
            <w:vAlign w:val="center"/>
          </w:tcPr>
          <w:p w14:paraId="07EDF235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0.252 </w:t>
            </w:r>
          </w:p>
        </w:tc>
        <w:tc>
          <w:tcPr>
            <w:tcW w:w="1091" w:type="dxa"/>
            <w:tcBorders>
              <w:top w:val="nil"/>
              <w:bottom w:val="nil"/>
            </w:tcBorders>
            <w:vAlign w:val="center"/>
          </w:tcPr>
          <w:p w14:paraId="4E718ECE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0.032 </w:t>
            </w:r>
          </w:p>
        </w:tc>
        <w:tc>
          <w:tcPr>
            <w:tcW w:w="1093" w:type="dxa"/>
            <w:tcBorders>
              <w:top w:val="nil"/>
              <w:bottom w:val="nil"/>
            </w:tcBorders>
            <w:vAlign w:val="center"/>
          </w:tcPr>
          <w:p w14:paraId="75804D79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0.130 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56291696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0.106 </w:t>
            </w:r>
          </w:p>
        </w:tc>
        <w:tc>
          <w:tcPr>
            <w:tcW w:w="1058" w:type="dxa"/>
            <w:tcBorders>
              <w:top w:val="nil"/>
              <w:bottom w:val="nil"/>
            </w:tcBorders>
            <w:vAlign w:val="center"/>
          </w:tcPr>
          <w:p w14:paraId="01546D9C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0.259 </w:t>
            </w:r>
          </w:p>
        </w:tc>
        <w:tc>
          <w:tcPr>
            <w:tcW w:w="1066" w:type="dxa"/>
            <w:tcBorders>
              <w:top w:val="nil"/>
              <w:bottom w:val="nil"/>
            </w:tcBorders>
            <w:vAlign w:val="center"/>
          </w:tcPr>
          <w:p w14:paraId="1EFDA97A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0.091 </w:t>
            </w:r>
          </w:p>
        </w:tc>
      </w:tr>
      <w:tr w:rsidR="000269CF" w14:paraId="3AF39E16" w14:textId="77777777">
        <w:trPr>
          <w:trHeight w:val="301"/>
          <w:jc w:val="center"/>
        </w:trPr>
        <w:tc>
          <w:tcPr>
            <w:tcW w:w="1934" w:type="dxa"/>
            <w:vMerge/>
            <w:vAlign w:val="center"/>
          </w:tcPr>
          <w:p w14:paraId="45B65492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  <w:vMerge/>
            <w:tcBorders>
              <w:bottom w:val="nil"/>
            </w:tcBorders>
          </w:tcPr>
          <w:p w14:paraId="7ED72F8D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nil"/>
              <w:bottom w:val="nil"/>
            </w:tcBorders>
            <w:vAlign w:val="center"/>
          </w:tcPr>
          <w:p w14:paraId="204839E6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ANOVA </w:t>
            </w:r>
            <w:r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-values</w:t>
            </w:r>
          </w:p>
        </w:tc>
        <w:tc>
          <w:tcPr>
            <w:tcW w:w="1071" w:type="dxa"/>
            <w:tcBorders>
              <w:top w:val="nil"/>
              <w:bottom w:val="nil"/>
            </w:tcBorders>
            <w:vAlign w:val="center"/>
          </w:tcPr>
          <w:p w14:paraId="0DE1E1D5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——</w:t>
            </w:r>
          </w:p>
        </w:tc>
        <w:tc>
          <w:tcPr>
            <w:tcW w:w="2208" w:type="dxa"/>
            <w:gridSpan w:val="2"/>
            <w:tcBorders>
              <w:top w:val="nil"/>
              <w:bottom w:val="nil"/>
            </w:tcBorders>
            <w:vAlign w:val="center"/>
          </w:tcPr>
          <w:p w14:paraId="2DA1617A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&lt; 0.001</w:t>
            </w:r>
          </w:p>
        </w:tc>
        <w:tc>
          <w:tcPr>
            <w:tcW w:w="3256" w:type="dxa"/>
            <w:gridSpan w:val="3"/>
            <w:tcBorders>
              <w:top w:val="nil"/>
              <w:bottom w:val="nil"/>
            </w:tcBorders>
            <w:vAlign w:val="center"/>
          </w:tcPr>
          <w:p w14:paraId="23254888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&lt; 0.001</w:t>
            </w:r>
          </w:p>
        </w:tc>
        <w:tc>
          <w:tcPr>
            <w:tcW w:w="3258" w:type="dxa"/>
            <w:gridSpan w:val="3"/>
            <w:tcBorders>
              <w:top w:val="nil"/>
              <w:bottom w:val="nil"/>
            </w:tcBorders>
            <w:vAlign w:val="center"/>
          </w:tcPr>
          <w:p w14:paraId="685C609F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= 0.204</w:t>
            </w:r>
          </w:p>
        </w:tc>
      </w:tr>
      <w:tr w:rsidR="000269CF" w14:paraId="371D9699" w14:textId="77777777">
        <w:trPr>
          <w:trHeight w:val="57"/>
          <w:jc w:val="center"/>
        </w:trPr>
        <w:tc>
          <w:tcPr>
            <w:tcW w:w="1934" w:type="dxa"/>
            <w:vMerge/>
            <w:vAlign w:val="center"/>
          </w:tcPr>
          <w:p w14:paraId="2F04822B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  <w:vMerge w:val="restart"/>
            <w:tcBorders>
              <w:top w:val="nil"/>
            </w:tcBorders>
          </w:tcPr>
          <w:p w14:paraId="5B026CBC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Microplastics priming effect</w:t>
            </w:r>
          </w:p>
        </w:tc>
        <w:tc>
          <w:tcPr>
            <w:tcW w:w="1940" w:type="dxa"/>
            <w:tcBorders>
              <w:top w:val="nil"/>
              <w:bottom w:val="nil"/>
            </w:tcBorders>
            <w:vAlign w:val="center"/>
          </w:tcPr>
          <w:p w14:paraId="07123C38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Sample size (</w:t>
            </w:r>
            <w:r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)</w:t>
            </w:r>
          </w:p>
        </w:tc>
        <w:tc>
          <w:tcPr>
            <w:tcW w:w="1071" w:type="dxa"/>
            <w:tcBorders>
              <w:top w:val="nil"/>
              <w:bottom w:val="nil"/>
            </w:tcBorders>
            <w:vAlign w:val="center"/>
          </w:tcPr>
          <w:p w14:paraId="619CF49A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1150" w:type="dxa"/>
            <w:tcBorders>
              <w:top w:val="nil"/>
              <w:bottom w:val="nil"/>
            </w:tcBorders>
            <w:vAlign w:val="center"/>
          </w:tcPr>
          <w:p w14:paraId="5D60A3FE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058" w:type="dxa"/>
            <w:tcBorders>
              <w:top w:val="nil"/>
              <w:bottom w:val="nil"/>
            </w:tcBorders>
            <w:vAlign w:val="center"/>
          </w:tcPr>
          <w:p w14:paraId="5F801E43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072" w:type="dxa"/>
            <w:tcBorders>
              <w:top w:val="nil"/>
              <w:bottom w:val="nil"/>
            </w:tcBorders>
            <w:vAlign w:val="center"/>
          </w:tcPr>
          <w:p w14:paraId="5115EC1F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091" w:type="dxa"/>
            <w:tcBorders>
              <w:top w:val="nil"/>
              <w:bottom w:val="nil"/>
            </w:tcBorders>
            <w:vAlign w:val="center"/>
          </w:tcPr>
          <w:p w14:paraId="51103DCC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93" w:type="dxa"/>
            <w:tcBorders>
              <w:top w:val="nil"/>
              <w:bottom w:val="nil"/>
            </w:tcBorders>
            <w:vAlign w:val="center"/>
          </w:tcPr>
          <w:p w14:paraId="771FA175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13820A5B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058" w:type="dxa"/>
            <w:tcBorders>
              <w:top w:val="nil"/>
              <w:bottom w:val="nil"/>
            </w:tcBorders>
            <w:vAlign w:val="center"/>
          </w:tcPr>
          <w:p w14:paraId="7ED3FA7B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066" w:type="dxa"/>
            <w:tcBorders>
              <w:top w:val="nil"/>
              <w:bottom w:val="nil"/>
            </w:tcBorders>
            <w:vAlign w:val="center"/>
          </w:tcPr>
          <w:p w14:paraId="253D2E15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269CF" w14:paraId="18248502" w14:textId="77777777">
        <w:trPr>
          <w:trHeight w:val="57"/>
          <w:jc w:val="center"/>
        </w:trPr>
        <w:tc>
          <w:tcPr>
            <w:tcW w:w="1934" w:type="dxa"/>
            <w:vMerge/>
            <w:vAlign w:val="center"/>
          </w:tcPr>
          <w:p w14:paraId="0527438D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  <w:vMerge/>
          </w:tcPr>
          <w:p w14:paraId="4E573524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nil"/>
              <w:bottom w:val="nil"/>
            </w:tcBorders>
            <w:vAlign w:val="center"/>
          </w:tcPr>
          <w:p w14:paraId="029E7368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Response ratio</w:t>
            </w:r>
          </w:p>
        </w:tc>
        <w:tc>
          <w:tcPr>
            <w:tcW w:w="1071" w:type="dxa"/>
            <w:tcBorders>
              <w:top w:val="nil"/>
              <w:bottom w:val="nil"/>
            </w:tcBorders>
            <w:vAlign w:val="center"/>
          </w:tcPr>
          <w:p w14:paraId="13BE21A5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0.290 </w:t>
            </w:r>
          </w:p>
        </w:tc>
        <w:tc>
          <w:tcPr>
            <w:tcW w:w="1150" w:type="dxa"/>
            <w:tcBorders>
              <w:top w:val="nil"/>
              <w:bottom w:val="nil"/>
            </w:tcBorders>
            <w:vAlign w:val="center"/>
          </w:tcPr>
          <w:p w14:paraId="001D67A7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0.302 </w:t>
            </w:r>
          </w:p>
        </w:tc>
        <w:tc>
          <w:tcPr>
            <w:tcW w:w="1058" w:type="dxa"/>
            <w:tcBorders>
              <w:top w:val="nil"/>
              <w:bottom w:val="nil"/>
            </w:tcBorders>
            <w:vAlign w:val="center"/>
          </w:tcPr>
          <w:p w14:paraId="031E1856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0.398 </w:t>
            </w:r>
          </w:p>
        </w:tc>
        <w:tc>
          <w:tcPr>
            <w:tcW w:w="1072" w:type="dxa"/>
            <w:tcBorders>
              <w:top w:val="nil"/>
              <w:bottom w:val="nil"/>
            </w:tcBorders>
            <w:vAlign w:val="center"/>
          </w:tcPr>
          <w:p w14:paraId="3498443B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0.404 </w:t>
            </w:r>
          </w:p>
        </w:tc>
        <w:tc>
          <w:tcPr>
            <w:tcW w:w="1091" w:type="dxa"/>
            <w:tcBorders>
              <w:top w:val="nil"/>
              <w:bottom w:val="nil"/>
            </w:tcBorders>
            <w:vAlign w:val="center"/>
          </w:tcPr>
          <w:p w14:paraId="507E5AFF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0.318 </w:t>
            </w:r>
          </w:p>
        </w:tc>
        <w:tc>
          <w:tcPr>
            <w:tcW w:w="1093" w:type="dxa"/>
            <w:tcBorders>
              <w:top w:val="nil"/>
              <w:bottom w:val="nil"/>
            </w:tcBorders>
            <w:vAlign w:val="center"/>
          </w:tcPr>
          <w:p w14:paraId="1A75BED8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0.200 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32272A4E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0.112 </w:t>
            </w:r>
          </w:p>
        </w:tc>
        <w:tc>
          <w:tcPr>
            <w:tcW w:w="1058" w:type="dxa"/>
            <w:tcBorders>
              <w:top w:val="nil"/>
              <w:bottom w:val="nil"/>
            </w:tcBorders>
            <w:vAlign w:val="center"/>
          </w:tcPr>
          <w:p w14:paraId="238EB0E7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0.297 </w:t>
            </w:r>
          </w:p>
        </w:tc>
        <w:tc>
          <w:tcPr>
            <w:tcW w:w="1066" w:type="dxa"/>
            <w:tcBorders>
              <w:top w:val="nil"/>
              <w:bottom w:val="nil"/>
            </w:tcBorders>
            <w:vAlign w:val="center"/>
          </w:tcPr>
          <w:p w14:paraId="34255B18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0.253 </w:t>
            </w:r>
          </w:p>
        </w:tc>
      </w:tr>
      <w:tr w:rsidR="000269CF" w14:paraId="539D8DF6" w14:textId="77777777">
        <w:trPr>
          <w:trHeight w:val="57"/>
          <w:jc w:val="center"/>
        </w:trPr>
        <w:tc>
          <w:tcPr>
            <w:tcW w:w="1934" w:type="dxa"/>
            <w:vMerge/>
            <w:vAlign w:val="center"/>
          </w:tcPr>
          <w:p w14:paraId="4C0F56AC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  <w:vMerge/>
          </w:tcPr>
          <w:p w14:paraId="037CE020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nil"/>
              <w:bottom w:val="nil"/>
            </w:tcBorders>
            <w:vAlign w:val="center"/>
          </w:tcPr>
          <w:p w14:paraId="68AEE4B8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CI</w:t>
            </w:r>
            <w:r>
              <w:rPr>
                <w:rFonts w:ascii="Times New Roman" w:hAnsi="Times New Roman" w:cs="Times New Roman" w:hint="eastAsia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071" w:type="dxa"/>
            <w:tcBorders>
              <w:top w:val="nil"/>
              <w:bottom w:val="nil"/>
            </w:tcBorders>
            <w:vAlign w:val="center"/>
          </w:tcPr>
          <w:p w14:paraId="1889506C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0.078 </w:t>
            </w:r>
          </w:p>
        </w:tc>
        <w:tc>
          <w:tcPr>
            <w:tcW w:w="1150" w:type="dxa"/>
            <w:tcBorders>
              <w:top w:val="nil"/>
              <w:bottom w:val="nil"/>
            </w:tcBorders>
            <w:vAlign w:val="center"/>
          </w:tcPr>
          <w:p w14:paraId="66DEF016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0.073 </w:t>
            </w:r>
          </w:p>
        </w:tc>
        <w:tc>
          <w:tcPr>
            <w:tcW w:w="1058" w:type="dxa"/>
            <w:tcBorders>
              <w:top w:val="nil"/>
              <w:bottom w:val="nil"/>
            </w:tcBorders>
            <w:vAlign w:val="center"/>
          </w:tcPr>
          <w:p w14:paraId="11AD6652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0.033 </w:t>
            </w:r>
          </w:p>
        </w:tc>
        <w:tc>
          <w:tcPr>
            <w:tcW w:w="1072" w:type="dxa"/>
            <w:tcBorders>
              <w:top w:val="nil"/>
              <w:bottom w:val="nil"/>
            </w:tcBorders>
            <w:vAlign w:val="center"/>
          </w:tcPr>
          <w:p w14:paraId="443B0199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0.110 </w:t>
            </w:r>
          </w:p>
        </w:tc>
        <w:tc>
          <w:tcPr>
            <w:tcW w:w="1091" w:type="dxa"/>
            <w:tcBorders>
              <w:top w:val="nil"/>
              <w:bottom w:val="nil"/>
            </w:tcBorders>
            <w:vAlign w:val="center"/>
          </w:tcPr>
          <w:p w14:paraId="26B9320F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0.181 </w:t>
            </w:r>
          </w:p>
        </w:tc>
        <w:tc>
          <w:tcPr>
            <w:tcW w:w="1093" w:type="dxa"/>
            <w:tcBorders>
              <w:top w:val="nil"/>
              <w:bottom w:val="nil"/>
            </w:tcBorders>
            <w:vAlign w:val="center"/>
          </w:tcPr>
          <w:p w14:paraId="29C23D5F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-0.077 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1BB929C6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-0.020 </w:t>
            </w:r>
          </w:p>
        </w:tc>
        <w:tc>
          <w:tcPr>
            <w:tcW w:w="1058" w:type="dxa"/>
            <w:tcBorders>
              <w:top w:val="nil"/>
              <w:bottom w:val="nil"/>
            </w:tcBorders>
            <w:vAlign w:val="center"/>
          </w:tcPr>
          <w:p w14:paraId="2984569D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0.007 </w:t>
            </w:r>
          </w:p>
        </w:tc>
        <w:tc>
          <w:tcPr>
            <w:tcW w:w="1066" w:type="dxa"/>
            <w:tcBorders>
              <w:top w:val="nil"/>
              <w:bottom w:val="nil"/>
            </w:tcBorders>
            <w:vAlign w:val="center"/>
          </w:tcPr>
          <w:p w14:paraId="54FB9C07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-0.805 </w:t>
            </w:r>
          </w:p>
        </w:tc>
      </w:tr>
      <w:tr w:rsidR="000269CF" w14:paraId="6C968AAA" w14:textId="77777777">
        <w:trPr>
          <w:trHeight w:val="57"/>
          <w:jc w:val="center"/>
        </w:trPr>
        <w:tc>
          <w:tcPr>
            <w:tcW w:w="1934" w:type="dxa"/>
            <w:vMerge/>
            <w:vAlign w:val="center"/>
          </w:tcPr>
          <w:p w14:paraId="5E5BF2E7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  <w:vMerge/>
          </w:tcPr>
          <w:p w14:paraId="08826E46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nil"/>
              <w:bottom w:val="nil"/>
            </w:tcBorders>
            <w:vAlign w:val="center"/>
          </w:tcPr>
          <w:p w14:paraId="0ECD2B8E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CI</w:t>
            </w:r>
            <w:r>
              <w:rPr>
                <w:rFonts w:ascii="Times New Roman" w:hAnsi="Times New Roman" w:cs="Times New Roman" w:hint="eastAsia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071" w:type="dxa"/>
            <w:tcBorders>
              <w:top w:val="nil"/>
              <w:bottom w:val="nil"/>
            </w:tcBorders>
            <w:vAlign w:val="center"/>
          </w:tcPr>
          <w:p w14:paraId="700C9BEF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0.502 </w:t>
            </w:r>
          </w:p>
        </w:tc>
        <w:tc>
          <w:tcPr>
            <w:tcW w:w="1150" w:type="dxa"/>
            <w:tcBorders>
              <w:top w:val="nil"/>
              <w:bottom w:val="nil"/>
            </w:tcBorders>
            <w:vAlign w:val="center"/>
          </w:tcPr>
          <w:p w14:paraId="2EC70641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0.530 </w:t>
            </w:r>
          </w:p>
        </w:tc>
        <w:tc>
          <w:tcPr>
            <w:tcW w:w="1058" w:type="dxa"/>
            <w:tcBorders>
              <w:top w:val="nil"/>
              <w:bottom w:val="nil"/>
            </w:tcBorders>
            <w:vAlign w:val="center"/>
          </w:tcPr>
          <w:p w14:paraId="2447AAC8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0.763 </w:t>
            </w:r>
          </w:p>
        </w:tc>
        <w:tc>
          <w:tcPr>
            <w:tcW w:w="1072" w:type="dxa"/>
            <w:tcBorders>
              <w:top w:val="nil"/>
              <w:bottom w:val="nil"/>
            </w:tcBorders>
            <w:vAlign w:val="center"/>
          </w:tcPr>
          <w:p w14:paraId="6C6F72DA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0.698 </w:t>
            </w:r>
          </w:p>
        </w:tc>
        <w:tc>
          <w:tcPr>
            <w:tcW w:w="1091" w:type="dxa"/>
            <w:tcBorders>
              <w:top w:val="nil"/>
              <w:bottom w:val="nil"/>
            </w:tcBorders>
            <w:vAlign w:val="center"/>
          </w:tcPr>
          <w:p w14:paraId="0A95F7E1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0.456 </w:t>
            </w:r>
          </w:p>
        </w:tc>
        <w:tc>
          <w:tcPr>
            <w:tcW w:w="1093" w:type="dxa"/>
            <w:tcBorders>
              <w:top w:val="nil"/>
              <w:bottom w:val="nil"/>
            </w:tcBorders>
            <w:vAlign w:val="center"/>
          </w:tcPr>
          <w:p w14:paraId="36532EC2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0.477 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30358EE9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0.243 </w:t>
            </w:r>
          </w:p>
        </w:tc>
        <w:tc>
          <w:tcPr>
            <w:tcW w:w="1058" w:type="dxa"/>
            <w:tcBorders>
              <w:top w:val="nil"/>
              <w:bottom w:val="nil"/>
            </w:tcBorders>
            <w:vAlign w:val="center"/>
          </w:tcPr>
          <w:p w14:paraId="11B85099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0.588 </w:t>
            </w:r>
          </w:p>
        </w:tc>
        <w:tc>
          <w:tcPr>
            <w:tcW w:w="1066" w:type="dxa"/>
            <w:tcBorders>
              <w:top w:val="nil"/>
              <w:bottom w:val="nil"/>
            </w:tcBorders>
            <w:vAlign w:val="center"/>
          </w:tcPr>
          <w:p w14:paraId="66F8A9CA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1.310 </w:t>
            </w:r>
          </w:p>
        </w:tc>
      </w:tr>
      <w:tr w:rsidR="000269CF" w14:paraId="464A36E3" w14:textId="77777777" w:rsidTr="00D301DD">
        <w:trPr>
          <w:trHeight w:val="57"/>
          <w:jc w:val="center"/>
        </w:trPr>
        <w:tc>
          <w:tcPr>
            <w:tcW w:w="1934" w:type="dxa"/>
            <w:vMerge/>
            <w:tcBorders>
              <w:bottom w:val="single" w:sz="4" w:space="0" w:color="auto"/>
            </w:tcBorders>
            <w:vAlign w:val="center"/>
          </w:tcPr>
          <w:p w14:paraId="66528541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  <w:vMerge/>
            <w:tcBorders>
              <w:bottom w:val="single" w:sz="4" w:space="0" w:color="auto"/>
            </w:tcBorders>
          </w:tcPr>
          <w:p w14:paraId="06CF053B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nil"/>
              <w:bottom w:val="single" w:sz="4" w:space="0" w:color="auto"/>
            </w:tcBorders>
            <w:vAlign w:val="center"/>
          </w:tcPr>
          <w:p w14:paraId="4F084A27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ANOVA </w:t>
            </w:r>
            <w:r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-values</w:t>
            </w:r>
          </w:p>
        </w:tc>
        <w:tc>
          <w:tcPr>
            <w:tcW w:w="1071" w:type="dxa"/>
            <w:tcBorders>
              <w:top w:val="nil"/>
              <w:bottom w:val="single" w:sz="4" w:space="0" w:color="auto"/>
            </w:tcBorders>
            <w:vAlign w:val="center"/>
          </w:tcPr>
          <w:p w14:paraId="0C1189F8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——</w:t>
            </w:r>
          </w:p>
        </w:tc>
        <w:tc>
          <w:tcPr>
            <w:tcW w:w="2208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17E6B3BB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= 0.139</w:t>
            </w:r>
          </w:p>
        </w:tc>
        <w:tc>
          <w:tcPr>
            <w:tcW w:w="325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889CF19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&lt; 0.001</w:t>
            </w:r>
          </w:p>
        </w:tc>
        <w:tc>
          <w:tcPr>
            <w:tcW w:w="3258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9DAB478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= 0.017</w:t>
            </w:r>
          </w:p>
        </w:tc>
      </w:tr>
      <w:tr w:rsidR="000269CF" w14:paraId="0E9D95A2" w14:textId="77777777" w:rsidTr="00D301DD">
        <w:trPr>
          <w:trHeight w:val="57"/>
          <w:jc w:val="center"/>
        </w:trPr>
        <w:tc>
          <w:tcPr>
            <w:tcW w:w="1934" w:type="dxa"/>
            <w:vMerge w:val="restart"/>
            <w:tcBorders>
              <w:top w:val="single" w:sz="4" w:space="0" w:color="auto"/>
            </w:tcBorders>
          </w:tcPr>
          <w:p w14:paraId="28286D65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lastRenderedPageBreak/>
              <w:t>After removal</w:t>
            </w:r>
          </w:p>
        </w:tc>
        <w:tc>
          <w:tcPr>
            <w:tcW w:w="3087" w:type="dxa"/>
            <w:vMerge w:val="restart"/>
            <w:tcBorders>
              <w:top w:val="single" w:sz="4" w:space="0" w:color="auto"/>
            </w:tcBorders>
          </w:tcPr>
          <w:p w14:paraId="31F987BF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Microplastics mineralization rate</w:t>
            </w:r>
          </w:p>
        </w:tc>
        <w:tc>
          <w:tcPr>
            <w:tcW w:w="1940" w:type="dxa"/>
            <w:tcBorders>
              <w:top w:val="single" w:sz="4" w:space="0" w:color="auto"/>
              <w:bottom w:val="nil"/>
            </w:tcBorders>
            <w:vAlign w:val="center"/>
          </w:tcPr>
          <w:p w14:paraId="4CD96BE0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Sample size (</w:t>
            </w:r>
            <w:r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)</w:t>
            </w:r>
          </w:p>
        </w:tc>
        <w:tc>
          <w:tcPr>
            <w:tcW w:w="1071" w:type="dxa"/>
            <w:tcBorders>
              <w:top w:val="single" w:sz="4" w:space="0" w:color="auto"/>
              <w:bottom w:val="nil"/>
            </w:tcBorders>
            <w:vAlign w:val="center"/>
          </w:tcPr>
          <w:p w14:paraId="4C0C40C6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85 </w:t>
            </w:r>
          </w:p>
        </w:tc>
        <w:tc>
          <w:tcPr>
            <w:tcW w:w="1150" w:type="dxa"/>
            <w:tcBorders>
              <w:top w:val="single" w:sz="4" w:space="0" w:color="auto"/>
              <w:bottom w:val="nil"/>
            </w:tcBorders>
            <w:vAlign w:val="center"/>
          </w:tcPr>
          <w:p w14:paraId="0D1DC1F3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73 </w:t>
            </w:r>
          </w:p>
        </w:tc>
        <w:tc>
          <w:tcPr>
            <w:tcW w:w="1058" w:type="dxa"/>
            <w:tcBorders>
              <w:top w:val="single" w:sz="4" w:space="0" w:color="auto"/>
              <w:bottom w:val="nil"/>
            </w:tcBorders>
            <w:vAlign w:val="center"/>
          </w:tcPr>
          <w:p w14:paraId="49A64ED5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12 </w:t>
            </w:r>
          </w:p>
        </w:tc>
        <w:tc>
          <w:tcPr>
            <w:tcW w:w="1072" w:type="dxa"/>
            <w:tcBorders>
              <w:top w:val="single" w:sz="4" w:space="0" w:color="auto"/>
              <w:bottom w:val="nil"/>
            </w:tcBorders>
            <w:vAlign w:val="center"/>
          </w:tcPr>
          <w:p w14:paraId="0C2B2D21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37 </w:t>
            </w:r>
          </w:p>
        </w:tc>
        <w:tc>
          <w:tcPr>
            <w:tcW w:w="1091" w:type="dxa"/>
            <w:tcBorders>
              <w:top w:val="single" w:sz="4" w:space="0" w:color="auto"/>
              <w:bottom w:val="nil"/>
            </w:tcBorders>
            <w:vAlign w:val="center"/>
          </w:tcPr>
          <w:p w14:paraId="6F6F061B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8 </w:t>
            </w:r>
          </w:p>
        </w:tc>
        <w:tc>
          <w:tcPr>
            <w:tcW w:w="1093" w:type="dxa"/>
            <w:tcBorders>
              <w:top w:val="single" w:sz="4" w:space="0" w:color="auto"/>
              <w:bottom w:val="nil"/>
            </w:tcBorders>
            <w:vAlign w:val="center"/>
          </w:tcPr>
          <w:p w14:paraId="114A1FB7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40 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vAlign w:val="center"/>
          </w:tcPr>
          <w:p w14:paraId="63AF6427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37 </w:t>
            </w:r>
          </w:p>
        </w:tc>
        <w:tc>
          <w:tcPr>
            <w:tcW w:w="1058" w:type="dxa"/>
            <w:tcBorders>
              <w:top w:val="single" w:sz="4" w:space="0" w:color="auto"/>
              <w:bottom w:val="nil"/>
            </w:tcBorders>
            <w:vAlign w:val="center"/>
          </w:tcPr>
          <w:p w14:paraId="5AA2209B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39 </w:t>
            </w:r>
          </w:p>
        </w:tc>
        <w:tc>
          <w:tcPr>
            <w:tcW w:w="1066" w:type="dxa"/>
            <w:tcBorders>
              <w:top w:val="single" w:sz="4" w:space="0" w:color="auto"/>
              <w:bottom w:val="nil"/>
            </w:tcBorders>
            <w:vAlign w:val="center"/>
          </w:tcPr>
          <w:p w14:paraId="18C9BE7E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9 </w:t>
            </w:r>
          </w:p>
        </w:tc>
      </w:tr>
      <w:tr w:rsidR="000269CF" w14:paraId="48FB2475" w14:textId="77777777">
        <w:trPr>
          <w:trHeight w:val="57"/>
          <w:jc w:val="center"/>
        </w:trPr>
        <w:tc>
          <w:tcPr>
            <w:tcW w:w="1934" w:type="dxa"/>
            <w:vMerge/>
            <w:vAlign w:val="center"/>
          </w:tcPr>
          <w:p w14:paraId="4E82219F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  <w:vMerge/>
          </w:tcPr>
          <w:p w14:paraId="7150AC52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nil"/>
              <w:bottom w:val="nil"/>
            </w:tcBorders>
            <w:vAlign w:val="center"/>
          </w:tcPr>
          <w:p w14:paraId="3EEFC4A5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Mean</w:t>
            </w:r>
          </w:p>
        </w:tc>
        <w:tc>
          <w:tcPr>
            <w:tcW w:w="1071" w:type="dxa"/>
            <w:tcBorders>
              <w:top w:val="nil"/>
              <w:bottom w:val="nil"/>
            </w:tcBorders>
            <w:vAlign w:val="center"/>
          </w:tcPr>
          <w:p w14:paraId="0F57B55A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0.069 </w:t>
            </w:r>
          </w:p>
        </w:tc>
        <w:tc>
          <w:tcPr>
            <w:tcW w:w="1150" w:type="dxa"/>
            <w:tcBorders>
              <w:top w:val="nil"/>
              <w:bottom w:val="nil"/>
            </w:tcBorders>
            <w:vAlign w:val="center"/>
          </w:tcPr>
          <w:p w14:paraId="32D4F525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0.079 </w:t>
            </w:r>
          </w:p>
        </w:tc>
        <w:tc>
          <w:tcPr>
            <w:tcW w:w="1058" w:type="dxa"/>
            <w:tcBorders>
              <w:top w:val="nil"/>
              <w:bottom w:val="nil"/>
            </w:tcBorders>
            <w:vAlign w:val="center"/>
          </w:tcPr>
          <w:p w14:paraId="2ECD4FCE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0.004 </w:t>
            </w:r>
          </w:p>
        </w:tc>
        <w:tc>
          <w:tcPr>
            <w:tcW w:w="1072" w:type="dxa"/>
            <w:tcBorders>
              <w:top w:val="nil"/>
              <w:bottom w:val="nil"/>
            </w:tcBorders>
            <w:vAlign w:val="center"/>
          </w:tcPr>
          <w:p w14:paraId="157B50A1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0.048 </w:t>
            </w:r>
          </w:p>
        </w:tc>
        <w:tc>
          <w:tcPr>
            <w:tcW w:w="1091" w:type="dxa"/>
            <w:tcBorders>
              <w:top w:val="nil"/>
              <w:bottom w:val="nil"/>
            </w:tcBorders>
            <w:vAlign w:val="center"/>
          </w:tcPr>
          <w:p w14:paraId="36D0EC35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0.021 </w:t>
            </w:r>
          </w:p>
        </w:tc>
        <w:tc>
          <w:tcPr>
            <w:tcW w:w="1093" w:type="dxa"/>
            <w:tcBorders>
              <w:top w:val="nil"/>
              <w:bottom w:val="nil"/>
            </w:tcBorders>
            <w:vAlign w:val="center"/>
          </w:tcPr>
          <w:p w14:paraId="08027E2E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0.097 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62AF64C7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0.071 </w:t>
            </w:r>
          </w:p>
        </w:tc>
        <w:tc>
          <w:tcPr>
            <w:tcW w:w="1058" w:type="dxa"/>
            <w:tcBorders>
              <w:top w:val="nil"/>
              <w:bottom w:val="nil"/>
            </w:tcBorders>
            <w:vAlign w:val="center"/>
          </w:tcPr>
          <w:p w14:paraId="7DBA1DBA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0.068 </w:t>
            </w:r>
          </w:p>
        </w:tc>
        <w:tc>
          <w:tcPr>
            <w:tcW w:w="1066" w:type="dxa"/>
            <w:tcBorders>
              <w:top w:val="nil"/>
              <w:bottom w:val="nil"/>
            </w:tcBorders>
            <w:vAlign w:val="center"/>
          </w:tcPr>
          <w:p w14:paraId="681356F0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0.063 </w:t>
            </w:r>
          </w:p>
        </w:tc>
      </w:tr>
      <w:tr w:rsidR="000269CF" w14:paraId="10098141" w14:textId="77777777">
        <w:trPr>
          <w:trHeight w:val="57"/>
          <w:jc w:val="center"/>
        </w:trPr>
        <w:tc>
          <w:tcPr>
            <w:tcW w:w="1934" w:type="dxa"/>
            <w:vMerge/>
            <w:vAlign w:val="center"/>
          </w:tcPr>
          <w:p w14:paraId="65B26C3A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  <w:vMerge/>
          </w:tcPr>
          <w:p w14:paraId="08EED11A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nil"/>
              <w:bottom w:val="nil"/>
            </w:tcBorders>
            <w:vAlign w:val="center"/>
          </w:tcPr>
          <w:p w14:paraId="4CD898BA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CI</w:t>
            </w:r>
            <w:r>
              <w:rPr>
                <w:rFonts w:ascii="Times New Roman" w:hAnsi="Times New Roman" w:cs="Times New Roman" w:hint="eastAsia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071" w:type="dxa"/>
            <w:tcBorders>
              <w:top w:val="nil"/>
              <w:bottom w:val="nil"/>
            </w:tcBorders>
            <w:vAlign w:val="center"/>
          </w:tcPr>
          <w:p w14:paraId="2C67FFF2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0.046 </w:t>
            </w:r>
          </w:p>
        </w:tc>
        <w:tc>
          <w:tcPr>
            <w:tcW w:w="1150" w:type="dxa"/>
            <w:tcBorders>
              <w:top w:val="nil"/>
              <w:bottom w:val="nil"/>
            </w:tcBorders>
            <w:vAlign w:val="center"/>
          </w:tcPr>
          <w:p w14:paraId="2CD2C1BB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0.053 </w:t>
            </w:r>
          </w:p>
        </w:tc>
        <w:tc>
          <w:tcPr>
            <w:tcW w:w="1058" w:type="dxa"/>
            <w:tcBorders>
              <w:top w:val="nil"/>
              <w:bottom w:val="nil"/>
            </w:tcBorders>
            <w:vAlign w:val="center"/>
          </w:tcPr>
          <w:p w14:paraId="2C5EDC1B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-0.003</w:t>
            </w:r>
          </w:p>
        </w:tc>
        <w:tc>
          <w:tcPr>
            <w:tcW w:w="1072" w:type="dxa"/>
            <w:tcBorders>
              <w:top w:val="nil"/>
              <w:bottom w:val="nil"/>
            </w:tcBorders>
            <w:vAlign w:val="center"/>
          </w:tcPr>
          <w:p w14:paraId="4E2EC1FD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0.009 </w:t>
            </w:r>
          </w:p>
        </w:tc>
        <w:tc>
          <w:tcPr>
            <w:tcW w:w="1091" w:type="dxa"/>
            <w:tcBorders>
              <w:top w:val="nil"/>
              <w:bottom w:val="nil"/>
            </w:tcBorders>
            <w:vAlign w:val="center"/>
          </w:tcPr>
          <w:p w14:paraId="72D4DA01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0.010 </w:t>
            </w:r>
          </w:p>
        </w:tc>
        <w:tc>
          <w:tcPr>
            <w:tcW w:w="1093" w:type="dxa"/>
            <w:tcBorders>
              <w:top w:val="nil"/>
              <w:bottom w:val="nil"/>
            </w:tcBorders>
            <w:vAlign w:val="center"/>
          </w:tcPr>
          <w:p w14:paraId="6ABC430F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0.065 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53658977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0.036 </w:t>
            </w:r>
          </w:p>
        </w:tc>
        <w:tc>
          <w:tcPr>
            <w:tcW w:w="1058" w:type="dxa"/>
            <w:tcBorders>
              <w:top w:val="nil"/>
              <w:bottom w:val="nil"/>
            </w:tcBorders>
            <w:vAlign w:val="center"/>
          </w:tcPr>
          <w:p w14:paraId="79576D19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0.028 </w:t>
            </w:r>
          </w:p>
        </w:tc>
        <w:tc>
          <w:tcPr>
            <w:tcW w:w="1066" w:type="dxa"/>
            <w:tcBorders>
              <w:top w:val="nil"/>
              <w:bottom w:val="nil"/>
            </w:tcBorders>
            <w:vAlign w:val="center"/>
          </w:tcPr>
          <w:p w14:paraId="2A01543D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0.035 </w:t>
            </w:r>
          </w:p>
        </w:tc>
      </w:tr>
      <w:tr w:rsidR="000269CF" w14:paraId="3768459B" w14:textId="77777777">
        <w:trPr>
          <w:trHeight w:val="57"/>
          <w:jc w:val="center"/>
        </w:trPr>
        <w:tc>
          <w:tcPr>
            <w:tcW w:w="1934" w:type="dxa"/>
            <w:vMerge/>
            <w:vAlign w:val="center"/>
          </w:tcPr>
          <w:p w14:paraId="57B04CF7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  <w:vMerge/>
          </w:tcPr>
          <w:p w14:paraId="21857BF8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nil"/>
              <w:bottom w:val="nil"/>
            </w:tcBorders>
            <w:vAlign w:val="center"/>
          </w:tcPr>
          <w:p w14:paraId="18F1A393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CI</w:t>
            </w:r>
            <w:r>
              <w:rPr>
                <w:rFonts w:ascii="Times New Roman" w:hAnsi="Times New Roman" w:cs="Times New Roman" w:hint="eastAsia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071" w:type="dxa"/>
            <w:tcBorders>
              <w:top w:val="nil"/>
              <w:bottom w:val="nil"/>
            </w:tcBorders>
            <w:vAlign w:val="center"/>
          </w:tcPr>
          <w:p w14:paraId="091D0703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0.092 </w:t>
            </w:r>
          </w:p>
        </w:tc>
        <w:tc>
          <w:tcPr>
            <w:tcW w:w="1150" w:type="dxa"/>
            <w:tcBorders>
              <w:top w:val="nil"/>
              <w:bottom w:val="nil"/>
            </w:tcBorders>
            <w:vAlign w:val="center"/>
          </w:tcPr>
          <w:p w14:paraId="39A2B1F1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0.106 </w:t>
            </w:r>
          </w:p>
        </w:tc>
        <w:tc>
          <w:tcPr>
            <w:tcW w:w="1058" w:type="dxa"/>
            <w:tcBorders>
              <w:top w:val="nil"/>
              <w:bottom w:val="nil"/>
            </w:tcBorders>
            <w:vAlign w:val="center"/>
          </w:tcPr>
          <w:p w14:paraId="319138B4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0.012 </w:t>
            </w:r>
          </w:p>
        </w:tc>
        <w:tc>
          <w:tcPr>
            <w:tcW w:w="1072" w:type="dxa"/>
            <w:tcBorders>
              <w:top w:val="nil"/>
              <w:bottom w:val="nil"/>
            </w:tcBorders>
            <w:vAlign w:val="center"/>
          </w:tcPr>
          <w:p w14:paraId="2B39162D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0.087 </w:t>
            </w:r>
          </w:p>
        </w:tc>
        <w:tc>
          <w:tcPr>
            <w:tcW w:w="1091" w:type="dxa"/>
            <w:tcBorders>
              <w:top w:val="nil"/>
              <w:bottom w:val="nil"/>
            </w:tcBorders>
            <w:vAlign w:val="center"/>
          </w:tcPr>
          <w:p w14:paraId="48148C72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0.032 </w:t>
            </w:r>
          </w:p>
        </w:tc>
        <w:tc>
          <w:tcPr>
            <w:tcW w:w="1093" w:type="dxa"/>
            <w:tcBorders>
              <w:top w:val="nil"/>
              <w:bottom w:val="nil"/>
            </w:tcBorders>
            <w:vAlign w:val="center"/>
          </w:tcPr>
          <w:p w14:paraId="575CD1EC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0.130 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1EEE22C7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0.106 </w:t>
            </w:r>
          </w:p>
        </w:tc>
        <w:tc>
          <w:tcPr>
            <w:tcW w:w="1058" w:type="dxa"/>
            <w:tcBorders>
              <w:top w:val="nil"/>
              <w:bottom w:val="nil"/>
            </w:tcBorders>
            <w:vAlign w:val="center"/>
          </w:tcPr>
          <w:p w14:paraId="30B8F02E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0.107 </w:t>
            </w:r>
          </w:p>
        </w:tc>
        <w:tc>
          <w:tcPr>
            <w:tcW w:w="1066" w:type="dxa"/>
            <w:tcBorders>
              <w:top w:val="nil"/>
              <w:bottom w:val="nil"/>
            </w:tcBorders>
            <w:vAlign w:val="center"/>
          </w:tcPr>
          <w:p w14:paraId="41E2DDEB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0.091 </w:t>
            </w:r>
          </w:p>
        </w:tc>
      </w:tr>
      <w:tr w:rsidR="000269CF" w14:paraId="0DC435FC" w14:textId="77777777">
        <w:trPr>
          <w:trHeight w:val="57"/>
          <w:jc w:val="center"/>
        </w:trPr>
        <w:tc>
          <w:tcPr>
            <w:tcW w:w="1934" w:type="dxa"/>
            <w:vMerge/>
            <w:vAlign w:val="center"/>
          </w:tcPr>
          <w:p w14:paraId="36431EDB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  <w:vMerge/>
            <w:tcBorders>
              <w:bottom w:val="nil"/>
            </w:tcBorders>
          </w:tcPr>
          <w:p w14:paraId="48037F57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nil"/>
              <w:bottom w:val="nil"/>
            </w:tcBorders>
            <w:vAlign w:val="center"/>
          </w:tcPr>
          <w:p w14:paraId="493906E5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ANOVA </w:t>
            </w:r>
            <w:r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-values</w:t>
            </w:r>
          </w:p>
        </w:tc>
        <w:tc>
          <w:tcPr>
            <w:tcW w:w="1071" w:type="dxa"/>
            <w:tcBorders>
              <w:top w:val="nil"/>
              <w:bottom w:val="nil"/>
            </w:tcBorders>
            <w:vAlign w:val="center"/>
          </w:tcPr>
          <w:p w14:paraId="2BCA5450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——</w:t>
            </w:r>
          </w:p>
        </w:tc>
        <w:tc>
          <w:tcPr>
            <w:tcW w:w="2208" w:type="dxa"/>
            <w:gridSpan w:val="2"/>
            <w:tcBorders>
              <w:top w:val="nil"/>
              <w:bottom w:val="nil"/>
            </w:tcBorders>
            <w:vAlign w:val="center"/>
          </w:tcPr>
          <w:p w14:paraId="0C1141BB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&lt; 0.001</w:t>
            </w:r>
          </w:p>
        </w:tc>
        <w:tc>
          <w:tcPr>
            <w:tcW w:w="3256" w:type="dxa"/>
            <w:gridSpan w:val="3"/>
            <w:tcBorders>
              <w:top w:val="nil"/>
              <w:bottom w:val="nil"/>
            </w:tcBorders>
            <w:vAlign w:val="center"/>
          </w:tcPr>
          <w:p w14:paraId="0D134D0C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&lt; 0.001</w:t>
            </w:r>
          </w:p>
        </w:tc>
        <w:tc>
          <w:tcPr>
            <w:tcW w:w="3258" w:type="dxa"/>
            <w:gridSpan w:val="3"/>
            <w:tcBorders>
              <w:top w:val="nil"/>
              <w:bottom w:val="nil"/>
            </w:tcBorders>
            <w:vAlign w:val="center"/>
          </w:tcPr>
          <w:p w14:paraId="387F7BFC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= 0.035</w:t>
            </w:r>
          </w:p>
        </w:tc>
      </w:tr>
      <w:tr w:rsidR="000269CF" w14:paraId="3C1DB54E" w14:textId="77777777">
        <w:trPr>
          <w:trHeight w:val="57"/>
          <w:jc w:val="center"/>
        </w:trPr>
        <w:tc>
          <w:tcPr>
            <w:tcW w:w="1934" w:type="dxa"/>
            <w:vMerge/>
            <w:vAlign w:val="center"/>
          </w:tcPr>
          <w:p w14:paraId="3B57CA4E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  <w:vMerge w:val="restart"/>
            <w:tcBorders>
              <w:top w:val="nil"/>
            </w:tcBorders>
          </w:tcPr>
          <w:p w14:paraId="31F8F04C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Microplastics priming effect</w:t>
            </w:r>
          </w:p>
        </w:tc>
        <w:tc>
          <w:tcPr>
            <w:tcW w:w="1940" w:type="dxa"/>
            <w:tcBorders>
              <w:top w:val="nil"/>
            </w:tcBorders>
            <w:vAlign w:val="center"/>
          </w:tcPr>
          <w:p w14:paraId="362764E8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Sample size (</w:t>
            </w:r>
            <w:r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)</w:t>
            </w:r>
          </w:p>
        </w:tc>
        <w:tc>
          <w:tcPr>
            <w:tcW w:w="1071" w:type="dxa"/>
            <w:tcBorders>
              <w:top w:val="nil"/>
            </w:tcBorders>
            <w:vAlign w:val="center"/>
          </w:tcPr>
          <w:p w14:paraId="2056F532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100</w:t>
            </w:r>
          </w:p>
        </w:tc>
        <w:tc>
          <w:tcPr>
            <w:tcW w:w="1150" w:type="dxa"/>
            <w:tcBorders>
              <w:top w:val="nil"/>
            </w:tcBorders>
            <w:vAlign w:val="center"/>
          </w:tcPr>
          <w:p w14:paraId="43093BA2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82</w:t>
            </w:r>
          </w:p>
        </w:tc>
        <w:tc>
          <w:tcPr>
            <w:tcW w:w="1058" w:type="dxa"/>
            <w:tcBorders>
              <w:top w:val="nil"/>
            </w:tcBorders>
            <w:vAlign w:val="center"/>
          </w:tcPr>
          <w:p w14:paraId="54417FBB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18</w:t>
            </w:r>
          </w:p>
        </w:tc>
        <w:tc>
          <w:tcPr>
            <w:tcW w:w="1072" w:type="dxa"/>
            <w:tcBorders>
              <w:top w:val="nil"/>
            </w:tcBorders>
            <w:vAlign w:val="center"/>
          </w:tcPr>
          <w:p w14:paraId="6FCE0684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50</w:t>
            </w:r>
          </w:p>
        </w:tc>
        <w:tc>
          <w:tcPr>
            <w:tcW w:w="1091" w:type="dxa"/>
            <w:tcBorders>
              <w:top w:val="nil"/>
            </w:tcBorders>
            <w:vAlign w:val="center"/>
          </w:tcPr>
          <w:p w14:paraId="4DDCF122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8</w:t>
            </w:r>
          </w:p>
        </w:tc>
        <w:tc>
          <w:tcPr>
            <w:tcW w:w="1093" w:type="dxa"/>
            <w:tcBorders>
              <w:top w:val="nil"/>
            </w:tcBorders>
            <w:vAlign w:val="center"/>
          </w:tcPr>
          <w:p w14:paraId="301B96DF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2D77A39B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38</w:t>
            </w:r>
          </w:p>
        </w:tc>
        <w:tc>
          <w:tcPr>
            <w:tcW w:w="1058" w:type="dxa"/>
            <w:tcBorders>
              <w:top w:val="nil"/>
            </w:tcBorders>
            <w:vAlign w:val="center"/>
          </w:tcPr>
          <w:p w14:paraId="61CC4CCB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53</w:t>
            </w:r>
          </w:p>
        </w:tc>
        <w:tc>
          <w:tcPr>
            <w:tcW w:w="1066" w:type="dxa"/>
            <w:tcBorders>
              <w:top w:val="nil"/>
            </w:tcBorders>
            <w:vAlign w:val="center"/>
          </w:tcPr>
          <w:p w14:paraId="75AAFFA1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9</w:t>
            </w:r>
          </w:p>
        </w:tc>
      </w:tr>
      <w:tr w:rsidR="000269CF" w14:paraId="3BBD2A36" w14:textId="77777777">
        <w:trPr>
          <w:trHeight w:val="57"/>
          <w:jc w:val="center"/>
        </w:trPr>
        <w:tc>
          <w:tcPr>
            <w:tcW w:w="1934" w:type="dxa"/>
            <w:vMerge/>
            <w:vAlign w:val="center"/>
          </w:tcPr>
          <w:p w14:paraId="5AC147E0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  <w:vMerge/>
            <w:vAlign w:val="center"/>
          </w:tcPr>
          <w:p w14:paraId="43EF54B6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vAlign w:val="center"/>
          </w:tcPr>
          <w:p w14:paraId="4F919904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Response ratio</w:t>
            </w:r>
          </w:p>
        </w:tc>
        <w:tc>
          <w:tcPr>
            <w:tcW w:w="1071" w:type="dxa"/>
            <w:vAlign w:val="center"/>
          </w:tcPr>
          <w:p w14:paraId="1FA8128F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0.221 </w:t>
            </w:r>
          </w:p>
        </w:tc>
        <w:tc>
          <w:tcPr>
            <w:tcW w:w="1150" w:type="dxa"/>
            <w:vAlign w:val="center"/>
          </w:tcPr>
          <w:p w14:paraId="0DDCC534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0.228 </w:t>
            </w:r>
          </w:p>
        </w:tc>
        <w:tc>
          <w:tcPr>
            <w:tcW w:w="1058" w:type="dxa"/>
            <w:vAlign w:val="center"/>
          </w:tcPr>
          <w:p w14:paraId="698619C7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0.398 </w:t>
            </w:r>
          </w:p>
        </w:tc>
        <w:tc>
          <w:tcPr>
            <w:tcW w:w="1072" w:type="dxa"/>
            <w:vAlign w:val="center"/>
          </w:tcPr>
          <w:p w14:paraId="5897E8D8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0.287 </w:t>
            </w:r>
          </w:p>
        </w:tc>
        <w:tc>
          <w:tcPr>
            <w:tcW w:w="1091" w:type="dxa"/>
            <w:vAlign w:val="center"/>
          </w:tcPr>
          <w:p w14:paraId="56CC827B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0.318 </w:t>
            </w:r>
          </w:p>
        </w:tc>
        <w:tc>
          <w:tcPr>
            <w:tcW w:w="1093" w:type="dxa"/>
            <w:vAlign w:val="center"/>
          </w:tcPr>
          <w:p w14:paraId="7EB6849E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0.200 </w:t>
            </w:r>
          </w:p>
        </w:tc>
        <w:tc>
          <w:tcPr>
            <w:tcW w:w="1134" w:type="dxa"/>
            <w:vAlign w:val="center"/>
          </w:tcPr>
          <w:p w14:paraId="3B0A9CBB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0.112 </w:t>
            </w:r>
          </w:p>
        </w:tc>
        <w:tc>
          <w:tcPr>
            <w:tcW w:w="1058" w:type="dxa"/>
            <w:vAlign w:val="center"/>
          </w:tcPr>
          <w:p w14:paraId="212B8B2D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0.199 </w:t>
            </w:r>
          </w:p>
        </w:tc>
        <w:tc>
          <w:tcPr>
            <w:tcW w:w="1066" w:type="dxa"/>
            <w:vAlign w:val="center"/>
          </w:tcPr>
          <w:p w14:paraId="1E86FDA3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0.253 </w:t>
            </w:r>
          </w:p>
        </w:tc>
      </w:tr>
      <w:tr w:rsidR="000269CF" w14:paraId="57DA23DE" w14:textId="77777777">
        <w:trPr>
          <w:trHeight w:val="57"/>
          <w:jc w:val="center"/>
        </w:trPr>
        <w:tc>
          <w:tcPr>
            <w:tcW w:w="1934" w:type="dxa"/>
            <w:vMerge/>
            <w:vAlign w:val="center"/>
          </w:tcPr>
          <w:p w14:paraId="630924D8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  <w:vMerge/>
            <w:vAlign w:val="center"/>
          </w:tcPr>
          <w:p w14:paraId="70D75A64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vAlign w:val="center"/>
          </w:tcPr>
          <w:p w14:paraId="10B3AC10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CI</w:t>
            </w:r>
            <w:r>
              <w:rPr>
                <w:rFonts w:ascii="Times New Roman" w:hAnsi="Times New Roman" w:cs="Times New Roman" w:hint="eastAsia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071" w:type="dxa"/>
            <w:vAlign w:val="center"/>
          </w:tcPr>
          <w:p w14:paraId="57DC8D7F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0.060 </w:t>
            </w:r>
          </w:p>
        </w:tc>
        <w:tc>
          <w:tcPr>
            <w:tcW w:w="1150" w:type="dxa"/>
            <w:vAlign w:val="center"/>
          </w:tcPr>
          <w:p w14:paraId="432D1701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0.061 </w:t>
            </w:r>
          </w:p>
        </w:tc>
        <w:tc>
          <w:tcPr>
            <w:tcW w:w="1058" w:type="dxa"/>
            <w:vAlign w:val="center"/>
          </w:tcPr>
          <w:p w14:paraId="33D86159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0.033 </w:t>
            </w:r>
          </w:p>
        </w:tc>
        <w:tc>
          <w:tcPr>
            <w:tcW w:w="1072" w:type="dxa"/>
            <w:vAlign w:val="center"/>
          </w:tcPr>
          <w:p w14:paraId="0F1B60F6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0.073 </w:t>
            </w:r>
          </w:p>
        </w:tc>
        <w:tc>
          <w:tcPr>
            <w:tcW w:w="1091" w:type="dxa"/>
            <w:vAlign w:val="center"/>
          </w:tcPr>
          <w:p w14:paraId="286377BD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0.181 </w:t>
            </w:r>
          </w:p>
        </w:tc>
        <w:tc>
          <w:tcPr>
            <w:tcW w:w="1093" w:type="dxa"/>
            <w:vAlign w:val="center"/>
          </w:tcPr>
          <w:p w14:paraId="0AF5543F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-0.077 </w:t>
            </w:r>
          </w:p>
        </w:tc>
        <w:tc>
          <w:tcPr>
            <w:tcW w:w="1134" w:type="dxa"/>
            <w:vAlign w:val="center"/>
          </w:tcPr>
          <w:p w14:paraId="00ADAC6A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-0.020 </w:t>
            </w:r>
          </w:p>
        </w:tc>
        <w:tc>
          <w:tcPr>
            <w:tcW w:w="1058" w:type="dxa"/>
            <w:vAlign w:val="center"/>
          </w:tcPr>
          <w:p w14:paraId="21BC027A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-0.013 </w:t>
            </w:r>
          </w:p>
        </w:tc>
        <w:tc>
          <w:tcPr>
            <w:tcW w:w="1066" w:type="dxa"/>
            <w:vAlign w:val="center"/>
          </w:tcPr>
          <w:p w14:paraId="44B7BCFE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-0.805 </w:t>
            </w:r>
          </w:p>
        </w:tc>
      </w:tr>
      <w:tr w:rsidR="000269CF" w14:paraId="085D75DC" w14:textId="77777777">
        <w:trPr>
          <w:trHeight w:val="57"/>
          <w:jc w:val="center"/>
        </w:trPr>
        <w:tc>
          <w:tcPr>
            <w:tcW w:w="1934" w:type="dxa"/>
            <w:vMerge/>
            <w:vAlign w:val="center"/>
          </w:tcPr>
          <w:p w14:paraId="669ED7A9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  <w:vMerge/>
            <w:vAlign w:val="center"/>
          </w:tcPr>
          <w:p w14:paraId="76C44A54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vAlign w:val="center"/>
          </w:tcPr>
          <w:p w14:paraId="636473D9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CI</w:t>
            </w:r>
            <w:r>
              <w:rPr>
                <w:rFonts w:ascii="Times New Roman" w:hAnsi="Times New Roman" w:cs="Times New Roman" w:hint="eastAsia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071" w:type="dxa"/>
            <w:vAlign w:val="center"/>
          </w:tcPr>
          <w:p w14:paraId="1FBD2513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0.383 </w:t>
            </w:r>
          </w:p>
        </w:tc>
        <w:tc>
          <w:tcPr>
            <w:tcW w:w="1150" w:type="dxa"/>
            <w:vAlign w:val="center"/>
          </w:tcPr>
          <w:p w14:paraId="36440A31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0.396 </w:t>
            </w:r>
          </w:p>
        </w:tc>
        <w:tc>
          <w:tcPr>
            <w:tcW w:w="1058" w:type="dxa"/>
            <w:vAlign w:val="center"/>
          </w:tcPr>
          <w:p w14:paraId="6B47CDCB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0.763 </w:t>
            </w:r>
          </w:p>
        </w:tc>
        <w:tc>
          <w:tcPr>
            <w:tcW w:w="1072" w:type="dxa"/>
            <w:vAlign w:val="center"/>
          </w:tcPr>
          <w:p w14:paraId="3CAED657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0.501 </w:t>
            </w:r>
          </w:p>
        </w:tc>
        <w:tc>
          <w:tcPr>
            <w:tcW w:w="1091" w:type="dxa"/>
            <w:vAlign w:val="center"/>
          </w:tcPr>
          <w:p w14:paraId="1A61892C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0.456 </w:t>
            </w:r>
          </w:p>
        </w:tc>
        <w:tc>
          <w:tcPr>
            <w:tcW w:w="1093" w:type="dxa"/>
            <w:vAlign w:val="center"/>
          </w:tcPr>
          <w:p w14:paraId="2AD80DFD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0.477 </w:t>
            </w:r>
          </w:p>
        </w:tc>
        <w:tc>
          <w:tcPr>
            <w:tcW w:w="1134" w:type="dxa"/>
            <w:vAlign w:val="center"/>
          </w:tcPr>
          <w:p w14:paraId="3D9D74CF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0.243 </w:t>
            </w:r>
          </w:p>
        </w:tc>
        <w:tc>
          <w:tcPr>
            <w:tcW w:w="1058" w:type="dxa"/>
            <w:vAlign w:val="center"/>
          </w:tcPr>
          <w:p w14:paraId="5C96F121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0.410 </w:t>
            </w:r>
          </w:p>
        </w:tc>
        <w:tc>
          <w:tcPr>
            <w:tcW w:w="1066" w:type="dxa"/>
            <w:vAlign w:val="center"/>
          </w:tcPr>
          <w:p w14:paraId="25AD6737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1.310 </w:t>
            </w:r>
          </w:p>
        </w:tc>
      </w:tr>
      <w:tr w:rsidR="000269CF" w14:paraId="100E8FE1" w14:textId="77777777">
        <w:trPr>
          <w:trHeight w:val="57"/>
          <w:jc w:val="center"/>
        </w:trPr>
        <w:tc>
          <w:tcPr>
            <w:tcW w:w="1934" w:type="dxa"/>
            <w:vMerge/>
            <w:tcBorders>
              <w:bottom w:val="single" w:sz="8" w:space="0" w:color="auto"/>
            </w:tcBorders>
            <w:vAlign w:val="center"/>
          </w:tcPr>
          <w:p w14:paraId="047F3A57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  <w:vMerge/>
            <w:tcBorders>
              <w:bottom w:val="single" w:sz="8" w:space="0" w:color="auto"/>
            </w:tcBorders>
            <w:vAlign w:val="center"/>
          </w:tcPr>
          <w:p w14:paraId="1FEDBEAD" w14:textId="77777777" w:rsidR="000269CF" w:rsidRDefault="000269CF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tcBorders>
              <w:bottom w:val="single" w:sz="8" w:space="0" w:color="auto"/>
            </w:tcBorders>
            <w:vAlign w:val="center"/>
          </w:tcPr>
          <w:p w14:paraId="7EB8A69F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ANOVA </w:t>
            </w:r>
            <w:r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-values</w:t>
            </w:r>
          </w:p>
        </w:tc>
        <w:tc>
          <w:tcPr>
            <w:tcW w:w="1071" w:type="dxa"/>
            <w:tcBorders>
              <w:bottom w:val="single" w:sz="8" w:space="0" w:color="auto"/>
            </w:tcBorders>
            <w:vAlign w:val="center"/>
          </w:tcPr>
          <w:p w14:paraId="0CDD0F4F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——</w:t>
            </w:r>
          </w:p>
        </w:tc>
        <w:tc>
          <w:tcPr>
            <w:tcW w:w="2208" w:type="dxa"/>
            <w:gridSpan w:val="2"/>
            <w:tcBorders>
              <w:bottom w:val="single" w:sz="8" w:space="0" w:color="auto"/>
            </w:tcBorders>
            <w:vAlign w:val="center"/>
          </w:tcPr>
          <w:p w14:paraId="17A112C2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= 0.074</w:t>
            </w:r>
          </w:p>
        </w:tc>
        <w:tc>
          <w:tcPr>
            <w:tcW w:w="3256" w:type="dxa"/>
            <w:gridSpan w:val="3"/>
            <w:tcBorders>
              <w:bottom w:val="single" w:sz="8" w:space="0" w:color="auto"/>
            </w:tcBorders>
            <w:vAlign w:val="center"/>
          </w:tcPr>
          <w:p w14:paraId="195953C7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= 0.001</w:t>
            </w:r>
          </w:p>
        </w:tc>
        <w:tc>
          <w:tcPr>
            <w:tcW w:w="3258" w:type="dxa"/>
            <w:gridSpan w:val="3"/>
            <w:tcBorders>
              <w:bottom w:val="single" w:sz="8" w:space="0" w:color="auto"/>
            </w:tcBorders>
            <w:vAlign w:val="center"/>
          </w:tcPr>
          <w:p w14:paraId="12EFAEB8" w14:textId="77777777" w:rsidR="000269CF" w:rsidRDefault="00000000" w:rsidP="00D301DD">
            <w:pPr>
              <w:widowControl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= 0.031</w:t>
            </w:r>
          </w:p>
        </w:tc>
      </w:tr>
    </w:tbl>
    <w:p w14:paraId="19B265B6" w14:textId="77777777" w:rsidR="000269CF" w:rsidRDefault="00000000">
      <w:pPr>
        <w:widowControl/>
        <w:adjustRightInd w:val="0"/>
        <w:snapToGrid w:val="0"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CI</w:t>
      </w:r>
      <w:r>
        <w:rPr>
          <w:rFonts w:ascii="Times New Roman" w:hAnsi="Times New Roman" w:cs="Times New Roman" w:hint="eastAsia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 w:hint="eastAsia"/>
          <w:sz w:val="24"/>
          <w:szCs w:val="24"/>
        </w:rPr>
        <w:t>, lower confidence interval; CI</w:t>
      </w:r>
      <w:r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 w:hint="eastAsia"/>
          <w:sz w:val="24"/>
          <w:szCs w:val="24"/>
        </w:rPr>
        <w:t>, upper confidence interval; Bio, biodegradable microplastics; Con, conventional microplastics.</w:t>
      </w:r>
    </w:p>
    <w:p w14:paraId="6BF4A8B8" w14:textId="77777777" w:rsidR="000269CF" w:rsidRDefault="000269CF">
      <w:pPr>
        <w:widowControl/>
        <w:adjustRightInd w:val="0"/>
        <w:snapToGrid w:val="0"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  <w:sectPr w:rsidR="000269CF">
          <w:pgSz w:w="16838" w:h="11906" w:orient="landscape"/>
          <w:pgMar w:top="1418" w:right="1418" w:bottom="1418" w:left="1418" w:header="720" w:footer="720" w:gutter="0"/>
          <w:lnNumType w:countBy="1" w:restart="continuous"/>
          <w:cols w:space="720"/>
          <w:docGrid w:linePitch="286"/>
        </w:sectPr>
      </w:pPr>
    </w:p>
    <w:p w14:paraId="23F97E20" w14:textId="77777777" w:rsidR="000269CF" w:rsidRDefault="00000000">
      <w:pPr>
        <w:adjustRightInd w:val="0"/>
        <w:snapToGrid w:val="0"/>
        <w:spacing w:line="48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sz w:val="24"/>
          <w:szCs w:val="24"/>
        </w:rPr>
        <w:lastRenderedPageBreak/>
        <w:t>Text S1 All 12 studies included in the presented meta-analysis</w:t>
      </w:r>
    </w:p>
    <w:p w14:paraId="35685F07" w14:textId="77777777" w:rsidR="000269CF" w:rsidRDefault="00000000">
      <w:pPr>
        <w:pStyle w:val="af5"/>
        <w:numPr>
          <w:ilvl w:val="0"/>
          <w:numId w:val="1"/>
        </w:numPr>
        <w:adjustRightInd w:val="0"/>
        <w:snapToGrid w:val="0"/>
        <w:spacing w:line="480" w:lineRule="auto"/>
        <w:contextualSpacing w:val="0"/>
        <w:rPr>
          <w:rFonts w:ascii="Times New Roman" w:hAnsi="Times New Roman" w:cs="Times New Roman"/>
          <w:sz w:val="24"/>
          <w:szCs w:val="24"/>
        </w:rPr>
      </w:pPr>
      <w:bookmarkStart w:id="1" w:name="_Hlk196246142"/>
      <w:r>
        <w:rPr>
          <w:rFonts w:ascii="Times New Roman" w:hAnsi="Times New Roman" w:cs="Times New Roman" w:hint="eastAsia"/>
          <w:sz w:val="24"/>
          <w:szCs w:val="24"/>
        </w:rPr>
        <w:t>Xiao, M.L., Shahbaz, M., Liang, Y., Yang, J., Wang, S., Chadwicka, D.R., Jones, D., Chen, J.P., Ge, T.D., 2021. Effect of microplastics on organic matter decomposition in paddy soil amended with crop residues and labile C: A three-source-partitioning study. Journal of Hazardous Materials 416, 126221.</w:t>
      </w:r>
    </w:p>
    <w:bookmarkEnd w:id="1"/>
    <w:p w14:paraId="00125B60" w14:textId="77777777" w:rsidR="000269CF" w:rsidRDefault="00000000">
      <w:pPr>
        <w:pStyle w:val="af5"/>
        <w:numPr>
          <w:ilvl w:val="0"/>
          <w:numId w:val="1"/>
        </w:numPr>
        <w:adjustRightInd w:val="0"/>
        <w:snapToGrid w:val="0"/>
        <w:spacing w:line="48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Guliyev, V., Tanunchai, B., Udovenko, M., Menyailo, O., Glaser, B., Purahong, W., Blagodatskaya, E., 2023. Degradation of bio-based and biodegradable plastic and its contribution to soil organic carbon stock. Polymers 15, 660.</w:t>
      </w:r>
    </w:p>
    <w:p w14:paraId="5B481E75" w14:textId="77777777" w:rsidR="000269CF" w:rsidRDefault="00000000">
      <w:pPr>
        <w:pStyle w:val="af5"/>
        <w:numPr>
          <w:ilvl w:val="0"/>
          <w:numId w:val="1"/>
        </w:numPr>
        <w:adjustRightInd w:val="0"/>
        <w:snapToGrid w:val="0"/>
        <w:spacing w:line="48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Huo, Y.X., Dijkstra, F.A., Possell, M., Dong, A.Z., Singh, B., 2023. Degradation of conventional, biodegradable and oxo-degradable microplastics in a soil using a </w:t>
      </w:r>
      <w:r>
        <w:rPr>
          <w:rFonts w:ascii="Times New Roman" w:hAnsi="Times New Roman" w:cs="Times New Roman"/>
          <w:sz w:val="24"/>
          <w:szCs w:val="24"/>
        </w:rPr>
        <w:t>δ</w:t>
      </w:r>
      <w:r>
        <w:rPr>
          <w:rFonts w:ascii="Times New Roman" w:hAnsi="Times New Roman" w:cs="Times New Roman" w:hint="eastAsia"/>
          <w:sz w:val="24"/>
          <w:szCs w:val="24"/>
        </w:rPr>
        <w:t>13C technique. Soil Research 61, 755-765.</w:t>
      </w:r>
    </w:p>
    <w:p w14:paraId="78C54B43" w14:textId="77777777" w:rsidR="000269CF" w:rsidRDefault="00000000">
      <w:pPr>
        <w:pStyle w:val="af5"/>
        <w:numPr>
          <w:ilvl w:val="0"/>
          <w:numId w:val="1"/>
        </w:numPr>
        <w:adjustRightInd w:val="0"/>
        <w:snapToGrid w:val="0"/>
        <w:spacing w:line="48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Zhang, G.H., Liu, D., Lin, J.J., Kumar, A., Jia, K.T., Tian, X.X., Yu, Z.G., Zhu, B., 2023. Priming effects induced by degradable microplastics in agricultural soils. Soil Biology and Biochemistry 180, </w:t>
      </w:r>
      <w:r>
        <w:rPr>
          <w:rFonts w:ascii="Times New Roman" w:hAnsi="Times New Roman" w:cs="Times New Roman"/>
          <w:sz w:val="24"/>
          <w:szCs w:val="24"/>
        </w:rPr>
        <w:t>109006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14:paraId="43E5523C" w14:textId="77777777" w:rsidR="000269CF" w:rsidRDefault="00000000">
      <w:pPr>
        <w:pStyle w:val="af5"/>
        <w:numPr>
          <w:ilvl w:val="0"/>
          <w:numId w:val="1"/>
        </w:numPr>
        <w:adjustRightInd w:val="0"/>
        <w:snapToGrid w:val="0"/>
        <w:spacing w:line="480" w:lineRule="auto"/>
        <w:contextualSpacing w:val="0"/>
        <w:rPr>
          <w:rFonts w:ascii="Times New Roman" w:hAnsi="Times New Roman" w:cs="Times New Roman"/>
          <w:sz w:val="24"/>
          <w:szCs w:val="24"/>
        </w:rPr>
      </w:pPr>
      <w:bookmarkStart w:id="2" w:name="_Hlk196246266"/>
      <w:r>
        <w:rPr>
          <w:rFonts w:ascii="Times New Roman" w:hAnsi="Times New Roman" w:cs="Times New Roman" w:hint="eastAsia"/>
          <w:sz w:val="24"/>
          <w:szCs w:val="24"/>
        </w:rPr>
        <w:t xml:space="preserve">Hink, L., Rohrbach, S., Rehkopf, J., Sehl, E., Agarwal, S., Feldhaar, H., Horn, M.A., 2024. Poly(L-lactide) mineralisation under environmental conditions is enhanced in earthworm guts. Soil Biology and Biochemistry 196, </w:t>
      </w:r>
      <w:r>
        <w:rPr>
          <w:rFonts w:ascii="Times New Roman" w:hAnsi="Times New Roman" w:cs="Times New Roman"/>
          <w:sz w:val="24"/>
          <w:szCs w:val="24"/>
        </w:rPr>
        <w:t>109485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bookmarkEnd w:id="2"/>
    <w:p w14:paraId="4F909C3E" w14:textId="77777777" w:rsidR="000269CF" w:rsidRDefault="00000000">
      <w:pPr>
        <w:pStyle w:val="af5"/>
        <w:numPr>
          <w:ilvl w:val="0"/>
          <w:numId w:val="1"/>
        </w:numPr>
        <w:adjustRightInd w:val="0"/>
        <w:snapToGrid w:val="0"/>
        <w:spacing w:line="48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Huo, Y.X., Dijkstra, F.A., Possell, M., Singh, B., 2024. Mineralisation and priming effects of a biodegradable plastic mulch film in soils: Influence of soil type, temperature and plastic particle size. Soil Biology and Biochemistry 189, </w:t>
      </w:r>
      <w:r>
        <w:rPr>
          <w:rFonts w:ascii="Times New Roman" w:hAnsi="Times New Roman" w:cs="Times New Roman"/>
          <w:sz w:val="24"/>
          <w:szCs w:val="24"/>
        </w:rPr>
        <w:t>109257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14:paraId="79C6C532" w14:textId="77777777" w:rsidR="000269CF" w:rsidRDefault="00000000">
      <w:pPr>
        <w:pStyle w:val="af5"/>
        <w:numPr>
          <w:ilvl w:val="0"/>
          <w:numId w:val="1"/>
        </w:numPr>
        <w:adjustRightInd w:val="0"/>
        <w:snapToGrid w:val="0"/>
        <w:spacing w:line="480" w:lineRule="auto"/>
        <w:contextualSpacing w:val="0"/>
        <w:rPr>
          <w:rFonts w:ascii="Times New Roman" w:hAnsi="Times New Roman" w:cs="Times New Roman"/>
          <w:sz w:val="24"/>
          <w:szCs w:val="24"/>
        </w:rPr>
      </w:pPr>
      <w:bookmarkStart w:id="3" w:name="_Hlk196246345"/>
      <w:r>
        <w:rPr>
          <w:rFonts w:ascii="Times New Roman" w:hAnsi="Times New Roman" w:cs="Times New Roman" w:hint="eastAsia"/>
          <w:sz w:val="24"/>
          <w:szCs w:val="24"/>
        </w:rPr>
        <w:t>Jia, K.T., Nie, S.M, Tian, M.F., Sun, W.X., Gao, Y., Zhang, Y.R., Xie, X.F., Xu, Z.Q., Zhao, C.J., Li, C.Y., 2024. Biodegradable microplastics can cause more serious loss of soil organic carbon by priming effect than conventional microplastics in farmland shelterbelts. Functional Ecology 38, 2447-2458.</w:t>
      </w:r>
    </w:p>
    <w:bookmarkEnd w:id="3"/>
    <w:p w14:paraId="598804BA" w14:textId="77777777" w:rsidR="000269CF" w:rsidRDefault="00000000">
      <w:pPr>
        <w:pStyle w:val="af5"/>
        <w:numPr>
          <w:ilvl w:val="0"/>
          <w:numId w:val="1"/>
        </w:numPr>
        <w:adjustRightInd w:val="0"/>
        <w:snapToGrid w:val="0"/>
        <w:spacing w:line="48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Yu, Y.X., Lin, S.Y., Sarkar, B., Wang, J., Liu, X.H., Wang, D.N., Ge, T.D., Li, Y.Y., Zhu, </w:t>
      </w:r>
      <w:r>
        <w:rPr>
          <w:rFonts w:ascii="Times New Roman" w:hAnsi="Times New Roman" w:cs="Times New Roman" w:hint="eastAsia"/>
          <w:sz w:val="24"/>
          <w:szCs w:val="24"/>
        </w:rPr>
        <w:lastRenderedPageBreak/>
        <w:t>B., Yao, H.Y., 2024. Mineralization and microbial utilization of poly(lactic acid) microplastic in soil. Journal of Hazardous Materials 476, 135080.</w:t>
      </w:r>
    </w:p>
    <w:p w14:paraId="522A2D42" w14:textId="77777777" w:rsidR="000269CF" w:rsidRDefault="00000000">
      <w:pPr>
        <w:pStyle w:val="af5"/>
        <w:numPr>
          <w:ilvl w:val="0"/>
          <w:numId w:val="1"/>
        </w:numPr>
        <w:adjustRightInd w:val="0"/>
        <w:snapToGrid w:val="0"/>
        <w:spacing w:line="48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Xiao, C.L., Liu, X.H., Wang, D.D., Xue, J.T., Liu, L.H., Yu, Y.X., Yao, H.Y., 2024. Impact of moisture on the degradation and priming effects of poly(lactic acid) microplastic. Land Degradation &amp; Development 35, 4623-4636.</w:t>
      </w:r>
    </w:p>
    <w:p w14:paraId="37172713" w14:textId="77777777" w:rsidR="000269CF" w:rsidRDefault="00000000">
      <w:pPr>
        <w:pStyle w:val="af5"/>
        <w:numPr>
          <w:ilvl w:val="0"/>
          <w:numId w:val="1"/>
        </w:numPr>
        <w:adjustRightInd w:val="0"/>
        <w:snapToGrid w:val="0"/>
        <w:spacing w:line="48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Chen, L.Y., Han, L.F., Wang, F.Y., Chen, Q., Huang, H.K., Wang, J., Ma, C.X., Sun, K., Rillig, M.C., Kuzyakov, Y., Yang, Z.F., 2025. Polylactic acid microplastics induced negative priming and improved carbon sequestration via microbial processes in different paddy soils. Soil Biology and Biochemistry 201, 109653.</w:t>
      </w:r>
    </w:p>
    <w:p w14:paraId="0E42E58A" w14:textId="77777777" w:rsidR="000269CF" w:rsidRDefault="00000000">
      <w:pPr>
        <w:pStyle w:val="af5"/>
        <w:numPr>
          <w:ilvl w:val="0"/>
          <w:numId w:val="1"/>
        </w:numPr>
        <w:adjustRightInd w:val="0"/>
        <w:snapToGrid w:val="0"/>
        <w:spacing w:line="480" w:lineRule="auto"/>
        <w:contextualSpacing w:val="0"/>
        <w:rPr>
          <w:rFonts w:ascii="Times New Roman" w:hAnsi="Times New Roman" w:cs="Times New Roman"/>
          <w:sz w:val="24"/>
          <w:szCs w:val="24"/>
          <w:lang w:val="da-DK"/>
        </w:rPr>
      </w:pPr>
      <w:bookmarkStart w:id="4" w:name="_Hlk196246488"/>
      <w:r>
        <w:rPr>
          <w:rFonts w:ascii="Times New Roman" w:hAnsi="Times New Roman" w:cs="Times New Roman" w:hint="eastAsia"/>
          <w:sz w:val="24"/>
          <w:szCs w:val="24"/>
          <w:lang w:val="da-DK"/>
        </w:rPr>
        <w:t>Lin, J.J., Chen, B.B., Dong, H.X., Zhang, W.L., Kumar, A., Hui, D.F., Zhang, C.A., Shan, S.D., Zhu, B., 2025. Effects of soil moisture fluctuation and microplastics types on soil organic matter decomposition and carbon dynamics</w:t>
      </w:r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  <w:r>
        <w:rPr>
          <w:rFonts w:ascii="Times New Roman" w:hAnsi="Times New Roman" w:cs="Times New Roman" w:hint="eastAsia"/>
          <w:sz w:val="24"/>
          <w:szCs w:val="24"/>
          <w:lang w:val="da-DK"/>
        </w:rPr>
        <w:t>Soil Biology and Biochemistry 205,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val="da-DK"/>
        </w:rPr>
        <w:t>109781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bookmarkEnd w:id="4"/>
    <w:p w14:paraId="376C863F" w14:textId="77777777" w:rsidR="000269CF" w:rsidRDefault="00000000">
      <w:pPr>
        <w:pStyle w:val="af5"/>
        <w:numPr>
          <w:ilvl w:val="0"/>
          <w:numId w:val="1"/>
        </w:numPr>
        <w:adjustRightInd w:val="0"/>
        <w:snapToGrid w:val="0"/>
        <w:spacing w:line="480" w:lineRule="auto"/>
        <w:contextualSpacing w:val="0"/>
        <w:rPr>
          <w:rFonts w:ascii="Times New Roman" w:hAnsi="Times New Roman" w:cs="Times New Roman"/>
          <w:sz w:val="24"/>
          <w:szCs w:val="24"/>
          <w:lang w:val="da-DK"/>
        </w:rPr>
      </w:pPr>
      <w:r>
        <w:rPr>
          <w:rFonts w:ascii="Times New Roman" w:hAnsi="Times New Roman" w:cs="Times New Roman" w:hint="eastAsia"/>
          <w:sz w:val="24"/>
          <w:szCs w:val="24"/>
          <w:lang w:val="da-DK"/>
        </w:rPr>
        <w:t xml:space="preserve">Wu, Y., Wang, Z.H., Yu, Y.X., Liu, X.H., Wang, D.N., Wang, J., Li, Y.Y., Zhu, B., Whalen, J.K., Yao, H.Y., 2025. </w:t>
      </w:r>
      <w:r>
        <w:rPr>
          <w:rFonts w:ascii="Times New Roman" w:hAnsi="Times New Roman" w:cs="Times New Roman" w:hint="eastAsia"/>
          <w:sz w:val="24"/>
          <w:szCs w:val="24"/>
        </w:rPr>
        <w:t>Degrading poly(lactic acid) microplastic induces priming in agricultural soils. Applied Soil Ecology 206, 105911.</w:t>
      </w:r>
    </w:p>
    <w:sectPr w:rsidR="000269CF">
      <w:pgSz w:w="11906" w:h="16838"/>
      <w:pgMar w:top="1418" w:right="1418" w:bottom="1418" w:left="1418" w:header="720" w:footer="720" w:gutter="0"/>
      <w:lnNumType w:countBy="1" w:restart="continuous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053F4C" w14:textId="77777777" w:rsidR="009419EC" w:rsidRDefault="009419EC">
      <w:pPr>
        <w:rPr>
          <w:rFonts w:hint="eastAsia"/>
        </w:rPr>
      </w:pPr>
      <w:r>
        <w:separator/>
      </w:r>
    </w:p>
  </w:endnote>
  <w:endnote w:type="continuationSeparator" w:id="0">
    <w:p w14:paraId="17EBD2E3" w14:textId="77777777" w:rsidR="009419EC" w:rsidRDefault="009419E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1"/>
        <w:szCs w:val="21"/>
      </w:rPr>
      <w:id w:val="5114481"/>
    </w:sdtPr>
    <w:sdtEndPr>
      <w:rPr>
        <w:sz w:val="24"/>
        <w:szCs w:val="24"/>
      </w:rPr>
    </w:sdtEndPr>
    <w:sdtContent>
      <w:p w14:paraId="4B328BEE" w14:textId="77777777" w:rsidR="000269CF" w:rsidRDefault="00000000">
        <w:pPr>
          <w:pStyle w:val="a5"/>
          <w:jc w:val="center"/>
          <w:rPr>
            <w:rFonts w:ascii="Times New Roman" w:hAnsi="Times New Roman" w:cs="Times New Roman"/>
            <w:sz w:val="21"/>
            <w:szCs w:val="21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  <w:lang w:val="zh-CN"/>
          </w:rPr>
          <w:t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D2F13EE" w14:textId="77777777" w:rsidR="000269CF" w:rsidRDefault="000269CF">
    <w:pPr>
      <w:pStyle w:val="a5"/>
      <w:rPr>
        <w:rFonts w:ascii="Times New Roman" w:hAnsi="Times New Roman" w:cs="Times New Roman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863DE" w14:textId="77777777" w:rsidR="009419EC" w:rsidRDefault="009419EC">
      <w:pPr>
        <w:rPr>
          <w:rFonts w:hint="eastAsia"/>
        </w:rPr>
      </w:pPr>
      <w:r>
        <w:separator/>
      </w:r>
    </w:p>
  </w:footnote>
  <w:footnote w:type="continuationSeparator" w:id="0">
    <w:p w14:paraId="61DA60C7" w14:textId="77777777" w:rsidR="009419EC" w:rsidRDefault="009419E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23B47" w14:textId="77777777" w:rsidR="000269CF" w:rsidRDefault="000269CF">
    <w:pPr>
      <w:pStyle w:val="CM2"/>
      <w:jc w:val="both"/>
      <w:rPr>
        <w:rFonts w:ascii="Lucida Sans" w:hAnsi="Lucida Sans"/>
        <w:sz w:val="20"/>
        <w:szCs w:val="20"/>
        <w:lang w:eastAsia="zh-C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2F4DFE"/>
    <w:multiLevelType w:val="multilevel"/>
    <w:tmpl w:val="722F4DF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 w16cid:durableId="2126188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HorizontalSpacing w:val="10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416"/>
    <w:rsid w:val="00012AE2"/>
    <w:rsid w:val="0001653B"/>
    <w:rsid w:val="00021BBB"/>
    <w:rsid w:val="000269CF"/>
    <w:rsid w:val="00046C0B"/>
    <w:rsid w:val="000607F9"/>
    <w:rsid w:val="000644A0"/>
    <w:rsid w:val="00064AE4"/>
    <w:rsid w:val="00066FD8"/>
    <w:rsid w:val="00080243"/>
    <w:rsid w:val="000824AA"/>
    <w:rsid w:val="00084067"/>
    <w:rsid w:val="000856CB"/>
    <w:rsid w:val="00092B7D"/>
    <w:rsid w:val="000A4387"/>
    <w:rsid w:val="000B6DE7"/>
    <w:rsid w:val="000C21AF"/>
    <w:rsid w:val="000C3DA7"/>
    <w:rsid w:val="000D44A6"/>
    <w:rsid w:val="000F15D8"/>
    <w:rsid w:val="001030A6"/>
    <w:rsid w:val="00107F6B"/>
    <w:rsid w:val="00125A19"/>
    <w:rsid w:val="0013596A"/>
    <w:rsid w:val="00140A92"/>
    <w:rsid w:val="00154B0E"/>
    <w:rsid w:val="00171EB7"/>
    <w:rsid w:val="00175F39"/>
    <w:rsid w:val="00182DD0"/>
    <w:rsid w:val="00187C93"/>
    <w:rsid w:val="001909CA"/>
    <w:rsid w:val="001A43DB"/>
    <w:rsid w:val="001A70C6"/>
    <w:rsid w:val="001D0720"/>
    <w:rsid w:val="001E548A"/>
    <w:rsid w:val="00203F3D"/>
    <w:rsid w:val="002130BD"/>
    <w:rsid w:val="00215AEF"/>
    <w:rsid w:val="002216A0"/>
    <w:rsid w:val="002221A6"/>
    <w:rsid w:val="00246817"/>
    <w:rsid w:val="00246D78"/>
    <w:rsid w:val="00276AEC"/>
    <w:rsid w:val="00283225"/>
    <w:rsid w:val="002A3538"/>
    <w:rsid w:val="002A405A"/>
    <w:rsid w:val="002C44DB"/>
    <w:rsid w:val="002D0BDA"/>
    <w:rsid w:val="002D7C09"/>
    <w:rsid w:val="002F0AF4"/>
    <w:rsid w:val="00300698"/>
    <w:rsid w:val="00311A14"/>
    <w:rsid w:val="00315645"/>
    <w:rsid w:val="003202B0"/>
    <w:rsid w:val="0032106D"/>
    <w:rsid w:val="003234DC"/>
    <w:rsid w:val="00325903"/>
    <w:rsid w:val="00351BB4"/>
    <w:rsid w:val="0035336E"/>
    <w:rsid w:val="003551DD"/>
    <w:rsid w:val="00356B1B"/>
    <w:rsid w:val="00361B6B"/>
    <w:rsid w:val="003646A2"/>
    <w:rsid w:val="003653C0"/>
    <w:rsid w:val="0038201A"/>
    <w:rsid w:val="003A41A6"/>
    <w:rsid w:val="003B078A"/>
    <w:rsid w:val="003C1D1B"/>
    <w:rsid w:val="003D02BA"/>
    <w:rsid w:val="003D6569"/>
    <w:rsid w:val="003E3C27"/>
    <w:rsid w:val="003F3434"/>
    <w:rsid w:val="003F3BB4"/>
    <w:rsid w:val="003F7D4A"/>
    <w:rsid w:val="00411B03"/>
    <w:rsid w:val="004158A1"/>
    <w:rsid w:val="00420FC8"/>
    <w:rsid w:val="00422775"/>
    <w:rsid w:val="00432F63"/>
    <w:rsid w:val="0043514F"/>
    <w:rsid w:val="004431C7"/>
    <w:rsid w:val="00451676"/>
    <w:rsid w:val="00462838"/>
    <w:rsid w:val="0046344A"/>
    <w:rsid w:val="00464C43"/>
    <w:rsid w:val="00484BEA"/>
    <w:rsid w:val="004875E9"/>
    <w:rsid w:val="00494870"/>
    <w:rsid w:val="004A21B0"/>
    <w:rsid w:val="004A6D00"/>
    <w:rsid w:val="004A7D99"/>
    <w:rsid w:val="004D1EA9"/>
    <w:rsid w:val="004E4D9C"/>
    <w:rsid w:val="004F487B"/>
    <w:rsid w:val="004F4968"/>
    <w:rsid w:val="00504CF6"/>
    <w:rsid w:val="005136E6"/>
    <w:rsid w:val="005161FC"/>
    <w:rsid w:val="00522345"/>
    <w:rsid w:val="0052247F"/>
    <w:rsid w:val="00531C7B"/>
    <w:rsid w:val="00560CFD"/>
    <w:rsid w:val="00573D23"/>
    <w:rsid w:val="0058219B"/>
    <w:rsid w:val="005870A9"/>
    <w:rsid w:val="005A6976"/>
    <w:rsid w:val="005B464A"/>
    <w:rsid w:val="005C2CAA"/>
    <w:rsid w:val="005C49C2"/>
    <w:rsid w:val="005E4204"/>
    <w:rsid w:val="005F222A"/>
    <w:rsid w:val="005F5E07"/>
    <w:rsid w:val="00603AEB"/>
    <w:rsid w:val="00604655"/>
    <w:rsid w:val="006211A2"/>
    <w:rsid w:val="00640000"/>
    <w:rsid w:val="00640838"/>
    <w:rsid w:val="00647C0F"/>
    <w:rsid w:val="00650ED1"/>
    <w:rsid w:val="0065207E"/>
    <w:rsid w:val="00683BA5"/>
    <w:rsid w:val="0069607B"/>
    <w:rsid w:val="006B0B75"/>
    <w:rsid w:val="006B5132"/>
    <w:rsid w:val="006B7F6C"/>
    <w:rsid w:val="006C6B29"/>
    <w:rsid w:val="006D73EF"/>
    <w:rsid w:val="006E5C1F"/>
    <w:rsid w:val="00702EEA"/>
    <w:rsid w:val="00704A24"/>
    <w:rsid w:val="00706416"/>
    <w:rsid w:val="00710323"/>
    <w:rsid w:val="00721F73"/>
    <w:rsid w:val="00723FBF"/>
    <w:rsid w:val="00725718"/>
    <w:rsid w:val="00726AEF"/>
    <w:rsid w:val="00733227"/>
    <w:rsid w:val="00735D02"/>
    <w:rsid w:val="00736299"/>
    <w:rsid w:val="00744BC0"/>
    <w:rsid w:val="00756AE5"/>
    <w:rsid w:val="00766402"/>
    <w:rsid w:val="00782CA3"/>
    <w:rsid w:val="00785AB8"/>
    <w:rsid w:val="007B75C1"/>
    <w:rsid w:val="007D774E"/>
    <w:rsid w:val="007E622B"/>
    <w:rsid w:val="007F305E"/>
    <w:rsid w:val="00802951"/>
    <w:rsid w:val="00803A65"/>
    <w:rsid w:val="00806C83"/>
    <w:rsid w:val="0081236D"/>
    <w:rsid w:val="00824930"/>
    <w:rsid w:val="00845C77"/>
    <w:rsid w:val="0086213B"/>
    <w:rsid w:val="00877BA2"/>
    <w:rsid w:val="008A59FF"/>
    <w:rsid w:val="008B6E59"/>
    <w:rsid w:val="008C141B"/>
    <w:rsid w:val="008D45EB"/>
    <w:rsid w:val="008D6DC8"/>
    <w:rsid w:val="008F4B67"/>
    <w:rsid w:val="009006B3"/>
    <w:rsid w:val="00905088"/>
    <w:rsid w:val="00905826"/>
    <w:rsid w:val="0091432D"/>
    <w:rsid w:val="0091435D"/>
    <w:rsid w:val="0091712C"/>
    <w:rsid w:val="0092368A"/>
    <w:rsid w:val="00924D4B"/>
    <w:rsid w:val="00933845"/>
    <w:rsid w:val="009419EC"/>
    <w:rsid w:val="00956E96"/>
    <w:rsid w:val="00970D69"/>
    <w:rsid w:val="009851F9"/>
    <w:rsid w:val="009A3DEC"/>
    <w:rsid w:val="009D4ED9"/>
    <w:rsid w:val="009D6211"/>
    <w:rsid w:val="009D674B"/>
    <w:rsid w:val="009E0E96"/>
    <w:rsid w:val="009E27B0"/>
    <w:rsid w:val="009F4481"/>
    <w:rsid w:val="00A073D7"/>
    <w:rsid w:val="00A11240"/>
    <w:rsid w:val="00A17FA5"/>
    <w:rsid w:val="00A52314"/>
    <w:rsid w:val="00A74472"/>
    <w:rsid w:val="00A84AED"/>
    <w:rsid w:val="00AF6D7A"/>
    <w:rsid w:val="00AF6E23"/>
    <w:rsid w:val="00B043CB"/>
    <w:rsid w:val="00B257CA"/>
    <w:rsid w:val="00B3407E"/>
    <w:rsid w:val="00B4162F"/>
    <w:rsid w:val="00B46A09"/>
    <w:rsid w:val="00B52AB2"/>
    <w:rsid w:val="00B5329F"/>
    <w:rsid w:val="00B541F9"/>
    <w:rsid w:val="00B572B3"/>
    <w:rsid w:val="00B63E36"/>
    <w:rsid w:val="00B7076B"/>
    <w:rsid w:val="00B73681"/>
    <w:rsid w:val="00B77DF4"/>
    <w:rsid w:val="00B852F6"/>
    <w:rsid w:val="00B868AF"/>
    <w:rsid w:val="00BA5C1D"/>
    <w:rsid w:val="00BC64BF"/>
    <w:rsid w:val="00BD0337"/>
    <w:rsid w:val="00BD21CE"/>
    <w:rsid w:val="00BF0D2D"/>
    <w:rsid w:val="00BF30C3"/>
    <w:rsid w:val="00BF6A46"/>
    <w:rsid w:val="00C0168F"/>
    <w:rsid w:val="00C0400D"/>
    <w:rsid w:val="00C33999"/>
    <w:rsid w:val="00C55185"/>
    <w:rsid w:val="00C5747F"/>
    <w:rsid w:val="00C676F9"/>
    <w:rsid w:val="00C75A23"/>
    <w:rsid w:val="00C86B28"/>
    <w:rsid w:val="00C92945"/>
    <w:rsid w:val="00C96DDB"/>
    <w:rsid w:val="00C973F3"/>
    <w:rsid w:val="00CB136C"/>
    <w:rsid w:val="00CB2519"/>
    <w:rsid w:val="00CB3A33"/>
    <w:rsid w:val="00CB4D16"/>
    <w:rsid w:val="00CB5253"/>
    <w:rsid w:val="00CB56FE"/>
    <w:rsid w:val="00CB6EEB"/>
    <w:rsid w:val="00CC5353"/>
    <w:rsid w:val="00CD56AF"/>
    <w:rsid w:val="00CE0A0B"/>
    <w:rsid w:val="00CE4C79"/>
    <w:rsid w:val="00D301DD"/>
    <w:rsid w:val="00D31F1C"/>
    <w:rsid w:val="00D323FF"/>
    <w:rsid w:val="00D409A3"/>
    <w:rsid w:val="00D42619"/>
    <w:rsid w:val="00D463D8"/>
    <w:rsid w:val="00D536F3"/>
    <w:rsid w:val="00D56D06"/>
    <w:rsid w:val="00D56F24"/>
    <w:rsid w:val="00D73A9A"/>
    <w:rsid w:val="00D80B4B"/>
    <w:rsid w:val="00D84DF7"/>
    <w:rsid w:val="00D85A0C"/>
    <w:rsid w:val="00D91F27"/>
    <w:rsid w:val="00D91FC7"/>
    <w:rsid w:val="00DA1851"/>
    <w:rsid w:val="00DA25C0"/>
    <w:rsid w:val="00DA36AA"/>
    <w:rsid w:val="00DB0C18"/>
    <w:rsid w:val="00DD18F8"/>
    <w:rsid w:val="00DD7590"/>
    <w:rsid w:val="00DE5AE2"/>
    <w:rsid w:val="00DE73A1"/>
    <w:rsid w:val="00E05AFE"/>
    <w:rsid w:val="00E25935"/>
    <w:rsid w:val="00E45DD3"/>
    <w:rsid w:val="00E479D4"/>
    <w:rsid w:val="00E52A53"/>
    <w:rsid w:val="00E61CEB"/>
    <w:rsid w:val="00E87B7C"/>
    <w:rsid w:val="00EA4C36"/>
    <w:rsid w:val="00EB79EC"/>
    <w:rsid w:val="00EC5BEB"/>
    <w:rsid w:val="00ED3043"/>
    <w:rsid w:val="00EE08E8"/>
    <w:rsid w:val="00EE0EA2"/>
    <w:rsid w:val="00EE6D6A"/>
    <w:rsid w:val="00EF3971"/>
    <w:rsid w:val="00EF5D2A"/>
    <w:rsid w:val="00F00C9E"/>
    <w:rsid w:val="00F56490"/>
    <w:rsid w:val="00F65C3E"/>
    <w:rsid w:val="00F70C97"/>
    <w:rsid w:val="00F75312"/>
    <w:rsid w:val="00F8719B"/>
    <w:rsid w:val="00F8734B"/>
    <w:rsid w:val="00F93CEF"/>
    <w:rsid w:val="00FA0A64"/>
    <w:rsid w:val="00FA7735"/>
    <w:rsid w:val="00FB45F6"/>
    <w:rsid w:val="00FC6745"/>
    <w:rsid w:val="00FE54AC"/>
    <w:rsid w:val="00FF05DC"/>
    <w:rsid w:val="0193738E"/>
    <w:rsid w:val="02880909"/>
    <w:rsid w:val="03C47EB8"/>
    <w:rsid w:val="03C91646"/>
    <w:rsid w:val="0402799B"/>
    <w:rsid w:val="0691763C"/>
    <w:rsid w:val="071835C2"/>
    <w:rsid w:val="09811DD5"/>
    <w:rsid w:val="0A660967"/>
    <w:rsid w:val="0C9F5818"/>
    <w:rsid w:val="0D14461D"/>
    <w:rsid w:val="0DB02937"/>
    <w:rsid w:val="0DD67DB9"/>
    <w:rsid w:val="10072DFF"/>
    <w:rsid w:val="15933D72"/>
    <w:rsid w:val="16A15AA8"/>
    <w:rsid w:val="17626C76"/>
    <w:rsid w:val="18D64AA0"/>
    <w:rsid w:val="18EA4A85"/>
    <w:rsid w:val="1B754C9A"/>
    <w:rsid w:val="1BFE443F"/>
    <w:rsid w:val="1D6205EF"/>
    <w:rsid w:val="1DD04C16"/>
    <w:rsid w:val="1F5C0367"/>
    <w:rsid w:val="1F6E4598"/>
    <w:rsid w:val="20E14146"/>
    <w:rsid w:val="211842A6"/>
    <w:rsid w:val="21582FFE"/>
    <w:rsid w:val="215840E5"/>
    <w:rsid w:val="241D3158"/>
    <w:rsid w:val="25BF13E2"/>
    <w:rsid w:val="26FB7623"/>
    <w:rsid w:val="270A253F"/>
    <w:rsid w:val="28D25BAD"/>
    <w:rsid w:val="2AC97D5C"/>
    <w:rsid w:val="2BDA1B23"/>
    <w:rsid w:val="2DC40538"/>
    <w:rsid w:val="341A6541"/>
    <w:rsid w:val="34C3174F"/>
    <w:rsid w:val="34DA4224"/>
    <w:rsid w:val="35CE0788"/>
    <w:rsid w:val="3A1B361E"/>
    <w:rsid w:val="3B293023"/>
    <w:rsid w:val="3C646B85"/>
    <w:rsid w:val="3D245316"/>
    <w:rsid w:val="409E221E"/>
    <w:rsid w:val="40E85776"/>
    <w:rsid w:val="41574443"/>
    <w:rsid w:val="42312CED"/>
    <w:rsid w:val="43095949"/>
    <w:rsid w:val="43B41C41"/>
    <w:rsid w:val="44E56D05"/>
    <w:rsid w:val="494068AE"/>
    <w:rsid w:val="4FCF51CE"/>
    <w:rsid w:val="50C358FB"/>
    <w:rsid w:val="52DD68F1"/>
    <w:rsid w:val="546C3FB3"/>
    <w:rsid w:val="553D0988"/>
    <w:rsid w:val="55FA4637"/>
    <w:rsid w:val="565C2C7B"/>
    <w:rsid w:val="58FE78A6"/>
    <w:rsid w:val="599876E6"/>
    <w:rsid w:val="59A32A50"/>
    <w:rsid w:val="5E0059D9"/>
    <w:rsid w:val="5EAC6E80"/>
    <w:rsid w:val="601F2C2C"/>
    <w:rsid w:val="621B29AF"/>
    <w:rsid w:val="63275C5F"/>
    <w:rsid w:val="65187D14"/>
    <w:rsid w:val="66A359E2"/>
    <w:rsid w:val="67DD2D7C"/>
    <w:rsid w:val="694F1A58"/>
    <w:rsid w:val="6B362ECF"/>
    <w:rsid w:val="6B581D1A"/>
    <w:rsid w:val="6B6103BC"/>
    <w:rsid w:val="6CFA38A3"/>
    <w:rsid w:val="6E165687"/>
    <w:rsid w:val="703F15C1"/>
    <w:rsid w:val="710B58BB"/>
    <w:rsid w:val="72E03477"/>
    <w:rsid w:val="736A259F"/>
    <w:rsid w:val="73BD58F6"/>
    <w:rsid w:val="73FD3972"/>
    <w:rsid w:val="74A944E9"/>
    <w:rsid w:val="773A0865"/>
    <w:rsid w:val="777D1E86"/>
    <w:rsid w:val="785575D4"/>
    <w:rsid w:val="7C10151B"/>
    <w:rsid w:val="7EFF3AE5"/>
    <w:rsid w:val="7F182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188D0E"/>
  <w14:defaultImageDpi w14:val="32767"/>
  <w15:docId w15:val="{7240DBFB-54D0-4DED-94C2-68231537F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qFormat/>
    <w:pPr>
      <w:jc w:val="left"/>
    </w:p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Subtitle"/>
    <w:basedOn w:val="a"/>
    <w:next w:val="a"/>
    <w:link w:val="aa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b">
    <w:name w:val="Title"/>
    <w:basedOn w:val="a"/>
    <w:next w:val="a"/>
    <w:link w:val="ac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d">
    <w:name w:val="annotation subject"/>
    <w:basedOn w:val="a3"/>
    <w:next w:val="a3"/>
    <w:link w:val="ae"/>
    <w:uiPriority w:val="99"/>
    <w:semiHidden/>
    <w:unhideWhenUsed/>
    <w:qFormat/>
    <w:rPr>
      <w:b/>
      <w:bCs/>
    </w:rPr>
  </w:style>
  <w:style w:type="table" w:styleId="af">
    <w:name w:val="Table Grid"/>
    <w:basedOn w:val="a1"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line number"/>
    <w:basedOn w:val="a0"/>
    <w:uiPriority w:val="99"/>
    <w:semiHidden/>
    <w:unhideWhenUsed/>
    <w:qFormat/>
  </w:style>
  <w:style w:type="character" w:styleId="af1">
    <w:name w:val="Hyperlink"/>
    <w:basedOn w:val="a0"/>
    <w:qFormat/>
    <w:rPr>
      <w:color w:val="0563C1"/>
      <w:u w:val="single"/>
    </w:rPr>
  </w:style>
  <w:style w:type="character" w:styleId="af2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c">
    <w:name w:val="标题 字符"/>
    <w:basedOn w:val="a0"/>
    <w:link w:val="ab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副标题 字符"/>
    <w:basedOn w:val="a0"/>
    <w:link w:val="a9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f3">
    <w:name w:val="Quote"/>
    <w:basedOn w:val="a"/>
    <w:next w:val="a"/>
    <w:link w:val="af4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f4">
    <w:name w:val="引用 字符"/>
    <w:basedOn w:val="a0"/>
    <w:link w:val="af3"/>
    <w:uiPriority w:val="29"/>
    <w:qFormat/>
    <w:rPr>
      <w:i/>
      <w:iCs/>
      <w:color w:val="404040" w:themeColor="text1" w:themeTint="BF"/>
    </w:rPr>
  </w:style>
  <w:style w:type="paragraph" w:styleId="af5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2F5496" w:themeColor="accent1" w:themeShade="BF"/>
    </w:rPr>
  </w:style>
  <w:style w:type="paragraph" w:styleId="af6">
    <w:name w:val="Intense Quote"/>
    <w:basedOn w:val="a"/>
    <w:next w:val="a"/>
    <w:link w:val="af7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f7">
    <w:name w:val="明显引用 字符"/>
    <w:basedOn w:val="a0"/>
    <w:link w:val="af6"/>
    <w:uiPriority w:val="30"/>
    <w:qFormat/>
    <w:rPr>
      <w:i/>
      <w:iCs/>
      <w:color w:val="2F5496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13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Calibri" w:eastAsiaTheme="minorEastAsia" w:hAnsi="Calibri" w:cs="Calibri"/>
      <w:color w:val="000000"/>
      <w:sz w:val="24"/>
      <w:szCs w:val="24"/>
      <w:lang w:val="en-CA" w:eastAsia="en-CA"/>
    </w:rPr>
  </w:style>
  <w:style w:type="paragraph" w:customStyle="1" w:styleId="CM2">
    <w:name w:val="CM2"/>
    <w:basedOn w:val="Default"/>
    <w:next w:val="Default"/>
    <w:qFormat/>
    <w:pPr>
      <w:spacing w:after="373"/>
    </w:pPr>
    <w:rPr>
      <w:rFonts w:cs="Times New Roman"/>
      <w:color w:val="auto"/>
    </w:rPr>
  </w:style>
  <w:style w:type="character" w:customStyle="1" w:styleId="21">
    <w:name w:val="未处理的提及2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31">
    <w:name w:val="未处理的提及3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14">
    <w:name w:val="修订1"/>
    <w:hidden/>
    <w:uiPriority w:val="99"/>
    <w:unhideWhenUsed/>
    <w:qFormat/>
    <w:rPr>
      <w:rFonts w:asciiTheme="minorHAnsi" w:eastAsiaTheme="minorEastAsia" w:hAnsiTheme="minorHAnsi" w:cstheme="minorBidi"/>
      <w:kern w:val="2"/>
      <w:sz w:val="21"/>
      <w:szCs w:val="22"/>
      <w14:ligatures w14:val="standardContextual"/>
    </w:rPr>
  </w:style>
  <w:style w:type="character" w:customStyle="1" w:styleId="a4">
    <w:name w:val="批注文字 字符"/>
    <w:basedOn w:val="a0"/>
    <w:link w:val="a3"/>
    <w:uiPriority w:val="99"/>
    <w:qFormat/>
    <w:rPr>
      <w:rFonts w:asciiTheme="minorHAnsi" w:eastAsiaTheme="minorEastAsia" w:hAnsiTheme="minorHAnsi" w:cstheme="minorBidi"/>
      <w:kern w:val="2"/>
      <w:sz w:val="21"/>
      <w:szCs w:val="22"/>
      <w14:ligatures w14:val="standardContextual"/>
    </w:rPr>
  </w:style>
  <w:style w:type="character" w:customStyle="1" w:styleId="ae">
    <w:name w:val="批注主题 字符"/>
    <w:basedOn w:val="a4"/>
    <w:link w:val="ad"/>
    <w:uiPriority w:val="99"/>
    <w:semiHidden/>
    <w:rPr>
      <w:rFonts w:asciiTheme="minorHAnsi" w:eastAsiaTheme="minorEastAsia" w:hAnsiTheme="minorHAnsi" w:cstheme="minorBidi"/>
      <w:b/>
      <w:bCs/>
      <w:kern w:val="2"/>
      <w:sz w:val="21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aozhu@pku.edu.cn" TargetMode="Externa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83DD86-B44F-4F77-8D14-7A14DABF1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1154</Words>
  <Characters>6579</Characters>
  <Application>Microsoft Office Word</Application>
  <DocSecurity>0</DocSecurity>
  <Lines>54</Lines>
  <Paragraphs>15</Paragraphs>
  <ScaleCrop>false</ScaleCrop>
  <Company/>
  <LinksUpToDate>false</LinksUpToDate>
  <CharactersWithSpaces>7718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STLai</dc:creator>
  <cp:lastModifiedBy>BZ</cp:lastModifiedBy>
  <cp:revision>15</cp:revision>
  <dcterms:created xsi:type="dcterms:W3CDTF">2025-05-06T06:45:00Z</dcterms:created>
  <dcterms:modified xsi:type="dcterms:W3CDTF">2025-08-11T13:10:00Z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eyJoZGlkIjoiNGIxNDliM2YxNDZjMGNmYjc4MDRlZWE2ODI1ZDg1MjAiLCJ1c2VySWQiOiI4NTgyNzUwNDYifQ==</vt:lpwstr>
  </property>
  <property fmtid="{D5CDD505-2E9C-101B-9397-08002B2CF9AE}" pid="3" name="KSOProductBuildVer">
    <vt:lpwstr>2052-12.1.0.22215</vt:lpwstr>
  </property>
  <property fmtid="{D5CDD505-2E9C-101B-9397-08002B2CF9AE}" pid="4" name="ICV">
    <vt:lpwstr>D7108A67A8A745ACA0C5D1A9ECD1A40D_12</vt:lpwstr>
  </property>
</Properties>
</file>