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D36F8" w14:textId="77777777" w:rsidR="00532EC8" w:rsidRPr="0076228F" w:rsidRDefault="00532EC8" w:rsidP="00532EC8">
      <w:pPr>
        <w:widowControl/>
        <w:jc w:val="center"/>
        <w:rPr>
          <w:rFonts w:ascii="Times New Roman" w:hAnsi="Times New Roman" w:cs="Times New Roman"/>
          <w:b/>
          <w:bCs/>
          <w:sz w:val="32"/>
          <w:szCs w:val="40"/>
        </w:rPr>
      </w:pPr>
      <w:r w:rsidRPr="0076228F">
        <w:rPr>
          <w:rFonts w:ascii="Times New Roman" w:hAnsi="Times New Roman" w:cs="Times New Roman"/>
          <w:b/>
          <w:bCs/>
          <w:sz w:val="32"/>
          <w:szCs w:val="40"/>
        </w:rPr>
        <w:t>Supporting Information</w:t>
      </w:r>
    </w:p>
    <w:p w14:paraId="1A82B86A" w14:textId="77777777" w:rsidR="00532EC8" w:rsidRPr="0076228F" w:rsidRDefault="00532EC8" w:rsidP="00532EC8">
      <w:pPr>
        <w:widowControl/>
        <w:jc w:val="center"/>
        <w:rPr>
          <w:rFonts w:ascii="Times New Roman" w:hAnsi="Times New Roman" w:cs="Times New Roman"/>
          <w:b/>
          <w:bCs/>
          <w:sz w:val="32"/>
          <w:szCs w:val="40"/>
        </w:rPr>
      </w:pPr>
      <w:r w:rsidRPr="0076228F">
        <w:rPr>
          <w:rFonts w:ascii="Times New Roman" w:hAnsi="Times New Roman" w:cs="Times New Roman"/>
          <w:b/>
          <w:bCs/>
          <w:sz w:val="32"/>
          <w:szCs w:val="40"/>
        </w:rPr>
        <w:t>for</w:t>
      </w:r>
    </w:p>
    <w:p w14:paraId="5E9EE03A" w14:textId="77777777" w:rsidR="00582BDD" w:rsidRPr="00582BDD" w:rsidRDefault="00582BDD" w:rsidP="00582BDD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582BDD">
        <w:rPr>
          <w:rFonts w:ascii="Times New Roman" w:eastAsia="宋体" w:hAnsi="Times New Roman" w:cs="Times New Roman"/>
          <w:b/>
          <w:bCs/>
          <w:sz w:val="24"/>
          <w:szCs w:val="28"/>
        </w:rPr>
        <w:t>Lateral heterogeneity dominates dissolved organic matter dynamics in sediments of an arid inland river</w:t>
      </w:r>
    </w:p>
    <w:p w14:paraId="651C4DB5" w14:textId="0BAB7297" w:rsidR="00517F3A" w:rsidRPr="00974EA1" w:rsidRDefault="00517F3A" w:rsidP="00564FFA">
      <w:pPr>
        <w:spacing w:line="360" w:lineRule="auto"/>
        <w:rPr>
          <w:rFonts w:ascii="Times New Roman" w:eastAsia="宋体" w:hAnsi="Times New Roman" w:cs="Times New Roman"/>
          <w:bCs/>
          <w:sz w:val="22"/>
        </w:rPr>
      </w:pPr>
      <w:r w:rsidRPr="00974EA1">
        <w:rPr>
          <w:rFonts w:ascii="Times New Roman" w:eastAsia="宋体" w:hAnsi="Times New Roman" w:cs="Times New Roman"/>
          <w:bCs/>
          <w:sz w:val="22"/>
        </w:rPr>
        <w:t>Guoqing Lv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a</w:t>
      </w:r>
      <w:r w:rsidRPr="00974EA1">
        <w:rPr>
          <w:rFonts w:ascii="Times New Roman" w:eastAsia="宋体" w:hAnsi="Times New Roman" w:cs="Times New Roman" w:hint="eastAsia"/>
          <w:bCs/>
          <w:sz w:val="22"/>
        </w:rPr>
        <w:t>,</w:t>
      </w:r>
      <w:r w:rsidRPr="00974EA1">
        <w:rPr>
          <w:rFonts w:ascii="Times New Roman" w:eastAsia="宋体" w:hAnsi="Times New Roman" w:cs="Times New Roman"/>
          <w:bCs/>
          <w:sz w:val="22"/>
        </w:rPr>
        <w:t xml:space="preserve"> Xigang Liu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a,b</w:t>
      </w:r>
      <w:r w:rsidRPr="00974EA1">
        <w:rPr>
          <w:rFonts w:ascii="Times New Roman" w:eastAsia="宋体" w:hAnsi="Times New Roman" w:cs="Times New Roman"/>
          <w:bCs/>
          <w:sz w:val="22"/>
        </w:rPr>
        <w:t>, Mao Ye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a,b</w:t>
      </w:r>
      <w:r w:rsidRPr="00974EA1">
        <w:rPr>
          <w:rFonts w:ascii="Times New Roman" w:eastAsia="宋体" w:hAnsi="Times New Roman" w:cs="Times New Roman"/>
          <w:bCs/>
          <w:sz w:val="22"/>
        </w:rPr>
        <w:t>, Peng Zhang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c</w:t>
      </w:r>
      <w:r w:rsidRPr="00974EA1">
        <w:rPr>
          <w:rFonts w:ascii="Times New Roman" w:eastAsia="宋体" w:hAnsi="Times New Roman" w:cs="Times New Roman"/>
          <w:bCs/>
          <w:sz w:val="22"/>
        </w:rPr>
        <w:t>, Xiaofei Li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d</w:t>
      </w:r>
      <w:r w:rsidRPr="00974EA1">
        <w:rPr>
          <w:rFonts w:ascii="Times New Roman" w:eastAsia="宋体" w:hAnsi="Times New Roman" w:cs="Times New Roman"/>
          <w:bCs/>
          <w:sz w:val="22"/>
        </w:rPr>
        <w:t>, Junjian Wang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c</w:t>
      </w:r>
      <w:r w:rsidRPr="00974EA1">
        <w:rPr>
          <w:rFonts w:ascii="Times New Roman" w:eastAsia="宋体" w:hAnsi="Times New Roman" w:cs="Times New Roman"/>
          <w:bCs/>
          <w:sz w:val="22"/>
        </w:rPr>
        <w:t>, Lijun Hou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d</w:t>
      </w:r>
      <w:r w:rsidRPr="00974EA1">
        <w:rPr>
          <w:rFonts w:ascii="Times New Roman" w:eastAsia="宋体" w:hAnsi="Times New Roman" w:cs="Times New Roman"/>
          <w:bCs/>
          <w:sz w:val="22"/>
        </w:rPr>
        <w:t>, Yonghui Wang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a,b*</w:t>
      </w:r>
      <w:r w:rsidRPr="00974EA1">
        <w:rPr>
          <w:rFonts w:ascii="Times New Roman" w:eastAsia="宋体" w:hAnsi="Times New Roman" w:cs="Times New Roman"/>
          <w:bCs/>
          <w:sz w:val="22"/>
        </w:rPr>
        <w:t>, Zongxiao Zhang</w:t>
      </w:r>
      <w:r w:rsidRPr="00974EA1">
        <w:rPr>
          <w:rFonts w:ascii="Times New Roman" w:eastAsia="宋体" w:hAnsi="Times New Roman" w:cs="Times New Roman"/>
          <w:bCs/>
          <w:sz w:val="22"/>
          <w:vertAlign w:val="superscript"/>
        </w:rPr>
        <w:t>a,b,e*</w:t>
      </w:r>
    </w:p>
    <w:p w14:paraId="09DE11D7" w14:textId="77777777" w:rsidR="00517F3A" w:rsidRPr="00974EA1" w:rsidRDefault="00517F3A" w:rsidP="00564FFA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sz w:val="22"/>
        </w:rPr>
      </w:pPr>
      <w:r w:rsidRPr="00974EA1">
        <w:rPr>
          <w:rFonts w:ascii="Times New Roman" w:eastAsia="宋体" w:hAnsi="Times New Roman" w:cs="Times New Roman"/>
          <w:sz w:val="22"/>
          <w:vertAlign w:val="superscript"/>
        </w:rPr>
        <w:t>a</w:t>
      </w:r>
      <w:r w:rsidRPr="00974EA1">
        <w:rPr>
          <w:rFonts w:ascii="Times New Roman" w:eastAsia="宋体" w:hAnsi="Times New Roman" w:cs="Times New Roman"/>
          <w:sz w:val="22"/>
        </w:rPr>
        <w:t>College of Geography Science and Tourism, Xinjiang Normal University, Urumqi 830017, China</w:t>
      </w:r>
    </w:p>
    <w:p w14:paraId="275F2CF7" w14:textId="77777777" w:rsidR="00517F3A" w:rsidRPr="00974EA1" w:rsidRDefault="00517F3A" w:rsidP="00564FFA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sz w:val="22"/>
        </w:rPr>
      </w:pPr>
      <w:r w:rsidRPr="00974EA1">
        <w:rPr>
          <w:rFonts w:ascii="Times New Roman" w:eastAsia="宋体" w:hAnsi="Times New Roman" w:cs="Times New Roman"/>
          <w:sz w:val="22"/>
          <w:vertAlign w:val="superscript"/>
        </w:rPr>
        <w:t>b</w:t>
      </w:r>
      <w:r w:rsidRPr="00974EA1">
        <w:rPr>
          <w:rFonts w:ascii="Times New Roman" w:eastAsia="宋体" w:hAnsi="Times New Roman" w:cs="Times New Roman"/>
          <w:sz w:val="22"/>
        </w:rPr>
        <w:t>Xinjiang Laboratory of Lake Environment and Resources in Arid Zone, Xinjiang Normal University, Urumqi 830017, China</w:t>
      </w:r>
    </w:p>
    <w:p w14:paraId="51592D14" w14:textId="77777777" w:rsidR="00B163AA" w:rsidRDefault="00517F3A" w:rsidP="00B163AA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iCs/>
          <w:sz w:val="22"/>
        </w:rPr>
      </w:pPr>
      <w:r w:rsidRPr="00974EA1">
        <w:rPr>
          <w:rFonts w:ascii="Times New Roman" w:eastAsia="宋体" w:hAnsi="Times New Roman" w:cs="Times New Roman"/>
          <w:iCs/>
          <w:sz w:val="22"/>
          <w:vertAlign w:val="superscript"/>
        </w:rPr>
        <w:t>c</w:t>
      </w:r>
      <w:r w:rsidR="00B163AA" w:rsidRPr="00B163AA">
        <w:rPr>
          <w:rFonts w:ascii="Times New Roman" w:eastAsia="宋体" w:hAnsi="Times New Roman" w:cs="Times New Roman"/>
          <w:iCs/>
          <w:sz w:val="22"/>
        </w:rPr>
        <w:t>State Key Laboratory of Soil Pollution Control and Safety, MEE Environmental Protection Key Laboratory of Integrated Surface Water-Groundwater Pollution Control, Guangdong Provincial Key Laboratory of Soil and Groundwater Pollution Control, School of Environmental Science and Engineering, Southern University of Science and Technology, Shenzhen 518055, China.</w:t>
      </w:r>
    </w:p>
    <w:p w14:paraId="183DD51A" w14:textId="77777777" w:rsidR="00267784" w:rsidRDefault="00517F3A" w:rsidP="00267784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iCs/>
          <w:sz w:val="22"/>
        </w:rPr>
      </w:pPr>
      <w:r w:rsidRPr="00974EA1">
        <w:rPr>
          <w:rFonts w:ascii="Times New Roman" w:eastAsia="宋体" w:hAnsi="Times New Roman" w:cs="Times New Roman"/>
          <w:iCs/>
          <w:sz w:val="22"/>
          <w:vertAlign w:val="superscript"/>
        </w:rPr>
        <w:t>d</w:t>
      </w:r>
      <w:r w:rsidRPr="00974EA1">
        <w:rPr>
          <w:rFonts w:ascii="Times New Roman" w:eastAsia="宋体" w:hAnsi="Times New Roman" w:cs="Times New Roman"/>
          <w:iCs/>
          <w:sz w:val="22"/>
        </w:rPr>
        <w:t>State Key Laboratory of Estuarine and Coastal Research, East China Normal University,</w:t>
      </w:r>
      <w:r w:rsidRPr="00974EA1">
        <w:rPr>
          <w:rFonts w:ascii="Times New Roman" w:eastAsia="宋体" w:hAnsi="Times New Roman" w:cs="Times New Roman" w:hint="eastAsia"/>
          <w:iCs/>
          <w:sz w:val="22"/>
        </w:rPr>
        <w:t xml:space="preserve"> </w:t>
      </w:r>
      <w:r w:rsidRPr="00974EA1">
        <w:rPr>
          <w:rFonts w:ascii="Times New Roman" w:eastAsia="宋体" w:hAnsi="Times New Roman" w:cs="Times New Roman"/>
          <w:iCs/>
          <w:sz w:val="22"/>
        </w:rPr>
        <w:t>Shanghai 200241, China</w:t>
      </w:r>
    </w:p>
    <w:p w14:paraId="262155AA" w14:textId="1B1BE571" w:rsidR="00517F3A" w:rsidRPr="00267784" w:rsidRDefault="00517F3A" w:rsidP="00267784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iCs/>
          <w:sz w:val="22"/>
        </w:rPr>
      </w:pPr>
      <w:r w:rsidRPr="00974EA1">
        <w:rPr>
          <w:rFonts w:ascii="Times New Roman" w:eastAsia="宋体" w:hAnsi="Times New Roman" w:cs="Times New Roman"/>
          <w:sz w:val="22"/>
          <w:vertAlign w:val="superscript"/>
        </w:rPr>
        <w:t>e</w:t>
      </w:r>
      <w:r w:rsidRPr="00974EA1">
        <w:rPr>
          <w:rFonts w:ascii="Times New Roman" w:eastAsia="宋体" w:hAnsi="Times New Roman" w:cs="Times New Roman"/>
          <w:sz w:val="22"/>
        </w:rPr>
        <w:t>Technical Research Center for Environmental Geotechnical Engineering Restoration and Resource Utilization, Xinjiang Normal University, Urumqi 830017, China</w:t>
      </w:r>
    </w:p>
    <w:p w14:paraId="67E027B5" w14:textId="77777777" w:rsidR="00517F3A" w:rsidRPr="00974EA1" w:rsidRDefault="00517F3A" w:rsidP="00564FFA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sz w:val="22"/>
        </w:rPr>
      </w:pPr>
    </w:p>
    <w:p w14:paraId="23E978B3" w14:textId="4C5C080A" w:rsidR="00532EC8" w:rsidRDefault="00532EC8" w:rsidP="00532EC8">
      <w:pPr>
        <w:widowControl/>
        <w:jc w:val="left"/>
        <w:rPr>
          <w:b/>
          <w:bCs/>
        </w:rPr>
      </w:pPr>
    </w:p>
    <w:p w14:paraId="01AD3B2F" w14:textId="6DC41B7D" w:rsidR="00BB7B69" w:rsidRDefault="00BB7B69" w:rsidP="00532EC8">
      <w:pPr>
        <w:widowControl/>
        <w:jc w:val="left"/>
        <w:rPr>
          <w:b/>
          <w:bCs/>
        </w:rPr>
      </w:pPr>
    </w:p>
    <w:p w14:paraId="175F8B11" w14:textId="4766D0EF" w:rsidR="00BB7B69" w:rsidRDefault="00BB7B69" w:rsidP="00532EC8">
      <w:pPr>
        <w:widowControl/>
        <w:jc w:val="left"/>
        <w:rPr>
          <w:b/>
          <w:bCs/>
        </w:rPr>
      </w:pPr>
    </w:p>
    <w:p w14:paraId="4E6A3EC9" w14:textId="5CF77651" w:rsidR="00BB7B69" w:rsidRDefault="00BB7B69" w:rsidP="00532EC8">
      <w:pPr>
        <w:widowControl/>
        <w:jc w:val="left"/>
        <w:rPr>
          <w:b/>
          <w:bCs/>
        </w:rPr>
      </w:pPr>
    </w:p>
    <w:p w14:paraId="1C82DE57" w14:textId="63986C12" w:rsidR="00BB7B69" w:rsidRDefault="00BB7B69" w:rsidP="00532EC8">
      <w:pPr>
        <w:widowControl/>
        <w:jc w:val="left"/>
        <w:rPr>
          <w:b/>
          <w:bCs/>
        </w:rPr>
      </w:pPr>
    </w:p>
    <w:p w14:paraId="6976DEC8" w14:textId="104D7C3F" w:rsidR="00BB7B69" w:rsidRDefault="00BB7B69" w:rsidP="00532EC8">
      <w:pPr>
        <w:widowControl/>
        <w:jc w:val="left"/>
        <w:rPr>
          <w:b/>
          <w:bCs/>
        </w:rPr>
      </w:pPr>
    </w:p>
    <w:p w14:paraId="07A42B59" w14:textId="401F9A1F" w:rsidR="00BB7B69" w:rsidRDefault="00BB7B69" w:rsidP="00532EC8">
      <w:pPr>
        <w:widowControl/>
        <w:jc w:val="left"/>
        <w:rPr>
          <w:b/>
          <w:bCs/>
        </w:rPr>
      </w:pPr>
    </w:p>
    <w:p w14:paraId="17687839" w14:textId="1DD8D7D5" w:rsidR="00BB7B69" w:rsidRDefault="00BB7B69" w:rsidP="00532EC8">
      <w:pPr>
        <w:widowControl/>
        <w:jc w:val="left"/>
        <w:rPr>
          <w:b/>
          <w:bCs/>
        </w:rPr>
      </w:pPr>
    </w:p>
    <w:p w14:paraId="22DCD7E7" w14:textId="0D538460" w:rsidR="00BB7B69" w:rsidRDefault="00BB7B69" w:rsidP="00532EC8">
      <w:pPr>
        <w:widowControl/>
        <w:jc w:val="left"/>
        <w:rPr>
          <w:b/>
          <w:bCs/>
        </w:rPr>
      </w:pPr>
    </w:p>
    <w:p w14:paraId="580A06FA" w14:textId="13BA9631" w:rsidR="00BB7B69" w:rsidRDefault="00BB7B69" w:rsidP="00532EC8">
      <w:pPr>
        <w:widowControl/>
        <w:jc w:val="left"/>
        <w:rPr>
          <w:b/>
          <w:bCs/>
        </w:rPr>
      </w:pPr>
    </w:p>
    <w:p w14:paraId="78208274" w14:textId="1239A63D" w:rsidR="00BB7B69" w:rsidRDefault="00BB7B69" w:rsidP="00532EC8">
      <w:pPr>
        <w:widowControl/>
        <w:jc w:val="left"/>
        <w:rPr>
          <w:b/>
          <w:bCs/>
        </w:rPr>
      </w:pPr>
    </w:p>
    <w:p w14:paraId="48AB1CA5" w14:textId="5B4C2422" w:rsidR="00BB7B69" w:rsidRDefault="00BB7B69" w:rsidP="00532EC8">
      <w:pPr>
        <w:widowControl/>
        <w:jc w:val="left"/>
        <w:rPr>
          <w:b/>
          <w:bCs/>
        </w:rPr>
      </w:pPr>
    </w:p>
    <w:p w14:paraId="131312A2" w14:textId="77777777" w:rsidR="00BB7B69" w:rsidRDefault="00BB7B69" w:rsidP="00532EC8">
      <w:pPr>
        <w:widowControl/>
        <w:jc w:val="left"/>
        <w:rPr>
          <w:rFonts w:hint="eastAsia"/>
          <w:b/>
          <w:bCs/>
        </w:rPr>
      </w:pPr>
      <w:bookmarkStart w:id="0" w:name="_GoBack"/>
      <w:bookmarkEnd w:id="0"/>
    </w:p>
    <w:p w14:paraId="5199CDF9" w14:textId="77777777" w:rsidR="00BB7B69" w:rsidRDefault="00BB7B69" w:rsidP="00532EC8">
      <w:pPr>
        <w:widowControl/>
        <w:jc w:val="left"/>
        <w:rPr>
          <w:rFonts w:hint="eastAsia"/>
          <w:b/>
          <w:bCs/>
        </w:rPr>
      </w:pPr>
    </w:p>
    <w:p w14:paraId="34ED8F9D" w14:textId="77777777" w:rsidR="00DE30FC" w:rsidRDefault="00DE30FC" w:rsidP="00532EC8">
      <w:pPr>
        <w:widowControl/>
        <w:jc w:val="left"/>
        <w:rPr>
          <w:b/>
          <w:bCs/>
        </w:rPr>
      </w:pPr>
    </w:p>
    <w:p w14:paraId="60EFAFF5" w14:textId="02ADA97F" w:rsidR="008051DA" w:rsidRPr="00BB7B69" w:rsidRDefault="00DE30FC" w:rsidP="00BB7B69">
      <w:pPr>
        <w:widowControl/>
        <w:rPr>
          <w:rFonts w:ascii="Times New Roman" w:eastAsia="宋体" w:hAnsi="Times New Roman" w:cs="Times New Roman"/>
        </w:rPr>
      </w:pPr>
      <w:r w:rsidRPr="002C0944">
        <w:rPr>
          <w:rFonts w:ascii="Times New Roman" w:eastAsia="宋体" w:hAnsi="Times New Roman" w:cs="Times New Roman"/>
        </w:rPr>
        <w:t xml:space="preserve">*Corresponding author, E-mail address: </w:t>
      </w:r>
      <w:r w:rsidRPr="001476AE">
        <w:rPr>
          <w:rFonts w:ascii="Times New Roman" w:eastAsia="宋体" w:hAnsi="Times New Roman" w:cs="Times New Roman"/>
          <w:color w:val="5B9BD5" w:themeColor="accent5"/>
        </w:rPr>
        <w:t>107622024010031@xjnu.edu.cn</w:t>
      </w:r>
      <w:r w:rsidRPr="002C0944">
        <w:rPr>
          <w:rFonts w:ascii="Times New Roman" w:eastAsia="宋体" w:hAnsi="Times New Roman" w:cs="Times New Roman"/>
        </w:rPr>
        <w:t xml:space="preserve"> and </w:t>
      </w:r>
      <w:r w:rsidRPr="001476AE">
        <w:rPr>
          <w:rFonts w:ascii="Times New Roman" w:eastAsia="宋体" w:hAnsi="Times New Roman" w:cs="Times New Roman"/>
          <w:color w:val="5B9BD5" w:themeColor="accent5"/>
        </w:rPr>
        <w:t>wyhsd_3011@xjnu.edu.cn</w:t>
      </w:r>
      <w:r w:rsidR="001855C6">
        <w:rPr>
          <w:rFonts w:hint="eastAsia"/>
        </w:rPr>
        <w:br w:type="page"/>
      </w:r>
    </w:p>
    <w:p w14:paraId="7BFFC3F6" w14:textId="516B5B55" w:rsidR="008051DA" w:rsidRPr="009F5828" w:rsidRDefault="008051DA" w:rsidP="009F5828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Figure S1.</w:t>
      </w:r>
      <w:r>
        <w:rPr>
          <w:rFonts w:ascii="Times New Roman" w:hAnsi="Times New Roman" w:cs="Times New Roman" w:hint="eastAsia"/>
          <w:b/>
        </w:rPr>
        <w:t xml:space="preserve"> </w:t>
      </w:r>
      <w:r w:rsidRPr="009F5828">
        <w:rPr>
          <w:rFonts w:ascii="Times New Roman" w:eastAsia="宋体" w:hAnsi="Times New Roman" w:cs="Times New Roman"/>
          <w:b/>
          <w:bCs/>
          <w:iCs/>
          <w:sz w:val="22"/>
        </w:rPr>
        <w:t xml:space="preserve">Variations in optical indices of sedimentary DOM among river reaches and sampling depths in the Niya River Basin. </w:t>
      </w:r>
      <w:r w:rsidRPr="009F5828">
        <w:rPr>
          <w:rFonts w:ascii="Times New Roman" w:eastAsia="宋体" w:hAnsi="Times New Roman" w:cs="Times New Roman"/>
          <w:bCs/>
          <w:iCs/>
          <w:sz w:val="22"/>
        </w:rPr>
        <w:t>Each panel shows the distribution of variables measured at three river sections: upstream (green squares), midstream (yellow triangles), and downstream (red circles). Data were obtained from two sediment depths (0–5 cm and 5–10 cm). The x-axis represents sampling sites along the river (N1–N10), and the y-axis represents the relative values of the measured parameters, including SUVA</w:t>
      </w:r>
      <w:r w:rsidRPr="009F5828">
        <w:rPr>
          <w:rFonts w:ascii="Times New Roman" w:eastAsia="宋体" w:hAnsi="Times New Roman" w:cs="Times New Roman"/>
          <w:bCs/>
          <w:iCs/>
          <w:sz w:val="22"/>
          <w:vertAlign w:val="subscript"/>
        </w:rPr>
        <w:t>254</w:t>
      </w:r>
      <w:r w:rsidRPr="009F5828">
        <w:rPr>
          <w:rFonts w:ascii="Times New Roman" w:eastAsia="宋体" w:hAnsi="Times New Roman" w:cs="Times New Roman"/>
          <w:bCs/>
          <w:iCs/>
          <w:sz w:val="22"/>
        </w:rPr>
        <w:t xml:space="preserve">, </w:t>
      </w:r>
      <w:r w:rsidR="009F5828" w:rsidRPr="00DC506D">
        <w:rPr>
          <w:rFonts w:ascii="Times New Roman" w:hAnsi="Times New Roman" w:cs="Times New Roman" w:hint="eastAsia"/>
          <w:bCs/>
        </w:rPr>
        <w:t>S</w:t>
      </w:r>
      <w:r w:rsidR="009F5828" w:rsidRPr="00DC506D">
        <w:rPr>
          <w:rFonts w:ascii="Times New Roman" w:hAnsi="Times New Roman" w:cs="Times New Roman" w:hint="eastAsia"/>
          <w:bCs/>
          <w:i/>
          <w:iCs/>
        </w:rPr>
        <w:t>R</w:t>
      </w:r>
      <w:r w:rsidR="009F5828" w:rsidRPr="00DC506D">
        <w:rPr>
          <w:rFonts w:ascii="Times New Roman" w:hAnsi="Times New Roman" w:cs="Times New Roman" w:hint="eastAsia"/>
          <w:bCs/>
        </w:rPr>
        <w:t>、</w:t>
      </w:r>
      <w:r w:rsidR="009F5828" w:rsidRPr="00DC506D">
        <w:rPr>
          <w:rFonts w:ascii="Times New Roman" w:hAnsi="Times New Roman" w:cs="Times New Roman" w:hint="eastAsia"/>
          <w:bCs/>
        </w:rPr>
        <w:t>E</w:t>
      </w:r>
      <w:r w:rsidR="009F5828" w:rsidRPr="00DC506D">
        <w:rPr>
          <w:rFonts w:ascii="Times New Roman" w:hAnsi="Times New Roman" w:cs="Times New Roman" w:hint="eastAsia"/>
          <w:bCs/>
          <w:vertAlign w:val="subscript"/>
        </w:rPr>
        <w:t>2</w:t>
      </w:r>
      <w:r w:rsidR="009F5828" w:rsidRPr="00DC506D">
        <w:rPr>
          <w:rFonts w:ascii="Times New Roman" w:hAnsi="Times New Roman" w:cs="Times New Roman" w:hint="eastAsia"/>
          <w:bCs/>
        </w:rPr>
        <w:t>/E</w:t>
      </w:r>
      <w:r w:rsidR="009F5828" w:rsidRPr="00DC506D">
        <w:rPr>
          <w:rFonts w:ascii="Times New Roman" w:hAnsi="Times New Roman" w:cs="Times New Roman" w:hint="eastAsia"/>
          <w:bCs/>
          <w:vertAlign w:val="subscript"/>
        </w:rPr>
        <w:t>3</w:t>
      </w:r>
      <w:r w:rsidR="009F5828" w:rsidRPr="00DC506D">
        <w:rPr>
          <w:rFonts w:ascii="Times New Roman" w:hAnsi="Times New Roman" w:cs="Times New Roman" w:hint="eastAsia"/>
          <w:bCs/>
        </w:rPr>
        <w:t>、</w:t>
      </w:r>
      <w:r w:rsidR="009F5828" w:rsidRPr="00DC506D">
        <w:rPr>
          <w:rFonts w:ascii="Times New Roman" w:hAnsi="Times New Roman" w:cs="Times New Roman" w:hint="eastAsia"/>
          <w:bCs/>
        </w:rPr>
        <w:t>Beta</w:t>
      </w:r>
      <w:r w:rsidR="009F5828">
        <w:rPr>
          <w:rFonts w:ascii="Times New Roman" w:hAnsi="Times New Roman" w:cs="Times New Roman" w:hint="eastAsia"/>
          <w:bCs/>
        </w:rPr>
        <w:t>/</w:t>
      </w:r>
      <w:r w:rsidR="009F5828" w:rsidRPr="00DC506D">
        <w:rPr>
          <w:rFonts w:ascii="Times New Roman" w:hAnsi="Times New Roman" w:cs="Times New Roman" w:hint="eastAsia"/>
          <w:bCs/>
        </w:rPr>
        <w:t>Alpha</w:t>
      </w:r>
      <w:r w:rsidR="009F5828" w:rsidRPr="00DC506D">
        <w:rPr>
          <w:rFonts w:ascii="Times New Roman" w:hAnsi="Times New Roman" w:cs="Times New Roman" w:hint="eastAsia"/>
          <w:bCs/>
        </w:rPr>
        <w:t>、</w:t>
      </w:r>
      <w:r w:rsidR="009F5828" w:rsidRPr="00DC506D">
        <w:rPr>
          <w:rFonts w:ascii="Times New Roman" w:hAnsi="Times New Roman" w:cs="Times New Roman" w:hint="eastAsia"/>
          <w:bCs/>
        </w:rPr>
        <w:t>HIX</w:t>
      </w:r>
      <w:r w:rsidR="009F5828">
        <w:rPr>
          <w:rFonts w:ascii="Times New Roman" w:hAnsi="Times New Roman" w:cs="Times New Roman"/>
          <w:bCs/>
        </w:rPr>
        <w:t xml:space="preserve"> </w:t>
      </w:r>
      <w:r w:rsidRPr="009F5828">
        <w:rPr>
          <w:rFonts w:ascii="Times New Roman" w:eastAsia="宋体" w:hAnsi="Times New Roman" w:cs="Times New Roman"/>
          <w:bCs/>
          <w:iCs/>
          <w:sz w:val="22"/>
        </w:rPr>
        <w:t xml:space="preserve">and FI. Dashed lines indicate fitted regression trends, with the corresponding slope and </w:t>
      </w:r>
      <w:r w:rsidRPr="009F5828">
        <w:rPr>
          <w:rFonts w:ascii="Times New Roman" w:eastAsia="宋体" w:hAnsi="Times New Roman" w:cs="Times New Roman"/>
          <w:i/>
          <w:sz w:val="22"/>
        </w:rPr>
        <w:t>P</w:t>
      </w:r>
      <w:r w:rsidRPr="009F5828">
        <w:rPr>
          <w:rFonts w:ascii="Times New Roman" w:eastAsia="宋体" w:hAnsi="Times New Roman" w:cs="Times New Roman"/>
          <w:bCs/>
          <w:iCs/>
          <w:sz w:val="22"/>
        </w:rPr>
        <w:t xml:space="preserve"> value shown in each panel.</w:t>
      </w:r>
      <w:r w:rsidRPr="009F5828">
        <w:rPr>
          <w:rFonts w:ascii="Times New Roman" w:eastAsia="宋体" w:hAnsi="Times New Roman" w:cs="Times New Roman"/>
          <w:iCs/>
          <w:sz w:val="22"/>
        </w:rPr>
        <w:t xml:space="preserve"> </w:t>
      </w:r>
      <w:r w:rsidRPr="009F582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35F1257B" wp14:editId="34877BBF">
            <wp:simplePos x="0" y="0"/>
            <wp:positionH relativeFrom="margin">
              <wp:align>left</wp:align>
            </wp:positionH>
            <wp:positionV relativeFrom="paragraph">
              <wp:posOffset>54818</wp:posOffset>
            </wp:positionV>
            <wp:extent cx="5469255" cy="2393950"/>
            <wp:effectExtent l="0" t="0" r="0" b="6350"/>
            <wp:wrapSquare wrapText="bothSides"/>
            <wp:docPr id="1458503035" name="图片 1458503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9255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9DC63B" w14:textId="77777777" w:rsidR="004A075E" w:rsidRDefault="001855C6" w:rsidP="001855C6">
      <w:pPr>
        <w:widowControl/>
        <w:jc w:val="left"/>
        <w:sectPr w:rsidR="004A075E" w:rsidSect="004C3E3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</w:rPr>
        <w:br w:type="page"/>
      </w:r>
    </w:p>
    <w:p w14:paraId="04BDBFC2" w14:textId="7A780DC0" w:rsidR="004C3E37" w:rsidRDefault="004C3E37" w:rsidP="00FE6832">
      <w:pPr>
        <w:spacing w:after="240"/>
        <w:rPr>
          <w:rFonts w:ascii="Times New Roman" w:hAnsi="Times New Roman" w:cs="Times New Roman"/>
          <w:sz w:val="22"/>
        </w:rPr>
      </w:pPr>
      <w:r w:rsidRPr="00913092">
        <w:rPr>
          <w:rFonts w:ascii="Times New Roman" w:hAnsi="Times New Roman" w:cs="Times New Roman"/>
          <w:b/>
          <w:bCs/>
        </w:rPr>
        <w:lastRenderedPageBreak/>
        <w:t>T</w:t>
      </w:r>
      <w:r w:rsidRPr="00913092">
        <w:rPr>
          <w:rFonts w:ascii="Times New Roman" w:hAnsi="Times New Roman" w:cs="Times New Roman" w:hint="eastAsia"/>
          <w:b/>
          <w:bCs/>
        </w:rPr>
        <w:t>able S1</w:t>
      </w:r>
      <w:r w:rsidR="00424F16">
        <w:rPr>
          <w:rFonts w:ascii="Times New Roman" w:hAnsi="Times New Roman" w:cs="Times New Roman"/>
          <w:b/>
          <w:bCs/>
        </w:rPr>
        <w:t xml:space="preserve">. </w:t>
      </w:r>
      <w:r w:rsidR="00424F16" w:rsidRPr="00834389">
        <w:rPr>
          <w:rFonts w:ascii="Times New Roman" w:hAnsi="Times New Roman" w:cs="Times New Roman"/>
          <w:sz w:val="22"/>
        </w:rPr>
        <w:t>Geographical information, sediment sampling status, and environmental characteristics of sampling sites in the Niya River Basin.</w:t>
      </w:r>
    </w:p>
    <w:tbl>
      <w:tblPr>
        <w:tblW w:w="13820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3"/>
        <w:gridCol w:w="1214"/>
        <w:gridCol w:w="1417"/>
        <w:gridCol w:w="845"/>
        <w:gridCol w:w="986"/>
        <w:gridCol w:w="1146"/>
        <w:gridCol w:w="1417"/>
        <w:gridCol w:w="1701"/>
        <w:gridCol w:w="4181"/>
      </w:tblGrid>
      <w:tr w:rsidR="006F0799" w:rsidRPr="004A075E" w14:paraId="3571CF9D" w14:textId="77777777" w:rsidTr="00830AA1">
        <w:trPr>
          <w:trHeight w:val="570"/>
        </w:trPr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E118F34" w14:textId="77777777" w:rsidR="004A075E" w:rsidRPr="004A075E" w:rsidRDefault="004A075E" w:rsidP="006F0799">
            <w:pPr>
              <w:widowControl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Sample ID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2AFBF25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Sampling site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B44AEA8" w14:textId="4446E550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Longitude (</w:t>
            </w:r>
            <w:r w:rsidRPr="004A075E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2"/>
              </w:rPr>
              <w:t>°</w:t>
            </w: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E)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4ED300F" w14:textId="72EA411C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Latitude (</w:t>
            </w:r>
            <w:r w:rsidRPr="004A075E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2"/>
              </w:rPr>
              <w:t>°</w:t>
            </w: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N)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A597ECD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Altitude (m)</w:t>
            </w: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6623FAA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Sample type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2311149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Surface layer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F70DDA8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Subsurface layer</w:t>
            </w: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7F46274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Environmental characteristics</w:t>
            </w:r>
          </w:p>
        </w:tc>
      </w:tr>
      <w:tr w:rsidR="006F0799" w:rsidRPr="004A075E" w14:paraId="4C6CC243" w14:textId="77777777" w:rsidTr="00830AA1">
        <w:trPr>
          <w:trHeight w:val="855"/>
        </w:trPr>
        <w:tc>
          <w:tcPr>
            <w:tcW w:w="913" w:type="dxa"/>
            <w:tcBorders>
              <w:top w:val="single" w:sz="4" w:space="0" w:color="auto"/>
            </w:tcBorders>
            <w:vAlign w:val="center"/>
            <w:hideMark/>
          </w:tcPr>
          <w:p w14:paraId="6A367AD9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N1</w:t>
            </w:r>
          </w:p>
        </w:tc>
        <w:tc>
          <w:tcPr>
            <w:tcW w:w="1214" w:type="dxa"/>
            <w:tcBorders>
              <w:top w:val="single" w:sz="4" w:space="0" w:color="auto"/>
            </w:tcBorders>
            <w:vAlign w:val="center"/>
            <w:hideMark/>
          </w:tcPr>
          <w:p w14:paraId="4713B53E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Upper reaches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  <w:hideMark/>
          </w:tcPr>
          <w:p w14:paraId="5A1CE044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82.70</w:t>
            </w:r>
          </w:p>
        </w:tc>
        <w:tc>
          <w:tcPr>
            <w:tcW w:w="845" w:type="dxa"/>
            <w:tcBorders>
              <w:top w:val="single" w:sz="4" w:space="0" w:color="auto"/>
            </w:tcBorders>
            <w:vAlign w:val="center"/>
            <w:hideMark/>
          </w:tcPr>
          <w:p w14:paraId="20D47B4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36.67</w:t>
            </w:r>
          </w:p>
        </w:tc>
        <w:tc>
          <w:tcPr>
            <w:tcW w:w="986" w:type="dxa"/>
            <w:tcBorders>
              <w:top w:val="single" w:sz="4" w:space="0" w:color="auto"/>
            </w:tcBorders>
            <w:vAlign w:val="center"/>
            <w:hideMark/>
          </w:tcPr>
          <w:p w14:paraId="12892B55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2189</w:t>
            </w:r>
          </w:p>
        </w:tc>
        <w:tc>
          <w:tcPr>
            <w:tcW w:w="1146" w:type="dxa"/>
            <w:tcBorders>
              <w:top w:val="single" w:sz="4" w:space="0" w:color="auto"/>
            </w:tcBorders>
            <w:vAlign w:val="center"/>
            <w:hideMark/>
          </w:tcPr>
          <w:p w14:paraId="335010A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  <w:hideMark/>
          </w:tcPr>
          <w:p w14:paraId="219AC589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  <w:hideMark/>
          </w:tcPr>
          <w:p w14:paraId="4998D277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tcBorders>
              <w:top w:val="single" w:sz="4" w:space="0" w:color="auto"/>
            </w:tcBorders>
            <w:vAlign w:val="center"/>
            <w:hideMark/>
          </w:tcPr>
          <w:p w14:paraId="06CEF3D4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Runoff convergence zone, gravelly riverbed, rapid flow</w:t>
            </w:r>
          </w:p>
        </w:tc>
      </w:tr>
      <w:tr w:rsidR="006F0799" w:rsidRPr="004A075E" w14:paraId="5461E412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036571AA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N2</w:t>
            </w:r>
          </w:p>
        </w:tc>
        <w:tc>
          <w:tcPr>
            <w:tcW w:w="1214" w:type="dxa"/>
            <w:vAlign w:val="center"/>
            <w:hideMark/>
          </w:tcPr>
          <w:p w14:paraId="65C63AC2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Upper reaches</w:t>
            </w:r>
          </w:p>
        </w:tc>
        <w:tc>
          <w:tcPr>
            <w:tcW w:w="1417" w:type="dxa"/>
            <w:vAlign w:val="center"/>
            <w:hideMark/>
          </w:tcPr>
          <w:p w14:paraId="00C9009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82.66</w:t>
            </w:r>
          </w:p>
        </w:tc>
        <w:tc>
          <w:tcPr>
            <w:tcW w:w="845" w:type="dxa"/>
            <w:vAlign w:val="center"/>
            <w:hideMark/>
          </w:tcPr>
          <w:p w14:paraId="3A277738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36.92</w:t>
            </w:r>
          </w:p>
        </w:tc>
        <w:tc>
          <w:tcPr>
            <w:tcW w:w="986" w:type="dxa"/>
            <w:vAlign w:val="center"/>
            <w:hideMark/>
          </w:tcPr>
          <w:p w14:paraId="17157032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1632</w:t>
            </w:r>
          </w:p>
        </w:tc>
        <w:tc>
          <w:tcPr>
            <w:tcW w:w="1146" w:type="dxa"/>
            <w:vAlign w:val="center"/>
            <w:hideMark/>
          </w:tcPr>
          <w:p w14:paraId="2C7DECB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75EF8F1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02520276" w14:textId="2D60E624" w:rsidR="004A075E" w:rsidRPr="00830AA1" w:rsidRDefault="00830AA1" w:rsidP="004A075E">
            <w:pPr>
              <w:widowControl/>
              <w:jc w:val="center"/>
              <w:rPr>
                <w:rFonts w:ascii="Times New Roman" w:eastAsia="等线" w:hAnsi="Times New Roman" w:cs="Times New Roman"/>
                <w:i/>
                <w:color w:val="000000"/>
                <w:kern w:val="0"/>
                <w:sz w:val="22"/>
              </w:rPr>
            </w:pPr>
            <w:r w:rsidRPr="00830AA1">
              <w:rPr>
                <w:rFonts w:ascii="Times New Roman" w:hAnsi="Times New Roman" w:cs="Times New Roman"/>
                <w:i/>
                <w:sz w:val="22"/>
              </w:rPr>
              <w:t>NA</w:t>
            </w:r>
          </w:p>
        </w:tc>
        <w:tc>
          <w:tcPr>
            <w:tcW w:w="4181" w:type="dxa"/>
            <w:vAlign w:val="center"/>
            <w:hideMark/>
          </w:tcPr>
          <w:p w14:paraId="1F3521E4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Runoff convergence zone, gravelly riverbed, rapid flow</w:t>
            </w:r>
          </w:p>
        </w:tc>
      </w:tr>
      <w:tr w:rsidR="006F0799" w:rsidRPr="004A075E" w14:paraId="3F4F2B80" w14:textId="77777777" w:rsidTr="00830AA1">
        <w:trPr>
          <w:trHeight w:val="570"/>
        </w:trPr>
        <w:tc>
          <w:tcPr>
            <w:tcW w:w="913" w:type="dxa"/>
            <w:vAlign w:val="center"/>
            <w:hideMark/>
          </w:tcPr>
          <w:p w14:paraId="4A7778E1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N3</w:t>
            </w:r>
          </w:p>
        </w:tc>
        <w:tc>
          <w:tcPr>
            <w:tcW w:w="1214" w:type="dxa"/>
            <w:vAlign w:val="center"/>
            <w:hideMark/>
          </w:tcPr>
          <w:p w14:paraId="6465309E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Upper reaches </w:t>
            </w:r>
          </w:p>
        </w:tc>
        <w:tc>
          <w:tcPr>
            <w:tcW w:w="1417" w:type="dxa"/>
            <w:vAlign w:val="center"/>
            <w:hideMark/>
          </w:tcPr>
          <w:p w14:paraId="19071849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82.62</w:t>
            </w:r>
          </w:p>
        </w:tc>
        <w:tc>
          <w:tcPr>
            <w:tcW w:w="845" w:type="dxa"/>
            <w:vAlign w:val="center"/>
            <w:hideMark/>
          </w:tcPr>
          <w:p w14:paraId="403B57CD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37.06</w:t>
            </w:r>
          </w:p>
        </w:tc>
        <w:tc>
          <w:tcPr>
            <w:tcW w:w="986" w:type="dxa"/>
            <w:vAlign w:val="center"/>
            <w:hideMark/>
          </w:tcPr>
          <w:p w14:paraId="3FA41E8D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1421</w:t>
            </w:r>
          </w:p>
        </w:tc>
        <w:tc>
          <w:tcPr>
            <w:tcW w:w="1146" w:type="dxa"/>
            <w:vAlign w:val="center"/>
            <w:hideMark/>
          </w:tcPr>
          <w:p w14:paraId="1634E137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05B0B43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66FEE637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5BD2C15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Main runoff channel, slower flow</w:t>
            </w:r>
          </w:p>
        </w:tc>
      </w:tr>
      <w:tr w:rsidR="006F0799" w:rsidRPr="004A075E" w14:paraId="4CB1F452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5B4496A1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N4</w:t>
            </w:r>
          </w:p>
        </w:tc>
        <w:tc>
          <w:tcPr>
            <w:tcW w:w="1214" w:type="dxa"/>
            <w:vAlign w:val="center"/>
            <w:hideMark/>
          </w:tcPr>
          <w:p w14:paraId="7153831D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Upper reaches</w:t>
            </w:r>
          </w:p>
        </w:tc>
        <w:tc>
          <w:tcPr>
            <w:tcW w:w="1417" w:type="dxa"/>
            <w:vAlign w:val="center"/>
            <w:hideMark/>
          </w:tcPr>
          <w:p w14:paraId="2BD9ED9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82.73</w:t>
            </w:r>
          </w:p>
        </w:tc>
        <w:tc>
          <w:tcPr>
            <w:tcW w:w="845" w:type="dxa"/>
            <w:vAlign w:val="center"/>
            <w:hideMark/>
          </w:tcPr>
          <w:p w14:paraId="627B9B3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37.07</w:t>
            </w:r>
          </w:p>
        </w:tc>
        <w:tc>
          <w:tcPr>
            <w:tcW w:w="986" w:type="dxa"/>
            <w:vAlign w:val="center"/>
            <w:hideMark/>
          </w:tcPr>
          <w:p w14:paraId="3AFF122E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1408</w:t>
            </w:r>
          </w:p>
        </w:tc>
        <w:tc>
          <w:tcPr>
            <w:tcW w:w="1146" w:type="dxa"/>
            <w:vAlign w:val="center"/>
            <w:hideMark/>
          </w:tcPr>
          <w:p w14:paraId="6669503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71364DB3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4B4FCD6E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21809657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Main runoff channel, slower flow, </w:t>
            </w:r>
          </w:p>
          <w:p w14:paraId="4F88C31C" w14:textId="122E9E6E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adjacent to irrigated area</w:t>
            </w:r>
          </w:p>
        </w:tc>
      </w:tr>
      <w:tr w:rsidR="006F0799" w:rsidRPr="004A075E" w14:paraId="00D36802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61F6BDE3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N5</w:t>
            </w:r>
          </w:p>
        </w:tc>
        <w:tc>
          <w:tcPr>
            <w:tcW w:w="1214" w:type="dxa"/>
            <w:vAlign w:val="center"/>
            <w:hideMark/>
          </w:tcPr>
          <w:p w14:paraId="51DF8DF9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Mid-stream</w:t>
            </w:r>
          </w:p>
        </w:tc>
        <w:tc>
          <w:tcPr>
            <w:tcW w:w="1417" w:type="dxa"/>
            <w:vAlign w:val="center"/>
            <w:hideMark/>
          </w:tcPr>
          <w:p w14:paraId="08566180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82.70</w:t>
            </w:r>
          </w:p>
        </w:tc>
        <w:tc>
          <w:tcPr>
            <w:tcW w:w="845" w:type="dxa"/>
            <w:vAlign w:val="center"/>
            <w:hideMark/>
          </w:tcPr>
          <w:p w14:paraId="74E72F62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37.08</w:t>
            </w:r>
          </w:p>
        </w:tc>
        <w:tc>
          <w:tcPr>
            <w:tcW w:w="986" w:type="dxa"/>
            <w:vAlign w:val="center"/>
            <w:hideMark/>
          </w:tcPr>
          <w:p w14:paraId="6411B22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1403</w:t>
            </w:r>
          </w:p>
        </w:tc>
        <w:tc>
          <w:tcPr>
            <w:tcW w:w="1146" w:type="dxa"/>
            <w:vAlign w:val="center"/>
            <w:hideMark/>
          </w:tcPr>
          <w:p w14:paraId="15ED074C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413DA2C2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7499D67F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6BFA887F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Alluvial plain landform, </w:t>
            </w:r>
          </w:p>
          <w:p w14:paraId="4CC6C72A" w14:textId="5D1439CE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Niya River wetland area</w:t>
            </w:r>
          </w:p>
        </w:tc>
      </w:tr>
      <w:tr w:rsidR="006F0799" w:rsidRPr="004A075E" w14:paraId="2DF1A408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4949CEB9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N6</w:t>
            </w:r>
          </w:p>
        </w:tc>
        <w:tc>
          <w:tcPr>
            <w:tcW w:w="1214" w:type="dxa"/>
            <w:vAlign w:val="center"/>
            <w:hideMark/>
          </w:tcPr>
          <w:p w14:paraId="2F8C5950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Mid-stream</w:t>
            </w:r>
          </w:p>
        </w:tc>
        <w:tc>
          <w:tcPr>
            <w:tcW w:w="1417" w:type="dxa"/>
            <w:vAlign w:val="center"/>
            <w:hideMark/>
          </w:tcPr>
          <w:p w14:paraId="364B29A8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82.81</w:t>
            </w:r>
          </w:p>
        </w:tc>
        <w:tc>
          <w:tcPr>
            <w:tcW w:w="845" w:type="dxa"/>
            <w:vAlign w:val="center"/>
            <w:hideMark/>
          </w:tcPr>
          <w:p w14:paraId="7C89D277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37.68</w:t>
            </w:r>
          </w:p>
        </w:tc>
        <w:tc>
          <w:tcPr>
            <w:tcW w:w="986" w:type="dxa"/>
            <w:vAlign w:val="center"/>
            <w:hideMark/>
          </w:tcPr>
          <w:p w14:paraId="4E5C2786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1307</w:t>
            </w:r>
          </w:p>
        </w:tc>
        <w:tc>
          <w:tcPr>
            <w:tcW w:w="1146" w:type="dxa"/>
            <w:vAlign w:val="center"/>
            <w:hideMark/>
          </w:tcPr>
          <w:p w14:paraId="4065291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03E6BA18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457DD08F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6BF87790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Alluvial plain landform, </w:t>
            </w:r>
          </w:p>
          <w:p w14:paraId="06B6CD61" w14:textId="0553693A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Niya River wetland area</w:t>
            </w:r>
          </w:p>
        </w:tc>
      </w:tr>
      <w:tr w:rsidR="006F0799" w:rsidRPr="004A075E" w14:paraId="39B45CA0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2A2E9DAD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N7</w:t>
            </w:r>
          </w:p>
        </w:tc>
        <w:tc>
          <w:tcPr>
            <w:tcW w:w="1214" w:type="dxa"/>
            <w:vAlign w:val="center"/>
            <w:hideMark/>
          </w:tcPr>
          <w:p w14:paraId="5963B65C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Mid-stream</w:t>
            </w:r>
          </w:p>
        </w:tc>
        <w:tc>
          <w:tcPr>
            <w:tcW w:w="1417" w:type="dxa"/>
            <w:vAlign w:val="center"/>
            <w:hideMark/>
          </w:tcPr>
          <w:p w14:paraId="6157D052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82.78</w:t>
            </w:r>
          </w:p>
        </w:tc>
        <w:tc>
          <w:tcPr>
            <w:tcW w:w="845" w:type="dxa"/>
            <w:vAlign w:val="center"/>
            <w:hideMark/>
          </w:tcPr>
          <w:p w14:paraId="00DFBF05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37.46</w:t>
            </w:r>
          </w:p>
        </w:tc>
        <w:tc>
          <w:tcPr>
            <w:tcW w:w="986" w:type="dxa"/>
            <w:vAlign w:val="center"/>
            <w:hideMark/>
          </w:tcPr>
          <w:p w14:paraId="22AFE58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1333</w:t>
            </w:r>
          </w:p>
        </w:tc>
        <w:tc>
          <w:tcPr>
            <w:tcW w:w="1146" w:type="dxa"/>
            <w:vAlign w:val="center"/>
            <w:hideMark/>
          </w:tcPr>
          <w:p w14:paraId="510452AA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2DE43011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2614D857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12F5A231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Alluvial plain landform, </w:t>
            </w:r>
          </w:p>
          <w:p w14:paraId="08BC451F" w14:textId="360FB092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Niya River wetland area</w:t>
            </w:r>
          </w:p>
        </w:tc>
      </w:tr>
      <w:tr w:rsidR="006F0799" w:rsidRPr="004A075E" w14:paraId="5F1F385B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57523FF7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N8</w:t>
            </w:r>
          </w:p>
        </w:tc>
        <w:tc>
          <w:tcPr>
            <w:tcW w:w="1214" w:type="dxa"/>
            <w:vAlign w:val="center"/>
            <w:hideMark/>
          </w:tcPr>
          <w:p w14:paraId="096CB868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Lower reaches </w:t>
            </w:r>
          </w:p>
        </w:tc>
        <w:tc>
          <w:tcPr>
            <w:tcW w:w="1417" w:type="dxa"/>
            <w:vAlign w:val="center"/>
            <w:hideMark/>
          </w:tcPr>
          <w:p w14:paraId="2AEB20CF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82.81</w:t>
            </w:r>
          </w:p>
        </w:tc>
        <w:tc>
          <w:tcPr>
            <w:tcW w:w="845" w:type="dxa"/>
            <w:vAlign w:val="center"/>
            <w:hideMark/>
          </w:tcPr>
          <w:p w14:paraId="1956736D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37.34</w:t>
            </w:r>
          </w:p>
        </w:tc>
        <w:tc>
          <w:tcPr>
            <w:tcW w:w="986" w:type="dxa"/>
            <w:vAlign w:val="center"/>
            <w:hideMark/>
          </w:tcPr>
          <w:p w14:paraId="2496E85A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1358</w:t>
            </w:r>
          </w:p>
        </w:tc>
        <w:tc>
          <w:tcPr>
            <w:tcW w:w="1146" w:type="dxa"/>
            <w:vAlign w:val="center"/>
            <w:hideMark/>
          </w:tcPr>
          <w:p w14:paraId="4C5C90AC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1626F75F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6FECA5AA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02D6D939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Plain desert landform, </w:t>
            </w:r>
          </w:p>
          <w:p w14:paraId="649C66C3" w14:textId="745BDA69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runoff dissipation zone</w:t>
            </w:r>
          </w:p>
        </w:tc>
      </w:tr>
      <w:tr w:rsidR="006F0799" w:rsidRPr="004A075E" w14:paraId="191EBA26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4BC1DC04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lastRenderedPageBreak/>
              <w:t>N9</w:t>
            </w:r>
          </w:p>
        </w:tc>
        <w:tc>
          <w:tcPr>
            <w:tcW w:w="1214" w:type="dxa"/>
            <w:vAlign w:val="center"/>
            <w:hideMark/>
          </w:tcPr>
          <w:p w14:paraId="672260F0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Lower reaches </w:t>
            </w:r>
          </w:p>
        </w:tc>
        <w:tc>
          <w:tcPr>
            <w:tcW w:w="1417" w:type="dxa"/>
            <w:vAlign w:val="center"/>
            <w:hideMark/>
          </w:tcPr>
          <w:p w14:paraId="2CEDCF13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82.78</w:t>
            </w:r>
          </w:p>
        </w:tc>
        <w:tc>
          <w:tcPr>
            <w:tcW w:w="845" w:type="dxa"/>
            <w:vAlign w:val="center"/>
            <w:hideMark/>
          </w:tcPr>
          <w:p w14:paraId="3A2DD75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37.29</w:t>
            </w:r>
          </w:p>
        </w:tc>
        <w:tc>
          <w:tcPr>
            <w:tcW w:w="986" w:type="dxa"/>
            <w:vAlign w:val="center"/>
            <w:hideMark/>
          </w:tcPr>
          <w:p w14:paraId="0BAB9488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1354</w:t>
            </w:r>
          </w:p>
        </w:tc>
        <w:tc>
          <w:tcPr>
            <w:tcW w:w="1146" w:type="dxa"/>
            <w:vAlign w:val="center"/>
            <w:hideMark/>
          </w:tcPr>
          <w:p w14:paraId="506DCA0C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1EED0162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055AC9F9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5666A075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Plain desert landform, </w:t>
            </w:r>
          </w:p>
          <w:p w14:paraId="0702FFDF" w14:textId="0758028D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runoff dissipation zone</w:t>
            </w:r>
          </w:p>
        </w:tc>
      </w:tr>
      <w:tr w:rsidR="006F0799" w:rsidRPr="004A075E" w14:paraId="5FE07E69" w14:textId="77777777" w:rsidTr="00830AA1">
        <w:trPr>
          <w:trHeight w:val="855"/>
        </w:trPr>
        <w:tc>
          <w:tcPr>
            <w:tcW w:w="913" w:type="dxa"/>
            <w:vAlign w:val="center"/>
            <w:hideMark/>
          </w:tcPr>
          <w:p w14:paraId="4AD7F6C1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N10</w:t>
            </w:r>
          </w:p>
        </w:tc>
        <w:tc>
          <w:tcPr>
            <w:tcW w:w="1214" w:type="dxa"/>
            <w:vAlign w:val="center"/>
            <w:hideMark/>
          </w:tcPr>
          <w:p w14:paraId="5A2237BB" w14:textId="77777777" w:rsidR="004A075E" w:rsidRPr="004A075E" w:rsidRDefault="004A075E" w:rsidP="004A07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Lower reaches</w:t>
            </w:r>
          </w:p>
        </w:tc>
        <w:tc>
          <w:tcPr>
            <w:tcW w:w="1417" w:type="dxa"/>
            <w:vAlign w:val="center"/>
            <w:hideMark/>
          </w:tcPr>
          <w:p w14:paraId="6DC0F72B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82.77</w:t>
            </w:r>
          </w:p>
        </w:tc>
        <w:tc>
          <w:tcPr>
            <w:tcW w:w="845" w:type="dxa"/>
            <w:vAlign w:val="center"/>
            <w:hideMark/>
          </w:tcPr>
          <w:p w14:paraId="1ED71E97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37.09</w:t>
            </w:r>
          </w:p>
        </w:tc>
        <w:tc>
          <w:tcPr>
            <w:tcW w:w="986" w:type="dxa"/>
            <w:vAlign w:val="center"/>
            <w:hideMark/>
          </w:tcPr>
          <w:p w14:paraId="3DBD44F9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1390</w:t>
            </w:r>
          </w:p>
        </w:tc>
        <w:tc>
          <w:tcPr>
            <w:tcW w:w="1146" w:type="dxa"/>
            <w:vAlign w:val="center"/>
            <w:hideMark/>
          </w:tcPr>
          <w:p w14:paraId="210BCE30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Sediment</w:t>
            </w:r>
          </w:p>
        </w:tc>
        <w:tc>
          <w:tcPr>
            <w:tcW w:w="1417" w:type="dxa"/>
            <w:vAlign w:val="center"/>
            <w:hideMark/>
          </w:tcPr>
          <w:p w14:paraId="5CF1D716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1701" w:type="dxa"/>
            <w:vAlign w:val="center"/>
            <w:hideMark/>
          </w:tcPr>
          <w:p w14:paraId="44D5440E" w14:textId="77777777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Collected</w:t>
            </w:r>
          </w:p>
        </w:tc>
        <w:tc>
          <w:tcPr>
            <w:tcW w:w="4181" w:type="dxa"/>
            <w:vAlign w:val="center"/>
            <w:hideMark/>
          </w:tcPr>
          <w:p w14:paraId="74E3E2C9" w14:textId="77777777" w:rsidR="006F0799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Plain desert landform, </w:t>
            </w:r>
          </w:p>
          <w:p w14:paraId="44A0977D" w14:textId="3A26930B" w:rsidR="004A075E" w:rsidRPr="004A075E" w:rsidRDefault="004A075E" w:rsidP="004A07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A075E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runoff dissipation zone</w:t>
            </w:r>
          </w:p>
        </w:tc>
      </w:tr>
    </w:tbl>
    <w:p w14:paraId="76150018" w14:textId="1B1CABE6" w:rsidR="00BF665E" w:rsidRDefault="00B02279" w:rsidP="00FB69C5">
      <w:pPr>
        <w:widowControl/>
        <w:jc w:val="left"/>
        <w:rPr>
          <w:rFonts w:ascii="Times New Roman" w:hAnsi="Times New Roman" w:cs="Times New Roman"/>
          <w:sz w:val="22"/>
        </w:rPr>
        <w:sectPr w:rsidR="00BF665E" w:rsidSect="004A075E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  <w:r w:rsidRPr="00830AA1">
        <w:rPr>
          <w:rFonts w:ascii="Times New Roman" w:hAnsi="Times New Roman" w:cs="Times New Roman"/>
          <w:i/>
          <w:sz w:val="22"/>
        </w:rPr>
        <w:t>N</w:t>
      </w:r>
      <w:r w:rsidR="00830AA1" w:rsidRPr="00830AA1">
        <w:rPr>
          <w:rFonts w:ascii="Times New Roman" w:hAnsi="Times New Roman" w:cs="Times New Roman"/>
          <w:i/>
          <w:sz w:val="22"/>
        </w:rPr>
        <w:t xml:space="preserve">A </w:t>
      </w:r>
      <w:r w:rsidRPr="004A075E">
        <w:rPr>
          <w:rFonts w:ascii="Times New Roman" w:hAnsi="Times New Roman" w:cs="Times New Roman"/>
          <w:sz w:val="22"/>
        </w:rPr>
        <w:t>indicates that subsurface sediment was unavailable because of site-specific sediment constraints.</w:t>
      </w:r>
    </w:p>
    <w:p w14:paraId="3AD9CE9A" w14:textId="79BB10B5" w:rsidR="00FB69C5" w:rsidRPr="00FB69C5" w:rsidRDefault="00FB69C5" w:rsidP="00FB69C5">
      <w:pPr>
        <w:widowControl/>
        <w:jc w:val="left"/>
        <w:rPr>
          <w:rFonts w:ascii="Times New Roman" w:hAnsi="Times New Roman" w:cs="Times New Roman"/>
          <w:sz w:val="22"/>
        </w:rPr>
      </w:pPr>
      <w:bookmarkStart w:id="1" w:name="OLE_LINK1"/>
      <w:r w:rsidRPr="00CC7A15">
        <w:rPr>
          <w:rFonts w:ascii="Times New Roman" w:hAnsi="Times New Roman" w:cs="Times New Roman"/>
          <w:b/>
          <w:bCs/>
          <w:sz w:val="22"/>
          <w:szCs w:val="24"/>
        </w:rPr>
        <w:lastRenderedPageBreak/>
        <w:t>Table S2</w:t>
      </w:r>
      <w:r w:rsidR="002A27EA">
        <w:rPr>
          <w:rFonts w:ascii="Times New Roman" w:hAnsi="Times New Roman" w:cs="Times New Roman"/>
          <w:b/>
          <w:bCs/>
          <w:sz w:val="22"/>
          <w:szCs w:val="24"/>
        </w:rPr>
        <w:t>.</w:t>
      </w:r>
      <w:r w:rsidRPr="00FB69C5">
        <w:rPr>
          <w:rFonts w:ascii="Times New Roman" w:eastAsia="宋体" w:hAnsi="Times New Roman" w:cs="Times New Roman"/>
          <w:color w:val="000000"/>
          <w:kern w:val="0"/>
          <w:sz w:val="22"/>
          <w:szCs w:val="21"/>
        </w:rPr>
        <w:t xml:space="preserve"> </w:t>
      </w:r>
      <w:r w:rsidRPr="00CC7A15">
        <w:rPr>
          <w:rFonts w:ascii="Times New Roman" w:eastAsia="宋体" w:hAnsi="Times New Roman" w:cs="Times New Roman"/>
          <w:color w:val="000000"/>
          <w:kern w:val="0"/>
          <w:sz w:val="22"/>
          <w:szCs w:val="21"/>
        </w:rPr>
        <w:t>the corresponding quantitative information</w:t>
      </w:r>
      <w:r>
        <w:rPr>
          <w:rFonts w:ascii="Times New Roman" w:eastAsia="宋体" w:hAnsi="Times New Roman" w:cs="Times New Roman" w:hint="eastAsia"/>
          <w:color w:val="000000"/>
          <w:kern w:val="0"/>
          <w:sz w:val="22"/>
          <w:szCs w:val="21"/>
        </w:rPr>
        <w:t xml:space="preserve"> </w:t>
      </w:r>
    </w:p>
    <w:tbl>
      <w:tblPr>
        <w:tblStyle w:val="af2"/>
        <w:tblW w:w="8080" w:type="dxa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1271"/>
        <w:gridCol w:w="2415"/>
        <w:gridCol w:w="850"/>
      </w:tblGrid>
      <w:tr w:rsidR="00FB69C5" w:rsidRPr="00CC7A15" w14:paraId="2050FBD2" w14:textId="77777777" w:rsidTr="00BF665E">
        <w:tc>
          <w:tcPr>
            <w:tcW w:w="2268" w:type="dxa"/>
            <w:vMerge w:val="restart"/>
            <w:tcBorders>
              <w:top w:val="single" w:sz="12" w:space="0" w:color="000000" w:themeColor="text1"/>
              <w:bottom w:val="nil"/>
            </w:tcBorders>
            <w:vAlign w:val="center"/>
          </w:tcPr>
          <w:p w14:paraId="50D7CBA7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OLE_LINK21"/>
            <w:bookmarkEnd w:id="1"/>
            <w:r w:rsidRPr="00FB69C5">
              <w:rPr>
                <w:rFonts w:ascii="Times New Roman" w:eastAsia="宋体" w:hAnsi="Times New Roman" w:cs="Times New Roman"/>
                <w:b/>
                <w:bCs/>
                <w:sz w:val="22"/>
                <w:szCs w:val="22"/>
              </w:rPr>
              <w:t>Variations</w:t>
            </w:r>
            <w:bookmarkEnd w:id="2"/>
          </w:p>
        </w:tc>
        <w:tc>
          <w:tcPr>
            <w:tcW w:w="2547" w:type="dxa"/>
            <w:gridSpan w:val="2"/>
            <w:tcBorders>
              <w:top w:val="single" w:sz="12" w:space="0" w:color="000000" w:themeColor="text1"/>
              <w:bottom w:val="nil"/>
            </w:tcBorders>
            <w:vAlign w:val="center"/>
          </w:tcPr>
          <w:p w14:paraId="01AC9A1E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Surfaces soil</w:t>
            </w:r>
          </w:p>
        </w:tc>
        <w:tc>
          <w:tcPr>
            <w:tcW w:w="3265" w:type="dxa"/>
            <w:gridSpan w:val="2"/>
            <w:tcBorders>
              <w:top w:val="single" w:sz="12" w:space="0" w:color="000000" w:themeColor="text1"/>
              <w:bottom w:val="nil"/>
            </w:tcBorders>
            <w:vAlign w:val="center"/>
          </w:tcPr>
          <w:p w14:paraId="55A11935" w14:textId="1D375035" w:rsidR="00FB69C5" w:rsidRPr="00FB69C5" w:rsidRDefault="00BF665E" w:rsidP="009E6C1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</w:t>
            </w:r>
            <w:r w:rsidR="00FB69C5" w:rsidRPr="00FB69C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Subsurfaces soil</w:t>
            </w:r>
          </w:p>
        </w:tc>
      </w:tr>
      <w:tr w:rsidR="00FB69C5" w:rsidRPr="00CC7A15" w14:paraId="3B2DA9C7" w14:textId="77777777" w:rsidTr="00BF665E">
        <w:trPr>
          <w:trHeight w:val="424"/>
        </w:trPr>
        <w:tc>
          <w:tcPr>
            <w:tcW w:w="2268" w:type="dxa"/>
            <w:vMerge/>
            <w:tcBorders>
              <w:top w:val="nil"/>
              <w:bottom w:val="single" w:sz="12" w:space="0" w:color="000000" w:themeColor="text1"/>
            </w:tcBorders>
            <w:vAlign w:val="center"/>
          </w:tcPr>
          <w:p w14:paraId="5DD9718B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79E5BB8F" w14:textId="77777777" w:rsidR="00FB69C5" w:rsidRPr="00BB059E" w:rsidRDefault="00FB69C5" w:rsidP="009E6C18">
            <w:pPr>
              <w:jc w:val="center"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BB059E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P</w:t>
            </w:r>
          </w:p>
        </w:tc>
        <w:tc>
          <w:tcPr>
            <w:tcW w:w="1271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7D594386" w14:textId="77777777" w:rsidR="00FB69C5" w:rsidRPr="00BF665E" w:rsidRDefault="00FB69C5" w:rsidP="009E6C18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F665E">
              <w:rPr>
                <w:rFonts w:ascii="Times New Roman" w:hAnsi="Times New Roman" w:cs="Times New Roman"/>
                <w:bCs/>
                <w:sz w:val="22"/>
                <w:szCs w:val="22"/>
              </w:rPr>
              <w:t>R</w:t>
            </w:r>
          </w:p>
        </w:tc>
        <w:tc>
          <w:tcPr>
            <w:tcW w:w="2415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64805F24" w14:textId="77777777" w:rsidR="00FB69C5" w:rsidRPr="00BB059E" w:rsidRDefault="00FB69C5" w:rsidP="009E6C18">
            <w:pPr>
              <w:jc w:val="center"/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</w:pPr>
            <w:r w:rsidRPr="00BB059E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P</w:t>
            </w:r>
          </w:p>
        </w:tc>
        <w:tc>
          <w:tcPr>
            <w:tcW w:w="850" w:type="dxa"/>
            <w:tcBorders>
              <w:top w:val="nil"/>
              <w:bottom w:val="single" w:sz="12" w:space="0" w:color="000000" w:themeColor="text1"/>
            </w:tcBorders>
            <w:vAlign w:val="center"/>
          </w:tcPr>
          <w:p w14:paraId="2BCEE4D6" w14:textId="77777777" w:rsidR="00FB69C5" w:rsidRPr="00BF665E" w:rsidRDefault="00FB69C5" w:rsidP="009E6C18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F665E">
              <w:rPr>
                <w:rFonts w:ascii="Times New Roman" w:hAnsi="Times New Roman" w:cs="Times New Roman"/>
                <w:bCs/>
                <w:sz w:val="22"/>
                <w:szCs w:val="22"/>
              </w:rPr>
              <w:t>R</w:t>
            </w:r>
          </w:p>
        </w:tc>
      </w:tr>
      <w:tr w:rsidR="00FB69C5" w:rsidRPr="00CC7A15" w14:paraId="7AC660D9" w14:textId="77777777" w:rsidTr="00BF665E">
        <w:trPr>
          <w:trHeight w:val="536"/>
        </w:trPr>
        <w:tc>
          <w:tcPr>
            <w:tcW w:w="2268" w:type="dxa"/>
            <w:tcBorders>
              <w:top w:val="single" w:sz="12" w:space="0" w:color="000000" w:themeColor="text1"/>
            </w:tcBorders>
            <w:vAlign w:val="center"/>
          </w:tcPr>
          <w:p w14:paraId="61D70E6F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 xml:space="preserve">pH </w:t>
            </w:r>
            <w:bookmarkStart w:id="3" w:name="OLE_LINK22"/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dissimilarity</w:t>
            </w:r>
            <w:bookmarkEnd w:id="3"/>
          </w:p>
        </w:tc>
        <w:tc>
          <w:tcPr>
            <w:tcW w:w="1276" w:type="dxa"/>
            <w:tcBorders>
              <w:top w:val="single" w:sz="12" w:space="0" w:color="000000" w:themeColor="text1"/>
            </w:tcBorders>
            <w:vAlign w:val="center"/>
          </w:tcPr>
          <w:p w14:paraId="12519BAF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＜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1" w:type="dxa"/>
            <w:tcBorders>
              <w:top w:val="single" w:sz="12" w:space="0" w:color="000000" w:themeColor="text1"/>
            </w:tcBorders>
            <w:vAlign w:val="center"/>
          </w:tcPr>
          <w:p w14:paraId="5FCE3681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0.637</w:t>
            </w:r>
          </w:p>
        </w:tc>
        <w:tc>
          <w:tcPr>
            <w:tcW w:w="2415" w:type="dxa"/>
            <w:tcBorders>
              <w:top w:val="single" w:sz="12" w:space="0" w:color="000000" w:themeColor="text1"/>
            </w:tcBorders>
            <w:vAlign w:val="center"/>
          </w:tcPr>
          <w:p w14:paraId="050DD9F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＜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850" w:type="dxa"/>
            <w:tcBorders>
              <w:top w:val="single" w:sz="12" w:space="0" w:color="000000" w:themeColor="text1"/>
            </w:tcBorders>
            <w:vAlign w:val="center"/>
          </w:tcPr>
          <w:p w14:paraId="7F6FB02B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0.515</w:t>
            </w:r>
          </w:p>
        </w:tc>
      </w:tr>
      <w:tr w:rsidR="00FB69C5" w:rsidRPr="00CC7A15" w14:paraId="26AF80E6" w14:textId="77777777" w:rsidTr="00BF665E">
        <w:trPr>
          <w:trHeight w:val="574"/>
        </w:trPr>
        <w:tc>
          <w:tcPr>
            <w:tcW w:w="2268" w:type="dxa"/>
            <w:vAlign w:val="center"/>
          </w:tcPr>
          <w:p w14:paraId="277E4F2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TOC dissimilarity</w:t>
            </w:r>
          </w:p>
        </w:tc>
        <w:tc>
          <w:tcPr>
            <w:tcW w:w="1276" w:type="dxa"/>
            <w:vAlign w:val="center"/>
          </w:tcPr>
          <w:p w14:paraId="33AF81C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＜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1" w:type="dxa"/>
            <w:vAlign w:val="center"/>
          </w:tcPr>
          <w:p w14:paraId="6F129DBC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0.466</w:t>
            </w:r>
          </w:p>
        </w:tc>
        <w:tc>
          <w:tcPr>
            <w:tcW w:w="2415" w:type="dxa"/>
            <w:vAlign w:val="center"/>
          </w:tcPr>
          <w:p w14:paraId="383A2B76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＜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850" w:type="dxa"/>
            <w:vAlign w:val="center"/>
          </w:tcPr>
          <w:p w14:paraId="2AA21294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0.457</w:t>
            </w:r>
          </w:p>
        </w:tc>
      </w:tr>
      <w:tr w:rsidR="00FB69C5" w:rsidRPr="00CC7A15" w14:paraId="7A0037D3" w14:textId="77777777" w:rsidTr="00BF665E">
        <w:trPr>
          <w:trHeight w:val="568"/>
        </w:trPr>
        <w:tc>
          <w:tcPr>
            <w:tcW w:w="2268" w:type="dxa"/>
            <w:vAlign w:val="center"/>
          </w:tcPr>
          <w:p w14:paraId="35F0B5D2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TN dissimilarity</w:t>
            </w:r>
          </w:p>
        </w:tc>
        <w:tc>
          <w:tcPr>
            <w:tcW w:w="1276" w:type="dxa"/>
            <w:vAlign w:val="center"/>
          </w:tcPr>
          <w:p w14:paraId="6E7C10F4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＜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1" w:type="dxa"/>
            <w:vAlign w:val="center"/>
          </w:tcPr>
          <w:p w14:paraId="28A34E6A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0.446</w:t>
            </w:r>
          </w:p>
        </w:tc>
        <w:tc>
          <w:tcPr>
            <w:tcW w:w="2415" w:type="dxa"/>
            <w:vAlign w:val="center"/>
          </w:tcPr>
          <w:p w14:paraId="1C03F00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＜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850" w:type="dxa"/>
            <w:vAlign w:val="center"/>
          </w:tcPr>
          <w:p w14:paraId="5E1C2D3C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0.466</w:t>
            </w:r>
          </w:p>
        </w:tc>
      </w:tr>
      <w:tr w:rsidR="00FB69C5" w:rsidRPr="00CC7A15" w14:paraId="1E6145EF" w14:textId="77777777" w:rsidTr="00BF665E">
        <w:trPr>
          <w:trHeight w:val="562"/>
        </w:trPr>
        <w:tc>
          <w:tcPr>
            <w:tcW w:w="2268" w:type="dxa"/>
            <w:vAlign w:val="center"/>
          </w:tcPr>
          <w:p w14:paraId="756AA27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MZ dissimilarity</w:t>
            </w:r>
          </w:p>
        </w:tc>
        <w:tc>
          <w:tcPr>
            <w:tcW w:w="1276" w:type="dxa"/>
            <w:vAlign w:val="center"/>
          </w:tcPr>
          <w:p w14:paraId="16E7C983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＞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1" w:type="dxa"/>
            <w:vAlign w:val="center"/>
          </w:tcPr>
          <w:p w14:paraId="552A5A11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0.068</w:t>
            </w:r>
          </w:p>
        </w:tc>
        <w:tc>
          <w:tcPr>
            <w:tcW w:w="2415" w:type="dxa"/>
            <w:vAlign w:val="center"/>
          </w:tcPr>
          <w:p w14:paraId="54CE0FD9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＞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850" w:type="dxa"/>
            <w:vAlign w:val="center"/>
          </w:tcPr>
          <w:p w14:paraId="0042D13A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0.026</w:t>
            </w:r>
          </w:p>
        </w:tc>
      </w:tr>
      <w:tr w:rsidR="00FB69C5" w:rsidRPr="00CC7A15" w14:paraId="1662EDD4" w14:textId="77777777" w:rsidTr="00BF665E">
        <w:trPr>
          <w:trHeight w:val="570"/>
        </w:trPr>
        <w:tc>
          <w:tcPr>
            <w:tcW w:w="2268" w:type="dxa"/>
            <w:vAlign w:val="center"/>
          </w:tcPr>
          <w:p w14:paraId="14C4AD95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Sand dissimilarity</w:t>
            </w:r>
          </w:p>
        </w:tc>
        <w:tc>
          <w:tcPr>
            <w:tcW w:w="1276" w:type="dxa"/>
            <w:vAlign w:val="center"/>
          </w:tcPr>
          <w:p w14:paraId="5843E121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＞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1" w:type="dxa"/>
            <w:vAlign w:val="center"/>
          </w:tcPr>
          <w:p w14:paraId="3F208B13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0.037</w:t>
            </w:r>
          </w:p>
        </w:tc>
        <w:tc>
          <w:tcPr>
            <w:tcW w:w="2415" w:type="dxa"/>
            <w:vAlign w:val="center"/>
          </w:tcPr>
          <w:p w14:paraId="5E843ACE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＞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850" w:type="dxa"/>
            <w:vAlign w:val="center"/>
          </w:tcPr>
          <w:p w14:paraId="11D0E80D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-0.027</w:t>
            </w:r>
          </w:p>
        </w:tc>
      </w:tr>
      <w:tr w:rsidR="00FB69C5" w:rsidRPr="00CC7A15" w14:paraId="3D8F72C0" w14:textId="77777777" w:rsidTr="00BF665E">
        <w:trPr>
          <w:trHeight w:val="564"/>
        </w:trPr>
        <w:tc>
          <w:tcPr>
            <w:tcW w:w="2268" w:type="dxa"/>
            <w:vAlign w:val="center"/>
          </w:tcPr>
          <w:p w14:paraId="6C4A8CD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Salt dissimilarity</w:t>
            </w:r>
          </w:p>
        </w:tc>
        <w:tc>
          <w:tcPr>
            <w:tcW w:w="1276" w:type="dxa"/>
            <w:vAlign w:val="center"/>
          </w:tcPr>
          <w:p w14:paraId="030A2878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＞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1271" w:type="dxa"/>
            <w:vAlign w:val="center"/>
          </w:tcPr>
          <w:p w14:paraId="37BF2995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-0.113</w:t>
            </w:r>
          </w:p>
        </w:tc>
        <w:tc>
          <w:tcPr>
            <w:tcW w:w="2415" w:type="dxa"/>
            <w:vAlign w:val="center"/>
          </w:tcPr>
          <w:p w14:paraId="3BAB167E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＞</w:t>
            </w: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850" w:type="dxa"/>
            <w:vAlign w:val="center"/>
          </w:tcPr>
          <w:p w14:paraId="2D8AB6B1" w14:textId="77777777" w:rsidR="00FB69C5" w:rsidRPr="00FB69C5" w:rsidRDefault="00FB69C5" w:rsidP="009E6C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69C5">
              <w:rPr>
                <w:rFonts w:ascii="Times New Roman" w:hAnsi="Times New Roman" w:cs="Times New Roman"/>
                <w:sz w:val="22"/>
                <w:szCs w:val="22"/>
              </w:rPr>
              <w:t>-0.231</w:t>
            </w:r>
          </w:p>
        </w:tc>
      </w:tr>
    </w:tbl>
    <w:p w14:paraId="1C96FE73" w14:textId="77777777" w:rsidR="00AD5E97" w:rsidRDefault="00AD5E97" w:rsidP="004337CE"/>
    <w:sectPr w:rsidR="00AD5E97" w:rsidSect="00BF66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EEFE8" w14:textId="77777777" w:rsidR="00075188" w:rsidRDefault="00075188" w:rsidP="001A741A">
      <w:r>
        <w:separator/>
      </w:r>
    </w:p>
  </w:endnote>
  <w:endnote w:type="continuationSeparator" w:id="0">
    <w:p w14:paraId="3AFA28C7" w14:textId="77777777" w:rsidR="00075188" w:rsidRDefault="00075188" w:rsidP="001A7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1AF49" w14:textId="77777777" w:rsidR="00075188" w:rsidRDefault="00075188" w:rsidP="001A741A">
      <w:r>
        <w:separator/>
      </w:r>
    </w:p>
  </w:footnote>
  <w:footnote w:type="continuationSeparator" w:id="0">
    <w:p w14:paraId="5C44E05C" w14:textId="77777777" w:rsidR="00075188" w:rsidRDefault="00075188" w:rsidP="001A74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hideSpellingErrors/>
  <w:hideGrammaticalError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LC0sDSzNDaxMDa2NDdS0lEKTi0uzszPAykwrQUA1Bwy1CwAAAA="/>
  </w:docVars>
  <w:rsids>
    <w:rsidRoot w:val="00EF4D20"/>
    <w:rsid w:val="00016D5C"/>
    <w:rsid w:val="00075188"/>
    <w:rsid w:val="001476AE"/>
    <w:rsid w:val="001855C6"/>
    <w:rsid w:val="001A741A"/>
    <w:rsid w:val="00267784"/>
    <w:rsid w:val="002851AC"/>
    <w:rsid w:val="002A27EA"/>
    <w:rsid w:val="002B4A50"/>
    <w:rsid w:val="0038574C"/>
    <w:rsid w:val="00407291"/>
    <w:rsid w:val="00424F16"/>
    <w:rsid w:val="00432B0F"/>
    <w:rsid w:val="004337CE"/>
    <w:rsid w:val="004A075E"/>
    <w:rsid w:val="004B0B04"/>
    <w:rsid w:val="004C3E37"/>
    <w:rsid w:val="0051278E"/>
    <w:rsid w:val="00517F3A"/>
    <w:rsid w:val="00532EC8"/>
    <w:rsid w:val="005504DE"/>
    <w:rsid w:val="00564FFA"/>
    <w:rsid w:val="00565042"/>
    <w:rsid w:val="00582BDD"/>
    <w:rsid w:val="006009B1"/>
    <w:rsid w:val="006F0799"/>
    <w:rsid w:val="00711099"/>
    <w:rsid w:val="0076228F"/>
    <w:rsid w:val="00797F08"/>
    <w:rsid w:val="007A2F41"/>
    <w:rsid w:val="007C0065"/>
    <w:rsid w:val="008051DA"/>
    <w:rsid w:val="00830AA1"/>
    <w:rsid w:val="00833F55"/>
    <w:rsid w:val="00834389"/>
    <w:rsid w:val="00842AC2"/>
    <w:rsid w:val="0084554A"/>
    <w:rsid w:val="00882400"/>
    <w:rsid w:val="008B2315"/>
    <w:rsid w:val="008B5474"/>
    <w:rsid w:val="009227CF"/>
    <w:rsid w:val="00962A5A"/>
    <w:rsid w:val="00964409"/>
    <w:rsid w:val="009943B5"/>
    <w:rsid w:val="009F5828"/>
    <w:rsid w:val="00AA2F0B"/>
    <w:rsid w:val="00AD32EF"/>
    <w:rsid w:val="00AD5E97"/>
    <w:rsid w:val="00B02279"/>
    <w:rsid w:val="00B163AA"/>
    <w:rsid w:val="00B57B39"/>
    <w:rsid w:val="00B6415A"/>
    <w:rsid w:val="00BB059E"/>
    <w:rsid w:val="00BB7B69"/>
    <w:rsid w:val="00BC27C4"/>
    <w:rsid w:val="00BF665E"/>
    <w:rsid w:val="00CD6528"/>
    <w:rsid w:val="00CF2673"/>
    <w:rsid w:val="00D5022F"/>
    <w:rsid w:val="00DC506D"/>
    <w:rsid w:val="00DE30FC"/>
    <w:rsid w:val="00E90167"/>
    <w:rsid w:val="00EA6DF9"/>
    <w:rsid w:val="00EB784F"/>
    <w:rsid w:val="00EE2B97"/>
    <w:rsid w:val="00EF4D20"/>
    <w:rsid w:val="00F4694A"/>
    <w:rsid w:val="00FB458D"/>
    <w:rsid w:val="00FB69C5"/>
    <w:rsid w:val="00FE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DEBCFE"/>
  <w15:chartTrackingRefBased/>
  <w15:docId w15:val="{0ACBEE53-3A89-4D64-B375-0550CE25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F4D2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4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4D2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4D2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4D2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4D20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4D2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4D2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4D2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F4D2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F4D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F4D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F4D2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F4D20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F4D2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F4D2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F4D2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F4D2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F4D2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F4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4D2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F4D2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F4D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F4D2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F4D2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F4D2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F4D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F4D2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F4D20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A741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A741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A74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A741A"/>
    <w:rPr>
      <w:sz w:val="18"/>
      <w:szCs w:val="18"/>
    </w:rPr>
  </w:style>
  <w:style w:type="table" w:styleId="af2">
    <w:name w:val="Table Grid"/>
    <w:basedOn w:val="a1"/>
    <w:uiPriority w:val="39"/>
    <w:qFormat/>
    <w:rsid w:val="004C3E3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517F3A"/>
    <w:rPr>
      <w:color w:val="0563C1" w:themeColor="hyperlink"/>
      <w:u w:val="single"/>
    </w:rPr>
  </w:style>
  <w:style w:type="character" w:styleId="af4">
    <w:name w:val="Strong"/>
    <w:basedOn w:val="a0"/>
    <w:uiPriority w:val="22"/>
    <w:qFormat/>
    <w:rsid w:val="008051DA"/>
    <w:rPr>
      <w:b/>
      <w:bCs/>
    </w:rPr>
  </w:style>
  <w:style w:type="character" w:styleId="af5">
    <w:name w:val="Emphasis"/>
    <w:basedOn w:val="a0"/>
    <w:uiPriority w:val="20"/>
    <w:qFormat/>
    <w:rsid w:val="00805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4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879BE-EE66-404A-A8C9-64969587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560</Words>
  <Characters>3193</Characters>
  <Application>Microsoft Office Word</Application>
  <DocSecurity>0</DocSecurity>
  <Lines>26</Lines>
  <Paragraphs>7</Paragraphs>
  <ScaleCrop>false</ScaleCrop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Zzx18790656355@outlook.com</dc:creator>
  <cp:keywords/>
  <dc:description/>
  <cp:lastModifiedBy>zhang zongxiao</cp:lastModifiedBy>
  <cp:revision>49</cp:revision>
  <dcterms:created xsi:type="dcterms:W3CDTF">2026-02-11T11:24:00Z</dcterms:created>
  <dcterms:modified xsi:type="dcterms:W3CDTF">2026-05-06T10:56:00Z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077ea70f-87f6-4f07-a69d-42fa9f0923c3</vt:lpwstr>
  </property>
</Properties>
</file>