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1A94D7">
      <w:pPr>
        <w:keepNext w:val="0"/>
        <w:keepLines w:val="0"/>
        <w:pageBreakBefore w:val="0"/>
        <w:kinsoku/>
        <w:wordWrap/>
        <w:overflowPunct/>
        <w:topLinePunct w:val="0"/>
        <w:autoSpaceDE/>
        <w:autoSpaceDN/>
        <w:bidi w:val="0"/>
        <w:adjustRightInd/>
        <w:snapToGrid/>
        <w:spacing w:after="120" w:line="480" w:lineRule="auto"/>
        <w:jc w:val="center"/>
        <w:textAlignment w:val="auto"/>
        <w:rPr>
          <w:rFonts w:hint="eastAsia" w:ascii="Times New Roman" w:hAnsi="Times New Roman" w:eastAsia="宋体" w:cs="Times New Roman"/>
          <w:b/>
          <w:bCs/>
          <w:color w:val="000000"/>
          <w:sz w:val="22"/>
          <w:szCs w:val="22"/>
          <w:lang w:val="en-US" w:eastAsia="zh-CN"/>
        </w:rPr>
      </w:pPr>
      <w:bookmarkStart w:id="0" w:name="_Hlk60731539"/>
      <w:r>
        <w:rPr>
          <w:rFonts w:hint="eastAsia" w:ascii="Times New Roman" w:hAnsi="Times New Roman" w:eastAsia="宋体" w:cs="Times New Roman"/>
          <w:b/>
          <w:bCs/>
          <w:color w:val="000000"/>
          <w:sz w:val="22"/>
          <w:szCs w:val="22"/>
          <w:lang w:val="en-US" w:eastAsia="zh-CN"/>
        </w:rPr>
        <w:t>Supplementary Material</w:t>
      </w:r>
    </w:p>
    <w:p w14:paraId="5F5853C2">
      <w:pPr>
        <w:keepNext w:val="0"/>
        <w:keepLines w:val="0"/>
        <w:pageBreakBefore w:val="0"/>
        <w:kinsoku/>
        <w:wordWrap/>
        <w:overflowPunct/>
        <w:topLinePunct w:val="0"/>
        <w:autoSpaceDE/>
        <w:autoSpaceDN/>
        <w:bidi w:val="0"/>
        <w:adjustRightInd/>
        <w:snapToGrid/>
        <w:spacing w:after="120" w:line="480" w:lineRule="auto"/>
        <w:textAlignment w:val="auto"/>
        <w:rPr>
          <w:rFonts w:hint="eastAsia" w:ascii="Times New Roman" w:hAnsi="Times New Roman" w:eastAsia="宋体" w:cs="Times New Roman"/>
          <w:b/>
          <w:bCs/>
          <w:color w:val="000000"/>
          <w:sz w:val="22"/>
          <w:szCs w:val="22"/>
        </w:rPr>
      </w:pPr>
      <w:r>
        <w:rPr>
          <w:rFonts w:hint="eastAsia" w:ascii="Times New Roman" w:hAnsi="Times New Roman" w:eastAsia="宋体" w:cs="Times New Roman"/>
          <w:b/>
          <w:bCs/>
          <w:color w:val="000000"/>
          <w:sz w:val="22"/>
          <w:szCs w:val="22"/>
        </w:rPr>
        <w:t xml:space="preserve">Vascular plant encroachment drives </w:t>
      </w:r>
      <w:r>
        <w:rPr>
          <w:rFonts w:hint="eastAsia" w:ascii="Times New Roman" w:hAnsi="Times New Roman" w:eastAsia="宋体" w:cs="Times New Roman"/>
          <w:b/>
          <w:bCs/>
          <w:color w:val="000000"/>
          <w:sz w:val="22"/>
          <w:szCs w:val="22"/>
          <w:lang w:val="en-US" w:eastAsia="zh-CN"/>
        </w:rPr>
        <w:t xml:space="preserve">soil </w:t>
      </w:r>
      <w:r>
        <w:rPr>
          <w:rFonts w:hint="eastAsia" w:ascii="Times New Roman" w:hAnsi="Times New Roman" w:eastAsia="宋体" w:cs="Times New Roman"/>
          <w:b/>
          <w:bCs/>
          <w:color w:val="000000"/>
          <w:sz w:val="22"/>
          <w:szCs w:val="22"/>
        </w:rPr>
        <w:t xml:space="preserve">carbon loss and microbial assembly shifts across a successional gradient in a subtropical </w:t>
      </w:r>
      <w:r>
        <w:rPr>
          <w:rFonts w:hint="eastAsia" w:ascii="Times New Roman" w:hAnsi="Times New Roman" w:eastAsia="宋体" w:cs="Times New Roman"/>
          <w:b/>
          <w:bCs/>
          <w:i/>
          <w:iCs/>
          <w:color w:val="000000"/>
          <w:sz w:val="22"/>
          <w:szCs w:val="22"/>
        </w:rPr>
        <w:t>Sphagnum</w:t>
      </w:r>
      <w:r>
        <w:rPr>
          <w:rFonts w:hint="eastAsia" w:ascii="Times New Roman" w:hAnsi="Times New Roman" w:eastAsia="宋体" w:cs="Times New Roman"/>
          <w:b/>
          <w:bCs/>
          <w:color w:val="000000"/>
          <w:sz w:val="22"/>
          <w:szCs w:val="22"/>
        </w:rPr>
        <w:t>-dominated peatland</w:t>
      </w:r>
    </w:p>
    <w:p w14:paraId="4E065298">
      <w:pPr>
        <w:keepNext w:val="0"/>
        <w:keepLines w:val="0"/>
        <w:pageBreakBefore w:val="0"/>
        <w:kinsoku/>
        <w:wordWrap/>
        <w:overflowPunct/>
        <w:topLinePunct w:val="0"/>
        <w:autoSpaceDE/>
        <w:autoSpaceDN/>
        <w:bidi w:val="0"/>
        <w:adjustRightInd/>
        <w:snapToGrid/>
        <w:spacing w:after="120" w:line="480" w:lineRule="auto"/>
        <w:textAlignment w:val="auto"/>
        <w:rPr>
          <w:rFonts w:hint="eastAsia" w:ascii="Times New Roman" w:hAnsi="Times New Roman" w:eastAsia="宋体" w:cs="Times New Roman"/>
          <w:b/>
          <w:bCs/>
          <w:color w:val="000000"/>
          <w:sz w:val="22"/>
          <w:szCs w:val="22"/>
        </w:rPr>
      </w:pPr>
    </w:p>
    <w:p w14:paraId="5911FDAE">
      <w:pPr>
        <w:keepNext w:val="0"/>
        <w:keepLines w:val="0"/>
        <w:pageBreakBefore w:val="0"/>
        <w:kinsoku/>
        <w:wordWrap/>
        <w:overflowPunct/>
        <w:topLinePunct w:val="0"/>
        <w:autoSpaceDE/>
        <w:autoSpaceDN/>
        <w:bidi w:val="0"/>
        <w:adjustRightInd/>
        <w:snapToGrid/>
        <w:spacing w:after="120" w:line="480" w:lineRule="auto"/>
        <w:jc w:val="center"/>
        <w:textAlignment w:val="auto"/>
        <w:rPr>
          <w:rFonts w:ascii="Times New Roman" w:hAnsi="Times New Roman" w:cs="Times New Roman"/>
          <w:sz w:val="22"/>
          <w:szCs w:val="22"/>
          <w:lang w:eastAsia="zh-CN"/>
        </w:rPr>
      </w:pPr>
      <w:bookmarkStart w:id="1" w:name="_Toc161840103"/>
      <w:r>
        <w:rPr>
          <w:rFonts w:hint="eastAsia" w:ascii="Times New Roman" w:hAnsi="Times New Roman" w:cs="Times New Roman"/>
          <w:sz w:val="22"/>
          <w:szCs w:val="22"/>
          <w:lang w:val="en-US" w:eastAsia="zh-CN"/>
        </w:rPr>
        <w:t>Table S1</w:t>
      </w:r>
      <w:r>
        <w:rPr>
          <w:rFonts w:ascii="Times New Roman" w:hAnsi="Times New Roman" w:cs="Times New Roman"/>
          <w:sz w:val="22"/>
          <w:szCs w:val="22"/>
        </w:rPr>
        <w:t xml:space="preserve"> </w:t>
      </w:r>
      <w:bookmarkEnd w:id="1"/>
      <w:bookmarkStart w:id="2" w:name="OLE_LINK60"/>
      <w:r>
        <w:rPr>
          <w:rFonts w:ascii="Times New Roman" w:hAnsi="Times New Roman" w:cs="Times New Roman"/>
          <w:sz w:val="22"/>
          <w:szCs w:val="22"/>
          <w:lang w:eastAsia="zh-CN"/>
        </w:rPr>
        <w:t xml:space="preserve">The </w:t>
      </w:r>
      <w:r>
        <w:rPr>
          <w:rFonts w:hint="eastAsia" w:ascii="Times New Roman" w:hAnsi="Times New Roman" w:cs="Times New Roman"/>
          <w:sz w:val="22"/>
          <w:szCs w:val="22"/>
          <w:lang w:val="en-US" w:eastAsia="zh-CN"/>
        </w:rPr>
        <w:t xml:space="preserve">height and coverage of </w:t>
      </w:r>
      <w:r>
        <w:rPr>
          <w:rFonts w:ascii="Times New Roman" w:hAnsi="Times New Roman" w:cs="Times New Roman"/>
          <w:sz w:val="22"/>
          <w:szCs w:val="22"/>
          <w:lang w:eastAsia="zh-CN"/>
        </w:rPr>
        <w:t xml:space="preserve">dominant plants </w:t>
      </w:r>
      <w:bookmarkEnd w:id="2"/>
      <w:r>
        <w:rPr>
          <w:rFonts w:hint="eastAsia" w:ascii="Times New Roman" w:hAnsi="Times New Roman" w:cs="Times New Roman"/>
          <w:sz w:val="22"/>
          <w:szCs w:val="22"/>
          <w:lang w:eastAsia="zh-CN"/>
        </w:rPr>
        <w:t>along</w:t>
      </w:r>
      <w:r>
        <w:rPr>
          <w:rFonts w:hint="eastAsia" w:ascii="Times New Roman" w:hAnsi="Times New Roman" w:cs="Times New Roman"/>
          <w:sz w:val="22"/>
          <w:szCs w:val="22"/>
          <w:lang w:val="en-US" w:eastAsia="zh-CN"/>
        </w:rPr>
        <w:t xml:space="preserve"> the wetland-</w:t>
      </w:r>
      <w:r>
        <w:rPr>
          <w:rFonts w:hint="eastAsia" w:ascii="Times New Roman" w:hAnsi="Times New Roman" w:cs="Times New Roman"/>
          <w:sz w:val="22"/>
          <w:szCs w:val="22"/>
          <w:lang w:eastAsia="zh-CN"/>
        </w:rPr>
        <w:t xml:space="preserve">forest successional gradient </w:t>
      </w:r>
    </w:p>
    <w:tbl>
      <w:tblPr>
        <w:tblStyle w:val="6"/>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77"/>
        <w:gridCol w:w="3531"/>
        <w:gridCol w:w="1259"/>
        <w:gridCol w:w="1108"/>
        <w:gridCol w:w="1347"/>
      </w:tblGrid>
      <w:tr w14:paraId="02EFA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1277" w:type="dxa"/>
            <w:vMerge w:val="restart"/>
            <w:tcBorders>
              <w:top w:val="single" w:color="auto" w:sz="8" w:space="0"/>
            </w:tcBorders>
          </w:tcPr>
          <w:p w14:paraId="66B11996">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bookmarkStart w:id="3" w:name="_Hlk158511304"/>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V</w:t>
            </w: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egetation type</w:t>
            </w:r>
          </w:p>
        </w:tc>
        <w:tc>
          <w:tcPr>
            <w:tcW w:w="5898" w:type="dxa"/>
            <w:gridSpan w:val="3"/>
            <w:tcBorders>
              <w:top w:val="single" w:color="auto" w:sz="8" w:space="0"/>
              <w:bottom w:val="single" w:color="auto" w:sz="4" w:space="0"/>
            </w:tcBorders>
          </w:tcPr>
          <w:p w14:paraId="332F8282">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lang w:val="en-US" w:eastAsia="zh-CN"/>
                <w14:textFill>
                  <w14:solidFill>
                    <w14:schemeClr w14:val="tx1"/>
                  </w14:solidFill>
                </w14:textFill>
                <w14:ligatures w14:val="none"/>
              </w:rPr>
            </w:pP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Dominated plant</w:t>
            </w:r>
          </w:p>
        </w:tc>
        <w:tc>
          <w:tcPr>
            <w:tcW w:w="1347" w:type="dxa"/>
            <w:vMerge w:val="restart"/>
            <w:tcBorders>
              <w:top w:val="single" w:color="auto" w:sz="8" w:space="0"/>
            </w:tcBorders>
          </w:tcPr>
          <w:p w14:paraId="40AE8819">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Coverage</w:t>
            </w: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 xml:space="preserve"> of </w:t>
            </w:r>
            <w:r>
              <w:rPr>
                <w:rFonts w:hint="eastAsia" w:ascii="Times New Roman" w:eastAsia="仿宋" w:cs="Times New Roman"/>
                <w:b/>
                <w:bCs/>
                <w:i/>
                <w:iCs/>
                <w:color w:val="000000" w:themeColor="text1"/>
                <w:kern w:val="0"/>
                <w:sz w:val="22"/>
                <w:szCs w:val="22"/>
                <w:lang w:val="en-US" w:eastAsia="zh-CN"/>
                <w14:textFill>
                  <w14:solidFill>
                    <w14:schemeClr w14:val="tx1"/>
                  </w14:solidFill>
                </w14:textFill>
                <w14:ligatures w14:val="none"/>
              </w:rPr>
              <w:t>Sphagnum palustre</w:t>
            </w: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w:t>
            </w:r>
          </w:p>
        </w:tc>
      </w:tr>
      <w:tr w14:paraId="5940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277" w:type="dxa"/>
            <w:vMerge w:val="continue"/>
            <w:tcBorders>
              <w:bottom w:val="single" w:color="auto" w:sz="4" w:space="0"/>
            </w:tcBorders>
          </w:tcPr>
          <w:p w14:paraId="019CF665">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p>
        </w:tc>
        <w:tc>
          <w:tcPr>
            <w:tcW w:w="3531" w:type="dxa"/>
            <w:tcBorders>
              <w:top w:val="single" w:color="auto" w:sz="4" w:space="0"/>
              <w:bottom w:val="single" w:color="auto" w:sz="4" w:space="0"/>
            </w:tcBorders>
          </w:tcPr>
          <w:p w14:paraId="7DA52C13">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Dominated species</w:t>
            </w:r>
          </w:p>
        </w:tc>
        <w:tc>
          <w:tcPr>
            <w:tcW w:w="1259" w:type="dxa"/>
            <w:tcBorders>
              <w:top w:val="single" w:color="auto" w:sz="4" w:space="0"/>
              <w:bottom w:val="single" w:color="auto" w:sz="4" w:space="0"/>
            </w:tcBorders>
          </w:tcPr>
          <w:p w14:paraId="4498CC42">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A</w:t>
            </w: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verage height</w:t>
            </w:r>
            <w:r>
              <w:rPr>
                <w:rFonts w:hint="default" w:ascii="Times New Roman" w:hAnsi="Times New Roman" w:eastAsia="仿宋" w:cs="Times New Roman"/>
                <w:b/>
                <w:bCs/>
                <w:color w:val="000000" w:themeColor="text1"/>
                <w:kern w:val="0"/>
                <w:sz w:val="22"/>
                <w:szCs w:val="22"/>
                <w:lang w:val="en-US" w:eastAsia="zh-CN"/>
                <w14:textFill>
                  <w14:solidFill>
                    <w14:schemeClr w14:val="tx1"/>
                  </w14:solidFill>
                </w14:textFill>
                <w14:ligatures w14:val="none"/>
              </w:rPr>
              <w:t xml:space="preserve"> </w:t>
            </w: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（cm）</w:t>
            </w:r>
          </w:p>
        </w:tc>
        <w:tc>
          <w:tcPr>
            <w:tcW w:w="1108" w:type="dxa"/>
            <w:tcBorders>
              <w:top w:val="single" w:color="auto" w:sz="4" w:space="0"/>
              <w:bottom w:val="single" w:color="auto" w:sz="4" w:space="0"/>
            </w:tcBorders>
          </w:tcPr>
          <w:p w14:paraId="34E0D446">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Coverage</w:t>
            </w: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w:t>
            </w:r>
          </w:p>
        </w:tc>
        <w:tc>
          <w:tcPr>
            <w:tcW w:w="1347" w:type="dxa"/>
            <w:vMerge w:val="continue"/>
            <w:tcBorders>
              <w:bottom w:val="single" w:color="auto" w:sz="4" w:space="0"/>
            </w:tcBorders>
          </w:tcPr>
          <w:p w14:paraId="303C422B">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p>
        </w:tc>
      </w:tr>
      <w:tr w14:paraId="06F33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7" w:type="dxa"/>
          </w:tcPr>
          <w:p w14:paraId="41DAA261">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Herb</w:t>
            </w:r>
          </w:p>
        </w:tc>
        <w:tc>
          <w:tcPr>
            <w:tcW w:w="3531" w:type="dxa"/>
          </w:tcPr>
          <w:p w14:paraId="7B942B3E">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i/>
                <w:iCs/>
                <w:color w:val="000000" w:themeColor="text1"/>
                <w:kern w:val="0"/>
                <w:sz w:val="22"/>
                <w:szCs w:val="22"/>
                <w14:textFill>
                  <w14:solidFill>
                    <w14:schemeClr w14:val="tx1"/>
                  </w14:solidFill>
                </w14:textFill>
                <w14:ligatures w14:val="none"/>
              </w:rPr>
              <w:t>Arundinella hirta</w:t>
            </w: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 xml:space="preserve">, </w:t>
            </w:r>
            <w:r>
              <w:rPr>
                <w:rFonts w:hint="default" w:ascii="Times New Roman" w:hAnsi="Times New Roman" w:eastAsia="仿宋" w:cs="Times New Roman"/>
                <w:i/>
                <w:iCs/>
                <w:color w:val="000000" w:themeColor="text1"/>
                <w:kern w:val="0"/>
                <w:sz w:val="22"/>
                <w:szCs w:val="22"/>
                <w14:textFill>
                  <w14:solidFill>
                    <w14:schemeClr w14:val="tx1"/>
                  </w14:solidFill>
                </w14:textFill>
                <w14:ligatures w14:val="none"/>
              </w:rPr>
              <w:t>Iris ensata</w:t>
            </w: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 xml:space="preserve"> and </w:t>
            </w:r>
            <w:r>
              <w:rPr>
                <w:rFonts w:hint="default" w:ascii="Times New Roman" w:hAnsi="Times New Roman" w:eastAsia="仿宋" w:cs="Times New Roman"/>
                <w:i/>
                <w:iCs/>
                <w:color w:val="000000" w:themeColor="text1"/>
                <w:kern w:val="0"/>
                <w:sz w:val="22"/>
                <w:szCs w:val="22"/>
                <w14:textFill>
                  <w14:solidFill>
                    <w14:schemeClr w14:val="tx1"/>
                  </w14:solidFill>
                </w14:textFill>
                <w14:ligatures w14:val="none"/>
              </w:rPr>
              <w:t>Carex filipes</w:t>
            </w: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 xml:space="preserve"> var. </w:t>
            </w:r>
            <w:r>
              <w:rPr>
                <w:rFonts w:hint="default" w:ascii="Times New Roman" w:hAnsi="Times New Roman" w:eastAsia="仿宋" w:cs="Times New Roman"/>
                <w:i/>
                <w:iCs/>
                <w:color w:val="000000" w:themeColor="text1"/>
                <w:kern w:val="0"/>
                <w:sz w:val="22"/>
                <w:szCs w:val="22"/>
                <w14:textFill>
                  <w14:solidFill>
                    <w14:schemeClr w14:val="tx1"/>
                  </w14:solidFill>
                </w14:textFill>
                <w14:ligatures w14:val="none"/>
              </w:rPr>
              <w:t>sparsinux</w:t>
            </w:r>
          </w:p>
        </w:tc>
        <w:tc>
          <w:tcPr>
            <w:tcW w:w="1259" w:type="dxa"/>
          </w:tcPr>
          <w:p w14:paraId="7E4BD8B7">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80</w:t>
            </w:r>
          </w:p>
        </w:tc>
        <w:tc>
          <w:tcPr>
            <w:tcW w:w="1108" w:type="dxa"/>
          </w:tcPr>
          <w:p w14:paraId="3EC5D399">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90</w:t>
            </w:r>
          </w:p>
        </w:tc>
        <w:tc>
          <w:tcPr>
            <w:tcW w:w="1347" w:type="dxa"/>
          </w:tcPr>
          <w:p w14:paraId="46537CCF">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100</w:t>
            </w:r>
          </w:p>
        </w:tc>
      </w:tr>
      <w:tr w14:paraId="34C8F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7" w:type="dxa"/>
            <w:shd w:val="clear" w:color="auto" w:fill="auto"/>
            <w:vAlign w:val="top"/>
          </w:tcPr>
          <w:p w14:paraId="36ECA85D">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Shru</w:t>
            </w: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b</w:t>
            </w:r>
          </w:p>
        </w:tc>
        <w:tc>
          <w:tcPr>
            <w:tcW w:w="3531" w:type="dxa"/>
            <w:shd w:val="clear" w:color="auto" w:fill="auto"/>
            <w:vAlign w:val="top"/>
          </w:tcPr>
          <w:p w14:paraId="3A432755">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eastAsia" w:ascii="Times New Roman" w:cs="Times New Roman"/>
                <w:color w:val="000000"/>
                <w:kern w:val="2"/>
                <w:sz w:val="22"/>
                <w:szCs w:val="22"/>
                <w:lang w:val="en-US" w:eastAsia="zh-CN" w:bidi="ar"/>
                <w14:ligatures w14:val="none"/>
              </w:rPr>
              <w:t>S</w:t>
            </w:r>
            <w:r>
              <w:rPr>
                <w:rFonts w:hint="default" w:ascii="Times New Roman" w:hAnsi="Times New Roman" w:eastAsia="宋体" w:cs="Times New Roman"/>
                <w:color w:val="000000"/>
                <w:kern w:val="2"/>
                <w:sz w:val="22"/>
                <w:szCs w:val="22"/>
                <w:lang w:val="en-US" w:eastAsia="zh-CN" w:bidi="ar"/>
                <w14:ligatures w14:val="none"/>
              </w:rPr>
              <w:t xml:space="preserve">hrub-type </w:t>
            </w:r>
            <w:r>
              <w:rPr>
                <w:rFonts w:hint="default" w:ascii="Times New Roman" w:hAnsi="Times New Roman" w:eastAsia="宋体" w:cs="Times New Roman"/>
                <w:i/>
                <w:iCs w:val="0"/>
                <w:color w:val="000000"/>
                <w:kern w:val="2"/>
                <w:sz w:val="22"/>
                <w:szCs w:val="22"/>
                <w:lang w:val="en-US" w:eastAsia="zh-CN" w:bidi="ar"/>
                <w14:ligatures w14:val="none"/>
              </w:rPr>
              <w:t>Hydrangea paniculata</w:t>
            </w:r>
          </w:p>
        </w:tc>
        <w:tc>
          <w:tcPr>
            <w:tcW w:w="1259" w:type="dxa"/>
            <w:shd w:val="clear" w:color="auto" w:fill="auto"/>
            <w:vAlign w:val="top"/>
          </w:tcPr>
          <w:p w14:paraId="3B7BC768">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120</w:t>
            </w:r>
          </w:p>
        </w:tc>
        <w:tc>
          <w:tcPr>
            <w:tcW w:w="1108" w:type="dxa"/>
            <w:shd w:val="clear" w:color="auto" w:fill="auto"/>
            <w:vAlign w:val="top"/>
          </w:tcPr>
          <w:p w14:paraId="269CAB73">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80</w:t>
            </w:r>
          </w:p>
        </w:tc>
        <w:tc>
          <w:tcPr>
            <w:tcW w:w="1347" w:type="dxa"/>
            <w:shd w:val="clear" w:color="auto" w:fill="auto"/>
            <w:vAlign w:val="top"/>
          </w:tcPr>
          <w:p w14:paraId="689D67E6">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50</w:t>
            </w:r>
          </w:p>
        </w:tc>
      </w:tr>
      <w:tr w14:paraId="2C103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7" w:type="dxa"/>
            <w:shd w:val="clear" w:color="auto" w:fill="auto"/>
            <w:vAlign w:val="top"/>
          </w:tcPr>
          <w:p w14:paraId="68225E2F">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Small-tree</w:t>
            </w:r>
          </w:p>
        </w:tc>
        <w:tc>
          <w:tcPr>
            <w:tcW w:w="3531" w:type="dxa"/>
            <w:shd w:val="clear" w:color="auto" w:fill="auto"/>
            <w:vAlign w:val="top"/>
          </w:tcPr>
          <w:p w14:paraId="040445A1">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eastAsia" w:ascii="Times New Roman" w:cs="Times New Roman"/>
                <w:color w:val="000000"/>
                <w:kern w:val="2"/>
                <w:sz w:val="22"/>
                <w:szCs w:val="22"/>
                <w:lang w:val="en-US" w:eastAsia="zh-CN" w:bidi="ar"/>
                <w14:ligatures w14:val="none"/>
              </w:rPr>
              <w:t>S</w:t>
            </w:r>
            <w:r>
              <w:rPr>
                <w:rFonts w:hint="default" w:ascii="Times New Roman" w:hAnsi="Times New Roman" w:eastAsia="宋体" w:cs="Times New Roman"/>
                <w:color w:val="000000"/>
                <w:kern w:val="2"/>
                <w:sz w:val="22"/>
                <w:szCs w:val="22"/>
                <w:lang w:val="en-US" w:eastAsia="zh-CN" w:bidi="ar"/>
                <w14:ligatures w14:val="none"/>
              </w:rPr>
              <w:t xml:space="preserve">mall-tree-type </w:t>
            </w:r>
            <w:r>
              <w:rPr>
                <w:rFonts w:hint="default" w:ascii="Times New Roman" w:hAnsi="Times New Roman" w:eastAsia="宋体" w:cs="Times New Roman"/>
                <w:i/>
                <w:iCs w:val="0"/>
                <w:color w:val="000000"/>
                <w:kern w:val="2"/>
                <w:sz w:val="22"/>
                <w:szCs w:val="22"/>
                <w:lang w:val="en-US" w:eastAsia="zh-CN" w:bidi="ar"/>
                <w14:ligatures w14:val="none"/>
              </w:rPr>
              <w:t>H. paniculata</w:t>
            </w:r>
          </w:p>
        </w:tc>
        <w:tc>
          <w:tcPr>
            <w:tcW w:w="1259" w:type="dxa"/>
            <w:shd w:val="clear" w:color="auto" w:fill="auto"/>
            <w:vAlign w:val="top"/>
          </w:tcPr>
          <w:p w14:paraId="6D7DF37F">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300</w:t>
            </w:r>
          </w:p>
        </w:tc>
        <w:tc>
          <w:tcPr>
            <w:tcW w:w="1108" w:type="dxa"/>
            <w:shd w:val="clear" w:color="auto" w:fill="auto"/>
            <w:vAlign w:val="top"/>
          </w:tcPr>
          <w:p w14:paraId="35AE7F24">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80</w:t>
            </w:r>
          </w:p>
        </w:tc>
        <w:tc>
          <w:tcPr>
            <w:tcW w:w="1347" w:type="dxa"/>
            <w:shd w:val="clear" w:color="auto" w:fill="auto"/>
            <w:vAlign w:val="top"/>
          </w:tcPr>
          <w:p w14:paraId="3B237018">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30</w:t>
            </w:r>
          </w:p>
        </w:tc>
      </w:tr>
      <w:tr w14:paraId="36DDD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277" w:type="dxa"/>
            <w:tcBorders>
              <w:bottom w:val="single" w:color="auto" w:sz="8" w:space="0"/>
            </w:tcBorders>
            <w:shd w:val="clear" w:color="auto" w:fill="auto"/>
            <w:vAlign w:val="top"/>
          </w:tcPr>
          <w:p w14:paraId="6A98751E">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Tree</w:t>
            </w:r>
          </w:p>
        </w:tc>
        <w:tc>
          <w:tcPr>
            <w:tcW w:w="3531" w:type="dxa"/>
            <w:tcBorders>
              <w:bottom w:val="single" w:color="auto" w:sz="8" w:space="0"/>
            </w:tcBorders>
            <w:shd w:val="clear" w:color="auto" w:fill="auto"/>
            <w:vAlign w:val="top"/>
          </w:tcPr>
          <w:p w14:paraId="6D305AFA">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宋体" w:cs="Times New Roman"/>
                <w:i/>
                <w:iCs w:val="0"/>
                <w:color w:val="000000"/>
                <w:kern w:val="2"/>
                <w:sz w:val="22"/>
                <w:szCs w:val="22"/>
                <w:lang w:val="en-US" w:eastAsia="zh-CN" w:bidi="ar"/>
                <w14:ligatures w14:val="none"/>
              </w:rPr>
              <w:t>H. paniculata</w:t>
            </w:r>
            <w:r>
              <w:rPr>
                <w:rFonts w:hint="default" w:ascii="Times New Roman" w:hAnsi="Times New Roman" w:eastAsia="宋体" w:cs="Times New Roman"/>
                <w:color w:val="000000"/>
                <w:kern w:val="2"/>
                <w:sz w:val="22"/>
                <w:szCs w:val="22"/>
                <w:lang w:val="en-US" w:eastAsia="zh-CN" w:bidi="ar"/>
                <w14:ligatures w14:val="none"/>
              </w:rPr>
              <w:t xml:space="preserve">, </w:t>
            </w:r>
            <w:r>
              <w:rPr>
                <w:rFonts w:hint="default" w:ascii="Times New Roman" w:hAnsi="Times New Roman" w:eastAsia="宋体" w:cs="Times New Roman"/>
                <w:i/>
                <w:iCs w:val="0"/>
                <w:color w:val="000000"/>
                <w:kern w:val="2"/>
                <w:sz w:val="22"/>
                <w:szCs w:val="22"/>
                <w:lang w:val="en-US" w:eastAsia="zh-CN" w:bidi="ar"/>
                <w14:ligatures w14:val="none"/>
              </w:rPr>
              <w:t>Malus mandshurica</w:t>
            </w:r>
            <w:r>
              <w:rPr>
                <w:rFonts w:hint="default" w:ascii="Times New Roman" w:hAnsi="Times New Roman" w:eastAsia="宋体" w:cs="Times New Roman"/>
                <w:color w:val="000000"/>
                <w:kern w:val="2"/>
                <w:sz w:val="22"/>
                <w:szCs w:val="22"/>
                <w:lang w:val="en-US" w:eastAsia="zh-CN" w:bidi="ar"/>
                <w14:ligatures w14:val="none"/>
              </w:rPr>
              <w:t xml:space="preserve"> and </w:t>
            </w:r>
            <w:r>
              <w:rPr>
                <w:rFonts w:hint="default" w:ascii="Times New Roman" w:hAnsi="Times New Roman" w:eastAsia="宋体" w:cs="Times New Roman"/>
                <w:i/>
                <w:iCs w:val="0"/>
                <w:color w:val="000000"/>
                <w:kern w:val="2"/>
                <w:sz w:val="22"/>
                <w:szCs w:val="22"/>
                <w:lang w:val="en-US" w:eastAsia="zh-CN" w:bidi="ar"/>
                <w14:ligatures w14:val="none"/>
              </w:rPr>
              <w:t xml:space="preserve">Quercus aliena </w:t>
            </w:r>
            <w:r>
              <w:rPr>
                <w:rFonts w:hint="default" w:ascii="Times New Roman" w:hAnsi="Times New Roman" w:eastAsia="宋体" w:cs="Times New Roman"/>
                <w:color w:val="000000"/>
                <w:kern w:val="2"/>
                <w:sz w:val="22"/>
                <w:szCs w:val="22"/>
                <w:lang w:val="en-US" w:eastAsia="zh-CN" w:bidi="ar"/>
                <w14:ligatures w14:val="none"/>
              </w:rPr>
              <w:t>var.</w:t>
            </w:r>
            <w:r>
              <w:rPr>
                <w:rFonts w:hint="default" w:ascii="Times New Roman" w:hAnsi="Times New Roman" w:eastAsia="宋体" w:cs="Times New Roman"/>
                <w:i/>
                <w:iCs w:val="0"/>
                <w:color w:val="000000"/>
                <w:kern w:val="2"/>
                <w:sz w:val="22"/>
                <w:szCs w:val="22"/>
                <w:lang w:val="en-US" w:eastAsia="zh-CN" w:bidi="ar"/>
                <w14:ligatures w14:val="none"/>
              </w:rPr>
              <w:t xml:space="preserve"> acutiserrata</w:t>
            </w:r>
          </w:p>
        </w:tc>
        <w:tc>
          <w:tcPr>
            <w:tcW w:w="1259" w:type="dxa"/>
            <w:tcBorders>
              <w:bottom w:val="single" w:color="auto" w:sz="8" w:space="0"/>
            </w:tcBorders>
            <w:shd w:val="clear" w:color="auto" w:fill="auto"/>
            <w:vAlign w:val="top"/>
          </w:tcPr>
          <w:p w14:paraId="37073F2A">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lang w:val="en-US" w:eastAsia="zh-CN"/>
                <w14:textFill>
                  <w14:solidFill>
                    <w14:schemeClr w14:val="tx1"/>
                  </w14:solidFill>
                </w14:textFill>
                <w14:ligatures w14:val="none"/>
              </w:rPr>
              <w:t xml:space="preserve">&gt; </w:t>
            </w: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300</w:t>
            </w:r>
            <w:r>
              <w:rPr>
                <w:rFonts w:hint="default" w:ascii="Times New Roman" w:hAnsi="Times New Roman" w:eastAsia="仿宋" w:cs="Times New Roman"/>
                <w:color w:val="000000" w:themeColor="text1"/>
                <w:kern w:val="0"/>
                <w:sz w:val="22"/>
                <w:szCs w:val="22"/>
                <w:lang w:val="en-US" w:eastAsia="zh-CN"/>
                <w14:textFill>
                  <w14:solidFill>
                    <w14:schemeClr w14:val="tx1"/>
                  </w14:solidFill>
                </w14:textFill>
                <w14:ligatures w14:val="none"/>
              </w:rPr>
              <w:t xml:space="preserve"> </w:t>
            </w:r>
          </w:p>
        </w:tc>
        <w:tc>
          <w:tcPr>
            <w:tcW w:w="1108" w:type="dxa"/>
            <w:tcBorders>
              <w:bottom w:val="single" w:color="auto" w:sz="8" w:space="0"/>
            </w:tcBorders>
            <w:shd w:val="clear" w:color="auto" w:fill="auto"/>
            <w:vAlign w:val="top"/>
          </w:tcPr>
          <w:p w14:paraId="7AF30247">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80</w:t>
            </w:r>
          </w:p>
        </w:tc>
        <w:tc>
          <w:tcPr>
            <w:tcW w:w="1347" w:type="dxa"/>
            <w:tcBorders>
              <w:bottom w:val="single" w:color="auto" w:sz="8" w:space="0"/>
            </w:tcBorders>
            <w:shd w:val="clear" w:color="auto" w:fill="auto"/>
            <w:vAlign w:val="top"/>
          </w:tcPr>
          <w:p w14:paraId="5D0CDD0E">
            <w:pPr>
              <w:pStyle w:val="8"/>
              <w:keepNext w:val="0"/>
              <w:keepLines w:val="0"/>
              <w:widowControl/>
              <w:suppressLineNumbers w:val="0"/>
              <w:spacing w:before="0" w:beforeAutospacing="0" w:after="0" w:afterAutospacing="0" w:line="360" w:lineRule="auto"/>
              <w:ind w:left="0" w:right="0" w:firstLine="0" w:firstLineChars="0"/>
              <w:jc w:val="center"/>
              <w:rPr>
                <w:rFonts w:hint="default" w:ascii="Times New Roman" w:hAnsi="Times New Roman" w:eastAsia="仿宋" w:cs="Times New Roman"/>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color w:val="000000" w:themeColor="text1"/>
                <w:kern w:val="0"/>
                <w:sz w:val="22"/>
                <w:szCs w:val="22"/>
                <w14:textFill>
                  <w14:solidFill>
                    <w14:schemeClr w14:val="tx1"/>
                  </w14:solidFill>
                </w14:textFill>
                <w14:ligatures w14:val="none"/>
              </w:rPr>
              <w:t>1</w:t>
            </w:r>
          </w:p>
        </w:tc>
      </w:tr>
      <w:bookmarkEnd w:id="3"/>
    </w:tbl>
    <w:p w14:paraId="42019063">
      <w:pPr>
        <w:rPr>
          <w:rFonts w:hint="eastAsia" w:ascii="Times New Roman" w:hAnsi="Times New Roman" w:cs="Times New Roman"/>
          <w:sz w:val="22"/>
          <w:szCs w:val="22"/>
          <w:lang w:val="en-US" w:eastAsia="zh-CN"/>
        </w:rPr>
      </w:pPr>
      <w:r>
        <w:rPr>
          <w:rFonts w:hint="eastAsia" w:ascii="Times New Roman" w:hAnsi="Times New Roman" w:cs="Times New Roman"/>
          <w:sz w:val="22"/>
          <w:szCs w:val="22"/>
          <w:lang w:val="en-US" w:eastAsia="zh-CN"/>
        </w:rPr>
        <w:br w:type="page"/>
      </w:r>
    </w:p>
    <w:p w14:paraId="3EBB3FAE">
      <w:pPr>
        <w:keepNext w:val="0"/>
        <w:keepLines w:val="0"/>
        <w:pageBreakBefore w:val="0"/>
        <w:kinsoku/>
        <w:wordWrap/>
        <w:overflowPunct/>
        <w:topLinePunct w:val="0"/>
        <w:autoSpaceDE/>
        <w:autoSpaceDN/>
        <w:bidi w:val="0"/>
        <w:adjustRightInd/>
        <w:snapToGrid/>
        <w:spacing w:after="120" w:line="480" w:lineRule="auto"/>
        <w:jc w:val="center"/>
        <w:textAlignment w:val="auto"/>
        <w:rPr>
          <w:rFonts w:ascii="Times New Roman" w:hAnsi="Times New Roman" w:cs="Times New Roman"/>
          <w:sz w:val="22"/>
          <w:szCs w:val="22"/>
          <w:lang w:eastAsia="zh-CN"/>
        </w:rPr>
      </w:pPr>
      <w:r>
        <w:rPr>
          <w:rFonts w:hint="eastAsia" w:ascii="Times New Roman" w:hAnsi="Times New Roman" w:cs="Times New Roman"/>
          <w:sz w:val="22"/>
          <w:szCs w:val="22"/>
          <w:lang w:val="en-US" w:eastAsia="zh-CN"/>
        </w:rPr>
        <w:t>Table S2</w:t>
      </w:r>
      <w:r>
        <w:rPr>
          <w:rFonts w:ascii="Times New Roman" w:hAnsi="Times New Roman" w:cs="Times New Roman"/>
          <w:sz w:val="22"/>
          <w:szCs w:val="22"/>
        </w:rPr>
        <w:t xml:space="preserve"> </w:t>
      </w:r>
      <w:r>
        <w:rPr>
          <w:rFonts w:hint="eastAsia" w:ascii="Times New Roman" w:hAnsi="Times New Roman" w:cs="Times New Roman"/>
          <w:sz w:val="22"/>
          <w:szCs w:val="22"/>
          <w:lang w:val="en-US" w:eastAsia="zh-CN"/>
        </w:rPr>
        <w:t>Soil moisture content (%</w:t>
      </w:r>
      <w:bookmarkStart w:id="4" w:name="_GoBack"/>
      <w:bookmarkEnd w:id="4"/>
      <w:r>
        <w:rPr>
          <w:rFonts w:hint="eastAsia" w:ascii="Times New Roman" w:hAnsi="Times New Roman" w:cs="Times New Roman"/>
          <w:sz w:val="22"/>
          <w:szCs w:val="22"/>
          <w:lang w:val="en-US" w:eastAsia="zh-CN"/>
        </w:rPr>
        <w:t xml:space="preserve">) </w:t>
      </w:r>
      <w:r>
        <w:rPr>
          <w:rFonts w:hint="eastAsia" w:ascii="Times New Roman" w:hAnsi="Times New Roman" w:cs="Times New Roman"/>
          <w:sz w:val="22"/>
          <w:szCs w:val="22"/>
          <w:lang w:eastAsia="zh-CN"/>
        </w:rPr>
        <w:t>along</w:t>
      </w:r>
      <w:r>
        <w:rPr>
          <w:rFonts w:hint="eastAsia" w:ascii="Times New Roman" w:hAnsi="Times New Roman" w:cs="Times New Roman"/>
          <w:sz w:val="22"/>
          <w:szCs w:val="22"/>
          <w:lang w:val="en-US" w:eastAsia="zh-CN"/>
        </w:rPr>
        <w:t xml:space="preserve"> the wetland-</w:t>
      </w:r>
      <w:r>
        <w:rPr>
          <w:rFonts w:hint="eastAsia" w:ascii="Times New Roman" w:hAnsi="Times New Roman" w:cs="Times New Roman"/>
          <w:sz w:val="22"/>
          <w:szCs w:val="22"/>
          <w:lang w:eastAsia="zh-CN"/>
        </w:rPr>
        <w:t xml:space="preserve">forest successional gradient </w:t>
      </w:r>
    </w:p>
    <w:tbl>
      <w:tblPr>
        <w:tblStyle w:val="9"/>
        <w:tblW w:w="4997" w:type="pct"/>
        <w:tblInd w:w="0" w:type="dxa"/>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Layout w:type="autofit"/>
        <w:tblCellMar>
          <w:top w:w="0" w:type="dxa"/>
          <w:left w:w="108" w:type="dxa"/>
          <w:bottom w:w="0" w:type="dxa"/>
          <w:right w:w="108" w:type="dxa"/>
        </w:tblCellMar>
      </w:tblPr>
      <w:tblGrid>
        <w:gridCol w:w="1925"/>
        <w:gridCol w:w="1591"/>
        <w:gridCol w:w="1705"/>
        <w:gridCol w:w="1705"/>
        <w:gridCol w:w="1591"/>
      </w:tblGrid>
      <w:tr w14:paraId="034836E7">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1" w:hRule="atLeast"/>
        </w:trPr>
        <w:tc>
          <w:tcPr>
            <w:tcW w:w="1130" w:type="pct"/>
            <w:tcBorders>
              <w:top w:val="single" w:color="auto" w:sz="8" w:space="0"/>
              <w:left w:val="nil"/>
              <w:bottom w:val="single" w:color="auto" w:sz="8" w:space="0"/>
              <w:right w:val="nil"/>
            </w:tcBorders>
            <w:shd w:val="clear" w:color="auto" w:fill="auto"/>
            <w:vAlign w:val="center"/>
          </w:tcPr>
          <w:p w14:paraId="204A4A62">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0" w:firstLineChars="0"/>
              <w:jc w:val="center"/>
              <w:textAlignment w:val="auto"/>
              <w:rPr>
                <w:rFonts w:hint="default"/>
                <w:b/>
                <w:bCs w:val="0"/>
                <w:szCs w:val="24"/>
                <w:lang w:val="en-US"/>
              </w:rPr>
            </w:pPr>
            <w:r>
              <w:rPr>
                <w:rFonts w:hint="default" w:ascii="Times New Roman" w:hAnsi="Times New Roman" w:eastAsia="宋体" w:cs="Times New Roman"/>
                <w:b/>
                <w:bCs w:val="0"/>
                <w:kern w:val="2"/>
                <w:sz w:val="24"/>
                <w:szCs w:val="24"/>
                <w:lang w:val="en-US" w:eastAsia="zh-CN" w:bidi="ar"/>
              </w:rPr>
              <w:t>Vegetation Type</w:t>
            </w:r>
          </w:p>
        </w:tc>
        <w:tc>
          <w:tcPr>
            <w:tcW w:w="933" w:type="pct"/>
            <w:tcBorders>
              <w:top w:val="single" w:color="auto" w:sz="8" w:space="0"/>
              <w:left w:val="nil"/>
              <w:bottom w:val="single" w:color="auto" w:sz="8" w:space="0"/>
              <w:right w:val="nil"/>
            </w:tcBorders>
            <w:shd w:val="clear" w:color="auto" w:fill="auto"/>
            <w:vAlign w:val="center"/>
          </w:tcPr>
          <w:p w14:paraId="1CEA5D73">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0" w:firstLineChars="0"/>
              <w:jc w:val="center"/>
              <w:textAlignment w:val="auto"/>
              <w:rPr>
                <w:rFonts w:hint="default"/>
                <w:b/>
                <w:bCs/>
                <w:szCs w:val="24"/>
                <w:lang w:val="en-US"/>
              </w:rPr>
            </w:pPr>
            <w:r>
              <w:rPr>
                <w:rFonts w:hint="default" w:ascii="Times New Roman" w:hAnsi="Times New Roman" w:eastAsia="宋体" w:cs="Times New Roman"/>
                <w:b/>
                <w:bCs/>
                <w:color w:val="000000"/>
                <w:kern w:val="2"/>
                <w:sz w:val="24"/>
                <w:szCs w:val="24"/>
                <w:lang w:val="en-US" w:eastAsia="zh-CN" w:bidi="ar"/>
              </w:rPr>
              <w:t>April</w:t>
            </w:r>
          </w:p>
        </w:tc>
        <w:tc>
          <w:tcPr>
            <w:tcW w:w="1000" w:type="pct"/>
            <w:tcBorders>
              <w:top w:val="single" w:color="auto" w:sz="8" w:space="0"/>
              <w:left w:val="nil"/>
              <w:bottom w:val="single" w:color="auto" w:sz="8" w:space="0"/>
              <w:right w:val="nil"/>
            </w:tcBorders>
            <w:shd w:val="clear" w:color="auto" w:fill="auto"/>
            <w:vAlign w:val="center"/>
          </w:tcPr>
          <w:p w14:paraId="56ABC9A3">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0" w:firstLineChars="0"/>
              <w:jc w:val="center"/>
              <w:textAlignment w:val="auto"/>
              <w:rPr>
                <w:rFonts w:hint="default"/>
                <w:b/>
                <w:bCs/>
                <w:szCs w:val="24"/>
                <w:lang w:val="en-US"/>
              </w:rPr>
            </w:pPr>
            <w:r>
              <w:rPr>
                <w:rFonts w:hint="default" w:ascii="Times New Roman" w:hAnsi="Times New Roman" w:eastAsia="宋体" w:cs="Times New Roman"/>
                <w:b/>
                <w:bCs/>
                <w:color w:val="000000"/>
                <w:kern w:val="2"/>
                <w:sz w:val="24"/>
                <w:szCs w:val="24"/>
                <w:lang w:val="en-US" w:eastAsia="zh-CN" w:bidi="ar"/>
              </w:rPr>
              <w:t>July</w:t>
            </w:r>
          </w:p>
        </w:tc>
        <w:tc>
          <w:tcPr>
            <w:tcW w:w="1000" w:type="pct"/>
            <w:tcBorders>
              <w:top w:val="single" w:color="auto" w:sz="8" w:space="0"/>
              <w:left w:val="nil"/>
              <w:bottom w:val="single" w:color="auto" w:sz="8" w:space="0"/>
              <w:right w:val="nil"/>
            </w:tcBorders>
            <w:shd w:val="clear" w:color="auto" w:fill="auto"/>
            <w:vAlign w:val="center"/>
          </w:tcPr>
          <w:p w14:paraId="0CE990B2">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0" w:firstLineChars="0"/>
              <w:jc w:val="center"/>
              <w:textAlignment w:val="auto"/>
              <w:rPr>
                <w:rFonts w:hint="default"/>
                <w:b/>
                <w:bCs/>
                <w:szCs w:val="24"/>
                <w:lang w:val="en-US"/>
              </w:rPr>
            </w:pPr>
            <w:r>
              <w:rPr>
                <w:rFonts w:hint="default" w:ascii="Times New Roman" w:hAnsi="Times New Roman" w:eastAsia="宋体" w:cs="Times New Roman"/>
                <w:b/>
                <w:bCs/>
                <w:color w:val="000000"/>
                <w:kern w:val="2"/>
                <w:sz w:val="24"/>
                <w:szCs w:val="24"/>
                <w:lang w:val="en-US" w:eastAsia="zh-CN" w:bidi="ar"/>
              </w:rPr>
              <w:t xml:space="preserve">September </w:t>
            </w:r>
          </w:p>
        </w:tc>
        <w:tc>
          <w:tcPr>
            <w:tcW w:w="933" w:type="pct"/>
            <w:tcBorders>
              <w:top w:val="single" w:color="auto" w:sz="8" w:space="0"/>
              <w:left w:val="nil"/>
              <w:bottom w:val="single" w:color="auto" w:sz="8" w:space="0"/>
              <w:right w:val="nil"/>
            </w:tcBorders>
            <w:shd w:val="clear" w:color="auto" w:fill="auto"/>
            <w:vAlign w:val="center"/>
          </w:tcPr>
          <w:p w14:paraId="1A974066">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0" w:firstLineChars="0"/>
              <w:jc w:val="center"/>
              <w:textAlignment w:val="auto"/>
              <w:rPr>
                <w:rFonts w:hint="default" w:ascii="Times New Roman" w:hAnsi="Times New Roman" w:eastAsia="宋体" w:cs="Times New Roman"/>
                <w:b/>
                <w:bCs/>
                <w:color w:val="000000"/>
                <w:kern w:val="2"/>
                <w:sz w:val="24"/>
                <w:szCs w:val="24"/>
                <w:lang w:val="en-US" w:eastAsia="zh-CN" w:bidi="ar"/>
              </w:rPr>
            </w:pPr>
            <w:r>
              <w:rPr>
                <w:rFonts w:hint="default" w:ascii="Times New Roman" w:hAnsi="Times New Roman" w:eastAsia="宋体" w:cs="Times New Roman"/>
                <w:b/>
                <w:bCs/>
                <w:color w:val="000000"/>
                <w:kern w:val="2"/>
                <w:sz w:val="24"/>
                <w:szCs w:val="24"/>
                <w:lang w:val="en-US" w:eastAsia="zh-CN" w:bidi="ar"/>
              </w:rPr>
              <w:t>January</w:t>
            </w:r>
          </w:p>
        </w:tc>
      </w:tr>
      <w:tr w14:paraId="732B193B">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1" w:hRule="atLeast"/>
        </w:trPr>
        <w:tc>
          <w:tcPr>
            <w:tcW w:w="1130" w:type="pct"/>
            <w:tcBorders>
              <w:top w:val="single" w:color="auto" w:sz="8" w:space="0"/>
              <w:left w:val="nil"/>
              <w:bottom w:val="nil"/>
              <w:right w:val="nil"/>
            </w:tcBorders>
            <w:shd w:val="clear" w:color="auto" w:fill="auto"/>
            <w:vAlign w:val="top"/>
          </w:tcPr>
          <w:p w14:paraId="316F0AD6">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Herb</w:t>
            </w:r>
          </w:p>
        </w:tc>
        <w:tc>
          <w:tcPr>
            <w:tcW w:w="933" w:type="pct"/>
            <w:tcBorders>
              <w:top w:val="single" w:color="auto" w:sz="8" w:space="0"/>
              <w:left w:val="nil"/>
              <w:bottom w:val="nil"/>
              <w:right w:val="nil"/>
            </w:tcBorders>
            <w:shd w:val="clear" w:color="auto" w:fill="auto"/>
            <w:vAlign w:val="bottom"/>
          </w:tcPr>
          <w:p w14:paraId="26590FE2">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736.3 ± 39</w:t>
            </w:r>
            <w:r>
              <w:rPr>
                <w:rFonts w:hint="eastAsia" w:ascii="Times New Roman" w:eastAsia="仿宋" w:cs="Times New Roman"/>
                <w:b w:val="0"/>
                <w:bCs w:val="0"/>
                <w:color w:val="000000" w:themeColor="text1"/>
                <w:kern w:val="0"/>
                <w:sz w:val="22"/>
                <w:szCs w:val="22"/>
                <w:lang w:val="en-US" w:eastAsia="zh-CN"/>
                <w14:textFill>
                  <w14:solidFill>
                    <w14:schemeClr w14:val="tx1"/>
                  </w14:solidFill>
                </w14:textFill>
                <w14:ligatures w14:val="none"/>
              </w:rPr>
              <w:t>.0</w:t>
            </w:r>
          </w:p>
        </w:tc>
        <w:tc>
          <w:tcPr>
            <w:tcW w:w="1000" w:type="pct"/>
            <w:tcBorders>
              <w:top w:val="single" w:color="auto" w:sz="8" w:space="0"/>
              <w:left w:val="nil"/>
              <w:bottom w:val="nil"/>
              <w:right w:val="nil"/>
            </w:tcBorders>
            <w:shd w:val="clear" w:color="auto" w:fill="auto"/>
            <w:vAlign w:val="bottom"/>
          </w:tcPr>
          <w:p w14:paraId="021AC024">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759.4 ± 39.8</w:t>
            </w:r>
          </w:p>
        </w:tc>
        <w:tc>
          <w:tcPr>
            <w:tcW w:w="1000" w:type="pct"/>
            <w:tcBorders>
              <w:top w:val="single" w:color="auto" w:sz="8" w:space="0"/>
              <w:left w:val="nil"/>
              <w:bottom w:val="nil"/>
              <w:right w:val="nil"/>
            </w:tcBorders>
            <w:shd w:val="clear" w:color="auto" w:fill="auto"/>
            <w:vAlign w:val="bottom"/>
          </w:tcPr>
          <w:p w14:paraId="138F3E7B">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913</w:t>
            </w:r>
            <w:r>
              <w:rPr>
                <w:rFonts w:hint="eastAsia" w:ascii="Times New Roman" w:eastAsia="仿宋" w:cs="Times New Roman"/>
                <w:b w:val="0"/>
                <w:bCs w:val="0"/>
                <w:color w:val="000000" w:themeColor="text1"/>
                <w:kern w:val="0"/>
                <w:sz w:val="22"/>
                <w:szCs w:val="22"/>
                <w:lang w:val="en-US" w:eastAsia="zh-CN"/>
                <w14:textFill>
                  <w14:solidFill>
                    <w14:schemeClr w14:val="tx1"/>
                  </w14:solidFill>
                </w14:textFill>
                <w14:ligatures w14:val="none"/>
              </w:rPr>
              <w:t>.0</w:t>
            </w: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 xml:space="preserve"> ± 49.1</w:t>
            </w:r>
          </w:p>
        </w:tc>
        <w:tc>
          <w:tcPr>
            <w:tcW w:w="933" w:type="pct"/>
            <w:tcBorders>
              <w:top w:val="single" w:color="auto" w:sz="8" w:space="0"/>
              <w:left w:val="nil"/>
              <w:bottom w:val="nil"/>
              <w:right w:val="nil"/>
            </w:tcBorders>
            <w:shd w:val="clear" w:color="auto" w:fill="auto"/>
            <w:vAlign w:val="bottom"/>
          </w:tcPr>
          <w:p w14:paraId="7A28F9E3">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942.2 ± 45.1</w:t>
            </w:r>
          </w:p>
        </w:tc>
      </w:tr>
      <w:tr w14:paraId="0B1048D2">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1" w:hRule="atLeast"/>
        </w:trPr>
        <w:tc>
          <w:tcPr>
            <w:tcW w:w="1130" w:type="pct"/>
            <w:tcBorders>
              <w:top w:val="nil"/>
              <w:left w:val="nil"/>
              <w:bottom w:val="nil"/>
              <w:right w:val="nil"/>
            </w:tcBorders>
            <w:shd w:val="clear" w:color="auto" w:fill="auto"/>
            <w:vAlign w:val="top"/>
          </w:tcPr>
          <w:p w14:paraId="3A064AA1">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Shru</w:t>
            </w:r>
            <w:r>
              <w:rPr>
                <w:rFonts w:hint="eastAsia" w:ascii="Times New Roman" w:eastAsia="仿宋" w:cs="Times New Roman"/>
                <w:b/>
                <w:bCs/>
                <w:color w:val="000000" w:themeColor="text1"/>
                <w:kern w:val="0"/>
                <w:sz w:val="22"/>
                <w:szCs w:val="22"/>
                <w:lang w:val="en-US" w:eastAsia="zh-CN"/>
                <w14:textFill>
                  <w14:solidFill>
                    <w14:schemeClr w14:val="tx1"/>
                  </w14:solidFill>
                </w14:textFill>
                <w14:ligatures w14:val="none"/>
              </w:rPr>
              <w:t>b</w:t>
            </w:r>
          </w:p>
        </w:tc>
        <w:tc>
          <w:tcPr>
            <w:tcW w:w="933" w:type="pct"/>
            <w:tcBorders>
              <w:top w:val="nil"/>
              <w:left w:val="nil"/>
              <w:bottom w:val="nil"/>
              <w:right w:val="nil"/>
            </w:tcBorders>
            <w:shd w:val="clear" w:color="auto" w:fill="auto"/>
            <w:vAlign w:val="bottom"/>
          </w:tcPr>
          <w:p w14:paraId="0DFBB1E9">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977.6 ± 64.2</w:t>
            </w:r>
          </w:p>
        </w:tc>
        <w:tc>
          <w:tcPr>
            <w:tcW w:w="1000" w:type="pct"/>
            <w:tcBorders>
              <w:top w:val="nil"/>
              <w:left w:val="nil"/>
              <w:bottom w:val="nil"/>
              <w:right w:val="nil"/>
            </w:tcBorders>
            <w:shd w:val="clear" w:color="auto" w:fill="auto"/>
            <w:vAlign w:val="bottom"/>
          </w:tcPr>
          <w:p w14:paraId="4C8BA299">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1007.1 ± 82.5</w:t>
            </w:r>
          </w:p>
        </w:tc>
        <w:tc>
          <w:tcPr>
            <w:tcW w:w="1000" w:type="pct"/>
            <w:tcBorders>
              <w:top w:val="nil"/>
              <w:left w:val="nil"/>
              <w:bottom w:val="nil"/>
              <w:right w:val="nil"/>
            </w:tcBorders>
            <w:shd w:val="clear" w:color="auto" w:fill="auto"/>
            <w:vAlign w:val="bottom"/>
          </w:tcPr>
          <w:p w14:paraId="02C84A0D">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1051.7 ± 58.6</w:t>
            </w:r>
          </w:p>
        </w:tc>
        <w:tc>
          <w:tcPr>
            <w:tcW w:w="933" w:type="pct"/>
            <w:tcBorders>
              <w:top w:val="nil"/>
              <w:left w:val="nil"/>
              <w:bottom w:val="nil"/>
              <w:right w:val="nil"/>
            </w:tcBorders>
            <w:shd w:val="clear" w:color="auto" w:fill="auto"/>
            <w:vAlign w:val="bottom"/>
          </w:tcPr>
          <w:p w14:paraId="1B14098D">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1025 ± 92</w:t>
            </w:r>
            <w:r>
              <w:rPr>
                <w:rFonts w:hint="eastAsia" w:ascii="Times New Roman" w:eastAsia="仿宋" w:cs="Times New Roman"/>
                <w:b w:val="0"/>
                <w:bCs w:val="0"/>
                <w:color w:val="000000" w:themeColor="text1"/>
                <w:kern w:val="0"/>
                <w:sz w:val="22"/>
                <w:szCs w:val="22"/>
                <w:lang w:val="en-US" w:eastAsia="zh-CN"/>
                <w14:textFill>
                  <w14:solidFill>
                    <w14:schemeClr w14:val="tx1"/>
                  </w14:solidFill>
                </w14:textFill>
                <w14:ligatures w14:val="none"/>
              </w:rPr>
              <w:t>.0</w:t>
            </w:r>
          </w:p>
        </w:tc>
      </w:tr>
      <w:tr w14:paraId="74C7761A">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1" w:hRule="atLeast"/>
        </w:trPr>
        <w:tc>
          <w:tcPr>
            <w:tcW w:w="1130" w:type="pct"/>
            <w:tcBorders>
              <w:top w:val="nil"/>
              <w:left w:val="nil"/>
              <w:bottom w:val="nil"/>
              <w:right w:val="nil"/>
            </w:tcBorders>
            <w:shd w:val="clear" w:color="auto" w:fill="auto"/>
            <w:vAlign w:val="top"/>
          </w:tcPr>
          <w:p w14:paraId="722E8B0A">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Small-tree</w:t>
            </w:r>
          </w:p>
        </w:tc>
        <w:tc>
          <w:tcPr>
            <w:tcW w:w="933" w:type="pct"/>
            <w:tcBorders>
              <w:top w:val="nil"/>
              <w:left w:val="nil"/>
              <w:bottom w:val="nil"/>
              <w:right w:val="nil"/>
            </w:tcBorders>
            <w:shd w:val="clear" w:color="auto" w:fill="auto"/>
            <w:vAlign w:val="bottom"/>
          </w:tcPr>
          <w:p w14:paraId="6E778817">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240.2 ± 65.5</w:t>
            </w:r>
          </w:p>
        </w:tc>
        <w:tc>
          <w:tcPr>
            <w:tcW w:w="1000" w:type="pct"/>
            <w:tcBorders>
              <w:top w:val="nil"/>
              <w:left w:val="nil"/>
              <w:bottom w:val="nil"/>
              <w:right w:val="nil"/>
            </w:tcBorders>
            <w:shd w:val="clear" w:color="auto" w:fill="auto"/>
            <w:vAlign w:val="bottom"/>
          </w:tcPr>
          <w:p w14:paraId="730776E4">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196.9 ± 47.7</w:t>
            </w:r>
          </w:p>
        </w:tc>
        <w:tc>
          <w:tcPr>
            <w:tcW w:w="1000" w:type="pct"/>
            <w:tcBorders>
              <w:top w:val="nil"/>
              <w:left w:val="nil"/>
              <w:bottom w:val="nil"/>
              <w:right w:val="nil"/>
            </w:tcBorders>
            <w:shd w:val="clear" w:color="auto" w:fill="auto"/>
            <w:vAlign w:val="bottom"/>
          </w:tcPr>
          <w:p w14:paraId="530F833B">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226.5 ± 54.2</w:t>
            </w:r>
          </w:p>
        </w:tc>
        <w:tc>
          <w:tcPr>
            <w:tcW w:w="933" w:type="pct"/>
            <w:tcBorders>
              <w:top w:val="nil"/>
              <w:left w:val="nil"/>
              <w:bottom w:val="nil"/>
              <w:right w:val="nil"/>
            </w:tcBorders>
            <w:shd w:val="clear" w:color="auto" w:fill="auto"/>
            <w:vAlign w:val="bottom"/>
          </w:tcPr>
          <w:p w14:paraId="3E090409">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217.3 ± 52</w:t>
            </w:r>
            <w:r>
              <w:rPr>
                <w:rFonts w:hint="eastAsia" w:ascii="Times New Roman" w:eastAsia="仿宋" w:cs="Times New Roman"/>
                <w:b w:val="0"/>
                <w:bCs w:val="0"/>
                <w:color w:val="000000" w:themeColor="text1"/>
                <w:kern w:val="0"/>
                <w:sz w:val="22"/>
                <w:szCs w:val="22"/>
                <w:lang w:val="en-US" w:eastAsia="zh-CN"/>
                <w14:textFill>
                  <w14:solidFill>
                    <w14:schemeClr w14:val="tx1"/>
                  </w14:solidFill>
                </w14:textFill>
                <w14:ligatures w14:val="none"/>
              </w:rPr>
              <w:t>.0</w:t>
            </w:r>
          </w:p>
        </w:tc>
      </w:tr>
      <w:tr w14:paraId="5A93E869">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7" w:hRule="atLeast"/>
        </w:trPr>
        <w:tc>
          <w:tcPr>
            <w:tcW w:w="1130" w:type="pct"/>
            <w:tcBorders>
              <w:top w:val="nil"/>
              <w:left w:val="nil"/>
              <w:bottom w:val="single" w:color="auto" w:sz="8" w:space="0"/>
              <w:right w:val="nil"/>
            </w:tcBorders>
            <w:shd w:val="clear" w:color="auto" w:fill="auto"/>
            <w:vAlign w:val="top"/>
          </w:tcPr>
          <w:p w14:paraId="2F8C1BD4">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bCs/>
                <w:color w:val="000000" w:themeColor="text1"/>
                <w:kern w:val="0"/>
                <w:sz w:val="22"/>
                <w:szCs w:val="22"/>
                <w:lang w:val="en-US" w:eastAsia="zh-CN" w:bidi="ar-SA"/>
                <w14:textFill>
                  <w14:solidFill>
                    <w14:schemeClr w14:val="tx1"/>
                  </w14:solidFill>
                </w14:textFill>
                <w14:ligatures w14:val="none"/>
              </w:rPr>
            </w:pPr>
            <w:r>
              <w:rPr>
                <w:rFonts w:hint="default" w:ascii="Times New Roman" w:hAnsi="Times New Roman" w:eastAsia="仿宋" w:cs="Times New Roman"/>
                <w:b/>
                <w:bCs/>
                <w:color w:val="000000" w:themeColor="text1"/>
                <w:kern w:val="0"/>
                <w:sz w:val="22"/>
                <w:szCs w:val="22"/>
                <w14:textFill>
                  <w14:solidFill>
                    <w14:schemeClr w14:val="tx1"/>
                  </w14:solidFill>
                </w14:textFill>
                <w14:ligatures w14:val="none"/>
              </w:rPr>
              <w:t>Tree</w:t>
            </w:r>
          </w:p>
        </w:tc>
        <w:tc>
          <w:tcPr>
            <w:tcW w:w="933" w:type="pct"/>
            <w:tcBorders>
              <w:top w:val="nil"/>
              <w:left w:val="nil"/>
              <w:bottom w:val="single" w:color="auto" w:sz="8" w:space="0"/>
              <w:right w:val="nil"/>
            </w:tcBorders>
            <w:shd w:val="clear" w:color="auto" w:fill="auto"/>
            <w:vAlign w:val="bottom"/>
          </w:tcPr>
          <w:p w14:paraId="29ABCD87">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101.2 ± 4.2</w:t>
            </w:r>
          </w:p>
        </w:tc>
        <w:tc>
          <w:tcPr>
            <w:tcW w:w="1000" w:type="pct"/>
            <w:tcBorders>
              <w:top w:val="nil"/>
              <w:left w:val="nil"/>
              <w:bottom w:val="single" w:color="auto" w:sz="8" w:space="0"/>
              <w:right w:val="nil"/>
            </w:tcBorders>
            <w:shd w:val="clear" w:color="auto" w:fill="auto"/>
            <w:vAlign w:val="bottom"/>
          </w:tcPr>
          <w:p w14:paraId="4D0A410F">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93.1 ± 2.8</w:t>
            </w:r>
          </w:p>
        </w:tc>
        <w:tc>
          <w:tcPr>
            <w:tcW w:w="1000" w:type="pct"/>
            <w:tcBorders>
              <w:top w:val="nil"/>
              <w:left w:val="nil"/>
              <w:bottom w:val="single" w:color="auto" w:sz="8" w:space="0"/>
              <w:right w:val="nil"/>
            </w:tcBorders>
            <w:shd w:val="clear" w:color="auto" w:fill="auto"/>
            <w:vAlign w:val="bottom"/>
          </w:tcPr>
          <w:p w14:paraId="6DD21667">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106.5 ± 0.8</w:t>
            </w:r>
          </w:p>
        </w:tc>
        <w:tc>
          <w:tcPr>
            <w:tcW w:w="933" w:type="pct"/>
            <w:tcBorders>
              <w:top w:val="nil"/>
              <w:left w:val="nil"/>
              <w:bottom w:val="single" w:color="auto" w:sz="8" w:space="0"/>
              <w:right w:val="nil"/>
            </w:tcBorders>
            <w:shd w:val="clear" w:color="auto" w:fill="auto"/>
            <w:vAlign w:val="bottom"/>
          </w:tcPr>
          <w:p w14:paraId="24EC6512">
            <w:pPr>
              <w:pStyle w:val="8"/>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Times New Roman" w:hAnsi="Times New Roman" w:eastAsia="仿宋" w:cs="Times New Roman"/>
                <w:b w:val="0"/>
                <w:bCs w:val="0"/>
                <w:color w:val="000000" w:themeColor="text1"/>
                <w:kern w:val="0"/>
                <w:sz w:val="22"/>
                <w:szCs w:val="22"/>
                <w:lang w:val="en-US"/>
                <w14:textFill>
                  <w14:solidFill>
                    <w14:schemeClr w14:val="tx1"/>
                  </w14:solidFill>
                </w14:textFill>
                <w14:ligatures w14:val="none"/>
              </w:rPr>
            </w:pPr>
            <w:r>
              <w:rPr>
                <w:rFonts w:hint="eastAsia" w:ascii="Times New Roman" w:hAnsi="Times New Roman" w:eastAsia="仿宋" w:cs="Times New Roman"/>
                <w:b w:val="0"/>
                <w:bCs w:val="0"/>
                <w:color w:val="000000" w:themeColor="text1"/>
                <w:kern w:val="0"/>
                <w:sz w:val="22"/>
                <w:szCs w:val="22"/>
                <w:lang w:val="en-US" w:eastAsia="zh-CN"/>
                <w14:textFill>
                  <w14:solidFill>
                    <w14:schemeClr w14:val="tx1"/>
                  </w14:solidFill>
                </w14:textFill>
                <w14:ligatures w14:val="none"/>
              </w:rPr>
              <w:t>102.2 ± 1.4</w:t>
            </w:r>
          </w:p>
        </w:tc>
      </w:tr>
    </w:tbl>
    <w:p w14:paraId="4563BD0B">
      <w:pPr>
        <w:rPr>
          <w:rFonts w:hint="eastAsia" w:ascii="Times New Roman" w:hAnsi="Times New Roman" w:eastAsia="宋体" w:cs="Times New Roman"/>
          <w:b/>
          <w:bCs/>
          <w:color w:val="000000"/>
          <w:sz w:val="22"/>
          <w:szCs w:val="22"/>
        </w:rPr>
      </w:pPr>
      <w:r>
        <w:rPr>
          <w:rFonts w:hint="eastAsia" w:ascii="Times New Roman" w:hAnsi="Times New Roman" w:eastAsia="宋体" w:cs="Times New Roman"/>
          <w:b/>
          <w:bCs/>
          <w:color w:val="000000"/>
          <w:sz w:val="22"/>
          <w:szCs w:val="22"/>
        </w:rPr>
        <w:br w:type="page"/>
      </w:r>
    </w:p>
    <w:bookmarkEnd w:id="0"/>
    <w:p w14:paraId="375B0FB2">
      <w:pPr>
        <w:keepNext w:val="0"/>
        <w:keepLines w:val="0"/>
        <w:pageBreakBefore w:val="0"/>
        <w:kinsoku/>
        <w:wordWrap/>
        <w:overflowPunct/>
        <w:topLinePunct w:val="0"/>
        <w:autoSpaceDE/>
        <w:autoSpaceDN/>
        <w:bidi w:val="0"/>
        <w:adjustRightInd/>
        <w:snapToGrid/>
        <w:spacing w:after="120" w:line="480" w:lineRule="auto"/>
        <w:jc w:val="center"/>
        <w:textAlignment w:val="auto"/>
        <w:rPr>
          <w:rFonts w:ascii="Times New Roman" w:hAnsi="Times New Roman" w:cs="Times New Roman"/>
          <w:color w:val="000000"/>
          <w:sz w:val="22"/>
          <w:szCs w:val="22"/>
        </w:rPr>
      </w:pPr>
      <w:r>
        <w:rPr>
          <w:rFonts w:hint="eastAsia" w:ascii="Times New Roman" w:hAnsi="Times New Roman" w:cs="Times New Roman"/>
          <w:color w:val="000000"/>
          <w:sz w:val="22"/>
          <w:szCs w:val="22"/>
        </w:rPr>
        <w:drawing>
          <wp:inline distT="0" distB="0" distL="0" distR="0">
            <wp:extent cx="5274310" cy="4349115"/>
            <wp:effectExtent l="0" t="0" r="1397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74310" cy="4349115"/>
                    </a:xfrm>
                    <a:prstGeom prst="rect">
                      <a:avLst/>
                    </a:prstGeom>
                    <a:noFill/>
                    <a:ln>
                      <a:noFill/>
                    </a:ln>
                  </pic:spPr>
                </pic:pic>
              </a:graphicData>
            </a:graphic>
          </wp:inline>
        </w:drawing>
      </w:r>
    </w:p>
    <w:p w14:paraId="44BAD99B">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t>Fig</w:t>
      </w:r>
      <w:r>
        <w:rPr>
          <w:rFonts w:hint="eastAsia" w:ascii="Times New Roman" w:hAnsi="Times New Roman" w:cs="Times New Roman"/>
          <w:sz w:val="22"/>
          <w:szCs w:val="22"/>
          <w:lang w:val="en-US" w:eastAsia="zh-CN"/>
        </w:rPr>
        <w:t>.</w:t>
      </w:r>
      <w:r>
        <w:rPr>
          <w:rFonts w:ascii="Times New Roman" w:hAnsi="Times New Roman" w:cs="Times New Roman"/>
          <w:sz w:val="22"/>
          <w:szCs w:val="22"/>
        </w:rPr>
        <w:t xml:space="preserve"> </w:t>
      </w:r>
      <w:r>
        <w:rPr>
          <w:rFonts w:hint="eastAsia" w:ascii="Times New Roman" w:hAnsi="Times New Roman" w:cs="Times New Roman"/>
          <w:sz w:val="22"/>
          <w:szCs w:val="22"/>
        </w:rPr>
        <w:t>S1</w:t>
      </w:r>
      <w:r>
        <w:rPr>
          <w:rFonts w:ascii="Times New Roman" w:hAnsi="Times New Roman" w:cs="Times New Roman"/>
          <w:sz w:val="22"/>
          <w:szCs w:val="22"/>
        </w:rPr>
        <w:t xml:space="preserve"> The principle component analysis of soil physicochemical properties (n=</w:t>
      </w:r>
      <w:r>
        <w:rPr>
          <w:rFonts w:hint="eastAsia" w:ascii="Times New Roman" w:hAnsi="Times New Roman" w:cs="Times New Roman"/>
          <w:sz w:val="22"/>
          <w:szCs w:val="22"/>
        </w:rPr>
        <w:t>64</w:t>
      </w:r>
      <w:r>
        <w:rPr>
          <w:rFonts w:ascii="Times New Roman" w:hAnsi="Times New Roman" w:cs="Times New Roman"/>
          <w:sz w:val="22"/>
          <w:szCs w:val="22"/>
        </w:rPr>
        <w:t>).</w:t>
      </w:r>
    </w:p>
    <w:p w14:paraId="682B4E3F">
      <w:pPr>
        <w:rPr>
          <w:rFonts w:ascii="Times New Roman" w:hAnsi="Times New Roman" w:cs="Times New Roman"/>
          <w:sz w:val="22"/>
          <w:szCs w:val="22"/>
        </w:rPr>
      </w:pPr>
      <w:r>
        <w:rPr>
          <w:rFonts w:ascii="Times New Roman" w:hAnsi="Times New Roman" w:cs="Times New Roman"/>
          <w:sz w:val="22"/>
          <w:szCs w:val="22"/>
        </w:rPr>
        <w:br w:type="page"/>
      </w:r>
    </w:p>
    <w:p w14:paraId="55863E72">
      <w:pPr>
        <w:keepNext w:val="0"/>
        <w:keepLines w:val="0"/>
        <w:pageBreakBefore w:val="0"/>
        <w:kinsoku/>
        <w:wordWrap/>
        <w:overflowPunct/>
        <w:topLinePunct w:val="0"/>
        <w:autoSpaceDE/>
        <w:autoSpaceDN/>
        <w:bidi w:val="0"/>
        <w:adjustRightInd/>
        <w:snapToGrid/>
        <w:spacing w:after="120" w:line="480" w:lineRule="auto"/>
        <w:textAlignment w:val="auto"/>
        <w:rPr>
          <w:rFonts w:hint="default" w:ascii="Times New Roman" w:hAnsi="Times New Roman" w:cs="Times New Roman"/>
          <w:sz w:val="22"/>
          <w:szCs w:val="22"/>
          <w:lang w:val="en-US"/>
        </w:rPr>
      </w:pPr>
      <w:r>
        <w:rPr>
          <w:rFonts w:hint="default" w:ascii="Times New Roman" w:hAnsi="Times New Roman" w:cs="Times New Roman"/>
          <w:sz w:val="22"/>
          <w:szCs w:val="22"/>
          <w:lang w:val="en-US" w:eastAsia="zh-CN"/>
        </w:rPr>
        <w:t xml:space="preserve">Table </w:t>
      </w:r>
      <w:r>
        <w:rPr>
          <w:rFonts w:hint="eastAsia" w:ascii="Times New Roman" w:hAnsi="Times New Roman" w:cs="Times New Roman"/>
          <w:sz w:val="22"/>
          <w:szCs w:val="22"/>
          <w:lang w:val="en-US" w:eastAsia="zh-CN"/>
        </w:rPr>
        <w:t>S3</w:t>
      </w:r>
      <w:r>
        <w:rPr>
          <w:rFonts w:hint="default" w:ascii="Times New Roman" w:hAnsi="Times New Roman" w:cs="Times New Roman"/>
          <w:sz w:val="22"/>
          <w:szCs w:val="22"/>
          <w:lang w:val="en-US" w:eastAsia="zh-CN"/>
        </w:rPr>
        <w:t xml:space="preserve"> Permutation Multivariate Equation Analysis (PERMANOVA) of the effects of vegetation types and sampling seasons on soil </w:t>
      </w:r>
      <w:r>
        <w:rPr>
          <w:rFonts w:hint="eastAsia" w:ascii="Times New Roman" w:hAnsi="Times New Roman" w:cs="Times New Roman"/>
          <w:sz w:val="22"/>
          <w:szCs w:val="22"/>
          <w:lang w:val="en-US" w:eastAsia="zh-CN"/>
        </w:rPr>
        <w:t>properties</w:t>
      </w:r>
    </w:p>
    <w:tbl>
      <w:tblPr>
        <w:tblStyle w:val="9"/>
        <w:tblW w:w="4998" w:type="pct"/>
        <w:tblInd w:w="0" w:type="dxa"/>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Layout w:type="autofit"/>
        <w:tblCellMar>
          <w:top w:w="0" w:type="dxa"/>
          <w:left w:w="108" w:type="dxa"/>
          <w:bottom w:w="0" w:type="dxa"/>
          <w:right w:w="108" w:type="dxa"/>
        </w:tblCellMar>
      </w:tblPr>
      <w:tblGrid>
        <w:gridCol w:w="4604"/>
        <w:gridCol w:w="1406"/>
        <w:gridCol w:w="1043"/>
        <w:gridCol w:w="1466"/>
      </w:tblGrid>
      <w:tr w14:paraId="23D765F9">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1" w:hRule="atLeast"/>
        </w:trPr>
        <w:tc>
          <w:tcPr>
            <w:tcW w:w="2702" w:type="pct"/>
            <w:tcBorders>
              <w:top w:val="single" w:color="auto" w:sz="8" w:space="0"/>
              <w:left w:val="nil"/>
              <w:bottom w:val="single" w:color="auto" w:sz="8" w:space="0"/>
              <w:right w:val="nil"/>
            </w:tcBorders>
            <w:shd w:val="clear" w:color="auto" w:fill="auto"/>
            <w:vAlign w:val="center"/>
          </w:tcPr>
          <w:p w14:paraId="018C76F1">
            <w:pPr>
              <w:keepNext w:val="0"/>
              <w:keepLines w:val="0"/>
              <w:widowControl w:val="0"/>
              <w:suppressLineNumbers w:val="0"/>
              <w:spacing w:before="0" w:beforeAutospacing="0" w:after="0" w:afterLines="50" w:afterAutospacing="0" w:line="480" w:lineRule="auto"/>
              <w:ind w:left="0" w:right="0" w:firstLine="0" w:firstLineChars="0"/>
              <w:jc w:val="center"/>
              <w:rPr>
                <w:rFonts w:hint="default"/>
                <w:b/>
                <w:bCs w:val="0"/>
                <w:szCs w:val="24"/>
                <w:lang w:val="en-US"/>
              </w:rPr>
            </w:pPr>
          </w:p>
        </w:tc>
        <w:tc>
          <w:tcPr>
            <w:tcW w:w="825" w:type="pct"/>
            <w:tcBorders>
              <w:top w:val="single" w:color="auto" w:sz="8" w:space="0"/>
              <w:left w:val="nil"/>
              <w:bottom w:val="single" w:color="auto" w:sz="8" w:space="0"/>
              <w:right w:val="nil"/>
            </w:tcBorders>
            <w:shd w:val="clear" w:color="auto" w:fill="auto"/>
            <w:vAlign w:val="center"/>
          </w:tcPr>
          <w:p w14:paraId="3A8A337C">
            <w:pPr>
              <w:keepNext w:val="0"/>
              <w:keepLines w:val="0"/>
              <w:widowControl w:val="0"/>
              <w:suppressLineNumbers w:val="0"/>
              <w:spacing w:before="0" w:beforeAutospacing="0" w:after="0" w:afterLines="50" w:afterAutospacing="0" w:line="480" w:lineRule="auto"/>
              <w:ind w:left="0" w:right="0" w:firstLine="0" w:firstLineChars="0"/>
              <w:jc w:val="center"/>
              <w:rPr>
                <w:rFonts w:hint="default"/>
                <w:b/>
                <w:bCs w:val="0"/>
                <w:szCs w:val="24"/>
                <w:lang w:val="en-US"/>
              </w:rPr>
            </w:pPr>
            <w:r>
              <w:rPr>
                <w:rFonts w:hint="default" w:ascii="Times New Roman" w:hAnsi="Times New Roman" w:eastAsia="宋体" w:cs="Times New Roman"/>
                <w:b/>
                <w:bCs w:val="0"/>
                <w:kern w:val="2"/>
                <w:sz w:val="24"/>
                <w:szCs w:val="24"/>
                <w:lang w:val="en-US" w:eastAsia="zh-CN" w:bidi="ar"/>
              </w:rPr>
              <w:t>R</w:t>
            </w:r>
            <w:r>
              <w:rPr>
                <w:rFonts w:hint="default" w:ascii="Times New Roman" w:hAnsi="Times New Roman" w:eastAsia="宋体" w:cs="Times New Roman"/>
                <w:b/>
                <w:bCs w:val="0"/>
                <w:kern w:val="2"/>
                <w:sz w:val="24"/>
                <w:szCs w:val="24"/>
                <w:vertAlign w:val="superscript"/>
                <w:lang w:val="en-US" w:eastAsia="zh-CN" w:bidi="ar"/>
              </w:rPr>
              <w:t>2</w:t>
            </w:r>
          </w:p>
        </w:tc>
        <w:tc>
          <w:tcPr>
            <w:tcW w:w="612" w:type="pct"/>
            <w:tcBorders>
              <w:top w:val="single" w:color="auto" w:sz="8" w:space="0"/>
              <w:left w:val="nil"/>
              <w:bottom w:val="single" w:color="auto" w:sz="8" w:space="0"/>
              <w:right w:val="nil"/>
            </w:tcBorders>
            <w:shd w:val="clear" w:color="auto" w:fill="auto"/>
            <w:vAlign w:val="center"/>
          </w:tcPr>
          <w:p w14:paraId="589FEA3E">
            <w:pPr>
              <w:keepNext w:val="0"/>
              <w:keepLines w:val="0"/>
              <w:widowControl w:val="0"/>
              <w:suppressLineNumbers w:val="0"/>
              <w:spacing w:before="0" w:beforeAutospacing="0" w:after="0" w:afterLines="50" w:afterAutospacing="0" w:line="480" w:lineRule="auto"/>
              <w:ind w:left="0" w:right="0" w:firstLine="0" w:firstLineChars="0"/>
              <w:jc w:val="center"/>
              <w:rPr>
                <w:rFonts w:hint="default"/>
                <w:b/>
                <w:bCs w:val="0"/>
                <w:szCs w:val="24"/>
                <w:lang w:val="en-US"/>
              </w:rPr>
            </w:pPr>
            <w:r>
              <w:rPr>
                <w:rFonts w:hint="default" w:ascii="Times New Roman" w:hAnsi="Times New Roman" w:eastAsia="宋体" w:cs="Times New Roman"/>
                <w:b/>
                <w:bCs w:val="0"/>
                <w:kern w:val="2"/>
                <w:sz w:val="24"/>
                <w:szCs w:val="24"/>
                <w:lang w:val="en-US" w:eastAsia="zh-CN" w:bidi="ar"/>
              </w:rPr>
              <w:t>F</w:t>
            </w:r>
          </w:p>
        </w:tc>
        <w:tc>
          <w:tcPr>
            <w:tcW w:w="860" w:type="pct"/>
            <w:tcBorders>
              <w:top w:val="single" w:color="auto" w:sz="8" w:space="0"/>
              <w:left w:val="nil"/>
              <w:bottom w:val="single" w:color="auto" w:sz="8" w:space="0"/>
              <w:right w:val="nil"/>
            </w:tcBorders>
            <w:shd w:val="clear" w:color="auto" w:fill="auto"/>
            <w:vAlign w:val="center"/>
          </w:tcPr>
          <w:p w14:paraId="08DD8482">
            <w:pPr>
              <w:keepNext w:val="0"/>
              <w:keepLines w:val="0"/>
              <w:widowControl w:val="0"/>
              <w:suppressLineNumbers w:val="0"/>
              <w:spacing w:before="0" w:beforeAutospacing="0" w:after="0" w:afterLines="50" w:afterAutospacing="0" w:line="480" w:lineRule="auto"/>
              <w:ind w:left="0" w:right="0" w:firstLine="0" w:firstLineChars="0"/>
              <w:jc w:val="center"/>
              <w:rPr>
                <w:rFonts w:hint="default"/>
                <w:b/>
                <w:bCs w:val="0"/>
                <w:szCs w:val="24"/>
                <w:lang w:val="en-US"/>
              </w:rPr>
            </w:pPr>
            <w:r>
              <w:rPr>
                <w:rFonts w:hint="default" w:ascii="Times New Roman" w:hAnsi="Times New Roman" w:eastAsia="宋体" w:cs="Times New Roman"/>
                <w:b/>
                <w:bCs/>
                <w:i/>
                <w:iCs/>
                <w:kern w:val="2"/>
                <w:sz w:val="24"/>
                <w:szCs w:val="24"/>
                <w:lang w:val="en-US" w:eastAsia="zh-CN" w:bidi="ar"/>
              </w:rPr>
              <w:t>p</w:t>
            </w:r>
          </w:p>
        </w:tc>
      </w:tr>
      <w:tr w14:paraId="63EAFB39">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31" w:hRule="atLeast"/>
        </w:trPr>
        <w:tc>
          <w:tcPr>
            <w:tcW w:w="2702" w:type="pct"/>
            <w:tcBorders>
              <w:top w:val="single" w:color="auto" w:sz="8" w:space="0"/>
              <w:left w:val="nil"/>
              <w:bottom w:val="nil"/>
              <w:right w:val="nil"/>
            </w:tcBorders>
            <w:shd w:val="clear" w:color="auto" w:fill="auto"/>
            <w:vAlign w:val="center"/>
          </w:tcPr>
          <w:p w14:paraId="61B7B0B7">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宋体" w:cs="Times New Roman"/>
                <w:b/>
                <w:bCs w:val="0"/>
                <w:kern w:val="2"/>
                <w:sz w:val="24"/>
                <w:szCs w:val="24"/>
                <w:lang w:val="en-US" w:eastAsia="zh-CN" w:bidi="ar"/>
              </w:rPr>
              <w:t>Vegetation Type</w:t>
            </w:r>
          </w:p>
        </w:tc>
        <w:tc>
          <w:tcPr>
            <w:tcW w:w="825" w:type="pct"/>
            <w:tcBorders>
              <w:top w:val="single" w:color="auto" w:sz="8" w:space="0"/>
              <w:left w:val="nil"/>
              <w:bottom w:val="nil"/>
              <w:right w:val="nil"/>
            </w:tcBorders>
            <w:shd w:val="clear" w:color="auto" w:fill="auto"/>
            <w:vAlign w:val="center"/>
          </w:tcPr>
          <w:p w14:paraId="30A326DD">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0.</w:t>
            </w:r>
            <w:r>
              <w:rPr>
                <w:rFonts w:hint="eastAsia" w:ascii="Times New Roman" w:hAnsi="Times New Roman" w:eastAsia="仿宋" w:cs="Times New Roman"/>
                <w:color w:val="000000"/>
                <w:kern w:val="0"/>
                <w:sz w:val="24"/>
                <w:szCs w:val="24"/>
                <w:lang w:val="en-US" w:eastAsia="zh-CN" w:bidi="ar"/>
              </w:rPr>
              <w:t>68</w:t>
            </w:r>
          </w:p>
        </w:tc>
        <w:tc>
          <w:tcPr>
            <w:tcW w:w="612" w:type="pct"/>
            <w:tcBorders>
              <w:top w:val="single" w:color="auto" w:sz="8" w:space="0"/>
              <w:left w:val="nil"/>
              <w:bottom w:val="nil"/>
              <w:right w:val="nil"/>
            </w:tcBorders>
            <w:shd w:val="clear" w:color="auto" w:fill="auto"/>
            <w:vAlign w:val="center"/>
          </w:tcPr>
          <w:p w14:paraId="70905C87">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eastAsia" w:ascii="Times New Roman" w:hAnsi="Times New Roman" w:eastAsia="仿宋" w:cs="Times New Roman"/>
                <w:color w:val="000000"/>
                <w:kern w:val="0"/>
                <w:sz w:val="24"/>
                <w:szCs w:val="24"/>
                <w:lang w:val="en-US" w:eastAsia="zh-CN" w:bidi="ar"/>
              </w:rPr>
              <w:t>73.80</w:t>
            </w:r>
          </w:p>
        </w:tc>
        <w:tc>
          <w:tcPr>
            <w:tcW w:w="860" w:type="pct"/>
            <w:tcBorders>
              <w:top w:val="single" w:color="auto" w:sz="8" w:space="0"/>
              <w:left w:val="nil"/>
              <w:bottom w:val="nil"/>
              <w:right w:val="nil"/>
            </w:tcBorders>
            <w:shd w:val="clear" w:color="auto" w:fill="auto"/>
            <w:vAlign w:val="center"/>
          </w:tcPr>
          <w:p w14:paraId="1267F9B9">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&lt;0.001</w:t>
            </w:r>
          </w:p>
        </w:tc>
      </w:tr>
      <w:tr w14:paraId="23D6A460">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1" w:hRule="atLeast"/>
        </w:trPr>
        <w:tc>
          <w:tcPr>
            <w:tcW w:w="2702" w:type="pct"/>
            <w:tcBorders>
              <w:top w:val="nil"/>
              <w:left w:val="nil"/>
              <w:bottom w:val="nil"/>
              <w:right w:val="nil"/>
            </w:tcBorders>
            <w:shd w:val="clear" w:color="auto" w:fill="auto"/>
            <w:vAlign w:val="center"/>
          </w:tcPr>
          <w:p w14:paraId="43DDC24D">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宋体" w:cs="Times New Roman"/>
                <w:b/>
                <w:bCs w:val="0"/>
                <w:kern w:val="2"/>
                <w:sz w:val="24"/>
                <w:szCs w:val="24"/>
                <w:lang w:val="en-US" w:eastAsia="zh-CN" w:bidi="ar"/>
              </w:rPr>
              <w:t>Season</w:t>
            </w:r>
          </w:p>
        </w:tc>
        <w:tc>
          <w:tcPr>
            <w:tcW w:w="825" w:type="pct"/>
            <w:tcBorders>
              <w:top w:val="nil"/>
              <w:left w:val="nil"/>
              <w:bottom w:val="nil"/>
              <w:right w:val="nil"/>
            </w:tcBorders>
            <w:shd w:val="clear" w:color="auto" w:fill="auto"/>
            <w:vAlign w:val="center"/>
          </w:tcPr>
          <w:p w14:paraId="3FCB65BE">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0.0</w:t>
            </w:r>
            <w:r>
              <w:rPr>
                <w:rFonts w:hint="eastAsia" w:ascii="Times New Roman" w:hAnsi="Times New Roman" w:eastAsia="仿宋" w:cs="Times New Roman"/>
                <w:color w:val="000000"/>
                <w:kern w:val="0"/>
                <w:sz w:val="24"/>
                <w:szCs w:val="24"/>
                <w:lang w:val="en-US" w:eastAsia="zh-CN" w:bidi="ar"/>
              </w:rPr>
              <w:t>7</w:t>
            </w:r>
          </w:p>
        </w:tc>
        <w:tc>
          <w:tcPr>
            <w:tcW w:w="612" w:type="pct"/>
            <w:tcBorders>
              <w:top w:val="nil"/>
              <w:left w:val="nil"/>
              <w:bottom w:val="nil"/>
              <w:right w:val="nil"/>
            </w:tcBorders>
            <w:shd w:val="clear" w:color="auto" w:fill="auto"/>
            <w:vAlign w:val="center"/>
          </w:tcPr>
          <w:p w14:paraId="0E230DDB">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eastAsia" w:ascii="Times New Roman" w:hAnsi="Times New Roman" w:eastAsia="仿宋" w:cs="Times New Roman"/>
                <w:color w:val="000000"/>
                <w:kern w:val="0"/>
                <w:sz w:val="24"/>
                <w:szCs w:val="24"/>
                <w:lang w:val="en-US" w:eastAsia="zh-CN" w:bidi="ar"/>
              </w:rPr>
              <w:t>8.16</w:t>
            </w:r>
          </w:p>
        </w:tc>
        <w:tc>
          <w:tcPr>
            <w:tcW w:w="860" w:type="pct"/>
            <w:tcBorders>
              <w:top w:val="nil"/>
              <w:left w:val="nil"/>
              <w:bottom w:val="nil"/>
              <w:right w:val="nil"/>
            </w:tcBorders>
            <w:shd w:val="clear" w:color="auto" w:fill="auto"/>
            <w:vAlign w:val="center"/>
          </w:tcPr>
          <w:p w14:paraId="225495CB">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&lt;0.001</w:t>
            </w:r>
          </w:p>
        </w:tc>
      </w:tr>
      <w:tr w14:paraId="3FE085B2">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1" w:hRule="atLeast"/>
        </w:trPr>
        <w:tc>
          <w:tcPr>
            <w:tcW w:w="2702" w:type="pct"/>
            <w:tcBorders>
              <w:top w:val="nil"/>
              <w:left w:val="nil"/>
              <w:bottom w:val="nil"/>
              <w:right w:val="nil"/>
            </w:tcBorders>
            <w:shd w:val="clear" w:color="auto" w:fill="auto"/>
            <w:vAlign w:val="center"/>
          </w:tcPr>
          <w:p w14:paraId="496ACAA9">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宋体" w:cs="Times New Roman"/>
                <w:b/>
                <w:bCs w:val="0"/>
                <w:kern w:val="2"/>
                <w:sz w:val="24"/>
                <w:szCs w:val="24"/>
                <w:lang w:val="en-US" w:eastAsia="zh-CN" w:bidi="ar"/>
              </w:rPr>
              <w:t>Vegetation Type × Season</w:t>
            </w:r>
          </w:p>
        </w:tc>
        <w:tc>
          <w:tcPr>
            <w:tcW w:w="825" w:type="pct"/>
            <w:tcBorders>
              <w:top w:val="nil"/>
              <w:left w:val="nil"/>
              <w:bottom w:val="nil"/>
              <w:right w:val="nil"/>
            </w:tcBorders>
            <w:shd w:val="clear" w:color="auto" w:fill="auto"/>
            <w:vAlign w:val="center"/>
          </w:tcPr>
          <w:p w14:paraId="3E5C6952">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0.</w:t>
            </w:r>
            <w:r>
              <w:rPr>
                <w:rFonts w:hint="eastAsia" w:ascii="Times New Roman" w:hAnsi="Times New Roman" w:eastAsia="仿宋" w:cs="Times New Roman"/>
                <w:color w:val="000000"/>
                <w:kern w:val="0"/>
                <w:sz w:val="24"/>
                <w:szCs w:val="24"/>
                <w:lang w:val="en-US" w:eastAsia="zh-CN" w:bidi="ar"/>
              </w:rPr>
              <w:t>10</w:t>
            </w:r>
          </w:p>
        </w:tc>
        <w:tc>
          <w:tcPr>
            <w:tcW w:w="612" w:type="pct"/>
            <w:tcBorders>
              <w:top w:val="nil"/>
              <w:left w:val="nil"/>
              <w:bottom w:val="nil"/>
              <w:right w:val="nil"/>
            </w:tcBorders>
            <w:shd w:val="clear" w:color="auto" w:fill="auto"/>
            <w:vAlign w:val="center"/>
          </w:tcPr>
          <w:p w14:paraId="564C6BA5">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eastAsia" w:ascii="Times New Roman" w:hAnsi="Times New Roman" w:eastAsia="仿宋" w:cs="Times New Roman"/>
                <w:color w:val="000000"/>
                <w:kern w:val="0"/>
                <w:sz w:val="24"/>
                <w:szCs w:val="24"/>
                <w:lang w:val="en-US" w:eastAsia="zh-CN" w:bidi="ar"/>
              </w:rPr>
              <w:t>3.77</w:t>
            </w:r>
          </w:p>
        </w:tc>
        <w:tc>
          <w:tcPr>
            <w:tcW w:w="860" w:type="pct"/>
            <w:tcBorders>
              <w:top w:val="nil"/>
              <w:left w:val="nil"/>
              <w:bottom w:val="nil"/>
              <w:right w:val="nil"/>
            </w:tcBorders>
            <w:shd w:val="clear" w:color="auto" w:fill="auto"/>
            <w:vAlign w:val="center"/>
          </w:tcPr>
          <w:p w14:paraId="53E175BE">
            <w:pPr>
              <w:keepNext w:val="0"/>
              <w:keepLines w:val="0"/>
              <w:widowControl/>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&lt;0.001</w:t>
            </w:r>
          </w:p>
        </w:tc>
      </w:tr>
      <w:tr w14:paraId="6B45312B">
        <w:tblPrEx>
          <w:tblBorders>
            <w:top w:val="single" w:color="auto" w:sz="4" w:space="0"/>
            <w:left w:val="none" w:color="auto" w:sz="6" w:space="0"/>
            <w:bottom w:val="single" w:color="auto" w:sz="4" w:space="0"/>
            <w:right w:val="none" w:color="auto" w:sz="6"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47" w:hRule="atLeast"/>
        </w:trPr>
        <w:tc>
          <w:tcPr>
            <w:tcW w:w="2702" w:type="pct"/>
            <w:tcBorders>
              <w:top w:val="nil"/>
              <w:left w:val="nil"/>
              <w:bottom w:val="single" w:color="auto" w:sz="8" w:space="0"/>
              <w:right w:val="nil"/>
            </w:tcBorders>
            <w:shd w:val="clear" w:color="auto" w:fill="auto"/>
            <w:vAlign w:val="center"/>
          </w:tcPr>
          <w:p w14:paraId="0FAD264D">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宋体" w:cs="Times New Roman"/>
                <w:b/>
                <w:bCs/>
                <w:color w:val="000000"/>
                <w:kern w:val="2"/>
                <w:sz w:val="24"/>
                <w:szCs w:val="24"/>
                <w:lang w:val="en-US" w:eastAsia="zh-CN" w:bidi="ar"/>
              </w:rPr>
              <w:t>Residuals</w:t>
            </w:r>
          </w:p>
        </w:tc>
        <w:tc>
          <w:tcPr>
            <w:tcW w:w="825" w:type="pct"/>
            <w:tcBorders>
              <w:top w:val="nil"/>
              <w:left w:val="nil"/>
              <w:bottom w:val="single" w:color="auto" w:sz="8" w:space="0"/>
              <w:right w:val="nil"/>
            </w:tcBorders>
            <w:shd w:val="clear" w:color="auto" w:fill="auto"/>
            <w:vAlign w:val="center"/>
          </w:tcPr>
          <w:p w14:paraId="62A70997">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r>
              <w:rPr>
                <w:rFonts w:hint="default" w:ascii="Times New Roman" w:hAnsi="Times New Roman" w:eastAsia="仿宋" w:cs="Times New Roman"/>
                <w:color w:val="000000"/>
                <w:kern w:val="0"/>
                <w:sz w:val="24"/>
                <w:szCs w:val="24"/>
                <w:lang w:val="en-US" w:eastAsia="zh-CN" w:bidi="ar"/>
              </w:rPr>
              <w:t>0.</w:t>
            </w:r>
            <w:r>
              <w:rPr>
                <w:rFonts w:hint="eastAsia" w:ascii="Times New Roman" w:hAnsi="Times New Roman" w:eastAsia="仿宋" w:cs="Times New Roman"/>
                <w:color w:val="000000"/>
                <w:kern w:val="0"/>
                <w:sz w:val="24"/>
                <w:szCs w:val="24"/>
                <w:lang w:val="en-US" w:eastAsia="zh-CN" w:bidi="ar"/>
              </w:rPr>
              <w:t>15</w:t>
            </w:r>
          </w:p>
        </w:tc>
        <w:tc>
          <w:tcPr>
            <w:tcW w:w="612" w:type="pct"/>
            <w:tcBorders>
              <w:top w:val="nil"/>
              <w:left w:val="nil"/>
              <w:bottom w:val="single" w:color="auto" w:sz="8" w:space="0"/>
              <w:right w:val="nil"/>
            </w:tcBorders>
            <w:shd w:val="clear" w:color="auto" w:fill="auto"/>
            <w:vAlign w:val="center"/>
          </w:tcPr>
          <w:p w14:paraId="37421BA8">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p>
        </w:tc>
        <w:tc>
          <w:tcPr>
            <w:tcW w:w="860" w:type="pct"/>
            <w:tcBorders>
              <w:top w:val="nil"/>
              <w:left w:val="nil"/>
              <w:bottom w:val="single" w:color="auto" w:sz="8" w:space="0"/>
              <w:right w:val="nil"/>
            </w:tcBorders>
            <w:shd w:val="clear" w:color="auto" w:fill="auto"/>
            <w:vAlign w:val="center"/>
          </w:tcPr>
          <w:p w14:paraId="1007B77D">
            <w:pPr>
              <w:keepNext w:val="0"/>
              <w:keepLines w:val="0"/>
              <w:widowControl w:val="0"/>
              <w:suppressLineNumbers w:val="0"/>
              <w:spacing w:before="0" w:beforeAutospacing="0" w:after="0" w:afterLines="50" w:afterAutospacing="0" w:line="480" w:lineRule="auto"/>
              <w:ind w:left="0" w:right="0" w:firstLine="0" w:firstLineChars="0"/>
              <w:jc w:val="center"/>
              <w:rPr>
                <w:rFonts w:hint="default"/>
                <w:szCs w:val="24"/>
                <w:lang w:val="en-US"/>
              </w:rPr>
            </w:pPr>
          </w:p>
        </w:tc>
      </w:tr>
    </w:tbl>
    <w:p w14:paraId="65E26A52">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p>
    <w:p w14:paraId="02F95808">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br w:type="page"/>
      </w:r>
    </w:p>
    <w:p w14:paraId="3BEE2038">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hint="eastAsia" w:ascii="Times New Roman" w:hAnsi="Times New Roman" w:cs="Times New Roman"/>
          <w:sz w:val="22"/>
          <w:szCs w:val="22"/>
        </w:rPr>
        <w:drawing>
          <wp:inline distT="0" distB="0" distL="0" distR="0">
            <wp:extent cx="5274310" cy="2051685"/>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4310" cy="2051685"/>
                    </a:xfrm>
                    <a:prstGeom prst="rect">
                      <a:avLst/>
                    </a:prstGeom>
                    <a:noFill/>
                    <a:ln>
                      <a:noFill/>
                    </a:ln>
                  </pic:spPr>
                </pic:pic>
              </a:graphicData>
            </a:graphic>
          </wp:inline>
        </w:drawing>
      </w:r>
    </w:p>
    <w:p w14:paraId="186D1A10">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t>Fig</w:t>
      </w:r>
      <w:r>
        <w:rPr>
          <w:rFonts w:hint="eastAsia" w:ascii="Times New Roman" w:hAnsi="Times New Roman" w:cs="Times New Roman"/>
          <w:sz w:val="22"/>
          <w:szCs w:val="22"/>
          <w:lang w:val="en-US" w:eastAsia="zh-CN"/>
        </w:rPr>
        <w:t>.</w:t>
      </w:r>
      <w:r>
        <w:rPr>
          <w:rFonts w:ascii="Times New Roman" w:hAnsi="Times New Roman" w:cs="Times New Roman"/>
          <w:sz w:val="22"/>
          <w:szCs w:val="22"/>
        </w:rPr>
        <w:t xml:space="preserve"> </w:t>
      </w:r>
      <w:r>
        <w:rPr>
          <w:rFonts w:hint="eastAsia" w:ascii="Times New Roman" w:hAnsi="Times New Roman" w:cs="Times New Roman"/>
          <w:sz w:val="22"/>
          <w:szCs w:val="22"/>
        </w:rPr>
        <w:t>S2</w:t>
      </w:r>
      <w:r>
        <w:rPr>
          <w:rFonts w:ascii="Times New Roman" w:hAnsi="Times New Roman" w:cs="Times New Roman"/>
          <w:sz w:val="22"/>
          <w:szCs w:val="22"/>
        </w:rPr>
        <w:t xml:space="preserve"> Relative abundance of soil bacteria (a) and fungi (b) at phylum level.</w:t>
      </w:r>
    </w:p>
    <w:p w14:paraId="743F7AE8">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br w:type="page"/>
      </w:r>
    </w:p>
    <w:p w14:paraId="77823E96">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hint="eastAsia" w:ascii="Times New Roman" w:hAnsi="Times New Roman" w:cs="Times New Roman"/>
          <w:sz w:val="22"/>
          <w:szCs w:val="22"/>
        </w:rPr>
        <w:drawing>
          <wp:inline distT="0" distB="0" distL="0" distR="0">
            <wp:extent cx="5274310" cy="232981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274310" cy="2329815"/>
                    </a:xfrm>
                    <a:prstGeom prst="rect">
                      <a:avLst/>
                    </a:prstGeom>
                    <a:noFill/>
                    <a:ln>
                      <a:noFill/>
                    </a:ln>
                  </pic:spPr>
                </pic:pic>
              </a:graphicData>
            </a:graphic>
          </wp:inline>
        </w:drawing>
      </w:r>
    </w:p>
    <w:p w14:paraId="76412562">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t>Fig</w:t>
      </w:r>
      <w:r>
        <w:rPr>
          <w:rFonts w:hint="eastAsia" w:ascii="Times New Roman" w:hAnsi="Times New Roman" w:cs="Times New Roman"/>
          <w:sz w:val="22"/>
          <w:szCs w:val="22"/>
          <w:lang w:val="en-US" w:eastAsia="zh-CN"/>
        </w:rPr>
        <w:t>.</w:t>
      </w:r>
      <w:r>
        <w:rPr>
          <w:rFonts w:ascii="Times New Roman" w:hAnsi="Times New Roman" w:cs="Times New Roman"/>
          <w:sz w:val="22"/>
          <w:szCs w:val="22"/>
        </w:rPr>
        <w:t xml:space="preserve"> </w:t>
      </w:r>
      <w:r>
        <w:rPr>
          <w:rFonts w:hint="eastAsia" w:ascii="Times New Roman" w:hAnsi="Times New Roman" w:cs="Times New Roman"/>
          <w:sz w:val="22"/>
          <w:szCs w:val="22"/>
        </w:rPr>
        <w:t>S3</w:t>
      </w:r>
      <w:r>
        <w:rPr>
          <w:rFonts w:ascii="Times New Roman" w:hAnsi="Times New Roman" w:cs="Times New Roman"/>
          <w:sz w:val="22"/>
          <w:szCs w:val="22"/>
        </w:rPr>
        <w:t xml:space="preserve"> </w:t>
      </w:r>
      <w:r>
        <w:rPr>
          <w:rFonts w:hint="eastAsia" w:ascii="Times New Roman" w:hAnsi="Times New Roman" w:cs="Times New Roman"/>
          <w:sz w:val="22"/>
          <w:szCs w:val="22"/>
        </w:rPr>
        <w:t>Fungal</w:t>
      </w:r>
      <w:r>
        <w:rPr>
          <w:rFonts w:ascii="Times New Roman" w:hAnsi="Times New Roman" w:cs="Times New Roman"/>
          <w:sz w:val="22"/>
          <w:szCs w:val="22"/>
        </w:rPr>
        <w:t xml:space="preserve"> Bacterial community assembly processes based on the neutral community model (NCM). ASVs that occur more frequently than predicted by the NCM are indicated in green, whereas those that occur less frequently than predicted are shown in red. Black dots indicate the best fit to the neutral community model and dashed blue lines represent 95% confidence intervals around the model prediction; R</w:t>
      </w:r>
      <w:r>
        <w:rPr>
          <w:rFonts w:ascii="Times New Roman" w:hAnsi="Times New Roman" w:cs="Times New Roman"/>
          <w:sz w:val="22"/>
          <w:szCs w:val="22"/>
          <w:vertAlign w:val="superscript"/>
        </w:rPr>
        <w:t>2</w:t>
      </w:r>
      <w:r>
        <w:rPr>
          <w:rFonts w:ascii="Times New Roman" w:hAnsi="Times New Roman" w:cs="Times New Roman"/>
          <w:sz w:val="22"/>
          <w:szCs w:val="22"/>
        </w:rPr>
        <w:t xml:space="preserve"> values denote the magnitude of model prediction accuracy and Nm values indicate the metacommunity size times immigration.</w:t>
      </w:r>
    </w:p>
    <w:p w14:paraId="0847DE46">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br w:type="page"/>
      </w:r>
    </w:p>
    <w:p w14:paraId="6B39F8C8">
      <w:pPr>
        <w:keepNext w:val="0"/>
        <w:keepLines w:val="0"/>
        <w:pageBreakBefore w:val="0"/>
        <w:kinsoku/>
        <w:wordWrap/>
        <w:overflowPunct/>
        <w:topLinePunct w:val="0"/>
        <w:autoSpaceDE/>
        <w:autoSpaceDN/>
        <w:bidi w:val="0"/>
        <w:adjustRightInd/>
        <w:snapToGrid/>
        <w:spacing w:after="120" w:line="480" w:lineRule="auto"/>
        <w:jc w:val="center"/>
        <w:textAlignment w:val="auto"/>
        <w:rPr>
          <w:rFonts w:ascii="Times New Roman" w:hAnsi="Times New Roman" w:cs="Times New Roman"/>
          <w:sz w:val="22"/>
          <w:szCs w:val="22"/>
        </w:rPr>
      </w:pPr>
      <w:r>
        <w:rPr>
          <w:rFonts w:hint="eastAsia" w:ascii="Times New Roman" w:hAnsi="Times New Roman" w:cs="Times New Roman"/>
          <w:sz w:val="22"/>
          <w:szCs w:val="22"/>
        </w:rPr>
        <w:drawing>
          <wp:inline distT="0" distB="0" distL="0" distR="0">
            <wp:extent cx="4572000" cy="5998210"/>
            <wp:effectExtent l="0" t="0" r="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572000" cy="5998210"/>
                    </a:xfrm>
                    <a:prstGeom prst="rect">
                      <a:avLst/>
                    </a:prstGeom>
                    <a:noFill/>
                    <a:ln>
                      <a:noFill/>
                    </a:ln>
                  </pic:spPr>
                </pic:pic>
              </a:graphicData>
            </a:graphic>
          </wp:inline>
        </w:drawing>
      </w:r>
    </w:p>
    <w:p w14:paraId="755580CD">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color w:val="000000"/>
          <w:sz w:val="22"/>
          <w:szCs w:val="22"/>
        </w:rPr>
      </w:pPr>
      <w:r>
        <w:rPr>
          <w:rFonts w:ascii="Times New Roman" w:hAnsi="Times New Roman" w:cs="Times New Roman"/>
          <w:sz w:val="22"/>
          <w:szCs w:val="22"/>
        </w:rPr>
        <w:t>Fig</w:t>
      </w:r>
      <w:r>
        <w:rPr>
          <w:rFonts w:hint="eastAsia" w:ascii="Times New Roman" w:hAnsi="Times New Roman" w:cs="Times New Roman"/>
          <w:sz w:val="22"/>
          <w:szCs w:val="22"/>
          <w:lang w:val="en-US" w:eastAsia="zh-CN"/>
        </w:rPr>
        <w:t>.</w:t>
      </w:r>
      <w:r>
        <w:rPr>
          <w:rFonts w:ascii="Times New Roman" w:hAnsi="Times New Roman" w:cs="Times New Roman"/>
          <w:sz w:val="22"/>
          <w:szCs w:val="22"/>
        </w:rPr>
        <w:t xml:space="preserve"> </w:t>
      </w:r>
      <w:r>
        <w:rPr>
          <w:rFonts w:hint="eastAsia" w:ascii="Times New Roman" w:hAnsi="Times New Roman" w:cs="Times New Roman"/>
          <w:sz w:val="22"/>
          <w:szCs w:val="22"/>
        </w:rPr>
        <w:t>S4</w:t>
      </w:r>
      <w:r>
        <w:rPr>
          <w:rFonts w:ascii="Times New Roman" w:hAnsi="Times New Roman" w:cs="Times New Roman"/>
          <w:sz w:val="22"/>
          <w:szCs w:val="22"/>
        </w:rPr>
        <w:t xml:space="preserve"> </w:t>
      </w:r>
      <w:r>
        <w:rPr>
          <w:rFonts w:ascii="Times New Roman" w:hAnsi="Times New Roman" w:cs="Times New Roman"/>
          <w:color w:val="000000"/>
          <w:sz w:val="22"/>
          <w:szCs w:val="22"/>
        </w:rPr>
        <w:t xml:space="preserve">The </w:t>
      </w:r>
      <w:r>
        <w:rPr>
          <w:rFonts w:hint="eastAsia" w:ascii="Times New Roman" w:hAnsi="Times New Roman" w:cs="Times New Roman"/>
          <w:color w:val="000000"/>
          <w:sz w:val="22"/>
          <w:szCs w:val="22"/>
        </w:rPr>
        <w:t>funga</w:t>
      </w:r>
      <w:r>
        <w:rPr>
          <w:rFonts w:ascii="Times New Roman" w:hAnsi="Times New Roman" w:cs="Times New Roman"/>
          <w:color w:val="000000"/>
          <w:sz w:val="22"/>
          <w:szCs w:val="22"/>
        </w:rPr>
        <w:t>l co-occurrence networks of soils with tree (a), small tree (b), shrub (d), and herb (d)</w:t>
      </w:r>
      <w:r>
        <w:rPr>
          <w:rFonts w:hint="eastAsia" w:ascii="Times New Roman" w:hAnsi="Times New Roman" w:cs="Times New Roman"/>
          <w:color w:val="000000"/>
          <w:sz w:val="22"/>
          <w:szCs w:val="22"/>
        </w:rPr>
        <w:t xml:space="preserve"> </w:t>
      </w:r>
      <w:r>
        <w:rPr>
          <w:rFonts w:hint="eastAsia" w:ascii="Times New Roman" w:hAnsi="Times New Roman" w:cs="Times New Roman"/>
          <w:sz w:val="22"/>
          <w:szCs w:val="22"/>
        </w:rPr>
        <w:t>irrespective</w:t>
      </w:r>
      <w:r>
        <w:rPr>
          <w:rFonts w:ascii="Times New Roman" w:hAnsi="Times New Roman" w:cs="Times New Roman"/>
          <w:sz w:val="22"/>
          <w:szCs w:val="22"/>
        </w:rPr>
        <w:t xml:space="preserve"> of</w:t>
      </w:r>
      <w:r>
        <w:rPr>
          <w:rFonts w:hint="eastAsia" w:ascii="Times New Roman" w:hAnsi="Times New Roman" w:cs="Times New Roman"/>
          <w:sz w:val="22"/>
          <w:szCs w:val="22"/>
        </w:rPr>
        <w:t xml:space="preserve"> sampling seasons</w:t>
      </w:r>
      <w:r>
        <w:rPr>
          <w:rFonts w:ascii="Times New Roman" w:hAnsi="Times New Roman" w:cs="Times New Roman"/>
          <w:color w:val="000000"/>
          <w:sz w:val="22"/>
          <w:szCs w:val="22"/>
        </w:rPr>
        <w:t>. The size of each node is proportional to the number of degrees, as is shown in the legend. A connection stands for a strong (Spearman’s ρ &gt; 0.7) and significant (</w:t>
      </w:r>
      <w:r>
        <w:rPr>
          <w:rFonts w:ascii="Times New Roman" w:hAnsi="Times New Roman" w:cs="Times New Roman"/>
          <w:i/>
          <w:iCs/>
          <w:color w:val="000000"/>
          <w:sz w:val="22"/>
          <w:szCs w:val="22"/>
        </w:rPr>
        <w:t>p</w:t>
      </w:r>
      <w:r>
        <w:rPr>
          <w:rFonts w:ascii="Times New Roman" w:hAnsi="Times New Roman" w:cs="Times New Roman"/>
          <w:color w:val="000000"/>
          <w:sz w:val="22"/>
          <w:szCs w:val="22"/>
        </w:rPr>
        <w:t xml:space="preserve"> &lt; 0.01) correlation. Detailed network properties were listed in Table </w:t>
      </w:r>
      <w:r>
        <w:rPr>
          <w:rFonts w:hint="eastAsia" w:ascii="Times New Roman" w:hAnsi="Times New Roman" w:cs="Times New Roman"/>
          <w:color w:val="000000"/>
          <w:sz w:val="22"/>
          <w:szCs w:val="22"/>
        </w:rPr>
        <w:t>S1</w:t>
      </w:r>
      <w:r>
        <w:rPr>
          <w:rFonts w:ascii="Times New Roman" w:hAnsi="Times New Roman" w:cs="Times New Roman"/>
          <w:color w:val="000000"/>
          <w:sz w:val="22"/>
          <w:szCs w:val="22"/>
        </w:rPr>
        <w:t>.</w:t>
      </w:r>
    </w:p>
    <w:p w14:paraId="7BC41715">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color w:val="000000"/>
          <w:sz w:val="22"/>
          <w:szCs w:val="22"/>
        </w:rPr>
      </w:pPr>
      <w:r>
        <w:rPr>
          <w:rFonts w:ascii="Times New Roman" w:hAnsi="Times New Roman" w:cs="Times New Roman"/>
          <w:color w:val="000000"/>
          <w:sz w:val="22"/>
          <w:szCs w:val="22"/>
        </w:rPr>
        <w:br w:type="page"/>
      </w:r>
    </w:p>
    <w:p w14:paraId="74B2E910">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color w:val="000000"/>
          <w:sz w:val="22"/>
          <w:szCs w:val="22"/>
        </w:rPr>
      </w:pPr>
      <w:r>
        <w:rPr>
          <w:rFonts w:hint="eastAsia" w:ascii="Times New Roman" w:hAnsi="Times New Roman" w:cs="Times New Roman"/>
          <w:color w:val="000000"/>
          <w:sz w:val="22"/>
          <w:szCs w:val="22"/>
        </w:rPr>
        <w:drawing>
          <wp:inline distT="0" distB="0" distL="0" distR="0">
            <wp:extent cx="5268595" cy="3712210"/>
            <wp:effectExtent l="0" t="0" r="8255"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68595" cy="3712210"/>
                    </a:xfrm>
                    <a:prstGeom prst="rect">
                      <a:avLst/>
                    </a:prstGeom>
                    <a:noFill/>
                    <a:ln>
                      <a:noFill/>
                    </a:ln>
                  </pic:spPr>
                </pic:pic>
              </a:graphicData>
            </a:graphic>
          </wp:inline>
        </w:drawing>
      </w:r>
    </w:p>
    <w:p w14:paraId="56F57D5E">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t>Fig</w:t>
      </w:r>
      <w:r>
        <w:rPr>
          <w:rFonts w:hint="eastAsia" w:ascii="Times New Roman" w:hAnsi="Times New Roman" w:cs="Times New Roman"/>
          <w:sz w:val="22"/>
          <w:szCs w:val="22"/>
          <w:lang w:val="en-US" w:eastAsia="zh-CN"/>
        </w:rPr>
        <w:t>.</w:t>
      </w:r>
      <w:r>
        <w:rPr>
          <w:rFonts w:ascii="Times New Roman" w:hAnsi="Times New Roman" w:cs="Times New Roman"/>
          <w:sz w:val="22"/>
          <w:szCs w:val="22"/>
        </w:rPr>
        <w:t xml:space="preserve"> </w:t>
      </w:r>
      <w:r>
        <w:rPr>
          <w:rFonts w:hint="eastAsia" w:ascii="Times New Roman" w:hAnsi="Times New Roman" w:cs="Times New Roman"/>
          <w:sz w:val="22"/>
          <w:szCs w:val="22"/>
        </w:rPr>
        <w:t>S5</w:t>
      </w:r>
      <w:r>
        <w:rPr>
          <w:rFonts w:ascii="Times New Roman" w:hAnsi="Times New Roman" w:cs="Times New Roman"/>
          <w:sz w:val="22"/>
          <w:szCs w:val="22"/>
        </w:rPr>
        <w:t xml:space="preserve"> </w:t>
      </w:r>
      <w:r>
        <w:rPr>
          <w:rFonts w:hint="eastAsia" w:ascii="Times New Roman" w:hAnsi="Times New Roman" w:cs="Times New Roman"/>
          <w:sz w:val="22"/>
          <w:szCs w:val="22"/>
        </w:rPr>
        <w:t>Mantel analysis</w:t>
      </w:r>
      <w:r>
        <w:rPr>
          <w:rFonts w:ascii="Times New Roman" w:hAnsi="Times New Roman" w:cs="Times New Roman"/>
          <w:sz w:val="22"/>
          <w:szCs w:val="22"/>
        </w:rPr>
        <w:t xml:space="preserve"> of the correlation between soil physicochemical properties and soil </w:t>
      </w:r>
      <w:r>
        <w:rPr>
          <w:rFonts w:hint="eastAsia" w:ascii="Times New Roman" w:hAnsi="Times New Roman" w:cs="Times New Roman"/>
          <w:sz w:val="22"/>
          <w:szCs w:val="22"/>
        </w:rPr>
        <w:t>microbial communities</w:t>
      </w:r>
      <w:r>
        <w:rPr>
          <w:rFonts w:ascii="Times New Roman" w:hAnsi="Times New Roman" w:cs="Times New Roman"/>
          <w:sz w:val="22"/>
          <w:szCs w:val="22"/>
        </w:rPr>
        <w:t>.</w:t>
      </w:r>
    </w:p>
    <w:p w14:paraId="0CA1130E">
      <w:pPr>
        <w:keepNext w:val="0"/>
        <w:keepLines w:val="0"/>
        <w:pageBreakBefore w:val="0"/>
        <w:kinsoku/>
        <w:wordWrap/>
        <w:overflowPunct/>
        <w:topLinePunct w:val="0"/>
        <w:autoSpaceDE/>
        <w:autoSpaceDN/>
        <w:bidi w:val="0"/>
        <w:adjustRightInd/>
        <w:snapToGrid/>
        <w:spacing w:after="120" w:line="480" w:lineRule="auto"/>
        <w:textAlignment w:val="auto"/>
        <w:rPr>
          <w:rFonts w:ascii="Times New Roman" w:hAnsi="Times New Roman" w:cs="Times New Roman"/>
          <w:sz w:val="22"/>
          <w:szCs w:val="22"/>
        </w:rPr>
      </w:pPr>
      <w:r>
        <w:rPr>
          <w:rFonts w:ascii="Times New Roman" w:hAnsi="Times New Roman" w:cs="Times New Roman"/>
          <w:sz w:val="22"/>
          <w:szCs w:val="22"/>
        </w:rPr>
        <w:br w:type="page"/>
      </w:r>
    </w:p>
    <w:p w14:paraId="455EAA36">
      <w:pPr>
        <w:keepNext w:val="0"/>
        <w:keepLines w:val="0"/>
        <w:pageBreakBefore w:val="0"/>
        <w:kinsoku/>
        <w:wordWrap/>
        <w:overflowPunct/>
        <w:topLinePunct w:val="0"/>
        <w:autoSpaceDE/>
        <w:autoSpaceDN/>
        <w:bidi w:val="0"/>
        <w:adjustRightInd/>
        <w:snapToGrid/>
        <w:spacing w:after="120" w:line="480" w:lineRule="auto"/>
        <w:jc w:val="center"/>
        <w:textAlignment w:val="auto"/>
        <w:rPr>
          <w:rFonts w:ascii="Times New Roman" w:hAnsi="Times New Roman" w:eastAsia="仿宋" w:cs="Times New Roman"/>
          <w:color w:val="000000" w:themeColor="text1"/>
          <w:sz w:val="22"/>
          <w:szCs w:val="22"/>
          <w14:textFill>
            <w14:solidFill>
              <w14:schemeClr w14:val="tx1"/>
            </w14:solidFill>
          </w14:textFill>
        </w:rPr>
      </w:pPr>
      <w:r>
        <w:rPr>
          <w:rFonts w:ascii="Times New Roman" w:hAnsi="Times New Roman" w:cs="Times New Roman"/>
          <w:color w:val="000000"/>
          <w:sz w:val="22"/>
          <w:szCs w:val="22"/>
        </w:rPr>
        <w:t>Table S</w:t>
      </w:r>
      <w:r>
        <w:rPr>
          <w:rFonts w:hint="eastAsia" w:ascii="Times New Roman" w:hAnsi="Times New Roman" w:cs="Times New Roman"/>
          <w:color w:val="000000"/>
          <w:sz w:val="22"/>
          <w:szCs w:val="22"/>
          <w:lang w:val="en-US" w:eastAsia="zh-CN"/>
        </w:rPr>
        <w:t>4</w:t>
      </w:r>
      <w:r>
        <w:rPr>
          <w:rFonts w:ascii="Times New Roman" w:hAnsi="Times New Roman" w:cs="Times New Roman"/>
          <w:color w:val="000000"/>
          <w:sz w:val="22"/>
          <w:szCs w:val="22"/>
        </w:rPr>
        <w:t xml:space="preserve"> </w:t>
      </w:r>
      <w:r>
        <w:rPr>
          <w:rFonts w:ascii="Times New Roman" w:hAnsi="Times New Roman" w:eastAsia="仿宋" w:cs="Times New Roman"/>
          <w:color w:val="000000" w:themeColor="text1"/>
          <w:sz w:val="22"/>
          <w:szCs w:val="22"/>
          <w14:textFill>
            <w14:solidFill>
              <w14:schemeClr w14:val="tx1"/>
            </w14:solidFill>
          </w14:textFill>
        </w:rPr>
        <w:t>Topological properties of fungal co-occurrence network.</w:t>
      </w:r>
    </w:p>
    <w:tbl>
      <w:tblPr>
        <w:tblStyle w:val="5"/>
        <w:tblW w:w="8364" w:type="dxa"/>
        <w:tblInd w:w="0" w:type="dxa"/>
        <w:tblLayout w:type="fixed"/>
        <w:tblCellMar>
          <w:top w:w="0" w:type="dxa"/>
          <w:left w:w="108" w:type="dxa"/>
          <w:bottom w:w="0" w:type="dxa"/>
          <w:right w:w="108" w:type="dxa"/>
        </w:tblCellMar>
      </w:tblPr>
      <w:tblGrid>
        <w:gridCol w:w="3011"/>
        <w:gridCol w:w="1338"/>
        <w:gridCol w:w="1338"/>
        <w:gridCol w:w="1338"/>
        <w:gridCol w:w="1339"/>
      </w:tblGrid>
      <w:tr w14:paraId="5ED91108">
        <w:tblPrEx>
          <w:tblCellMar>
            <w:top w:w="0" w:type="dxa"/>
            <w:left w:w="108" w:type="dxa"/>
            <w:bottom w:w="0" w:type="dxa"/>
            <w:right w:w="108" w:type="dxa"/>
          </w:tblCellMar>
        </w:tblPrEx>
        <w:trPr>
          <w:trHeight w:val="334" w:hRule="atLeast"/>
        </w:trPr>
        <w:tc>
          <w:tcPr>
            <w:tcW w:w="3011" w:type="dxa"/>
            <w:tcBorders>
              <w:top w:val="single" w:color="auto" w:sz="8" w:space="0"/>
              <w:left w:val="nil"/>
              <w:bottom w:val="single" w:color="auto" w:sz="4" w:space="0"/>
              <w:right w:val="nil"/>
            </w:tcBorders>
            <w:shd w:val="clear" w:color="auto" w:fill="auto"/>
            <w:noWrap/>
            <w:vAlign w:val="center"/>
          </w:tcPr>
          <w:p w14:paraId="409D314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b/>
                <w:bCs/>
                <w:color w:val="000000" w:themeColor="text1"/>
                <w:kern w:val="0"/>
                <w:sz w:val="22"/>
                <w:szCs w:val="22"/>
                <w14:textFill>
                  <w14:solidFill>
                    <w14:schemeClr w14:val="tx1"/>
                  </w14:solidFill>
                </w14:textFill>
              </w:rPr>
            </w:pPr>
            <w:r>
              <w:rPr>
                <w:rFonts w:hint="default" w:ascii="Times New Roman" w:hAnsi="Times New Roman" w:eastAsia="仿宋" w:cs="Times New Roman"/>
                <w:b/>
                <w:bCs/>
                <w:color w:val="000000" w:themeColor="text1"/>
                <w:kern w:val="0"/>
                <w:sz w:val="22"/>
                <w:szCs w:val="22"/>
                <w14:textFill>
                  <w14:solidFill>
                    <w14:schemeClr w14:val="tx1"/>
                  </w14:solidFill>
                </w14:textFill>
              </w:rPr>
              <w:t>Topological properties</w:t>
            </w:r>
          </w:p>
        </w:tc>
        <w:tc>
          <w:tcPr>
            <w:tcW w:w="1338" w:type="dxa"/>
            <w:tcBorders>
              <w:top w:val="single" w:color="auto" w:sz="8" w:space="0"/>
              <w:left w:val="nil"/>
              <w:bottom w:val="single" w:color="auto" w:sz="4" w:space="0"/>
              <w:right w:val="nil"/>
            </w:tcBorders>
            <w:shd w:val="clear" w:color="auto" w:fill="auto"/>
            <w:noWrap/>
            <w:vAlign w:val="center"/>
          </w:tcPr>
          <w:p w14:paraId="225576E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b/>
                <w:bCs/>
                <w:color w:val="000000" w:themeColor="text1"/>
                <w:kern w:val="0"/>
                <w:sz w:val="22"/>
                <w:szCs w:val="22"/>
                <w14:textFill>
                  <w14:solidFill>
                    <w14:schemeClr w14:val="tx1"/>
                  </w14:solidFill>
                </w14:textFill>
              </w:rPr>
            </w:pPr>
            <w:r>
              <w:rPr>
                <w:rFonts w:hint="default" w:ascii="Times New Roman" w:hAnsi="Times New Roman" w:eastAsia="仿宋" w:cs="Times New Roman"/>
                <w:b/>
                <w:bCs/>
                <w:color w:val="000000" w:themeColor="text1"/>
                <w:kern w:val="0"/>
                <w:sz w:val="22"/>
                <w:szCs w:val="22"/>
                <w14:textFill>
                  <w14:solidFill>
                    <w14:schemeClr w14:val="tx1"/>
                  </w14:solidFill>
                </w14:textFill>
              </w:rPr>
              <w:t>Tree</w:t>
            </w:r>
          </w:p>
        </w:tc>
        <w:tc>
          <w:tcPr>
            <w:tcW w:w="1338" w:type="dxa"/>
            <w:tcBorders>
              <w:top w:val="single" w:color="auto" w:sz="8" w:space="0"/>
              <w:left w:val="nil"/>
              <w:bottom w:val="single" w:color="auto" w:sz="4" w:space="0"/>
              <w:right w:val="nil"/>
            </w:tcBorders>
            <w:shd w:val="clear" w:color="auto" w:fill="auto"/>
            <w:noWrap/>
            <w:vAlign w:val="center"/>
          </w:tcPr>
          <w:p w14:paraId="57576659">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b/>
                <w:bCs/>
                <w:color w:val="000000" w:themeColor="text1"/>
                <w:kern w:val="0"/>
                <w:sz w:val="22"/>
                <w:szCs w:val="22"/>
                <w14:textFill>
                  <w14:solidFill>
                    <w14:schemeClr w14:val="tx1"/>
                  </w14:solidFill>
                </w14:textFill>
              </w:rPr>
            </w:pPr>
            <w:r>
              <w:rPr>
                <w:rFonts w:hint="default" w:ascii="Times New Roman" w:hAnsi="Times New Roman" w:eastAsia="仿宋" w:cs="Times New Roman"/>
                <w:b/>
                <w:bCs/>
                <w:color w:val="000000" w:themeColor="text1"/>
                <w:kern w:val="0"/>
                <w:sz w:val="22"/>
                <w:szCs w:val="22"/>
                <w14:textFill>
                  <w14:solidFill>
                    <w14:schemeClr w14:val="tx1"/>
                  </w14:solidFill>
                </w14:textFill>
              </w:rPr>
              <w:t>Small tree</w:t>
            </w:r>
          </w:p>
        </w:tc>
        <w:tc>
          <w:tcPr>
            <w:tcW w:w="1338" w:type="dxa"/>
            <w:tcBorders>
              <w:top w:val="single" w:color="auto" w:sz="8" w:space="0"/>
              <w:left w:val="nil"/>
              <w:bottom w:val="single" w:color="auto" w:sz="4" w:space="0"/>
              <w:right w:val="nil"/>
            </w:tcBorders>
            <w:shd w:val="clear" w:color="auto" w:fill="auto"/>
            <w:noWrap/>
            <w:vAlign w:val="center"/>
          </w:tcPr>
          <w:p w14:paraId="1CDE8CD4">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b/>
                <w:bCs/>
                <w:color w:val="000000" w:themeColor="text1"/>
                <w:kern w:val="0"/>
                <w:sz w:val="22"/>
                <w:szCs w:val="22"/>
                <w14:textFill>
                  <w14:solidFill>
                    <w14:schemeClr w14:val="tx1"/>
                  </w14:solidFill>
                </w14:textFill>
              </w:rPr>
            </w:pPr>
            <w:r>
              <w:rPr>
                <w:rFonts w:hint="default" w:ascii="Times New Roman" w:hAnsi="Times New Roman" w:eastAsia="仿宋" w:cs="Times New Roman"/>
                <w:b/>
                <w:bCs/>
                <w:color w:val="000000" w:themeColor="text1"/>
                <w:kern w:val="0"/>
                <w:sz w:val="22"/>
                <w:szCs w:val="22"/>
                <w14:textFill>
                  <w14:solidFill>
                    <w14:schemeClr w14:val="tx1"/>
                  </w14:solidFill>
                </w14:textFill>
              </w:rPr>
              <w:t>Shrub</w:t>
            </w:r>
          </w:p>
        </w:tc>
        <w:tc>
          <w:tcPr>
            <w:tcW w:w="1339" w:type="dxa"/>
            <w:tcBorders>
              <w:top w:val="single" w:color="auto" w:sz="8" w:space="0"/>
              <w:left w:val="nil"/>
              <w:bottom w:val="single" w:color="auto" w:sz="4" w:space="0"/>
              <w:right w:val="nil"/>
            </w:tcBorders>
            <w:shd w:val="clear" w:color="auto" w:fill="auto"/>
            <w:noWrap/>
            <w:vAlign w:val="center"/>
          </w:tcPr>
          <w:p w14:paraId="3785AD35">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b/>
                <w:bCs/>
                <w:color w:val="000000" w:themeColor="text1"/>
                <w:kern w:val="0"/>
                <w:sz w:val="22"/>
                <w:szCs w:val="22"/>
                <w14:textFill>
                  <w14:solidFill>
                    <w14:schemeClr w14:val="tx1"/>
                  </w14:solidFill>
                </w14:textFill>
              </w:rPr>
            </w:pPr>
            <w:r>
              <w:rPr>
                <w:rFonts w:hint="default" w:ascii="Times New Roman" w:hAnsi="Times New Roman" w:eastAsia="仿宋" w:cs="Times New Roman"/>
                <w:b/>
                <w:bCs/>
                <w:color w:val="000000" w:themeColor="text1"/>
                <w:kern w:val="0"/>
                <w:sz w:val="22"/>
                <w:szCs w:val="22"/>
                <w14:textFill>
                  <w14:solidFill>
                    <w14:schemeClr w14:val="tx1"/>
                  </w14:solidFill>
                </w14:textFill>
              </w:rPr>
              <w:t>Herb</w:t>
            </w:r>
          </w:p>
        </w:tc>
      </w:tr>
      <w:tr w14:paraId="55118668">
        <w:tblPrEx>
          <w:tblCellMar>
            <w:top w:w="0" w:type="dxa"/>
            <w:left w:w="108" w:type="dxa"/>
            <w:bottom w:w="0" w:type="dxa"/>
            <w:right w:w="108" w:type="dxa"/>
          </w:tblCellMar>
        </w:tblPrEx>
        <w:trPr>
          <w:trHeight w:val="334" w:hRule="atLeast"/>
        </w:trPr>
        <w:tc>
          <w:tcPr>
            <w:tcW w:w="3011" w:type="dxa"/>
            <w:tcBorders>
              <w:top w:val="single" w:color="auto" w:sz="4" w:space="0"/>
              <w:left w:val="nil"/>
              <w:bottom w:val="nil"/>
              <w:right w:val="nil"/>
            </w:tcBorders>
            <w:shd w:val="clear" w:color="auto" w:fill="auto"/>
            <w:noWrap/>
            <w:vAlign w:val="center"/>
          </w:tcPr>
          <w:p w14:paraId="2B4B94B5">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Node</w:t>
            </w:r>
          </w:p>
        </w:tc>
        <w:tc>
          <w:tcPr>
            <w:tcW w:w="1338" w:type="dxa"/>
            <w:tcBorders>
              <w:top w:val="single" w:color="auto" w:sz="4" w:space="0"/>
              <w:left w:val="nil"/>
              <w:bottom w:val="nil"/>
              <w:right w:val="nil"/>
            </w:tcBorders>
            <w:shd w:val="clear" w:color="auto" w:fill="auto"/>
            <w:noWrap/>
            <w:vAlign w:val="center"/>
          </w:tcPr>
          <w:p w14:paraId="6521C7C5">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149</w:t>
            </w:r>
          </w:p>
        </w:tc>
        <w:tc>
          <w:tcPr>
            <w:tcW w:w="1338" w:type="dxa"/>
            <w:tcBorders>
              <w:top w:val="single" w:color="auto" w:sz="4" w:space="0"/>
              <w:left w:val="nil"/>
              <w:bottom w:val="nil"/>
              <w:right w:val="nil"/>
            </w:tcBorders>
            <w:shd w:val="clear" w:color="auto" w:fill="auto"/>
            <w:noWrap/>
            <w:vAlign w:val="center"/>
          </w:tcPr>
          <w:p w14:paraId="6C7E151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54</w:t>
            </w:r>
          </w:p>
        </w:tc>
        <w:tc>
          <w:tcPr>
            <w:tcW w:w="1338" w:type="dxa"/>
            <w:tcBorders>
              <w:top w:val="single" w:color="auto" w:sz="4" w:space="0"/>
              <w:left w:val="nil"/>
              <w:bottom w:val="nil"/>
              <w:right w:val="nil"/>
            </w:tcBorders>
            <w:shd w:val="clear" w:color="auto" w:fill="auto"/>
            <w:noWrap/>
            <w:vAlign w:val="center"/>
          </w:tcPr>
          <w:p w14:paraId="5244119C">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52</w:t>
            </w:r>
          </w:p>
        </w:tc>
        <w:tc>
          <w:tcPr>
            <w:tcW w:w="1339" w:type="dxa"/>
            <w:tcBorders>
              <w:top w:val="single" w:color="auto" w:sz="4" w:space="0"/>
              <w:left w:val="nil"/>
              <w:bottom w:val="nil"/>
              <w:right w:val="nil"/>
            </w:tcBorders>
            <w:shd w:val="clear" w:color="auto" w:fill="auto"/>
            <w:noWrap/>
            <w:vAlign w:val="center"/>
          </w:tcPr>
          <w:p w14:paraId="386A400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23</w:t>
            </w:r>
          </w:p>
        </w:tc>
      </w:tr>
      <w:tr w14:paraId="78DAA85F">
        <w:tblPrEx>
          <w:tblCellMar>
            <w:top w:w="0" w:type="dxa"/>
            <w:left w:w="108" w:type="dxa"/>
            <w:bottom w:w="0" w:type="dxa"/>
            <w:right w:w="108" w:type="dxa"/>
          </w:tblCellMar>
        </w:tblPrEx>
        <w:trPr>
          <w:trHeight w:val="334" w:hRule="atLeast"/>
        </w:trPr>
        <w:tc>
          <w:tcPr>
            <w:tcW w:w="3011" w:type="dxa"/>
            <w:tcBorders>
              <w:top w:val="nil"/>
              <w:left w:val="nil"/>
              <w:bottom w:val="nil"/>
              <w:right w:val="nil"/>
            </w:tcBorders>
            <w:shd w:val="clear" w:color="auto" w:fill="auto"/>
            <w:noWrap/>
            <w:vAlign w:val="center"/>
          </w:tcPr>
          <w:p w14:paraId="5720F965">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Edge</w:t>
            </w:r>
          </w:p>
        </w:tc>
        <w:tc>
          <w:tcPr>
            <w:tcW w:w="1338" w:type="dxa"/>
            <w:tcBorders>
              <w:top w:val="nil"/>
              <w:left w:val="nil"/>
              <w:bottom w:val="nil"/>
              <w:right w:val="nil"/>
            </w:tcBorders>
            <w:shd w:val="clear" w:color="auto" w:fill="auto"/>
            <w:noWrap/>
            <w:vAlign w:val="center"/>
          </w:tcPr>
          <w:p w14:paraId="03219EEA">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862</w:t>
            </w:r>
          </w:p>
        </w:tc>
        <w:tc>
          <w:tcPr>
            <w:tcW w:w="1338" w:type="dxa"/>
            <w:tcBorders>
              <w:top w:val="nil"/>
              <w:left w:val="nil"/>
              <w:bottom w:val="nil"/>
              <w:right w:val="nil"/>
            </w:tcBorders>
            <w:shd w:val="clear" w:color="auto" w:fill="auto"/>
            <w:noWrap/>
            <w:vAlign w:val="center"/>
          </w:tcPr>
          <w:p w14:paraId="719D7206">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104</w:t>
            </w:r>
          </w:p>
        </w:tc>
        <w:tc>
          <w:tcPr>
            <w:tcW w:w="1338" w:type="dxa"/>
            <w:tcBorders>
              <w:top w:val="nil"/>
              <w:left w:val="nil"/>
              <w:bottom w:val="nil"/>
              <w:right w:val="nil"/>
            </w:tcBorders>
            <w:shd w:val="clear" w:color="auto" w:fill="auto"/>
            <w:noWrap/>
            <w:vAlign w:val="center"/>
          </w:tcPr>
          <w:p w14:paraId="3D32946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50</w:t>
            </w:r>
          </w:p>
        </w:tc>
        <w:tc>
          <w:tcPr>
            <w:tcW w:w="1339" w:type="dxa"/>
            <w:tcBorders>
              <w:top w:val="nil"/>
              <w:left w:val="nil"/>
              <w:bottom w:val="nil"/>
              <w:right w:val="nil"/>
            </w:tcBorders>
            <w:shd w:val="clear" w:color="auto" w:fill="auto"/>
            <w:noWrap/>
            <w:vAlign w:val="center"/>
          </w:tcPr>
          <w:p w14:paraId="786B037B">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33</w:t>
            </w:r>
          </w:p>
        </w:tc>
      </w:tr>
      <w:tr w14:paraId="43009889">
        <w:tblPrEx>
          <w:tblCellMar>
            <w:top w:w="0" w:type="dxa"/>
            <w:left w:w="108" w:type="dxa"/>
            <w:bottom w:w="0" w:type="dxa"/>
            <w:right w:w="108" w:type="dxa"/>
          </w:tblCellMar>
        </w:tblPrEx>
        <w:trPr>
          <w:trHeight w:val="334" w:hRule="atLeast"/>
        </w:trPr>
        <w:tc>
          <w:tcPr>
            <w:tcW w:w="3011" w:type="dxa"/>
            <w:tcBorders>
              <w:top w:val="nil"/>
              <w:left w:val="nil"/>
              <w:bottom w:val="nil"/>
              <w:right w:val="nil"/>
            </w:tcBorders>
            <w:shd w:val="clear" w:color="auto" w:fill="auto"/>
            <w:noWrap/>
            <w:vAlign w:val="center"/>
          </w:tcPr>
          <w:p w14:paraId="326B9599">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Positive edges percentage（%）</w:t>
            </w:r>
          </w:p>
        </w:tc>
        <w:tc>
          <w:tcPr>
            <w:tcW w:w="1338" w:type="dxa"/>
            <w:tcBorders>
              <w:top w:val="nil"/>
              <w:left w:val="nil"/>
              <w:bottom w:val="nil"/>
              <w:right w:val="nil"/>
            </w:tcBorders>
            <w:shd w:val="clear" w:color="auto" w:fill="auto"/>
            <w:noWrap/>
            <w:vAlign w:val="center"/>
          </w:tcPr>
          <w:p w14:paraId="38D1AF72">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71.3</w:t>
            </w:r>
          </w:p>
        </w:tc>
        <w:tc>
          <w:tcPr>
            <w:tcW w:w="1338" w:type="dxa"/>
            <w:tcBorders>
              <w:top w:val="nil"/>
              <w:left w:val="nil"/>
              <w:bottom w:val="nil"/>
              <w:right w:val="nil"/>
            </w:tcBorders>
            <w:shd w:val="clear" w:color="auto" w:fill="auto"/>
            <w:noWrap/>
            <w:vAlign w:val="center"/>
          </w:tcPr>
          <w:p w14:paraId="3D551987">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88.5</w:t>
            </w:r>
          </w:p>
        </w:tc>
        <w:tc>
          <w:tcPr>
            <w:tcW w:w="1338" w:type="dxa"/>
            <w:tcBorders>
              <w:top w:val="nil"/>
              <w:left w:val="nil"/>
              <w:bottom w:val="nil"/>
              <w:right w:val="nil"/>
            </w:tcBorders>
            <w:shd w:val="clear" w:color="auto" w:fill="auto"/>
            <w:noWrap/>
            <w:vAlign w:val="center"/>
          </w:tcPr>
          <w:p w14:paraId="39F7CB8B">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100</w:t>
            </w:r>
          </w:p>
        </w:tc>
        <w:tc>
          <w:tcPr>
            <w:tcW w:w="1339" w:type="dxa"/>
            <w:tcBorders>
              <w:top w:val="nil"/>
              <w:left w:val="nil"/>
              <w:bottom w:val="nil"/>
              <w:right w:val="nil"/>
            </w:tcBorders>
            <w:shd w:val="clear" w:color="auto" w:fill="auto"/>
            <w:noWrap/>
            <w:vAlign w:val="center"/>
          </w:tcPr>
          <w:p w14:paraId="6E957C2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93.9</w:t>
            </w:r>
          </w:p>
        </w:tc>
      </w:tr>
      <w:tr w14:paraId="0828DF6F">
        <w:tblPrEx>
          <w:tblCellMar>
            <w:top w:w="0" w:type="dxa"/>
            <w:left w:w="108" w:type="dxa"/>
            <w:bottom w:w="0" w:type="dxa"/>
            <w:right w:w="108" w:type="dxa"/>
          </w:tblCellMar>
        </w:tblPrEx>
        <w:trPr>
          <w:trHeight w:val="334" w:hRule="atLeast"/>
        </w:trPr>
        <w:tc>
          <w:tcPr>
            <w:tcW w:w="3011" w:type="dxa"/>
            <w:tcBorders>
              <w:top w:val="nil"/>
              <w:left w:val="nil"/>
              <w:bottom w:val="nil"/>
              <w:right w:val="nil"/>
            </w:tcBorders>
            <w:shd w:val="clear" w:color="auto" w:fill="auto"/>
            <w:noWrap/>
            <w:vAlign w:val="center"/>
          </w:tcPr>
          <w:p w14:paraId="42A4EF32">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Average degree</w:t>
            </w:r>
          </w:p>
        </w:tc>
        <w:tc>
          <w:tcPr>
            <w:tcW w:w="1338" w:type="dxa"/>
            <w:tcBorders>
              <w:top w:val="nil"/>
              <w:left w:val="nil"/>
              <w:bottom w:val="nil"/>
              <w:right w:val="nil"/>
            </w:tcBorders>
            <w:shd w:val="clear" w:color="auto" w:fill="auto"/>
            <w:noWrap/>
            <w:vAlign w:val="center"/>
          </w:tcPr>
          <w:p w14:paraId="6037FA2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11.570</w:t>
            </w:r>
          </w:p>
        </w:tc>
        <w:tc>
          <w:tcPr>
            <w:tcW w:w="1338" w:type="dxa"/>
            <w:tcBorders>
              <w:top w:val="nil"/>
              <w:left w:val="nil"/>
              <w:bottom w:val="nil"/>
              <w:right w:val="nil"/>
            </w:tcBorders>
            <w:shd w:val="clear" w:color="auto" w:fill="auto"/>
            <w:noWrap/>
            <w:vAlign w:val="center"/>
          </w:tcPr>
          <w:p w14:paraId="4035E0F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3.862</w:t>
            </w:r>
          </w:p>
        </w:tc>
        <w:tc>
          <w:tcPr>
            <w:tcW w:w="1338" w:type="dxa"/>
            <w:tcBorders>
              <w:top w:val="nil"/>
              <w:left w:val="nil"/>
              <w:bottom w:val="nil"/>
              <w:right w:val="nil"/>
            </w:tcBorders>
            <w:shd w:val="clear" w:color="auto" w:fill="auto"/>
            <w:noWrap/>
            <w:vAlign w:val="center"/>
          </w:tcPr>
          <w:p w14:paraId="488CE932">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1.923</w:t>
            </w:r>
          </w:p>
        </w:tc>
        <w:tc>
          <w:tcPr>
            <w:tcW w:w="1339" w:type="dxa"/>
            <w:tcBorders>
              <w:top w:val="nil"/>
              <w:left w:val="nil"/>
              <w:bottom w:val="nil"/>
              <w:right w:val="nil"/>
            </w:tcBorders>
            <w:shd w:val="clear" w:color="auto" w:fill="auto"/>
            <w:noWrap/>
            <w:vAlign w:val="center"/>
          </w:tcPr>
          <w:p w14:paraId="72349EF9">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2.870</w:t>
            </w:r>
          </w:p>
        </w:tc>
      </w:tr>
      <w:tr w14:paraId="7FAA500F">
        <w:tblPrEx>
          <w:tblCellMar>
            <w:top w:w="0" w:type="dxa"/>
            <w:left w:w="108" w:type="dxa"/>
            <w:bottom w:w="0" w:type="dxa"/>
            <w:right w:w="108" w:type="dxa"/>
          </w:tblCellMar>
        </w:tblPrEx>
        <w:trPr>
          <w:trHeight w:val="334" w:hRule="atLeast"/>
        </w:trPr>
        <w:tc>
          <w:tcPr>
            <w:tcW w:w="3011" w:type="dxa"/>
            <w:tcBorders>
              <w:top w:val="nil"/>
              <w:left w:val="nil"/>
              <w:bottom w:val="nil"/>
              <w:right w:val="nil"/>
            </w:tcBorders>
            <w:shd w:val="clear" w:color="auto" w:fill="auto"/>
            <w:noWrap/>
            <w:vAlign w:val="center"/>
          </w:tcPr>
          <w:p w14:paraId="4638D64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Modularity</w:t>
            </w:r>
          </w:p>
        </w:tc>
        <w:tc>
          <w:tcPr>
            <w:tcW w:w="1338" w:type="dxa"/>
            <w:tcBorders>
              <w:top w:val="nil"/>
              <w:left w:val="nil"/>
              <w:bottom w:val="nil"/>
              <w:right w:val="nil"/>
            </w:tcBorders>
            <w:shd w:val="clear" w:color="auto" w:fill="auto"/>
            <w:noWrap/>
            <w:vAlign w:val="center"/>
          </w:tcPr>
          <w:p w14:paraId="3FEA41DA">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0.298</w:t>
            </w:r>
          </w:p>
        </w:tc>
        <w:tc>
          <w:tcPr>
            <w:tcW w:w="1338" w:type="dxa"/>
            <w:tcBorders>
              <w:top w:val="nil"/>
              <w:left w:val="nil"/>
              <w:bottom w:val="nil"/>
              <w:right w:val="nil"/>
            </w:tcBorders>
            <w:shd w:val="clear" w:color="auto" w:fill="auto"/>
            <w:noWrap/>
            <w:vAlign w:val="center"/>
          </w:tcPr>
          <w:p w14:paraId="77A08D4D">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0.685</w:t>
            </w:r>
          </w:p>
        </w:tc>
        <w:tc>
          <w:tcPr>
            <w:tcW w:w="1338" w:type="dxa"/>
            <w:tcBorders>
              <w:top w:val="nil"/>
              <w:left w:val="nil"/>
              <w:bottom w:val="nil"/>
              <w:right w:val="nil"/>
            </w:tcBorders>
            <w:shd w:val="clear" w:color="auto" w:fill="auto"/>
            <w:noWrap/>
            <w:vAlign w:val="center"/>
          </w:tcPr>
          <w:p w14:paraId="6C4797CB">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0.804</w:t>
            </w:r>
          </w:p>
        </w:tc>
        <w:tc>
          <w:tcPr>
            <w:tcW w:w="1339" w:type="dxa"/>
            <w:tcBorders>
              <w:top w:val="nil"/>
              <w:left w:val="nil"/>
              <w:bottom w:val="nil"/>
              <w:right w:val="nil"/>
            </w:tcBorders>
            <w:shd w:val="clear" w:color="auto" w:fill="auto"/>
            <w:noWrap/>
            <w:vAlign w:val="center"/>
          </w:tcPr>
          <w:p w14:paraId="5EB7E15F">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0.545</w:t>
            </w:r>
          </w:p>
        </w:tc>
      </w:tr>
      <w:tr w14:paraId="0BCD769C">
        <w:tblPrEx>
          <w:tblCellMar>
            <w:top w:w="0" w:type="dxa"/>
            <w:left w:w="108" w:type="dxa"/>
            <w:bottom w:w="0" w:type="dxa"/>
            <w:right w:w="108" w:type="dxa"/>
          </w:tblCellMar>
        </w:tblPrEx>
        <w:trPr>
          <w:trHeight w:val="334" w:hRule="atLeast"/>
        </w:trPr>
        <w:tc>
          <w:tcPr>
            <w:tcW w:w="3011" w:type="dxa"/>
            <w:tcBorders>
              <w:top w:val="nil"/>
              <w:left w:val="nil"/>
              <w:right w:val="nil"/>
            </w:tcBorders>
            <w:shd w:val="clear" w:color="auto" w:fill="auto"/>
            <w:noWrap/>
            <w:vAlign w:val="center"/>
          </w:tcPr>
          <w:p w14:paraId="2A991F75">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Average clustering coefficient</w:t>
            </w:r>
          </w:p>
        </w:tc>
        <w:tc>
          <w:tcPr>
            <w:tcW w:w="1338" w:type="dxa"/>
            <w:tcBorders>
              <w:top w:val="nil"/>
              <w:left w:val="nil"/>
              <w:right w:val="nil"/>
            </w:tcBorders>
            <w:shd w:val="clear" w:color="auto" w:fill="auto"/>
            <w:noWrap/>
            <w:vAlign w:val="center"/>
          </w:tcPr>
          <w:p w14:paraId="63DBB7B1">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0.617</w:t>
            </w:r>
          </w:p>
        </w:tc>
        <w:tc>
          <w:tcPr>
            <w:tcW w:w="1338" w:type="dxa"/>
            <w:tcBorders>
              <w:top w:val="nil"/>
              <w:left w:val="nil"/>
              <w:right w:val="nil"/>
            </w:tcBorders>
            <w:shd w:val="clear" w:color="auto" w:fill="auto"/>
            <w:noWrap/>
            <w:vAlign w:val="center"/>
          </w:tcPr>
          <w:p w14:paraId="017F675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0.652</w:t>
            </w:r>
          </w:p>
        </w:tc>
        <w:tc>
          <w:tcPr>
            <w:tcW w:w="1338" w:type="dxa"/>
            <w:tcBorders>
              <w:top w:val="nil"/>
              <w:left w:val="nil"/>
              <w:right w:val="nil"/>
            </w:tcBorders>
            <w:shd w:val="clear" w:color="auto" w:fill="auto"/>
            <w:noWrap/>
            <w:vAlign w:val="center"/>
          </w:tcPr>
          <w:p w14:paraId="661C938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0.593</w:t>
            </w:r>
          </w:p>
        </w:tc>
        <w:tc>
          <w:tcPr>
            <w:tcW w:w="1339" w:type="dxa"/>
            <w:tcBorders>
              <w:top w:val="nil"/>
              <w:left w:val="nil"/>
              <w:right w:val="nil"/>
            </w:tcBorders>
            <w:shd w:val="clear" w:color="auto" w:fill="auto"/>
            <w:noWrap/>
            <w:vAlign w:val="center"/>
          </w:tcPr>
          <w:p w14:paraId="5DFABC60">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0.642</w:t>
            </w:r>
          </w:p>
        </w:tc>
      </w:tr>
      <w:tr w14:paraId="5AEEFAFA">
        <w:tblPrEx>
          <w:tblCellMar>
            <w:top w:w="0" w:type="dxa"/>
            <w:left w:w="108" w:type="dxa"/>
            <w:bottom w:w="0" w:type="dxa"/>
            <w:right w:w="108" w:type="dxa"/>
          </w:tblCellMar>
        </w:tblPrEx>
        <w:trPr>
          <w:trHeight w:val="334" w:hRule="atLeast"/>
        </w:trPr>
        <w:tc>
          <w:tcPr>
            <w:tcW w:w="3011" w:type="dxa"/>
            <w:tcBorders>
              <w:top w:val="nil"/>
              <w:left w:val="nil"/>
              <w:bottom w:val="single" w:color="auto" w:sz="8" w:space="0"/>
              <w:right w:val="nil"/>
            </w:tcBorders>
            <w:shd w:val="clear" w:color="auto" w:fill="auto"/>
            <w:noWrap/>
            <w:vAlign w:val="center"/>
          </w:tcPr>
          <w:p w14:paraId="50DBDA63">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Average path length</w:t>
            </w:r>
          </w:p>
        </w:tc>
        <w:tc>
          <w:tcPr>
            <w:tcW w:w="1338" w:type="dxa"/>
            <w:tcBorders>
              <w:top w:val="nil"/>
              <w:left w:val="nil"/>
              <w:bottom w:val="single" w:color="auto" w:sz="8" w:space="0"/>
              <w:right w:val="nil"/>
            </w:tcBorders>
            <w:shd w:val="clear" w:color="auto" w:fill="auto"/>
            <w:noWrap/>
            <w:vAlign w:val="center"/>
          </w:tcPr>
          <w:p w14:paraId="25D8210D">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2.698</w:t>
            </w:r>
          </w:p>
        </w:tc>
        <w:tc>
          <w:tcPr>
            <w:tcW w:w="1338" w:type="dxa"/>
            <w:tcBorders>
              <w:top w:val="nil"/>
              <w:left w:val="nil"/>
              <w:bottom w:val="single" w:color="auto" w:sz="8" w:space="0"/>
              <w:right w:val="nil"/>
            </w:tcBorders>
            <w:shd w:val="clear" w:color="auto" w:fill="auto"/>
            <w:noWrap/>
            <w:vAlign w:val="center"/>
          </w:tcPr>
          <w:p w14:paraId="57C50E18">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3.008</w:t>
            </w:r>
          </w:p>
        </w:tc>
        <w:tc>
          <w:tcPr>
            <w:tcW w:w="1338" w:type="dxa"/>
            <w:tcBorders>
              <w:top w:val="nil"/>
              <w:left w:val="nil"/>
              <w:bottom w:val="single" w:color="auto" w:sz="8" w:space="0"/>
              <w:right w:val="nil"/>
            </w:tcBorders>
            <w:shd w:val="clear" w:color="auto" w:fill="auto"/>
            <w:noWrap/>
            <w:vAlign w:val="center"/>
          </w:tcPr>
          <w:p w14:paraId="0E5F0C7B">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2.581</w:t>
            </w:r>
          </w:p>
        </w:tc>
        <w:tc>
          <w:tcPr>
            <w:tcW w:w="1339" w:type="dxa"/>
            <w:tcBorders>
              <w:top w:val="nil"/>
              <w:left w:val="nil"/>
              <w:bottom w:val="single" w:color="auto" w:sz="8" w:space="0"/>
              <w:right w:val="nil"/>
            </w:tcBorders>
            <w:shd w:val="clear" w:color="auto" w:fill="auto"/>
            <w:noWrap/>
            <w:vAlign w:val="center"/>
          </w:tcPr>
          <w:p w14:paraId="7350013B">
            <w:pPr>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480" w:lineRule="auto"/>
              <w:ind w:left="0" w:right="0"/>
              <w:jc w:val="center"/>
              <w:textAlignment w:val="auto"/>
              <w:rPr>
                <w:rFonts w:hint="default" w:ascii="Times New Roman" w:hAnsi="Times New Roman" w:eastAsia="仿宋" w:cs="Times New Roman"/>
                <w:color w:val="000000" w:themeColor="text1"/>
                <w:kern w:val="0"/>
                <w:sz w:val="22"/>
                <w:szCs w:val="22"/>
                <w14:textFill>
                  <w14:solidFill>
                    <w14:schemeClr w14:val="tx1"/>
                  </w14:solidFill>
                </w14:textFill>
              </w:rPr>
            </w:pPr>
            <w:r>
              <w:rPr>
                <w:rFonts w:hint="default" w:ascii="Times New Roman" w:hAnsi="Times New Roman" w:eastAsia="仿宋" w:cs="Times New Roman"/>
                <w:color w:val="000000" w:themeColor="text1"/>
                <w:kern w:val="0"/>
                <w:sz w:val="22"/>
                <w:szCs w:val="22"/>
                <w14:textFill>
                  <w14:solidFill>
                    <w14:schemeClr w14:val="tx1"/>
                  </w14:solidFill>
                </w14:textFill>
              </w:rPr>
              <w:t>2.169</w:t>
            </w:r>
          </w:p>
        </w:tc>
      </w:tr>
    </w:tbl>
    <w:p w14:paraId="17D07E75">
      <w:pPr>
        <w:keepNext w:val="0"/>
        <w:keepLines w:val="0"/>
        <w:pageBreakBefore w:val="0"/>
        <w:kinsoku/>
        <w:wordWrap/>
        <w:overflowPunct/>
        <w:topLinePunct w:val="0"/>
        <w:autoSpaceDE/>
        <w:autoSpaceDN/>
        <w:bidi w:val="0"/>
        <w:adjustRightInd/>
        <w:snapToGrid/>
        <w:spacing w:after="120" w:line="480" w:lineRule="auto"/>
        <w:textAlignment w:val="auto"/>
        <w:rPr>
          <w:color w:val="000000"/>
          <w:sz w:val="22"/>
          <w:szCs w:val="2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200247B" w:usb2="00000009" w:usb3="00000000" w:csb0="200001FF" w:csb1="00000000"/>
  </w:font>
  <w:font w:name="Palatino Linotype">
    <w:panose1 w:val="02040502050505030304"/>
    <w:charset w:val="00"/>
    <w:family w:val="roman"/>
    <w:pitch w:val="default"/>
    <w:sig w:usb0="E0000287" w:usb1="40000013" w:usb2="00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Math">
    <w:panose1 w:val="02040503050406030204"/>
    <w:charset w:val="00"/>
    <w:family w:val="auto"/>
    <w:pitch w:val="variable"/>
    <w:sig w:usb0="E00006FF" w:usb1="420024FF" w:usb2="02000000" w:usb3="00000000" w:csb0="2000019F" w:csb1="00000000"/>
  </w:font>
  <w:font w:name="@宋体">
    <w:panose1 w:val="02010600030101010101"/>
    <w:charset w:val="86"/>
    <w:family w:val="auto"/>
    <w:pitch w:val="variable"/>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3ZGViOGY5ODRkOTRiNjYwOTNmMDE2NjcwNTg4NDMifQ=="/>
  </w:docVars>
  <w:rsids>
    <w:rsidRoot w:val="00532B2C"/>
    <w:rsid w:val="0015120C"/>
    <w:rsid w:val="001B1903"/>
    <w:rsid w:val="00212CB0"/>
    <w:rsid w:val="00532B2C"/>
    <w:rsid w:val="006E7727"/>
    <w:rsid w:val="00814266"/>
    <w:rsid w:val="00A65666"/>
    <w:rsid w:val="00E14A0E"/>
    <w:rsid w:val="00F61441"/>
    <w:rsid w:val="0CE03ABB"/>
    <w:rsid w:val="1AB70978"/>
    <w:rsid w:val="2277674C"/>
    <w:rsid w:val="230F6279"/>
    <w:rsid w:val="285645E0"/>
    <w:rsid w:val="2A167421"/>
    <w:rsid w:val="2EB36D67"/>
    <w:rsid w:val="30EE0BEB"/>
    <w:rsid w:val="405D27E7"/>
    <w:rsid w:val="41171EB7"/>
    <w:rsid w:val="4ADA27C8"/>
    <w:rsid w:val="4B2B113A"/>
    <w:rsid w:val="60130729"/>
    <w:rsid w:val="6309311E"/>
    <w:rsid w:val="6A6A0890"/>
    <w:rsid w:val="788B2078"/>
    <w:rsid w:val="7A33253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caption"/>
    <w:basedOn w:val="1"/>
    <w:next w:val="1"/>
    <w:unhideWhenUsed/>
    <w:qFormat/>
    <w:uiPriority w:val="35"/>
    <w:rPr>
      <w:rFonts w:eastAsia="黑体" w:asciiTheme="majorHAnsi" w:hAnsiTheme="majorHAnsi" w:cstheme="majorBidi"/>
      <w:sz w:val="20"/>
      <w:szCs w:val="20"/>
    </w:rPr>
  </w:style>
  <w:style w:type="paragraph" w:styleId="3">
    <w:name w:val="footer"/>
    <w:basedOn w:val="1"/>
    <w:link w:val="11"/>
    <w:qFormat/>
    <w:uiPriority w:val="0"/>
    <w:pPr>
      <w:tabs>
        <w:tab w:val="center" w:pos="4320"/>
        <w:tab w:val="right" w:pos="8640"/>
      </w:tabs>
    </w:pPr>
  </w:style>
  <w:style w:type="paragraph" w:styleId="4">
    <w:name w:val="header"/>
    <w:basedOn w:val="1"/>
    <w:link w:val="10"/>
    <w:qFormat/>
    <w:uiPriority w:val="0"/>
    <w:pPr>
      <w:tabs>
        <w:tab w:val="center" w:pos="4320"/>
        <w:tab w:val="right" w:pos="8640"/>
      </w:tabs>
    </w:pPr>
  </w:style>
  <w:style w:type="table" w:styleId="6">
    <w:name w:val="Table Grid"/>
    <w:basedOn w:val="5"/>
    <w:qFormat/>
    <w:uiPriority w:val="59"/>
    <w:pPr>
      <w:spacing w:after="0" w:line="240" w:lineRule="auto"/>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段"/>
    <w:qFormat/>
    <w:uiPriority w:val="0"/>
    <w:pPr>
      <w:tabs>
        <w:tab w:val="left" w:pos="360"/>
      </w:tabs>
      <w:autoSpaceDE w:val="0"/>
      <w:autoSpaceDN w:val="0"/>
      <w:ind w:firstLine="200" w:firstLineChars="200"/>
      <w:jc w:val="both"/>
    </w:pPr>
    <w:rPr>
      <w:rFonts w:ascii="宋体" w:hAnsi="Times New Roman" w:eastAsia="宋体" w:cs="Times New Roman"/>
      <w:sz w:val="21"/>
      <w:lang w:val="en-US" w:eastAsia="zh-CN" w:bidi="ar-SA"/>
    </w:rPr>
  </w:style>
  <w:style w:type="table" w:customStyle="1" w:styleId="9">
    <w:name w:val="无格式表格 22"/>
    <w:basedOn w:val="5"/>
    <w:qFormat/>
    <w:uiPriority w:val="42"/>
    <w:rPr>
      <w:rFonts w:ascii="Times New Roman" w:hAnsi="Times New Roman" w:eastAsia="宋体" w:cs="Times New Roman"/>
    </w:rPr>
    <w:tblPr>
      <w:tblBorders>
        <w:top w:val="single" w:color="7E7E7E" w:sz="4" w:space="0"/>
        <w:bottom w:val="single" w:color="7E7E7E" w:sz="4" w:space="0"/>
      </w:tblBorders>
    </w:tblPr>
    <w:tblStylePr w:type="firstRow">
      <w:rPr>
        <w:b/>
        <w:bCs/>
      </w:rPr>
      <w:tcPr>
        <w:tcBorders>
          <w:top w:val="nil"/>
          <w:left w:val="nil"/>
          <w:bottom w:val="single" w:color="7E7E7E" w:sz="4" w:space="0"/>
          <w:right w:val="nil"/>
          <w:insideH w:val="nil"/>
          <w:insideV w:val="nil"/>
          <w:tl2br w:val="nil"/>
          <w:tr2bl w:val="nil"/>
        </w:tcBorders>
      </w:tcPr>
    </w:tblStylePr>
    <w:tblStylePr w:type="lastRow">
      <w:rPr>
        <w:b/>
        <w:bCs/>
      </w:rPr>
      <w:tcPr>
        <w:tcBorders>
          <w:top w:val="single" w:color="7E7E7E"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E7E7E" w:sz="4" w:space="0"/>
          <w:bottom w:val="nil"/>
          <w:right w:val="single" w:color="7E7E7E" w:sz="4" w:space="0"/>
          <w:insideH w:val="nil"/>
          <w:insideV w:val="nil"/>
          <w:tl2br w:val="nil"/>
          <w:tr2bl w:val="nil"/>
        </w:tcBorders>
      </w:tcPr>
    </w:tblStylePr>
    <w:tblStylePr w:type="band2Vert">
      <w:tcPr>
        <w:tcBorders>
          <w:top w:val="nil"/>
          <w:left w:val="single" w:color="7E7E7E" w:sz="4" w:space="0"/>
          <w:bottom w:val="nil"/>
          <w:right w:val="single" w:color="7E7E7E" w:sz="4" w:space="0"/>
          <w:insideH w:val="nil"/>
          <w:insideV w:val="nil"/>
          <w:tl2br w:val="nil"/>
          <w:tr2bl w:val="nil"/>
        </w:tcBorders>
      </w:tcPr>
    </w:tblStylePr>
    <w:tblStylePr w:type="band1Horz">
      <w:tcPr>
        <w:tcBorders>
          <w:top w:val="single" w:color="7E7E7E" w:sz="4" w:space="0"/>
          <w:left w:val="nil"/>
          <w:bottom w:val="single" w:color="7E7E7E" w:sz="4" w:space="0"/>
          <w:right w:val="nil"/>
          <w:insideH w:val="nil"/>
          <w:insideV w:val="nil"/>
          <w:tl2br w:val="nil"/>
          <w:tr2bl w:val="nil"/>
        </w:tcBorders>
      </w:tcPr>
    </w:tblStylePr>
  </w:style>
  <w:style w:type="character" w:customStyle="1" w:styleId="10">
    <w:name w:val="页眉 字符"/>
    <w:basedOn w:val="7"/>
    <w:link w:val="4"/>
    <w:qFormat/>
    <w:uiPriority w:val="0"/>
    <w:rPr>
      <w:kern w:val="2"/>
      <w:sz w:val="21"/>
      <w:szCs w:val="24"/>
    </w:rPr>
  </w:style>
  <w:style w:type="character" w:customStyle="1" w:styleId="11">
    <w:name w:val="页脚 字符"/>
    <w:basedOn w:val="7"/>
    <w:link w:val="3"/>
    <w:qFormat/>
    <w:uiPriority w:val="0"/>
    <w:rPr>
      <w:kern w:val="2"/>
      <w:sz w:val="21"/>
      <w:szCs w:val="24"/>
    </w:rPr>
  </w:style>
  <w:style w:type="paragraph" w:customStyle="1" w:styleId="12">
    <w:name w:val="表样式1"/>
    <w:basedOn w:val="2"/>
    <w:qFormat/>
    <w:uiPriority w:val="0"/>
    <w:pPr>
      <w:keepNext/>
      <w:spacing w:line="360" w:lineRule="auto"/>
      <w:jc w:val="center"/>
    </w:pPr>
    <w:rPr>
      <w:rFonts w:ascii="Times New Roman" w:hAnsi="Times New Roman" w:eastAsia="仿宋" w:cs="Times New Roman"/>
      <w:sz w:val="21"/>
      <w:szCs w:val="21"/>
    </w:rPr>
  </w:style>
  <w:style w:type="paragraph" w:customStyle="1" w:styleId="13">
    <w:name w:val="MDPI_4.1_table_caption"/>
    <w:basedOn w:val="1"/>
    <w:qFormat/>
    <w:uiPriority w:val="0"/>
    <w:pPr>
      <w:widowControl/>
      <w:adjustRightInd w:val="0"/>
      <w:snapToGrid w:val="0"/>
      <w:spacing w:before="240" w:after="120" w:line="260" w:lineRule="atLeast"/>
      <w:ind w:left="425" w:right="425"/>
    </w:pPr>
    <w:rPr>
      <w:rFonts w:ascii="Palatino Linotype" w:hAnsi="Palatino Linotype" w:eastAsia="Times New Roman"/>
      <w:color w:val="000000"/>
      <w:kern w:val="0"/>
      <w:sz w:val="18"/>
      <w:szCs w:val="22"/>
      <w:lang w:eastAsia="de-DE" w:bidi="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tiff"/><Relationship Id="rId7" Type="http://schemas.openxmlformats.org/officeDocument/2006/relationships/image" Target="media/image4.tiff"/><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tif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385</Words>
  <Characters>2105</Characters>
  <Lines>12</Lines>
  <Paragraphs>3</Paragraphs>
  <TotalTime>15</TotalTime>
  <ScaleCrop>false</ScaleCrop>
  <LinksUpToDate>false</LinksUpToDate>
  <CharactersWithSpaces>2388</CharactersWithSpaces>
  <Application>WPS Office_12.1.0.22483_F1E327BC-269C-435d-A152-05C5408002CA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2024-12-16T06:29:00Z</dcterms:created>
  <dc:creator>DELL</dc:creator>
  <cp:lastModifiedBy>婕</cp:lastModifiedBy>
  <dcterms:modified xsi:type="dcterms:W3CDTF">2025-08-12T12:27:05Z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2052-12.1.0.22483</vt:lpwstr>
  </property>
  <property fmtid="{D5CDD505-2E9C-101B-9397-08002B2CF9AE}" pid="3" name="ICV">
    <vt:lpwstr>C334BEADC6A643C1BC51A7EB4F30AD15_12</vt:lpwstr>
  </property>
  <property fmtid="{D5CDD505-2E9C-101B-9397-08002B2CF9AE}" pid="4" name="KSOTemplateDocerSaveRecord">
    <vt:lpwstr>eyJoZGlkIjoiZjQzNTkxODEzNWM3MTM0ODc0MDI1YmVmNjA0OGZkM2QiLCJ1c2VySWQiOiI0ODQ4Nzk3ODIifQ==</vt:lpwstr>
  </property>
</Properties>
</file>