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573B2">
      <w:pPr>
        <w:jc w:val="center"/>
        <w:rPr>
          <w:b/>
          <w:sz w:val="28"/>
          <w:szCs w:val="28"/>
          <w:lang w:val="en-GB"/>
        </w:rPr>
      </w:pPr>
      <w:r>
        <w:rPr>
          <w:rFonts w:hint="eastAsia"/>
          <w:b/>
          <w:sz w:val="28"/>
          <w:szCs w:val="28"/>
          <w:lang w:val="en-GB"/>
        </w:rPr>
        <w:t>Supplementary material</w:t>
      </w:r>
    </w:p>
    <w:p w14:paraId="13A46C14">
      <w:pPr>
        <w:jc w:val="center"/>
        <w:rPr>
          <w:b/>
          <w:sz w:val="28"/>
          <w:szCs w:val="28"/>
          <w:lang w:val="en-GB"/>
        </w:rPr>
      </w:pPr>
    </w:p>
    <w:p w14:paraId="25D2EAD9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Linking Microbial Diversity and Network Complexity to S</w:t>
      </w:r>
      <w:r>
        <w:rPr>
          <w:rFonts w:hint="eastAsia"/>
          <w:b/>
          <w:sz w:val="28"/>
          <w:szCs w:val="28"/>
          <w:lang w:val="en-GB"/>
        </w:rPr>
        <w:t>oil</w:t>
      </w:r>
      <w:r>
        <w:rPr>
          <w:b/>
          <w:sz w:val="28"/>
          <w:szCs w:val="28"/>
          <w:lang w:val="en-GB"/>
        </w:rPr>
        <w:t xml:space="preserve"> M</w:t>
      </w:r>
      <w:r>
        <w:rPr>
          <w:rFonts w:hint="eastAsia"/>
          <w:b/>
          <w:sz w:val="28"/>
          <w:szCs w:val="28"/>
          <w:lang w:val="en-GB"/>
        </w:rPr>
        <w:t>ultif</w:t>
      </w:r>
      <w:r>
        <w:rPr>
          <w:b/>
          <w:sz w:val="28"/>
          <w:szCs w:val="28"/>
          <w:lang w:val="en-GB"/>
        </w:rPr>
        <w:t>unctions in T</w:t>
      </w:r>
      <w:r>
        <w:rPr>
          <w:rFonts w:hint="eastAsia"/>
          <w:b/>
          <w:sz w:val="28"/>
          <w:szCs w:val="28"/>
          <w:lang w:val="en-GB"/>
        </w:rPr>
        <w:t>ianshan</w:t>
      </w:r>
      <w:r>
        <w:rPr>
          <w:b/>
          <w:sz w:val="28"/>
          <w:szCs w:val="28"/>
          <w:lang w:val="en-GB"/>
        </w:rPr>
        <w:t xml:space="preserve"> Mountains</w:t>
      </w:r>
    </w:p>
    <w:p w14:paraId="2788476C">
      <w:pPr>
        <w:spacing w:line="360" w:lineRule="auto"/>
        <w:jc w:val="left"/>
        <w:rPr>
          <w:kern w:val="0"/>
          <w:sz w:val="24"/>
          <w:lang w:val="en-GB"/>
        </w:rPr>
      </w:pPr>
      <w:r>
        <w:rPr>
          <w:rFonts w:hint="eastAsia"/>
          <w:kern w:val="0"/>
          <w:sz w:val="24"/>
          <w:lang w:val="en-GB"/>
        </w:rPr>
        <w:t>Ning</w:t>
      </w:r>
      <w:r>
        <w:rPr>
          <w:kern w:val="0"/>
          <w:sz w:val="24"/>
          <w:lang w:val="en-GB"/>
        </w:rPr>
        <w:t xml:space="preserve"> Wang</w:t>
      </w:r>
      <w:r>
        <w:rPr>
          <w:rFonts w:hint="cs" w:eastAsiaTheme="minorEastAsia"/>
          <w:kern w:val="0"/>
          <w:sz w:val="24"/>
          <w:vertAlign w:val="superscript"/>
          <w:lang w:val="en-GB"/>
        </w:rPr>
        <w:t>a</w:t>
      </w:r>
      <w:r>
        <w:rPr>
          <w:rFonts w:eastAsiaTheme="minorEastAsia"/>
          <w:kern w:val="0"/>
          <w:sz w:val="24"/>
          <w:vertAlign w:val="superscript"/>
          <w:lang w:val="en-GB"/>
        </w:rPr>
        <w:t>,b</w:t>
      </w:r>
      <w:r>
        <w:rPr>
          <w:kern w:val="0"/>
          <w:sz w:val="24"/>
          <w:lang w:val="en-GB"/>
        </w:rPr>
        <w:t xml:space="preserve">, </w:t>
      </w:r>
      <w:r>
        <w:rPr>
          <w:rFonts w:hint="eastAsia"/>
          <w:kern w:val="0"/>
          <w:sz w:val="24"/>
          <w:lang w:val="en-GB"/>
        </w:rPr>
        <w:t>Junhui Cheng</w:t>
      </w:r>
      <w:r>
        <w:rPr>
          <w:rFonts w:hint="eastAsia"/>
          <w:kern w:val="0"/>
          <w:sz w:val="24"/>
          <w:vertAlign w:val="superscript"/>
          <w:lang w:val="en-GB"/>
        </w:rPr>
        <w:t>a</w:t>
      </w:r>
      <w:r>
        <w:rPr>
          <w:rFonts w:hint="eastAsia"/>
          <w:kern w:val="0"/>
          <w:sz w:val="24"/>
          <w:lang w:val="en-GB"/>
        </w:rPr>
        <w:t>, Yunhua Liu</w:t>
      </w:r>
      <w:r>
        <w:rPr>
          <w:rFonts w:hint="eastAsia"/>
          <w:kern w:val="0"/>
          <w:sz w:val="24"/>
          <w:vertAlign w:val="superscript"/>
          <w:lang w:val="en-GB"/>
        </w:rPr>
        <w:t>a</w:t>
      </w:r>
      <w:r>
        <w:rPr>
          <w:rFonts w:hint="eastAsia"/>
          <w:kern w:val="0"/>
          <w:sz w:val="24"/>
          <w:lang w:val="en-GB"/>
        </w:rPr>
        <w:t>,</w:t>
      </w:r>
      <w:r>
        <w:rPr>
          <w:rFonts w:hint="eastAsia"/>
          <w:kern w:val="0"/>
          <w:sz w:val="24"/>
        </w:rPr>
        <w:t xml:space="preserve"> Xuewei Wang</w:t>
      </w:r>
      <w:r>
        <w:rPr>
          <w:rFonts w:hint="eastAsia"/>
          <w:kern w:val="0"/>
          <w:sz w:val="24"/>
          <w:vertAlign w:val="superscript"/>
        </w:rPr>
        <w:t>a</w:t>
      </w:r>
      <w:r>
        <w:rPr>
          <w:rFonts w:hint="eastAsia"/>
          <w:kern w:val="0"/>
          <w:sz w:val="24"/>
        </w:rPr>
        <w:t xml:space="preserve">, </w:t>
      </w:r>
      <w:r>
        <w:rPr>
          <w:kern w:val="0"/>
          <w:sz w:val="24"/>
          <w:lang w:val="en-GB"/>
        </w:rPr>
        <w:t>Ye Deng</w:t>
      </w:r>
      <w:r>
        <w:rPr>
          <w:kern w:val="0"/>
          <w:sz w:val="24"/>
          <w:vertAlign w:val="superscript"/>
          <w:lang w:val="en-GB"/>
        </w:rPr>
        <w:t>c</w:t>
      </w:r>
      <w:r>
        <w:rPr>
          <w:kern w:val="0"/>
          <w:sz w:val="24"/>
          <w:lang w:val="en-GB"/>
        </w:rPr>
        <w:t>, Gang Wang</w:t>
      </w:r>
      <w:r>
        <w:rPr>
          <w:kern w:val="0"/>
          <w:sz w:val="24"/>
          <w:vertAlign w:val="superscript"/>
          <w:lang w:val="en-GB"/>
        </w:rPr>
        <w:t>a,d</w:t>
      </w:r>
      <w:r>
        <w:rPr>
          <w:kern w:val="0"/>
          <w:sz w:val="24"/>
          <w:lang w:val="en-GB"/>
        </w:rPr>
        <w:t>, Jiandong Sheng</w:t>
      </w:r>
      <w:r>
        <w:rPr>
          <w:kern w:val="0"/>
          <w:sz w:val="24"/>
          <w:vertAlign w:val="superscript"/>
          <w:lang w:val="en-GB"/>
        </w:rPr>
        <w:t xml:space="preserve">a, </w:t>
      </w:r>
      <w:r>
        <w:rPr>
          <w:kern w:val="0"/>
          <w:sz w:val="24"/>
          <w:lang w:val="en-GB"/>
        </w:rPr>
        <w:t>*</w:t>
      </w:r>
    </w:p>
    <w:p w14:paraId="3228C3BD">
      <w:pPr>
        <w:spacing w:line="360" w:lineRule="auto"/>
        <w:ind w:firstLine="480"/>
        <w:jc w:val="center"/>
        <w:rPr>
          <w:kern w:val="0"/>
          <w:sz w:val="24"/>
          <w:lang w:val="en-GB"/>
        </w:rPr>
      </w:pPr>
    </w:p>
    <w:p w14:paraId="60EA0AC4">
      <w:pPr>
        <w:spacing w:line="360" w:lineRule="auto"/>
        <w:jc w:val="left"/>
        <w:rPr>
          <w:i/>
          <w:iCs/>
          <w:sz w:val="24"/>
          <w:lang w:val="en-GB"/>
        </w:rPr>
      </w:pPr>
      <w:r>
        <w:rPr>
          <w:i/>
          <w:iCs/>
          <w:sz w:val="24"/>
          <w:vertAlign w:val="superscript"/>
          <w:lang w:val="en-GB"/>
        </w:rPr>
        <w:t>a</w:t>
      </w:r>
      <w:r>
        <w:rPr>
          <w:i/>
          <w:iCs/>
          <w:sz w:val="24"/>
          <w:lang w:val="en-GB"/>
        </w:rPr>
        <w:t xml:space="preserve"> Xinjiang Key Laboratory of Soil and Plant Ecological Processes, College of Resources and Environment, Xinjiang Agricultural University, 311 Nongda East Road, Urumqi, 830052, Xinjiang, China </w:t>
      </w:r>
    </w:p>
    <w:p w14:paraId="0DABEAA1">
      <w:pPr>
        <w:spacing w:line="360" w:lineRule="auto"/>
        <w:jc w:val="left"/>
        <w:rPr>
          <w:i/>
          <w:kern w:val="0"/>
          <w:sz w:val="24"/>
          <w:lang w:val="en-GB"/>
        </w:rPr>
      </w:pPr>
      <w:r>
        <w:rPr>
          <w:i/>
          <w:kern w:val="0"/>
          <w:sz w:val="24"/>
          <w:vertAlign w:val="superscript"/>
          <w:lang w:val="en-GB"/>
        </w:rPr>
        <w:t>b</w:t>
      </w:r>
      <w:r>
        <w:rPr>
          <w:sz w:val="24"/>
        </w:rPr>
        <w:t xml:space="preserve"> </w:t>
      </w:r>
      <w:bookmarkStart w:id="1" w:name="_GoBack"/>
      <w:r>
        <w:rPr>
          <w:rFonts w:hint="eastAsia"/>
          <w:i/>
          <w:kern w:val="0"/>
          <w:sz w:val="24"/>
          <w:lang w:val="en-GB"/>
        </w:rPr>
        <w:t>Institute of Food Science and Technology, Xinjiang Academy of  Agricultural Sciences</w:t>
      </w:r>
      <w:r>
        <w:rPr>
          <w:rFonts w:hint="eastAsia"/>
          <w:i/>
          <w:kern w:val="0"/>
          <w:sz w:val="24"/>
          <w:lang w:val="en-US" w:eastAsia="zh-CN"/>
        </w:rPr>
        <w:t>,</w:t>
      </w:r>
      <w:r>
        <w:rPr>
          <w:i/>
          <w:kern w:val="0"/>
          <w:sz w:val="24"/>
          <w:lang w:val="en-GB"/>
        </w:rPr>
        <w:t xml:space="preserve"> Urumqi, Xinjiang Uygur Autonomous Region 830091, China</w:t>
      </w:r>
      <w:bookmarkEnd w:id="1"/>
    </w:p>
    <w:p w14:paraId="1754EBC5">
      <w:pPr>
        <w:spacing w:line="360" w:lineRule="auto"/>
        <w:jc w:val="left"/>
        <w:rPr>
          <w:i/>
          <w:iCs/>
          <w:sz w:val="24"/>
          <w:lang w:val="en-GB"/>
        </w:rPr>
      </w:pPr>
      <w:r>
        <w:rPr>
          <w:rFonts w:hint="eastAsia"/>
          <w:i/>
          <w:iCs/>
          <w:sz w:val="24"/>
          <w:vertAlign w:val="superscript"/>
          <w:lang w:val="en-GB"/>
        </w:rPr>
        <w:t>c</w:t>
      </w:r>
      <w:r>
        <w:rPr>
          <w:i/>
          <w:iCs/>
          <w:sz w:val="24"/>
          <w:lang w:val="en-GB"/>
        </w:rPr>
        <w:t xml:space="preserve"> State Key Laboratory of Regional Environment and Sustainability, Research Center for Eco-Environmental Sciences, Chinese Academy of Sciences, Beijing, China</w:t>
      </w:r>
    </w:p>
    <w:p w14:paraId="2FE5B0C5">
      <w:pPr>
        <w:spacing w:line="360" w:lineRule="auto"/>
        <w:jc w:val="left"/>
        <w:rPr>
          <w:i/>
          <w:iCs/>
          <w:sz w:val="24"/>
          <w:lang w:val="en-GB"/>
        </w:rPr>
      </w:pPr>
      <w:r>
        <w:rPr>
          <w:rFonts w:hint="eastAsia"/>
          <w:i/>
          <w:iCs/>
          <w:sz w:val="24"/>
          <w:vertAlign w:val="superscript"/>
          <w:lang w:val="en-GB"/>
        </w:rPr>
        <w:t>d</w:t>
      </w:r>
      <w:r>
        <w:rPr>
          <w:i/>
          <w:iCs/>
          <w:sz w:val="24"/>
          <w:lang w:val="en-GB"/>
        </w:rPr>
        <w:t xml:space="preserve"> Department of Soil and Water Sciences, China Agricultural University, Beijing 100193, China</w:t>
      </w:r>
    </w:p>
    <w:p w14:paraId="19BB44FE">
      <w:pPr>
        <w:spacing w:line="360" w:lineRule="auto"/>
        <w:ind w:firstLine="482"/>
        <w:rPr>
          <w:b/>
          <w:kern w:val="0"/>
          <w:sz w:val="24"/>
          <w:lang w:val="en-GB"/>
        </w:rPr>
      </w:pPr>
    </w:p>
    <w:p w14:paraId="40528C6E">
      <w:pPr>
        <w:spacing w:line="360" w:lineRule="auto"/>
        <w:ind w:firstLine="198" w:firstLineChars="82"/>
        <w:jc w:val="left"/>
        <w:rPr>
          <w:b/>
          <w:kern w:val="0"/>
          <w:sz w:val="24"/>
          <w:lang w:val="en-GB"/>
        </w:rPr>
      </w:pPr>
    </w:p>
    <w:p w14:paraId="39E22EBB">
      <w:pPr>
        <w:spacing w:line="360" w:lineRule="auto"/>
        <w:ind w:firstLine="198" w:firstLineChars="82"/>
        <w:jc w:val="left"/>
        <w:rPr>
          <w:b/>
          <w:kern w:val="0"/>
          <w:sz w:val="24"/>
          <w:lang w:val="en-GB"/>
        </w:rPr>
      </w:pPr>
    </w:p>
    <w:p w14:paraId="35277C73">
      <w:pPr>
        <w:spacing w:line="360" w:lineRule="auto"/>
        <w:ind w:firstLine="198" w:firstLineChars="82"/>
        <w:jc w:val="left"/>
        <w:rPr>
          <w:b/>
          <w:kern w:val="0"/>
          <w:sz w:val="24"/>
          <w:lang w:val="en-GB"/>
        </w:rPr>
      </w:pPr>
    </w:p>
    <w:p w14:paraId="46DE0A50">
      <w:pPr>
        <w:spacing w:line="360" w:lineRule="auto"/>
        <w:ind w:left="174" w:leftChars="83"/>
        <w:jc w:val="left"/>
        <w:rPr>
          <w:b/>
          <w:kern w:val="0"/>
          <w:sz w:val="24"/>
          <w:lang w:val="en-GB"/>
        </w:rPr>
      </w:pPr>
      <w:r>
        <w:rPr>
          <w:rFonts w:hint="eastAsia"/>
          <w:b/>
          <w:kern w:val="0"/>
          <w:sz w:val="24"/>
          <w:lang w:val="en-GB"/>
        </w:rPr>
        <w:t xml:space="preserve">*Corresponding author: Jiandong Sheng, </w:t>
      </w:r>
    </w:p>
    <w:p w14:paraId="4F3E844A">
      <w:pPr>
        <w:spacing w:line="360" w:lineRule="auto"/>
        <w:ind w:left="174" w:leftChars="83"/>
        <w:jc w:val="left"/>
        <w:rPr>
          <w:rFonts w:eastAsiaTheme="minorEastAsia"/>
          <w:b/>
          <w:kern w:val="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b/>
          <w:kern w:val="0"/>
          <w:sz w:val="24"/>
          <w:lang w:val="en-GB"/>
        </w:rPr>
        <w:t>E-mail address: sjd@xjau.edu.cn</w:t>
      </w:r>
    </w:p>
    <w:p w14:paraId="2C65F3EF">
      <w:pPr>
        <w:spacing w:line="360" w:lineRule="auto"/>
        <w:rPr>
          <w:b/>
          <w:sz w:val="24"/>
        </w:rPr>
      </w:pPr>
      <w:r>
        <w:rPr>
          <w:b/>
          <w:sz w:val="24"/>
        </w:rPr>
        <w:t>Supplementa</w:t>
      </w:r>
      <w:r>
        <w:rPr>
          <w:rFonts w:hint="eastAsia"/>
          <w:b/>
          <w:sz w:val="24"/>
        </w:rPr>
        <w:t>ry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Fingers and </w:t>
      </w:r>
      <w:r>
        <w:rPr>
          <w:b/>
          <w:sz w:val="24"/>
        </w:rPr>
        <w:t>Table List</w:t>
      </w:r>
    </w:p>
    <w:p w14:paraId="5E4BE4A0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Finger S1 Relationships between soil multifunctionality and microbial </w:t>
      </w:r>
      <w:r>
        <w:rPr>
          <w:sz w:val="24"/>
        </w:rPr>
        <w:t>β</w:t>
      </w:r>
      <w:r>
        <w:rPr>
          <w:rFonts w:hint="eastAsia"/>
          <w:sz w:val="24"/>
        </w:rPr>
        <w:t>-diversity across bacterial and fungal communities.</w:t>
      </w:r>
    </w:p>
    <w:p w14:paraId="208EAEEF">
      <w:pPr>
        <w:spacing w:line="360" w:lineRule="auto"/>
        <w:rPr>
          <w:sz w:val="24"/>
        </w:rPr>
      </w:pPr>
      <w:r>
        <w:rPr>
          <w:rFonts w:hint="eastAsia"/>
          <w:sz w:val="24"/>
        </w:rPr>
        <w:t>Finger S2 Relationships between soil multifunctionality and network complexity.</w:t>
      </w:r>
    </w:p>
    <w:p w14:paraId="3EAB66AD">
      <w:pPr>
        <w:spacing w:line="360" w:lineRule="auto"/>
        <w:rPr>
          <w:sz w:val="24"/>
        </w:rPr>
      </w:pPr>
      <w:r>
        <w:rPr>
          <w:sz w:val="24"/>
        </w:rPr>
        <w:t>Figure S3. Rarefaction curves for bacterial</w:t>
      </w:r>
      <w:r>
        <w:rPr>
          <w:rFonts w:hint="eastAsia"/>
          <w:sz w:val="24"/>
          <w:lang w:val="en-US" w:eastAsia="zh-CN"/>
        </w:rPr>
        <w:t xml:space="preserve"> and fungal </w:t>
      </w:r>
      <w:r>
        <w:rPr>
          <w:sz w:val="24"/>
        </w:rPr>
        <w:t>communities</w:t>
      </w:r>
      <w:r>
        <w:rPr>
          <w:rFonts w:hint="eastAsia"/>
          <w:sz w:val="24"/>
          <w:lang w:val="en-US" w:eastAsia="zh-CN"/>
        </w:rPr>
        <w:t xml:space="preserve"> are</w:t>
      </w:r>
      <w:r>
        <w:rPr>
          <w:sz w:val="24"/>
        </w:rPr>
        <w:t xml:space="preserve"> based on the observed OTUs.</w:t>
      </w:r>
    </w:p>
    <w:p w14:paraId="1CD9D461">
      <w:pPr>
        <w:spacing w:line="360" w:lineRule="auto"/>
        <w:rPr>
          <w:sz w:val="24"/>
        </w:rPr>
      </w:pPr>
      <w:r>
        <w:rPr>
          <w:rFonts w:hint="eastAsia"/>
          <w:sz w:val="24"/>
        </w:rPr>
        <w:t>T</w:t>
      </w:r>
      <w:r>
        <w:rPr>
          <w:sz w:val="24"/>
        </w:rPr>
        <w:t>able S1</w:t>
      </w:r>
      <w:r>
        <w:rPr>
          <w:rFonts w:hint="eastAsia"/>
          <w:sz w:val="24"/>
        </w:rPr>
        <w:t xml:space="preserve"> Key topological properties of bacterial-fungal co-occurrence networks in the soil among the grassland type.</w:t>
      </w:r>
    </w:p>
    <w:p w14:paraId="6BB540A3">
      <w:pPr>
        <w:spacing w:line="360" w:lineRule="auto"/>
        <w:ind w:left="174" w:leftChars="83"/>
        <w:jc w:val="left"/>
        <w:rPr>
          <w:b/>
          <w:kern w:val="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b/>
          <w:kern w:val="0"/>
        </w:rPr>
        <w:br w:type="page"/>
      </w:r>
    </w:p>
    <w:p w14:paraId="237D9E49">
      <w:pPr>
        <w:adjustRightInd w:val="0"/>
        <w:jc w:val="center"/>
        <w:rPr>
          <w:rFonts w:eastAsia="楷体"/>
          <w:b/>
          <w:sz w:val="24"/>
        </w:rPr>
      </w:pPr>
      <w:r>
        <w:rPr>
          <w:rFonts w:hint="eastAsia" w:eastAsia="楷体"/>
          <w:b/>
          <w:sz w:val="24"/>
        </w:rPr>
        <w:drawing>
          <wp:inline distT="0" distB="0" distL="114300" distR="114300">
            <wp:extent cx="5269230" cy="3750310"/>
            <wp:effectExtent l="0" t="0" r="3810" b="13970"/>
            <wp:docPr id="2" name="图片 2" descr="βdiversity-S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βdiversity-SEM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75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E0DBE">
      <w:pPr>
        <w:adjustRightInd w:val="0"/>
        <w:jc w:val="center"/>
        <w:rPr>
          <w:rFonts w:eastAsia="楷体"/>
          <w:b/>
          <w:sz w:val="24"/>
        </w:rPr>
      </w:pPr>
    </w:p>
    <w:p w14:paraId="72D206D7">
      <w:pPr>
        <w:adjustRightInd w:val="0"/>
        <w:jc w:val="left"/>
        <w:rPr>
          <w:kern w:val="0"/>
          <w:sz w:val="24"/>
        </w:rPr>
      </w:pPr>
      <w:r>
        <w:rPr>
          <w:rFonts w:hint="eastAsia"/>
          <w:sz w:val="24"/>
        </w:rPr>
        <w:t xml:space="preserve">Finger S1. Relationships between soil multifunctionality and microbial </w:t>
      </w:r>
      <w:r>
        <w:rPr>
          <w:sz w:val="24"/>
        </w:rPr>
        <w:t>β</w:t>
      </w:r>
      <w:r>
        <w:rPr>
          <w:rFonts w:hint="eastAsia"/>
          <w:sz w:val="24"/>
        </w:rPr>
        <w:t xml:space="preserve">-diversity across </w:t>
      </w:r>
      <w:r>
        <w:rPr>
          <w:kern w:val="0"/>
          <w:sz w:val="24"/>
        </w:rPr>
        <w:t>(a)</w:t>
      </w:r>
      <w:r>
        <w:rPr>
          <w:rFonts w:hint="eastAsia"/>
          <w:kern w:val="0"/>
          <w:sz w:val="24"/>
        </w:rPr>
        <w:t xml:space="preserve"> </w:t>
      </w:r>
      <w:r>
        <w:rPr>
          <w:rFonts w:hint="eastAsia"/>
          <w:sz w:val="24"/>
        </w:rPr>
        <w:t xml:space="preserve">bacterial and </w:t>
      </w:r>
      <w:r>
        <w:rPr>
          <w:kern w:val="0"/>
          <w:sz w:val="24"/>
        </w:rPr>
        <w:t>(b)</w:t>
      </w:r>
      <w:r>
        <w:rPr>
          <w:rFonts w:hint="eastAsia"/>
          <w:kern w:val="0"/>
          <w:sz w:val="24"/>
        </w:rPr>
        <w:t xml:space="preserve"> </w:t>
      </w:r>
      <w:r>
        <w:rPr>
          <w:rFonts w:hint="eastAsia"/>
          <w:sz w:val="24"/>
        </w:rPr>
        <w:t>fungal communities.</w:t>
      </w:r>
      <w:r>
        <w:rPr>
          <w:kern w:val="0"/>
          <w:sz w:val="24"/>
        </w:rPr>
        <w:t xml:space="preserve"> </w:t>
      </w:r>
    </w:p>
    <w:p w14:paraId="7E5D579E">
      <w:pPr>
        <w:adjustRightInd w:val="0"/>
        <w:jc w:val="center"/>
        <w:rPr>
          <w:kern w:val="0"/>
          <w:sz w:val="24"/>
        </w:rPr>
      </w:pPr>
      <w:r>
        <w:rPr>
          <w:rFonts w:hint="eastAsia"/>
          <w:kern w:val="0"/>
          <w:sz w:val="24"/>
        </w:rPr>
        <w:drawing>
          <wp:inline distT="0" distB="0" distL="114300" distR="114300">
            <wp:extent cx="3216275" cy="3181350"/>
            <wp:effectExtent l="0" t="0" r="14605" b="3810"/>
            <wp:docPr id="3" name="图片 3" descr="netcomplexity_S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netcomplexity_SM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1627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74FCB">
      <w:pPr>
        <w:spacing w:line="360" w:lineRule="auto"/>
        <w:rPr>
          <w:sz w:val="24"/>
        </w:rPr>
      </w:pPr>
      <w:r>
        <w:rPr>
          <w:rFonts w:hint="eastAsia"/>
          <w:sz w:val="24"/>
        </w:rPr>
        <w:t>Finger S2. Relationships between soil multifunctionality and network complexity.</w:t>
      </w:r>
    </w:p>
    <w:p w14:paraId="73BD0146">
      <w:pPr>
        <w:adjustRightInd w:val="0"/>
        <w:jc w:val="left"/>
        <w:rPr>
          <w:rFonts w:eastAsia="楷体"/>
          <w:b/>
          <w:sz w:val="24"/>
        </w:rPr>
      </w:pPr>
    </w:p>
    <w:p w14:paraId="6FECDE55">
      <w:pPr>
        <w:widowControl/>
        <w:jc w:val="left"/>
        <w:rPr>
          <w:rFonts w:eastAsia="楷体"/>
          <w:b/>
          <w:sz w:val="24"/>
        </w:rPr>
      </w:pPr>
      <w:r>
        <w:rPr>
          <w:rFonts w:eastAsia="楷体"/>
          <w:b/>
          <w:sz w:val="24"/>
        </w:rPr>
        <w:br w:type="page"/>
      </w:r>
    </w:p>
    <w:p w14:paraId="33A1C9E6">
      <w:pPr>
        <w:adjustRightInd w:val="0"/>
        <w:jc w:val="left"/>
        <w:rPr>
          <w:rFonts w:eastAsia="楷体"/>
          <w:b/>
          <w:sz w:val="24"/>
        </w:rPr>
      </w:pPr>
    </w:p>
    <w:p w14:paraId="0567CAEC">
      <w:pPr>
        <w:spacing w:line="360" w:lineRule="auto"/>
        <w:rPr>
          <w:rFonts w:eastAsia="楷体"/>
          <w:b/>
          <w:sz w:val="24"/>
        </w:rPr>
      </w:pPr>
    </w:p>
    <w:p w14:paraId="309CE837">
      <w:pPr>
        <w:spacing w:line="360" w:lineRule="auto"/>
        <w:rPr>
          <w:rFonts w:eastAsia="楷体"/>
          <w:b/>
          <w:sz w:val="24"/>
        </w:rPr>
      </w:pPr>
    </w:p>
    <w:p w14:paraId="7291E967">
      <w:pPr>
        <w:widowControl/>
        <w:jc w:val="left"/>
        <w:rPr>
          <w:rFonts w:eastAsia="楷体"/>
          <w:b/>
          <w:sz w:val="24"/>
        </w:rPr>
      </w:pPr>
    </w:p>
    <w:p w14:paraId="1F9D50A5">
      <w:pPr>
        <w:adjustRightInd w:val="0"/>
        <w:jc w:val="left"/>
        <w:rPr>
          <w:rFonts w:hint="eastAsia" w:eastAsia="楷体"/>
          <w:b/>
          <w:sz w:val="24"/>
          <w:lang w:eastAsia="zh-CN"/>
        </w:rPr>
      </w:pPr>
      <w:r>
        <w:rPr>
          <w:rFonts w:hint="eastAsia" w:eastAsia="楷体"/>
          <w:b/>
          <w:sz w:val="24"/>
          <w:lang w:eastAsia="zh-CN"/>
        </w:rPr>
        <w:drawing>
          <wp:inline distT="0" distB="0" distL="114300" distR="114300">
            <wp:extent cx="5266690" cy="3002280"/>
            <wp:effectExtent l="0" t="0" r="0" b="0"/>
            <wp:docPr id="4" name="图片 4" descr="B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AC"/>
                    <pic:cNvPicPr>
                      <a:picLocks noChangeAspect="1"/>
                    </pic:cNvPicPr>
                  </pic:nvPicPr>
                  <pic:blipFill>
                    <a:blip r:embed="rId6"/>
                    <a:srcRect t="14885" b="2025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2BD3F">
      <w:pPr>
        <w:adjustRightInd w:val="0"/>
        <w:jc w:val="left"/>
        <w:rPr>
          <w:rFonts w:hint="eastAsia" w:eastAsia="楷体"/>
          <w:b/>
          <w:sz w:val="24"/>
          <w:lang w:eastAsia="zh-CN"/>
        </w:rPr>
      </w:pPr>
    </w:p>
    <w:p w14:paraId="6751886E">
      <w:pPr>
        <w:spacing w:line="360" w:lineRule="auto"/>
        <w:rPr>
          <w:sz w:val="24"/>
        </w:rPr>
      </w:pPr>
      <w:r>
        <w:rPr>
          <w:sz w:val="24"/>
        </w:rPr>
        <w:t>Figure S3. Rarefaction curves for bacterial</w:t>
      </w:r>
      <w:r>
        <w:rPr>
          <w:rFonts w:hint="eastAsia"/>
          <w:sz w:val="24"/>
          <w:lang w:val="en-US" w:eastAsia="zh-CN"/>
        </w:rPr>
        <w:t xml:space="preserve"> and fungal </w:t>
      </w:r>
      <w:r>
        <w:rPr>
          <w:sz w:val="24"/>
        </w:rPr>
        <w:t>communities</w:t>
      </w:r>
      <w:r>
        <w:rPr>
          <w:rFonts w:hint="eastAsia"/>
          <w:sz w:val="24"/>
          <w:lang w:val="en-US" w:eastAsia="zh-CN"/>
        </w:rPr>
        <w:t xml:space="preserve"> are</w:t>
      </w:r>
      <w:r>
        <w:rPr>
          <w:sz w:val="24"/>
        </w:rPr>
        <w:t xml:space="preserve"> based on the observed OTUs.</w:t>
      </w:r>
    </w:p>
    <w:p w14:paraId="1BCF205E">
      <w:pPr>
        <w:adjustRightInd w:val="0"/>
        <w:jc w:val="left"/>
        <w:rPr>
          <w:rFonts w:hint="eastAsia" w:eastAsia="楷体"/>
          <w:b/>
          <w:sz w:val="24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4E6D52A">
      <w:pPr>
        <w:adjustRightInd w:val="0"/>
        <w:jc w:val="left"/>
        <w:rPr>
          <w:rFonts w:eastAsia="楷体"/>
          <w:b/>
          <w:sz w:val="24"/>
        </w:rPr>
      </w:pPr>
      <w:r>
        <w:rPr>
          <w:rFonts w:eastAsia="楷体"/>
          <w:b/>
          <w:sz w:val="24"/>
        </w:rPr>
        <w:t xml:space="preserve">Table </w:t>
      </w:r>
      <w:r>
        <w:rPr>
          <w:rFonts w:hint="eastAsia" w:eastAsia="楷体"/>
          <w:b/>
          <w:sz w:val="24"/>
        </w:rPr>
        <w:t>S</w:t>
      </w:r>
      <w:r>
        <w:rPr>
          <w:rFonts w:eastAsia="楷体"/>
          <w:b/>
          <w:sz w:val="24"/>
        </w:rPr>
        <w:t xml:space="preserve">1 </w:t>
      </w:r>
      <w:r>
        <w:rPr>
          <w:rFonts w:eastAsia="楷体"/>
          <w:bCs/>
          <w:sz w:val="24"/>
        </w:rPr>
        <w:t>Key topological properties of bacterial-fungal co-occurrence networks in the soil among the grassland type</w:t>
      </w:r>
    </w:p>
    <w:p w14:paraId="168C741E">
      <w:pPr>
        <w:adjustRightInd w:val="0"/>
        <w:jc w:val="left"/>
        <w:rPr>
          <w:rFonts w:eastAsia="楷体"/>
          <w:b/>
          <w:sz w:val="24"/>
        </w:rPr>
      </w:pPr>
    </w:p>
    <w:tbl>
      <w:tblPr>
        <w:tblStyle w:val="5"/>
        <w:tblW w:w="13876" w:type="dxa"/>
        <w:jc w:val="center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544"/>
        <w:gridCol w:w="1701"/>
        <w:gridCol w:w="1559"/>
        <w:gridCol w:w="142"/>
        <w:gridCol w:w="2410"/>
        <w:gridCol w:w="1843"/>
        <w:gridCol w:w="1543"/>
      </w:tblGrid>
      <w:tr w14:paraId="583255FF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34" w:type="dxa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shd w:val="clear" w:color="auto" w:fill="auto"/>
          </w:tcPr>
          <w:p w14:paraId="254F5DCB">
            <w:pPr>
              <w:spacing w:line="360" w:lineRule="auto"/>
              <w:jc w:val="center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shd w:val="clear" w:color="auto" w:fill="auto"/>
          </w:tcPr>
          <w:p w14:paraId="70CE05BE">
            <w:pPr>
              <w:spacing w:line="360" w:lineRule="auto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Topological properties</w:t>
            </w:r>
          </w:p>
        </w:tc>
        <w:tc>
          <w:tcPr>
            <w:tcW w:w="1701" w:type="dxa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shd w:val="clear" w:color="auto" w:fill="auto"/>
            <w:vAlign w:val="center"/>
          </w:tcPr>
          <w:p w14:paraId="2ABF316D">
            <w:pPr>
              <w:widowControl/>
              <w:spacing w:line="360" w:lineRule="auto"/>
              <w:jc w:val="center"/>
              <w:textAlignment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Temperate desert</w:t>
            </w:r>
          </w:p>
          <w:p w14:paraId="03D7EF8E">
            <w:pPr>
              <w:widowControl/>
              <w:spacing w:line="360" w:lineRule="auto"/>
              <w:jc w:val="center"/>
              <w:textAlignment w:val="center"/>
              <w:rPr>
                <w:i/>
                <w:iCs/>
                <w:color w:val="000000"/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(TD)</w:t>
            </w:r>
          </w:p>
        </w:tc>
        <w:tc>
          <w:tcPr>
            <w:tcW w:w="1701" w:type="dxa"/>
            <w:gridSpan w:val="2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shd w:val="clear" w:color="auto" w:fill="auto"/>
            <w:vAlign w:val="center"/>
          </w:tcPr>
          <w:p w14:paraId="0E0DBC9B">
            <w:pPr>
              <w:widowControl/>
              <w:spacing w:line="360" w:lineRule="auto"/>
              <w:jc w:val="center"/>
              <w:textAlignment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Temperate steppe</w:t>
            </w:r>
          </w:p>
          <w:p w14:paraId="40094B9E">
            <w:pPr>
              <w:widowControl/>
              <w:spacing w:line="360" w:lineRule="auto"/>
              <w:jc w:val="center"/>
              <w:textAlignment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(TS)</w:t>
            </w:r>
          </w:p>
        </w:tc>
        <w:tc>
          <w:tcPr>
            <w:tcW w:w="2410" w:type="dxa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shd w:val="clear" w:color="auto" w:fill="auto"/>
            <w:vAlign w:val="center"/>
          </w:tcPr>
          <w:p w14:paraId="3FA6C6EA">
            <w:pPr>
              <w:widowControl/>
              <w:spacing w:line="360" w:lineRule="auto"/>
              <w:jc w:val="center"/>
              <w:textAlignment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Temperate meadow steppe</w:t>
            </w:r>
          </w:p>
          <w:p w14:paraId="7C29C2AA">
            <w:pPr>
              <w:widowControl/>
              <w:spacing w:line="360" w:lineRule="auto"/>
              <w:jc w:val="center"/>
              <w:textAlignment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(TMS)</w:t>
            </w:r>
          </w:p>
        </w:tc>
        <w:tc>
          <w:tcPr>
            <w:tcW w:w="1843" w:type="dxa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shd w:val="clear" w:color="auto" w:fill="auto"/>
            <w:vAlign w:val="center"/>
          </w:tcPr>
          <w:p w14:paraId="691DF4C8">
            <w:pPr>
              <w:widowControl/>
              <w:spacing w:line="360" w:lineRule="auto"/>
              <w:jc w:val="center"/>
              <w:textAlignment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Mountain meadow</w:t>
            </w:r>
          </w:p>
          <w:p w14:paraId="3D4494C4">
            <w:pPr>
              <w:widowControl/>
              <w:spacing w:line="360" w:lineRule="auto"/>
              <w:jc w:val="center"/>
              <w:textAlignment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(MM)</w:t>
            </w:r>
          </w:p>
        </w:tc>
        <w:tc>
          <w:tcPr>
            <w:tcW w:w="1543" w:type="dxa"/>
            <w:tcBorders>
              <w:top w:val="single" w:color="auto" w:sz="12" w:space="0"/>
              <w:left w:val="nil"/>
              <w:bottom w:val="single" w:color="auto" w:sz="8" w:space="0"/>
              <w:right w:val="nil"/>
            </w:tcBorders>
            <w:shd w:val="clear" w:color="auto" w:fill="auto"/>
            <w:vAlign w:val="center"/>
          </w:tcPr>
          <w:p w14:paraId="0B0C0391">
            <w:pPr>
              <w:widowControl/>
              <w:spacing w:line="360" w:lineRule="auto"/>
              <w:jc w:val="center"/>
              <w:textAlignment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Alpine meadow</w:t>
            </w:r>
          </w:p>
          <w:p w14:paraId="66F1756A">
            <w:pPr>
              <w:widowControl/>
              <w:spacing w:line="360" w:lineRule="auto"/>
              <w:jc w:val="center"/>
              <w:textAlignment w:val="center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(AM)</w:t>
            </w:r>
          </w:p>
        </w:tc>
      </w:tr>
      <w:tr w14:paraId="2134021D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restart"/>
            <w:tcBorders>
              <w:top w:val="single" w:color="auto" w:sz="8" w:space="0"/>
            </w:tcBorders>
            <w:shd w:val="clear" w:color="auto" w:fill="auto"/>
            <w:vAlign w:val="center"/>
          </w:tcPr>
          <w:p w14:paraId="1E1A0675">
            <w:pPr>
              <w:spacing w:line="30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Empirical networks</w:t>
            </w:r>
          </w:p>
        </w:tc>
        <w:tc>
          <w:tcPr>
            <w:tcW w:w="3544" w:type="dxa"/>
            <w:tcBorders>
              <w:top w:val="single" w:color="auto" w:sz="8" w:space="0"/>
            </w:tcBorders>
            <w:shd w:val="clear" w:color="auto" w:fill="auto"/>
            <w:vAlign w:val="center"/>
          </w:tcPr>
          <w:p w14:paraId="677682C7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Nodes</w:t>
            </w:r>
          </w:p>
          <w:p w14:paraId="4884090C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(Bacteria and Fungi nodes /%)</w:t>
            </w:r>
          </w:p>
        </w:tc>
        <w:tc>
          <w:tcPr>
            <w:tcW w:w="1701" w:type="dxa"/>
            <w:tcBorders>
              <w:top w:val="single" w:color="auto" w:sz="8" w:space="0"/>
            </w:tcBorders>
            <w:shd w:val="clear" w:color="auto" w:fill="auto"/>
            <w:vAlign w:val="center"/>
          </w:tcPr>
          <w:p w14:paraId="0C5BFBC3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759</w:t>
            </w:r>
          </w:p>
          <w:p w14:paraId="3FD6189E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 xml:space="preserve"> (80.76, 19.24)</w:t>
            </w:r>
          </w:p>
        </w:tc>
        <w:tc>
          <w:tcPr>
            <w:tcW w:w="1701" w:type="dxa"/>
            <w:gridSpan w:val="2"/>
            <w:tcBorders>
              <w:top w:val="single" w:color="auto" w:sz="8" w:space="0"/>
            </w:tcBorders>
            <w:shd w:val="clear" w:color="auto" w:fill="auto"/>
            <w:vAlign w:val="center"/>
          </w:tcPr>
          <w:p w14:paraId="137B48C2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878</w:t>
            </w:r>
          </w:p>
          <w:p w14:paraId="7BA2E867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 xml:space="preserve"> (78.59, 21.41)</w:t>
            </w:r>
          </w:p>
        </w:tc>
        <w:tc>
          <w:tcPr>
            <w:tcW w:w="2410" w:type="dxa"/>
            <w:tcBorders>
              <w:top w:val="single" w:color="auto" w:sz="8" w:space="0"/>
            </w:tcBorders>
            <w:shd w:val="clear" w:color="auto" w:fill="auto"/>
            <w:vAlign w:val="center"/>
          </w:tcPr>
          <w:p w14:paraId="33BAC4E2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539</w:t>
            </w:r>
          </w:p>
          <w:p w14:paraId="1F1FE98C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 xml:space="preserve"> (81.26, 18.74)</w:t>
            </w:r>
          </w:p>
        </w:tc>
        <w:tc>
          <w:tcPr>
            <w:tcW w:w="1843" w:type="dxa"/>
            <w:tcBorders>
              <w:top w:val="single" w:color="auto" w:sz="8" w:space="0"/>
            </w:tcBorders>
            <w:shd w:val="clear" w:color="auto" w:fill="auto"/>
            <w:vAlign w:val="center"/>
          </w:tcPr>
          <w:p w14:paraId="264F525D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541</w:t>
            </w:r>
          </w:p>
          <w:p w14:paraId="4C177D98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 xml:space="preserve"> (77.63, 17.38)</w:t>
            </w:r>
          </w:p>
        </w:tc>
        <w:tc>
          <w:tcPr>
            <w:tcW w:w="1543" w:type="dxa"/>
            <w:tcBorders>
              <w:top w:val="single" w:color="auto" w:sz="8" w:space="0"/>
            </w:tcBorders>
            <w:shd w:val="clear" w:color="auto" w:fill="auto"/>
            <w:vAlign w:val="center"/>
          </w:tcPr>
          <w:p w14:paraId="3C3A18D2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732</w:t>
            </w:r>
          </w:p>
          <w:p w14:paraId="1BD6F9A5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 xml:space="preserve"> (83.61, 16.39)</w:t>
            </w:r>
          </w:p>
        </w:tc>
      </w:tr>
      <w:tr w14:paraId="61992371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6341DDD6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70E849A2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Total links</w:t>
            </w:r>
          </w:p>
          <w:p w14:paraId="1A5DC576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(Positive and Negative links /%)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6D1237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9878</w:t>
            </w:r>
          </w:p>
          <w:p w14:paraId="6560935B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(49.46, 50.54)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501FFEC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9331</w:t>
            </w:r>
          </w:p>
          <w:p w14:paraId="78C3CFDB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(45.90, 54.10)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09FD92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2008</w:t>
            </w:r>
          </w:p>
          <w:p w14:paraId="19518B01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(48.16,51.84)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84E6B58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1697</w:t>
            </w:r>
          </w:p>
          <w:p w14:paraId="237901D6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(51.68, 48.32)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744833AC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4199</w:t>
            </w:r>
          </w:p>
          <w:p w14:paraId="10F351E3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(52.51, 47.49)</w:t>
            </w:r>
          </w:p>
        </w:tc>
      </w:tr>
      <w:tr w14:paraId="260D640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4AF185CF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EA73549">
            <w:pPr>
              <w:spacing w:line="360" w:lineRule="exact"/>
              <w:jc w:val="left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Linkage density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B3F840">
            <w:pPr>
              <w:spacing w:line="360" w:lineRule="exact"/>
              <w:jc w:val="center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8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1.743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6479B13">
            <w:pPr>
              <w:spacing w:line="360" w:lineRule="exact"/>
              <w:jc w:val="center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8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5.206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414E9FD">
            <w:pPr>
              <w:spacing w:line="360" w:lineRule="exact"/>
              <w:jc w:val="center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2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4.607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6170B1">
            <w:pPr>
              <w:spacing w:line="360" w:lineRule="exact"/>
              <w:jc w:val="center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2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9.777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522D11B6">
            <w:pPr>
              <w:spacing w:line="360" w:lineRule="exact"/>
              <w:jc w:val="center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3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1.392</w:t>
            </w:r>
          </w:p>
        </w:tc>
      </w:tr>
      <w:tr w14:paraId="514B3C2F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6AC37CD7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6899408F">
            <w:pPr>
              <w:spacing w:line="360" w:lineRule="exact"/>
              <w:jc w:val="left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C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onnectance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4EA2D6">
            <w:pPr>
              <w:spacing w:line="360" w:lineRule="exact"/>
              <w:jc w:val="center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0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.11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5C9D35F">
            <w:pPr>
              <w:spacing w:line="360" w:lineRule="exact"/>
              <w:jc w:val="center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0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.072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BE9F00">
            <w:pPr>
              <w:spacing w:line="360" w:lineRule="exact"/>
              <w:jc w:val="center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0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.045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E6CBBE">
            <w:pPr>
              <w:spacing w:line="360" w:lineRule="exact"/>
              <w:jc w:val="center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0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.043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1A2324E6">
            <w:pPr>
              <w:spacing w:line="360" w:lineRule="exact"/>
              <w:jc w:val="center"/>
              <w:rPr>
                <w:rFonts w:eastAsia="等线"/>
                <w:kern w:val="0"/>
                <w:sz w:val="20"/>
                <w:szCs w:val="21"/>
                <w:lang w:bidi="ar"/>
              </w:rPr>
            </w:pP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>0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.057</w:t>
            </w:r>
          </w:p>
        </w:tc>
      </w:tr>
      <w:tr w14:paraId="4F8A2324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4E50AC7E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07F63A50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Average degree (avgD)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27CF0E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26.029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6E3F0434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21.255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29140F8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7.451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762A29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6.603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653C25FC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11.437</w:t>
            </w:r>
          </w:p>
        </w:tc>
      </w:tr>
      <w:tr w14:paraId="01BBF9B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0172F9D1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2E68352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Average path length (APL)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48A3B3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0"/>
                <w:szCs w:val="21"/>
                <w:lang w:bidi="ar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3.095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0DBCF73D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0"/>
                <w:szCs w:val="21"/>
                <w:lang w:bidi="ar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3.262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5659BDB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0"/>
                <w:szCs w:val="21"/>
                <w:lang w:bidi="ar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3.754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618D8FB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0"/>
                <w:szCs w:val="21"/>
                <w:lang w:bidi="ar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3.792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4248E668">
            <w:pPr>
              <w:spacing w:line="360" w:lineRule="exact"/>
              <w:jc w:val="center"/>
              <w:rPr>
                <w:color w:val="000000"/>
                <w:kern w:val="0"/>
                <w:sz w:val="20"/>
                <w:szCs w:val="21"/>
                <w:lang w:bidi="ar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3.465</w:t>
            </w:r>
          </w:p>
        </w:tc>
      </w:tr>
      <w:tr w14:paraId="76EED394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23681529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6B008F66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Average clustering coefficient (avgCC)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8A342B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0.063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4000FB1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0.060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166CA5F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0.055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F6E8CE1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0.063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7F1F82EE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0.075</w:t>
            </w:r>
          </w:p>
        </w:tc>
      </w:tr>
      <w:tr w14:paraId="73B9C682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4337BCFE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4C5A2939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Modularity (MOD)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EC5E74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0.288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3BF04D73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0.266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D80F4B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0.454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7CF73E8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0.413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4C9E65F2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0.405</w:t>
            </w:r>
          </w:p>
        </w:tc>
      </w:tr>
      <w:tr w14:paraId="4486E60B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39016203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0519DF71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Module number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9D9711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hint="eastAsia"/>
                <w:kern w:val="0"/>
                <w:sz w:val="20"/>
                <w:szCs w:val="21"/>
              </w:rPr>
              <w:t>4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4B936AC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13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07359F8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44F781A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18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37BF64B3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5</w:t>
            </w:r>
          </w:p>
        </w:tc>
      </w:tr>
      <w:tr w14:paraId="0CF2446C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0634049F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14A20C53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Niche overlap (Bacteria and Fungi)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BF8759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0.110, 0.142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9B827D6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0.057, 0.130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DD3A06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0.044, 0.067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A07C6A1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0.033, 0.082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275BEF26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0.064, 0.065</w:t>
            </w:r>
          </w:p>
        </w:tc>
      </w:tr>
      <w:tr w14:paraId="1A32833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45379EE1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01D6E7B2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Robustness (Bacteria and Fungi)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8355DB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0.855, 0.926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45818342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0.830, 0.866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955D83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0.736, 0.867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311899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0.710, 0.816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13896D4B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0.811, 0.957</w:t>
            </w:r>
          </w:p>
        </w:tc>
      </w:tr>
      <w:tr w14:paraId="3194CE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shd w:val="clear" w:color="auto" w:fill="auto"/>
            <w:vAlign w:val="center"/>
          </w:tcPr>
          <w:p w14:paraId="1EE03B22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1B4947A5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 xml:space="preserve">Functional complementarity </w:t>
            </w:r>
          </w:p>
          <w:p w14:paraId="654E3292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(Bacteria and Fungi)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F6FCA2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891, 1613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3546946A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983, 1802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FB87DDF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435, 712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3C1CC46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360, 604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0CC66170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706, 1278</w:t>
            </w:r>
          </w:p>
        </w:tc>
      </w:tr>
      <w:tr w14:paraId="1C1AE61D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restart"/>
            <w:tcBorders>
              <w:top w:val="nil"/>
              <w:left w:val="nil"/>
              <w:bottom w:val="single" w:color="auto" w:sz="6" w:space="0"/>
              <w:right w:val="nil"/>
            </w:tcBorders>
            <w:shd w:val="clear" w:color="auto" w:fill="auto"/>
            <w:vAlign w:val="center"/>
          </w:tcPr>
          <w:p w14:paraId="34C38D13">
            <w:pPr>
              <w:spacing w:line="30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Random networks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D07D3B0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Modularity (MOD)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50F336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0.121 ± 0.002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C8F2426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0.135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±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0.002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A6AB53A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0.302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±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0.003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AB72972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0.316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±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0.003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2FBDB6CF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0.233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±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0.003</w:t>
            </w:r>
          </w:p>
        </w:tc>
      </w:tr>
      <w:tr w14:paraId="485D746D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134" w:type="dxa"/>
            <w:vMerge w:val="continue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4EFAA1E1">
            <w:pPr>
              <w:spacing w:line="300" w:lineRule="exact"/>
              <w:rPr>
                <w:kern w:val="0"/>
                <w:sz w:val="20"/>
                <w:szCs w:val="21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00210930">
            <w:pPr>
              <w:spacing w:line="360" w:lineRule="exact"/>
              <w:jc w:val="left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Average clustering coefficient (avgCC)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0E6A1EC1">
            <w:pPr>
              <w:widowControl/>
              <w:spacing w:line="360" w:lineRule="exact"/>
              <w:jc w:val="center"/>
              <w:rPr>
                <w:color w:val="000000"/>
                <w:kern w:val="0"/>
                <w:sz w:val="20"/>
                <w:szCs w:val="21"/>
              </w:rPr>
            </w:pPr>
            <w:r>
              <w:rPr>
                <w:color w:val="000000"/>
                <w:kern w:val="0"/>
                <w:sz w:val="20"/>
                <w:szCs w:val="21"/>
                <w:lang w:bidi="ar"/>
              </w:rPr>
              <w:t>0.062</w:t>
            </w:r>
            <w:r>
              <w:rPr>
                <w:rFonts w:hint="eastAsia"/>
                <w:color w:val="000000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color w:val="000000"/>
                <w:kern w:val="0"/>
                <w:sz w:val="20"/>
                <w:szCs w:val="21"/>
                <w:lang w:bidi="ar"/>
              </w:rPr>
              <w:t>±</w:t>
            </w:r>
            <w:r>
              <w:rPr>
                <w:rFonts w:hint="eastAsia"/>
                <w:color w:val="000000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color w:val="000000"/>
                <w:kern w:val="0"/>
                <w:sz w:val="20"/>
                <w:szCs w:val="21"/>
                <w:lang w:bidi="ar"/>
              </w:rPr>
              <w:t>0.000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182A7AF4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0.020</w:t>
            </w:r>
            <w:bookmarkStart w:id="0" w:name="OLE_LINK91"/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±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0.000</w:t>
            </w:r>
            <w:bookmarkEnd w:id="0"/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30BBA443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0.030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±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0.000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29995E29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0.018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±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0.000</w:t>
            </w:r>
          </w:p>
        </w:tc>
        <w:tc>
          <w:tcPr>
            <w:tcW w:w="154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 w14:paraId="7BBE234E">
            <w:pPr>
              <w:spacing w:line="360" w:lineRule="exact"/>
              <w:jc w:val="center"/>
              <w:rPr>
                <w:kern w:val="0"/>
                <w:sz w:val="20"/>
                <w:szCs w:val="21"/>
              </w:rPr>
            </w:pP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0.044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±</w:t>
            </w:r>
            <w:r>
              <w:rPr>
                <w:rFonts w:hint="eastAsia" w:eastAsia="等线"/>
                <w:kern w:val="0"/>
                <w:sz w:val="20"/>
                <w:szCs w:val="21"/>
                <w:lang w:bidi="ar"/>
              </w:rPr>
              <w:t xml:space="preserve"> </w:t>
            </w:r>
            <w:r>
              <w:rPr>
                <w:rFonts w:eastAsia="等线"/>
                <w:kern w:val="0"/>
                <w:sz w:val="20"/>
                <w:szCs w:val="21"/>
                <w:lang w:bidi="ar"/>
              </w:rPr>
              <w:t>0.000</w:t>
            </w:r>
          </w:p>
        </w:tc>
      </w:tr>
    </w:tbl>
    <w:p w14:paraId="444854A3">
      <w:pPr>
        <w:adjustRightInd w:val="0"/>
        <w:rPr>
          <w:rFonts w:eastAsia="楷体"/>
          <w:b/>
          <w:sz w:val="24"/>
        </w:rPr>
      </w:pPr>
      <w:r>
        <w:rPr>
          <w:rFonts w:eastAsia="等线"/>
          <w:szCs w:val="21"/>
          <w:lang w:bidi="ar"/>
        </w:rPr>
        <w:t>Mean and S.E. based on 100 randomized networks results</w:t>
      </w:r>
      <w:r>
        <w:rPr>
          <w:rFonts w:hint="eastAsia" w:eastAsia="等线"/>
          <w:szCs w:val="21"/>
          <w:lang w:bidi="ar"/>
        </w:rPr>
        <w:t>.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GB2312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sLA0tzQxMTQztLQwMjBV0lEKTi0uzszPAykwrAUAwQuh0iwAAAA="/>
  </w:docVars>
  <w:rsids>
    <w:rsidRoot w:val="00FA060D"/>
    <w:rsid w:val="000967F8"/>
    <w:rsid w:val="000B3D61"/>
    <w:rsid w:val="0021407E"/>
    <w:rsid w:val="00380E5E"/>
    <w:rsid w:val="003F4004"/>
    <w:rsid w:val="00523AFB"/>
    <w:rsid w:val="005336A3"/>
    <w:rsid w:val="005C231A"/>
    <w:rsid w:val="00656A50"/>
    <w:rsid w:val="006B6FC7"/>
    <w:rsid w:val="007E68BC"/>
    <w:rsid w:val="009843C8"/>
    <w:rsid w:val="00AA46E9"/>
    <w:rsid w:val="00B32795"/>
    <w:rsid w:val="00B65EFB"/>
    <w:rsid w:val="00C12EDE"/>
    <w:rsid w:val="00D22E34"/>
    <w:rsid w:val="00DE754A"/>
    <w:rsid w:val="00E2740C"/>
    <w:rsid w:val="00FA060D"/>
    <w:rsid w:val="10993435"/>
    <w:rsid w:val="10B95885"/>
    <w:rsid w:val="12665599"/>
    <w:rsid w:val="1B564CA2"/>
    <w:rsid w:val="20346CD6"/>
    <w:rsid w:val="205720F4"/>
    <w:rsid w:val="280B47C0"/>
    <w:rsid w:val="2C22032B"/>
    <w:rsid w:val="392A6A70"/>
    <w:rsid w:val="3BCE7CB9"/>
    <w:rsid w:val="4093314D"/>
    <w:rsid w:val="48397F9D"/>
    <w:rsid w:val="4D3D691B"/>
    <w:rsid w:val="50F25C6E"/>
    <w:rsid w:val="544A6C86"/>
    <w:rsid w:val="625247BE"/>
    <w:rsid w:val="63400ABB"/>
    <w:rsid w:val="66EC5D51"/>
    <w:rsid w:val="69E71C90"/>
    <w:rsid w:val="6DE333D5"/>
    <w:rsid w:val="780D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724EA-66A1-4AD7-B05B-6D1C19D25A5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445</Words>
  <Characters>2742</Characters>
  <Lines>25</Lines>
  <Paragraphs>7</Paragraphs>
  <TotalTime>1</TotalTime>
  <ScaleCrop>false</ScaleCrop>
  <LinksUpToDate>false</LinksUpToDate>
  <CharactersWithSpaces>3067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2023-12-23T07:45:00Z</dcterms:created>
  <dc:creator>Dn</dc:creator>
  <cp:lastModifiedBy>wN</cp:lastModifiedBy>
  <dcterms:modified xsi:type="dcterms:W3CDTF">2025-12-01T15:19:17Z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eyJoZGlkIjoiMmY4NDUyMjY3MzI5MWRiMGU2MDk1MWU3ZmYxZjA4MzEiLCJ1c2VySWQiOiI2MzY5MTkzNDgifQ==</vt:lpwstr>
  </property>
  <property fmtid="{D5CDD505-2E9C-101B-9397-08002B2CF9AE}" pid="3" name="KSOProductBuildVer">
    <vt:lpwstr>2052-12.1.0.23542</vt:lpwstr>
  </property>
  <property fmtid="{D5CDD505-2E9C-101B-9397-08002B2CF9AE}" pid="4" name="ICV">
    <vt:lpwstr>903FDA5619B04474B141173371FCC269_13</vt:lpwstr>
  </property>
  <property fmtid="{D5CDD505-2E9C-101B-9397-08002B2CF9AE}" pid="5" name="GrammarlyDocumentId">
    <vt:lpwstr>b5705a59-fe0a-4162-a0dd-9ed7938a43a9</vt:lpwstr>
  </property>
</Properties>
</file>