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94638" w14:textId="77777777" w:rsidR="005129E4" w:rsidRDefault="00565856">
      <w:pPr>
        <w:spacing w:line="480" w:lineRule="auto"/>
        <w:rPr>
          <w:rFonts w:ascii="Times New Roman" w:hAnsi="Times New Roman"/>
          <w:b/>
          <w:color w:val="000000"/>
          <w:sz w:val="24"/>
        </w:rPr>
      </w:pPr>
      <w:r>
        <w:rPr>
          <w:rFonts w:ascii="Times New Roman" w:hAnsi="Times New Roman"/>
          <w:b/>
          <w:color w:val="000000"/>
          <w:sz w:val="24"/>
        </w:rPr>
        <w:t>SUPPLEMENTARY INFORMATION</w:t>
      </w:r>
    </w:p>
    <w:p w14:paraId="0F07D846" w14:textId="77777777" w:rsidR="005129E4" w:rsidRDefault="00565856">
      <w:pPr>
        <w:spacing w:line="480" w:lineRule="auto"/>
        <w:jc w:val="center"/>
        <w:rPr>
          <w:rFonts w:ascii="Times New Roman" w:hAnsi="Times New Roman"/>
          <w:b/>
          <w:color w:val="000000"/>
          <w:sz w:val="24"/>
        </w:rPr>
      </w:pPr>
      <w:r>
        <w:rPr>
          <w:rFonts w:ascii="Times New Roman" w:hAnsi="Times New Roman" w:hint="eastAsia"/>
          <w:b/>
          <w:color w:val="000000"/>
          <w:sz w:val="24"/>
        </w:rPr>
        <w:t xml:space="preserve">Spatiotemporal Dynamics and Driving Factors of Soil Organic Carbon Storage in the Yangtze River Basin Under Climate Change and Land Use Scenarios </w:t>
      </w:r>
    </w:p>
    <w:p w14:paraId="3B00B917" w14:textId="77777777" w:rsidR="005129E4" w:rsidRDefault="005129E4">
      <w:pPr>
        <w:spacing w:line="480" w:lineRule="auto"/>
        <w:jc w:val="center"/>
        <w:rPr>
          <w:rFonts w:ascii="Times New Roman" w:hAnsi="Times New Roman"/>
          <w:b/>
          <w:color w:val="000000"/>
          <w:sz w:val="24"/>
        </w:rPr>
      </w:pPr>
    </w:p>
    <w:p w14:paraId="25C98205" w14:textId="77777777" w:rsidR="005129E4" w:rsidRDefault="00565856">
      <w:pPr>
        <w:snapToGrid w:val="0"/>
        <w:spacing w:beforeLines="50" w:before="156" w:line="480" w:lineRule="auto"/>
        <w:jc w:val="center"/>
        <w:rPr>
          <w:rFonts w:ascii="Times New Roman" w:hAnsi="Times New Roman" w:cs="Times New Roman"/>
          <w:b/>
          <w:bCs/>
          <w:sz w:val="24"/>
        </w:rPr>
      </w:pPr>
      <w:r>
        <w:rPr>
          <w:rFonts w:ascii="Times New Roman" w:hAnsi="Times New Roman" w:cs="Times New Roman"/>
          <w:b/>
          <w:bCs/>
          <w:sz w:val="24"/>
        </w:rPr>
        <w:t>Yangtze Basin SOC under Land-Use/Climate Scenarios</w:t>
      </w:r>
    </w:p>
    <w:p w14:paraId="3E8DCB6A" w14:textId="77777777" w:rsidR="005129E4" w:rsidRDefault="005129E4">
      <w:pPr>
        <w:snapToGrid w:val="0"/>
        <w:spacing w:beforeLines="50" w:before="156" w:line="480" w:lineRule="auto"/>
        <w:jc w:val="center"/>
        <w:rPr>
          <w:rFonts w:ascii="Times New Roman" w:hAnsi="Times New Roman" w:cs="Times New Roman"/>
          <w:b/>
          <w:bCs/>
          <w:sz w:val="24"/>
        </w:rPr>
      </w:pPr>
    </w:p>
    <w:p w14:paraId="60C173ED" w14:textId="77777777" w:rsidR="005129E4" w:rsidRDefault="00565856">
      <w:pPr>
        <w:snapToGrid w:val="0"/>
        <w:spacing w:beforeLines="50" w:before="156" w:line="480" w:lineRule="auto"/>
        <w:jc w:val="center"/>
        <w:rPr>
          <w:rFonts w:ascii="Times New Roman" w:hAnsi="Times New Roman" w:cs="Times New Roman"/>
          <w:color w:val="000000" w:themeColor="text1"/>
          <w:sz w:val="24"/>
          <w:vertAlign w:val="superscript"/>
        </w:rPr>
      </w:pPr>
      <w:r>
        <w:rPr>
          <w:rFonts w:ascii="Times New Roman" w:hAnsi="Times New Roman" w:cs="Times New Roman"/>
          <w:color w:val="000000" w:themeColor="text1"/>
          <w:sz w:val="24"/>
        </w:rPr>
        <w:t>Yu-Qian Liu</w:t>
      </w:r>
      <w:r>
        <w:rPr>
          <w:rFonts w:ascii="Times New Roman" w:hAnsi="Times New Roman" w:cs="Times New Roman" w:hint="eastAsia"/>
          <w:color w:val="000000" w:themeColor="text1"/>
          <w:sz w:val="24"/>
          <w:vertAlign w:val="superscript"/>
        </w:rPr>
        <w:t>a</w:t>
      </w:r>
      <w:r>
        <w:rPr>
          <w:rFonts w:ascii="Times New Roman" w:hAnsi="Times New Roman" w:cs="Times New Roman"/>
          <w:color w:val="000000" w:themeColor="text1"/>
          <w:sz w:val="24"/>
          <w:vertAlign w:val="superscript"/>
        </w:rPr>
        <w:t>,</w:t>
      </w:r>
      <w:r>
        <w:rPr>
          <w:rFonts w:ascii="Times New Roman" w:hAnsi="Times New Roman" w:cs="Times New Roman" w:hint="eastAsia"/>
          <w:color w:val="000000" w:themeColor="text1"/>
          <w:sz w:val="24"/>
          <w:vertAlign w:val="superscript"/>
        </w:rPr>
        <w:t>b</w:t>
      </w:r>
      <w:r>
        <w:rPr>
          <w:rFonts w:ascii="Times New Roman" w:hAnsi="Times New Roman" w:cs="Times New Roman"/>
          <w:color w:val="000000" w:themeColor="text1"/>
          <w:sz w:val="24"/>
        </w:rPr>
        <w:t>, Xiao Tan</w:t>
      </w:r>
      <w:r>
        <w:rPr>
          <w:rFonts w:ascii="Times New Roman" w:hAnsi="Times New Roman" w:cs="Times New Roman" w:hint="eastAsia"/>
          <w:color w:val="000000" w:themeColor="text1"/>
          <w:sz w:val="24"/>
          <w:vertAlign w:val="superscript"/>
        </w:rPr>
        <w:t>b</w:t>
      </w:r>
      <w:r>
        <w:rPr>
          <w:rFonts w:ascii="Times New Roman" w:hAnsi="Times New Roman" w:cs="Times New Roman"/>
          <w:color w:val="000000" w:themeColor="text1"/>
          <w:sz w:val="24"/>
        </w:rPr>
        <w:t>, Gui-Lan Duan</w:t>
      </w:r>
      <w:r>
        <w:rPr>
          <w:rFonts w:ascii="Times New Roman" w:hAnsi="Times New Roman" w:cs="Times New Roman" w:hint="eastAsia"/>
          <w:color w:val="000000" w:themeColor="text1"/>
          <w:sz w:val="24"/>
          <w:vertAlign w:val="superscript"/>
        </w:rPr>
        <w:t>b</w:t>
      </w:r>
      <w:r>
        <w:rPr>
          <w:rFonts w:ascii="Times New Roman" w:hAnsi="Times New Roman" w:cs="Times New Roman"/>
          <w:color w:val="000000" w:themeColor="text1"/>
          <w:sz w:val="24"/>
          <w:vertAlign w:val="superscript"/>
        </w:rPr>
        <w:t>,</w:t>
      </w:r>
      <w:r>
        <w:rPr>
          <w:rFonts w:ascii="Times New Roman" w:hAnsi="Times New Roman" w:cs="Times New Roman" w:hint="eastAsia"/>
          <w:color w:val="000000" w:themeColor="text1"/>
          <w:sz w:val="24"/>
          <w:vertAlign w:val="superscript"/>
        </w:rPr>
        <w:t>c</w:t>
      </w:r>
      <w:r>
        <w:rPr>
          <w:rFonts w:ascii="Times New Roman" w:hAnsi="Times New Roman" w:cs="Times New Roman"/>
          <w:color w:val="000000" w:themeColor="text1"/>
          <w:sz w:val="24"/>
          <w:vertAlign w:val="superscript"/>
        </w:rPr>
        <w:t>*</w:t>
      </w:r>
    </w:p>
    <w:p w14:paraId="788943CE" w14:textId="77777777" w:rsidR="005129E4" w:rsidRDefault="005129E4">
      <w:pPr>
        <w:snapToGrid w:val="0"/>
        <w:spacing w:beforeLines="50" w:before="156" w:line="480" w:lineRule="auto"/>
        <w:jc w:val="center"/>
        <w:rPr>
          <w:rFonts w:ascii="Times New Roman" w:hAnsi="Times New Roman" w:cs="Times New Roman"/>
          <w:color w:val="000000" w:themeColor="text1"/>
          <w:sz w:val="24"/>
          <w:vertAlign w:val="superscript"/>
        </w:rPr>
      </w:pPr>
    </w:p>
    <w:p w14:paraId="44FB2794" w14:textId="77777777" w:rsidR="005129E4" w:rsidRDefault="00565856">
      <w:pPr>
        <w:snapToGrid w:val="0"/>
        <w:spacing w:line="480" w:lineRule="auto"/>
        <w:rPr>
          <w:rFonts w:ascii="Times New Roman" w:hAnsi="Times New Roman" w:cs="Times New Roman"/>
          <w:color w:val="000000" w:themeColor="text1"/>
          <w:sz w:val="24"/>
        </w:rPr>
      </w:pPr>
      <w:r>
        <w:rPr>
          <w:rFonts w:ascii="Times New Roman" w:hAnsi="Times New Roman" w:cs="Times New Roman" w:hint="eastAsia"/>
          <w:color w:val="000000" w:themeColor="text1"/>
          <w:sz w:val="24"/>
          <w:vertAlign w:val="superscript"/>
        </w:rPr>
        <w:t>a</w:t>
      </w:r>
      <w:r>
        <w:rPr>
          <w:rFonts w:ascii="Times New Roman" w:hAnsi="Times New Roman" w:cs="Times New Roman"/>
          <w:color w:val="000000" w:themeColor="text1"/>
          <w:sz w:val="24"/>
        </w:rPr>
        <w:t xml:space="preserve">Henan </w:t>
      </w:r>
      <w:r>
        <w:rPr>
          <w:rFonts w:ascii="Times New Roman" w:hAnsi="Times New Roman" w:cs="Times New Roman"/>
          <w:color w:val="000000" w:themeColor="text1"/>
          <w:sz w:val="24"/>
        </w:rPr>
        <w:t>Institute of Advanced Technology, Zhengzhou University, Zhengzhou 450052, China</w:t>
      </w:r>
    </w:p>
    <w:p w14:paraId="722A2869" w14:textId="77777777" w:rsidR="005129E4" w:rsidRDefault="00565856">
      <w:pPr>
        <w:snapToGrid w:val="0"/>
        <w:spacing w:beforeLines="50" w:before="156" w:line="480" w:lineRule="auto"/>
        <w:rPr>
          <w:rFonts w:ascii="Times New Roman" w:hAnsi="Times New Roman" w:cs="Times New Roman"/>
          <w:color w:val="000000" w:themeColor="text1"/>
          <w:sz w:val="24"/>
        </w:rPr>
      </w:pPr>
      <w:r>
        <w:rPr>
          <w:rFonts w:ascii="Times New Roman" w:hAnsi="Times New Roman" w:cs="Times New Roman" w:hint="eastAsia"/>
          <w:color w:val="000000" w:themeColor="text1"/>
          <w:sz w:val="24"/>
          <w:vertAlign w:val="superscript"/>
        </w:rPr>
        <w:t>b</w:t>
      </w:r>
      <w:r>
        <w:rPr>
          <w:rFonts w:ascii="Times New Roman" w:hAnsi="Times New Roman" w:cs="Times New Roman"/>
          <w:color w:val="000000" w:themeColor="text1"/>
          <w:sz w:val="24"/>
        </w:rPr>
        <w:t>State Key Lab of Urban and Regional Ecology, Research Center for Eco-Environmental Sciences, Chinese Academy of Sciences, Beijing 100085, China</w:t>
      </w:r>
    </w:p>
    <w:p w14:paraId="565D4791" w14:textId="77777777" w:rsidR="005129E4" w:rsidRDefault="00565856">
      <w:pPr>
        <w:snapToGrid w:val="0"/>
        <w:spacing w:beforeLines="50" w:before="156" w:line="480" w:lineRule="auto"/>
        <w:rPr>
          <w:rFonts w:ascii="Times New Roman" w:hAnsi="Times New Roman" w:cs="Times New Roman"/>
          <w:color w:val="000000" w:themeColor="text1"/>
          <w:sz w:val="24"/>
        </w:rPr>
      </w:pPr>
      <w:r>
        <w:rPr>
          <w:rFonts w:ascii="Times New Roman" w:hAnsi="Times New Roman" w:cs="Times New Roman" w:hint="eastAsia"/>
          <w:color w:val="000000" w:themeColor="text1"/>
          <w:sz w:val="24"/>
          <w:vertAlign w:val="superscript"/>
        </w:rPr>
        <w:t>c</w:t>
      </w:r>
      <w:r>
        <w:rPr>
          <w:rFonts w:ascii="Times New Roman" w:hAnsi="Times New Roman" w:cs="Times New Roman"/>
          <w:color w:val="000000" w:themeColor="text1"/>
          <w:sz w:val="24"/>
        </w:rPr>
        <w:t>University of Chinese Academy of Sciences, Beijing 100049, China</w:t>
      </w:r>
    </w:p>
    <w:p w14:paraId="538F7698" w14:textId="77777777" w:rsidR="005129E4" w:rsidRDefault="005129E4">
      <w:pPr>
        <w:pStyle w:val="BIEmailAddress"/>
        <w:suppressLineNumbers/>
        <w:snapToGrid w:val="0"/>
        <w:spacing w:beforeLines="50" w:before="156" w:after="0"/>
        <w:rPr>
          <w:rFonts w:ascii="Times New Roman" w:hAnsi="Times New Roman"/>
          <w:color w:val="000000" w:themeColor="text1"/>
          <w:szCs w:val="24"/>
        </w:rPr>
      </w:pPr>
    </w:p>
    <w:p w14:paraId="41C574CB" w14:textId="77777777" w:rsidR="005129E4" w:rsidRDefault="00565856">
      <w:pPr>
        <w:pStyle w:val="BIEmailAddress"/>
        <w:snapToGrid w:val="0"/>
        <w:spacing w:beforeLines="50" w:before="156" w:after="0"/>
        <w:rPr>
          <w:rFonts w:ascii="Times New Roman" w:hAnsi="Times New Roman"/>
          <w:b/>
          <w:bCs/>
          <w:color w:val="000000" w:themeColor="text1"/>
          <w:szCs w:val="24"/>
        </w:rPr>
      </w:pPr>
      <w:r>
        <w:rPr>
          <w:rFonts w:ascii="Times New Roman" w:hAnsi="Times New Roman"/>
          <w:b/>
          <w:bCs/>
          <w:color w:val="000000" w:themeColor="text1"/>
          <w:szCs w:val="24"/>
        </w:rPr>
        <w:t xml:space="preserve">*Corresponding author: </w:t>
      </w:r>
    </w:p>
    <w:p w14:paraId="4F1E65D7" w14:textId="77777777" w:rsidR="005129E4" w:rsidRDefault="00565856">
      <w:pPr>
        <w:pStyle w:val="BIEmailAddress"/>
        <w:snapToGrid w:val="0"/>
        <w:spacing w:beforeLines="50" w:before="156" w:after="0"/>
        <w:rPr>
          <w:rFonts w:ascii="Times New Roman" w:hAnsi="Times New Roman"/>
          <w:color w:val="000000" w:themeColor="text1"/>
          <w:szCs w:val="24"/>
        </w:rPr>
      </w:pPr>
      <w:r>
        <w:rPr>
          <w:rFonts w:ascii="Times New Roman" w:hAnsi="Times New Roman"/>
          <w:color w:val="000000" w:themeColor="text1"/>
          <w:szCs w:val="24"/>
        </w:rPr>
        <w:t xml:space="preserve">Gui-Lan Duan, email: duangl@rcees.ac.cn, </w:t>
      </w:r>
      <w:r>
        <w:rPr>
          <w:rFonts w:ascii="Times New Roman" w:eastAsia="等线" w:hAnsi="Times New Roman"/>
          <w:color w:val="000000" w:themeColor="text1"/>
          <w:szCs w:val="24"/>
        </w:rPr>
        <w:t>ORCID:</w:t>
      </w:r>
      <w:r>
        <w:rPr>
          <w:rFonts w:ascii="Times New Roman" w:hAnsi="Times New Roman"/>
          <w:color w:val="000000" w:themeColor="text1"/>
          <w:szCs w:val="24"/>
        </w:rPr>
        <w:t xml:space="preserve"> 0000-0002-2880-5017, </w:t>
      </w:r>
    </w:p>
    <w:p w14:paraId="36F9CBB6" w14:textId="4A258D05" w:rsidR="005129E4" w:rsidRDefault="00565856">
      <w:pPr>
        <w:widowControl/>
        <w:rPr>
          <w:rFonts w:ascii="Times New Roman" w:eastAsia="微软雅黑" w:hAnsi="Times New Roman"/>
          <w:b/>
          <w:i/>
          <w:color w:val="000000"/>
          <w:kern w:val="0"/>
          <w:sz w:val="24"/>
        </w:rPr>
      </w:pPr>
      <w:r>
        <w:rPr>
          <w:rFonts w:ascii="Times New Roman" w:hAnsi="Times New Roman" w:cs="Times New Roman"/>
          <w:color w:val="000000" w:themeColor="text1"/>
          <w:sz w:val="24"/>
        </w:rPr>
        <w:t xml:space="preserve">postal address: 18 Shuangqing Road, Haidian District, Beijing, China (100085), Research Center for </w:t>
      </w:r>
      <w:r>
        <w:rPr>
          <w:rFonts w:ascii="Times New Roman" w:hAnsi="Times New Roman" w:cs="Times New Roman"/>
          <w:color w:val="000000" w:themeColor="text1"/>
          <w:sz w:val="24"/>
        </w:rPr>
        <w:t>Eco-Environmental Sciences, Chinese Academy of Sciences.</w:t>
      </w:r>
      <w:r>
        <w:rPr>
          <w:rFonts w:ascii="Times New Roman" w:eastAsia="微软雅黑" w:hAnsi="Times New Roman"/>
          <w:b/>
          <w:i/>
          <w:color w:val="000000"/>
          <w:kern w:val="0"/>
          <w:sz w:val="24"/>
        </w:rPr>
        <w:br w:type="page"/>
      </w:r>
    </w:p>
    <w:p w14:paraId="2808CB8D" w14:textId="77777777" w:rsidR="005129E4" w:rsidRDefault="00565856">
      <w:pPr>
        <w:widowControl/>
        <w:spacing w:after="0" w:line="480" w:lineRule="auto"/>
        <w:jc w:val="both"/>
        <w:rPr>
          <w:rFonts w:ascii="Times New Roman" w:hAnsi="Times New Roman" w:cs="Times New Roman"/>
          <w:b/>
          <w:bCs/>
          <w:sz w:val="24"/>
        </w:rPr>
      </w:pPr>
      <w:r>
        <w:rPr>
          <w:rFonts w:ascii="Times New Roman" w:hAnsi="Times New Roman" w:cs="Times New Roman" w:hint="eastAsia"/>
          <w:b/>
          <w:bCs/>
          <w:sz w:val="24"/>
        </w:rPr>
        <w:lastRenderedPageBreak/>
        <w:t>Appendix S1</w:t>
      </w:r>
      <w:r>
        <w:rPr>
          <w:rFonts w:ascii="Times New Roman" w:hAnsi="Times New Roman" w:cs="Times New Roman" w:hint="eastAsia"/>
          <w:b/>
          <w:bCs/>
          <w:sz w:val="24"/>
        </w:rPr>
        <w:t xml:space="preserve"> </w:t>
      </w:r>
      <w:r>
        <w:rPr>
          <w:rFonts w:ascii="Times New Roman" w:hAnsi="Times New Roman" w:cs="Times New Roman" w:hint="eastAsia"/>
          <w:b/>
          <w:bCs/>
          <w:sz w:val="24"/>
        </w:rPr>
        <w:t xml:space="preserve"> </w:t>
      </w:r>
      <w:r>
        <w:rPr>
          <w:rFonts w:ascii="Times New Roman" w:hAnsi="Times New Roman" w:cs="Times New Roman" w:hint="eastAsia"/>
          <w:b/>
          <w:bCs/>
          <w:sz w:val="24"/>
        </w:rPr>
        <w:t>AI models</w:t>
      </w:r>
    </w:p>
    <w:p w14:paraId="7475B02B" w14:textId="77777777" w:rsidR="005129E4" w:rsidRDefault="00565856">
      <w:pPr>
        <w:widowControl/>
        <w:spacing w:after="0" w:line="480" w:lineRule="auto"/>
        <w:ind w:firstLineChars="200" w:firstLine="480"/>
        <w:jc w:val="both"/>
        <w:rPr>
          <w:rFonts w:ascii="Times New Roman" w:hAnsi="Times New Roman" w:cs="Times New Roman"/>
          <w:sz w:val="24"/>
        </w:rPr>
      </w:pPr>
      <w:r>
        <w:rPr>
          <w:rFonts w:ascii="Times New Roman" w:hAnsi="Times New Roman" w:cs="Times New Roman" w:hint="eastAsia"/>
          <w:sz w:val="24"/>
        </w:rPr>
        <w:t xml:space="preserve">Random Forest (RF): RF is an ensemble learning method that improves model accuracy and stability by constructing multiple decision trees and combining their </w:t>
      </w:r>
      <w:r>
        <w:rPr>
          <w:rFonts w:ascii="Times New Roman" w:hAnsi="Times New Roman" w:cs="Times New Roman" w:hint="eastAsia"/>
          <w:sz w:val="24"/>
        </w:rPr>
        <w:t>predictions. Each tree is trained using different subsets of data and features. Advantages include high accuracy and robustness, the ability to handle high-dimensional data and missing values, and reduced risk of overfitting (</w:t>
      </w:r>
      <w:r>
        <w:rPr>
          <w:rFonts w:ascii="Times New Roman" w:hAnsi="Times New Roman" w:cs="Times New Roman" w:hint="eastAsia"/>
          <w:color w:val="0000FF"/>
          <w:sz w:val="24"/>
        </w:rPr>
        <w:t>Biau, 2012; Schonlau &amp; Zou, 2020</w:t>
      </w:r>
      <w:r>
        <w:rPr>
          <w:rFonts w:ascii="Times New Roman" w:hAnsi="Times New Roman" w:cs="Times New Roman" w:hint="eastAsia"/>
          <w:sz w:val="24"/>
        </w:rPr>
        <w:t>).</w:t>
      </w:r>
    </w:p>
    <w:p w14:paraId="61F45A8E" w14:textId="77777777" w:rsidR="005129E4" w:rsidRDefault="00565856">
      <w:pPr>
        <w:widowControl/>
        <w:spacing w:after="0" w:line="480" w:lineRule="auto"/>
        <w:ind w:firstLineChars="200" w:firstLine="480"/>
        <w:jc w:val="both"/>
        <w:rPr>
          <w:rFonts w:ascii="Times New Roman" w:hAnsi="Times New Roman" w:cs="Times New Roman"/>
          <w:sz w:val="24"/>
        </w:rPr>
      </w:pPr>
      <w:r>
        <w:rPr>
          <w:rFonts w:ascii="Times New Roman" w:hAnsi="Times New Roman" w:cs="Times New Roman" w:hint="eastAsia"/>
          <w:sz w:val="24"/>
        </w:rPr>
        <w:t>Support Vector Machine (SVM): SVM is a supervised learning algorithm that finds an optimal hyperplane in a high-dimensional space to maximize the margin between different classes for classification. Advantages include effectiveness in high-dimensional spaces, the ability to handle non-linear classification problems, and good generalization performance (</w:t>
      </w:r>
      <w:r>
        <w:rPr>
          <w:rFonts w:ascii="Times New Roman" w:hAnsi="Times New Roman" w:cs="Times New Roman" w:hint="eastAsia"/>
          <w:color w:val="0000FF"/>
          <w:sz w:val="24"/>
        </w:rPr>
        <w:t>Mosaid et al., 2024; Wang, Zhang et al., 2023</w:t>
      </w:r>
      <w:r>
        <w:rPr>
          <w:rFonts w:ascii="Times New Roman" w:hAnsi="Times New Roman" w:cs="Times New Roman" w:hint="eastAsia"/>
          <w:sz w:val="24"/>
        </w:rPr>
        <w:t>)</w:t>
      </w:r>
      <w:r>
        <w:rPr>
          <w:rFonts w:ascii="Times New Roman" w:hAnsi="Times New Roman" w:cs="Times New Roman"/>
          <w:sz w:val="24"/>
        </w:rPr>
        <w:t xml:space="preserve"> </w:t>
      </w:r>
    </w:p>
    <w:p w14:paraId="7642DA04" w14:textId="77777777" w:rsidR="005129E4" w:rsidRDefault="00565856">
      <w:pPr>
        <w:widowControl/>
        <w:spacing w:after="0" w:line="480" w:lineRule="auto"/>
        <w:ind w:firstLineChars="200" w:firstLine="480"/>
        <w:jc w:val="both"/>
        <w:rPr>
          <w:rFonts w:ascii="Times New Roman" w:hAnsi="Times New Roman" w:cs="Times New Roman"/>
          <w:sz w:val="24"/>
        </w:rPr>
      </w:pPr>
      <w:r>
        <w:rPr>
          <w:rFonts w:ascii="Times New Roman" w:hAnsi="Times New Roman" w:cs="Times New Roman" w:hint="eastAsia"/>
          <w:sz w:val="24"/>
        </w:rPr>
        <w:t>Gradient Boosting Regression Trees (GBRT): GBRT is an ensemble method that sequentially builds multiple weak predictive models (such as shallow decision trees), with each model attempting to correct the errors of the previous one. Advantages include high predictive accuracy, the ability to handle complex non-linear relationships, and strong performance in many tasks (</w:t>
      </w:r>
      <w:r>
        <w:rPr>
          <w:rFonts w:ascii="Times New Roman" w:hAnsi="Times New Roman" w:cs="Times New Roman" w:hint="eastAsia"/>
          <w:color w:val="0000FF"/>
          <w:sz w:val="24"/>
        </w:rPr>
        <w:t>Huang et al., 2019; Yang et al., 2022</w:t>
      </w:r>
      <w:r>
        <w:rPr>
          <w:rFonts w:ascii="Times New Roman" w:hAnsi="Times New Roman" w:cs="Times New Roman" w:hint="eastAsia"/>
          <w:sz w:val="24"/>
        </w:rPr>
        <w:t>).</w:t>
      </w:r>
    </w:p>
    <w:p w14:paraId="7DB2C2E3" w14:textId="77777777" w:rsidR="005129E4" w:rsidRDefault="00565856">
      <w:pPr>
        <w:widowControl/>
        <w:spacing w:after="0" w:line="480" w:lineRule="auto"/>
        <w:ind w:firstLineChars="200" w:firstLine="480"/>
        <w:jc w:val="both"/>
        <w:rPr>
          <w:rFonts w:ascii="Times New Roman" w:hAnsi="Times New Roman" w:cs="Times New Roman"/>
          <w:sz w:val="24"/>
        </w:rPr>
      </w:pPr>
      <w:r>
        <w:rPr>
          <w:rFonts w:ascii="Times New Roman" w:hAnsi="Times New Roman" w:cs="Times New Roman" w:hint="eastAsia"/>
          <w:sz w:val="24"/>
        </w:rPr>
        <w:t>Long Short-Term Memory networks (LSTM): LSTM is a type of recurrent neural network (RNN) capable of learning and remembering long-term dependencies in sequential data, making it particularly suitable for time series prediction and natural language processing. Advantages include effective handling of long sequences, avoidance of the vanishing gradient problem in traditional RNNs, and strong performance in sequence data tasks (</w:t>
      </w:r>
      <w:r>
        <w:rPr>
          <w:rFonts w:ascii="Times New Roman" w:hAnsi="Times New Roman" w:cs="Times New Roman" w:hint="eastAsia"/>
          <w:color w:val="0000FF"/>
          <w:sz w:val="24"/>
        </w:rPr>
        <w:t>Tian &amp; Chen, 2022</w:t>
      </w:r>
      <w:r>
        <w:rPr>
          <w:rFonts w:ascii="Times New Roman" w:hAnsi="Times New Roman" w:cs="Times New Roman" w:hint="eastAsia"/>
          <w:sz w:val="24"/>
        </w:rPr>
        <w:t>).</w:t>
      </w:r>
    </w:p>
    <w:p w14:paraId="4DEB6CFC" w14:textId="77777777" w:rsidR="005129E4" w:rsidRDefault="00565856">
      <w:pPr>
        <w:widowControl/>
        <w:spacing w:after="0" w:line="480" w:lineRule="auto"/>
        <w:ind w:firstLineChars="200" w:firstLine="480"/>
        <w:jc w:val="both"/>
        <w:rPr>
          <w:rFonts w:ascii="Times New Roman" w:hAnsi="Times New Roman" w:cs="Times New Roman"/>
          <w:sz w:val="24"/>
        </w:rPr>
      </w:pPr>
      <w:r>
        <w:rPr>
          <w:rFonts w:ascii="Times New Roman" w:hAnsi="Times New Roman" w:cs="Times New Roman" w:hint="eastAsia"/>
          <w:sz w:val="24"/>
        </w:rPr>
        <w:lastRenderedPageBreak/>
        <w:t>Extra Trees Regressor (ETR): ETR is an extremely randomized trees regressor that reduces model variance by randomly selecting features and split points when constructing decision trees (</w:t>
      </w:r>
      <w:r>
        <w:rPr>
          <w:rFonts w:ascii="Times New Roman" w:hAnsi="Times New Roman" w:cs="Times New Roman" w:hint="eastAsia"/>
          <w:color w:val="0000FF"/>
          <w:sz w:val="24"/>
        </w:rPr>
        <w:t>Nasseri et al., 2023</w:t>
      </w:r>
      <w:r>
        <w:rPr>
          <w:rFonts w:ascii="Times New Roman" w:hAnsi="Times New Roman" w:cs="Times New Roman" w:hint="eastAsia"/>
          <w:sz w:val="24"/>
        </w:rPr>
        <w:t>). Advantages include fast training speed, the ability to handle large datasets, and potentially greater robustness compared to traditional random forests in some cases (</w:t>
      </w:r>
      <w:r>
        <w:rPr>
          <w:rFonts w:ascii="Times New Roman" w:hAnsi="Times New Roman" w:cs="Times New Roman" w:hint="eastAsia"/>
          <w:color w:val="0000FF"/>
          <w:sz w:val="24"/>
        </w:rPr>
        <w:t>Almuhammadi et al., 2023</w:t>
      </w:r>
      <w:r>
        <w:rPr>
          <w:rFonts w:ascii="Times New Roman" w:hAnsi="Times New Roman" w:cs="Times New Roman" w:hint="eastAsia"/>
          <w:sz w:val="24"/>
        </w:rPr>
        <w:t>).</w:t>
      </w:r>
    </w:p>
    <w:p w14:paraId="5BC0D663" w14:textId="77777777" w:rsidR="005129E4" w:rsidRDefault="00565856">
      <w:pPr>
        <w:widowControl/>
        <w:spacing w:after="0" w:line="480" w:lineRule="auto"/>
        <w:jc w:val="both"/>
        <w:rPr>
          <w:rFonts w:ascii="Times New Roman" w:hAnsi="Times New Roman" w:cs="Times New Roman"/>
          <w:b/>
          <w:bCs/>
          <w:sz w:val="24"/>
          <w:vertAlign w:val="superscript"/>
        </w:rPr>
      </w:pPr>
      <w:r>
        <w:rPr>
          <w:rFonts w:ascii="Times New Roman" w:hAnsi="Times New Roman" w:cs="Times New Roman" w:hint="eastAsia"/>
          <w:b/>
          <w:bCs/>
          <w:sz w:val="24"/>
        </w:rPr>
        <w:t>Appendix S</w:t>
      </w:r>
      <w:r>
        <w:rPr>
          <w:rFonts w:ascii="Times New Roman" w:hAnsi="Times New Roman" w:cs="Times New Roman" w:hint="eastAsia"/>
          <w:b/>
          <w:bCs/>
          <w:sz w:val="24"/>
        </w:rPr>
        <w:t>2</w:t>
      </w:r>
      <w:r>
        <w:rPr>
          <w:rFonts w:ascii="Times New Roman" w:hAnsi="Times New Roman" w:cs="Times New Roman" w:hint="eastAsia"/>
          <w:b/>
          <w:bCs/>
          <w:sz w:val="24"/>
        </w:rPr>
        <w:t xml:space="preserve">  Model Integration Methodology Using RMSE and </w:t>
      </w:r>
      <w:r>
        <w:rPr>
          <w:rFonts w:ascii="Times New Roman" w:hAnsi="Times New Roman" w:cs="Times New Roman" w:hint="eastAsia"/>
          <w:b/>
          <w:bCs/>
          <w:i/>
          <w:iCs/>
          <w:sz w:val="24"/>
        </w:rPr>
        <w:t>R</w:t>
      </w:r>
      <w:r>
        <w:rPr>
          <w:rFonts w:ascii="Times New Roman" w:hAnsi="Times New Roman" w:cs="Times New Roman" w:hint="eastAsia"/>
          <w:b/>
          <w:bCs/>
          <w:sz w:val="24"/>
          <w:vertAlign w:val="superscript"/>
        </w:rPr>
        <w:t>2</w:t>
      </w:r>
    </w:p>
    <w:p w14:paraId="0FED81D0" w14:textId="77777777" w:rsidR="005129E4" w:rsidRDefault="00565856">
      <w:pPr>
        <w:spacing w:after="0" w:line="480" w:lineRule="auto"/>
        <w:ind w:firstLineChars="200" w:firstLine="480"/>
        <w:jc w:val="both"/>
        <w:rPr>
          <w:rFonts w:ascii="Times New Roman" w:hAnsi="Times New Roman" w:cs="Times New Roman"/>
          <w:sz w:val="24"/>
        </w:rPr>
      </w:pPr>
      <w:r>
        <w:rPr>
          <w:rFonts w:ascii="Times New Roman" w:hAnsi="Times New Roman" w:cs="Times New Roman" w:hint="eastAsia"/>
          <w:sz w:val="24"/>
        </w:rPr>
        <w:t>We selected the three prediction models (denoted as M</w:t>
      </w:r>
      <w:r>
        <w:rPr>
          <w:rFonts w:ascii="Times New Roman" w:hAnsi="Times New Roman" w:cs="Times New Roman" w:hint="eastAsia"/>
          <w:sz w:val="24"/>
          <w:vertAlign w:val="subscript"/>
        </w:rPr>
        <w:t>1</w:t>
      </w:r>
      <w:r>
        <w:rPr>
          <w:rFonts w:ascii="Times New Roman" w:hAnsi="Times New Roman" w:cs="Times New Roman" w:hint="eastAsia"/>
          <w:sz w:val="24"/>
        </w:rPr>
        <w:t>, M</w:t>
      </w:r>
      <w:r>
        <w:rPr>
          <w:rFonts w:ascii="Times New Roman" w:hAnsi="Times New Roman" w:cs="Times New Roman" w:hint="eastAsia"/>
          <w:sz w:val="24"/>
          <w:vertAlign w:val="subscript"/>
        </w:rPr>
        <w:t>2</w:t>
      </w:r>
      <w:r>
        <w:rPr>
          <w:rFonts w:ascii="Times New Roman" w:hAnsi="Times New Roman" w:cs="Times New Roman" w:hint="eastAsia"/>
          <w:sz w:val="24"/>
        </w:rPr>
        <w:t xml:space="preserve">, </w:t>
      </w:r>
      <w:r>
        <w:rPr>
          <w:rFonts w:ascii="Times New Roman" w:hAnsi="Times New Roman" w:cs="Times New Roman" w:hint="eastAsia"/>
          <w:sz w:val="24"/>
        </w:rPr>
        <w:t>and M</w:t>
      </w:r>
      <w:r>
        <w:rPr>
          <w:rFonts w:ascii="Times New Roman" w:hAnsi="Times New Roman" w:cs="Times New Roman" w:hint="eastAsia"/>
          <w:sz w:val="24"/>
          <w:vertAlign w:val="subscript"/>
        </w:rPr>
        <w:t>3</w:t>
      </w:r>
      <w:r>
        <w:rPr>
          <w:rFonts w:ascii="Times New Roman" w:hAnsi="Times New Roman" w:cs="Times New Roman" w:hint="eastAsia"/>
          <w:sz w:val="24"/>
        </w:rPr>
        <w:t>) with the best predictive performance through model evaluation. These three models were integrated into a final ensemble prediction model using a weighted combination of root mean square error (RMSE) and coefficient of determination (</w:t>
      </w:r>
      <w:r>
        <w:rPr>
          <w:rFonts w:ascii="Times New Roman" w:hAnsi="Times New Roman" w:cs="Times New Roman" w:hint="eastAsia"/>
          <w:i/>
          <w:iCs/>
          <w:sz w:val="24"/>
        </w:rPr>
        <w:t>R</w:t>
      </w:r>
      <w:r>
        <w:rPr>
          <w:rFonts w:ascii="Times New Roman" w:hAnsi="Times New Roman" w:cs="Times New Roman" w:hint="eastAsia"/>
          <w:sz w:val="24"/>
          <w:vertAlign w:val="superscript"/>
        </w:rPr>
        <w:t>2</w:t>
      </w:r>
      <w:r>
        <w:rPr>
          <w:rFonts w:ascii="Times New Roman" w:hAnsi="Times New Roman" w:cs="Times New Roman" w:hint="eastAsia"/>
          <w:sz w:val="24"/>
        </w:rPr>
        <w:t>). The specific steps are as follows:</w:t>
      </w:r>
    </w:p>
    <w:p w14:paraId="2599C6FB" w14:textId="77777777" w:rsidR="005129E4" w:rsidRDefault="00565856">
      <w:pPr>
        <w:numPr>
          <w:ilvl w:val="0"/>
          <w:numId w:val="1"/>
        </w:numPr>
        <w:spacing w:after="0" w:line="480" w:lineRule="auto"/>
        <w:ind w:firstLineChars="200" w:firstLine="480"/>
        <w:jc w:val="both"/>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hint="eastAsia"/>
          <w:sz w:val="24"/>
        </w:rPr>
        <w:t>Base Model Weight Calculation</w:t>
      </w:r>
    </w:p>
    <w:p w14:paraId="17734A6D" w14:textId="77777777" w:rsidR="005129E4" w:rsidRDefault="00565856">
      <w:pPr>
        <w:numPr>
          <w:ilvl w:val="255"/>
          <w:numId w:val="0"/>
        </w:numPr>
        <w:spacing w:after="0" w:line="480" w:lineRule="auto"/>
        <w:ind w:firstLineChars="200" w:firstLine="480"/>
        <w:jc w:val="both"/>
        <w:rPr>
          <w:rFonts w:ascii="Times New Roman" w:hAnsi="Times New Roman" w:cs="Times New Roman"/>
          <w:sz w:val="24"/>
        </w:rPr>
      </w:pPr>
      <w:r>
        <w:rPr>
          <w:rFonts w:ascii="Times New Roman" w:hAnsi="Times New Roman" w:cs="Times New Roman" w:hint="eastAsia"/>
          <w:sz w:val="24"/>
        </w:rPr>
        <w:t>Calculate the root mean square error (RMSE) and coefficient of determination (</w:t>
      </w:r>
      <w:r>
        <w:rPr>
          <w:rFonts w:ascii="Times New Roman" w:hAnsi="Times New Roman" w:cs="Times New Roman" w:hint="eastAsia"/>
          <w:i/>
          <w:iCs/>
          <w:sz w:val="24"/>
        </w:rPr>
        <w:t>R</w:t>
      </w:r>
      <w:r>
        <w:rPr>
          <w:rFonts w:ascii="Times New Roman" w:hAnsi="Times New Roman" w:cs="Times New Roman" w:hint="eastAsia"/>
          <w:sz w:val="24"/>
          <w:vertAlign w:val="superscript"/>
        </w:rPr>
        <w:t>2</w:t>
      </w:r>
      <w:r>
        <w:rPr>
          <w:rFonts w:ascii="Times New Roman" w:hAnsi="Times New Roman" w:cs="Times New Roman" w:hint="eastAsia"/>
          <w:sz w:val="24"/>
        </w:rPr>
        <w:t>) of each model on the test set, and normalize them to generate initial weights:</w:t>
      </w:r>
    </w:p>
    <w:p w14:paraId="3CFAF6C3" w14:textId="77777777" w:rsidR="005129E4" w:rsidRDefault="00565856">
      <w:pPr>
        <w:spacing w:line="240" w:lineRule="auto"/>
        <w:ind w:firstLine="480"/>
        <w:jc w:val="both"/>
        <w:rPr>
          <w:rFonts w:hint="eastAsia"/>
        </w:rPr>
      </w:pPr>
      <m:oMath>
        <m:sSub>
          <m:sSubPr>
            <m:ctrlPr>
              <w:rPr>
                <w:rFonts w:ascii="Cambria Math" w:hAnsi="Cambria Math"/>
                <w:i/>
              </w:rPr>
            </m:ctrlPr>
          </m:sSubPr>
          <m:e>
            <m:r>
              <w:rPr>
                <w:rFonts w:ascii="Cambria Math" w:hAnsi="Cambria Math"/>
              </w:rPr>
              <m:t>w</m:t>
            </m:r>
          </m:e>
          <m:sub>
            <m:r>
              <m:rPr>
                <m:sty m:val="p"/>
              </m:rPr>
              <w:rPr>
                <w:rFonts w:ascii="Cambria Math" w:hAnsi="Cambria Math"/>
              </w:rPr>
              <m:t>RMSE</m:t>
            </m:r>
            <m:r>
              <w:rPr>
                <w:rFonts w:ascii="Cambria Math" w:hAnsi="Cambria Math"/>
              </w:rPr>
              <m:t>,</m:t>
            </m:r>
            <m:r>
              <w:rPr>
                <w:rFonts w:ascii="Cambria Math" w:hAnsi="Cambria Math"/>
              </w:rPr>
              <m:t>i</m:t>
            </m:r>
          </m:sub>
        </m:sSub>
        <m:r>
          <w:rPr>
            <w:rFonts w:ascii="Cambria Math" w:hAnsi="Cambria Math"/>
          </w:rPr>
          <m:t>=</m:t>
        </m:r>
        <m:f>
          <m:fPr>
            <m:ctrlPr>
              <w:rPr>
                <w:rFonts w:ascii="Cambria Math" w:hAnsi="Cambria Math"/>
                <w:i/>
              </w:rPr>
            </m:ctrlPr>
          </m:fPr>
          <m:num>
            <m:r>
              <w:rPr>
                <w:rFonts w:ascii="Cambria Math" w:hAnsi="Cambria Math"/>
              </w:rPr>
              <m:t>1/</m:t>
            </m:r>
            <m:sSub>
              <m:sSubPr>
                <m:ctrlPr>
                  <w:rPr>
                    <w:rFonts w:ascii="Cambria Math" w:hAnsi="Cambria Math"/>
                    <w:iCs/>
                  </w:rPr>
                </m:ctrlPr>
              </m:sSubPr>
              <m:e>
                <m:r>
                  <m:rPr>
                    <m:sty m:val="p"/>
                  </m:rPr>
                  <w:rPr>
                    <w:rFonts w:ascii="Cambria Math" w:hAnsi="Cambria Math"/>
                  </w:rPr>
                  <m:t>RMSE</m:t>
                </m:r>
              </m:e>
              <m:sub>
                <m:r>
                  <w:rPr>
                    <w:rFonts w:ascii="Cambria Math" w:hAnsi="Cambria Math"/>
                  </w:rPr>
                  <m:t>i</m:t>
                </m:r>
              </m:sub>
            </m:sSub>
          </m:num>
          <m:den>
            <m:nary>
              <m:naryPr>
                <m:chr m:val="∑"/>
                <m:limLoc m:val="undOvr"/>
                <m:ctrlPr>
                  <w:rPr>
                    <w:rFonts w:ascii="Cambria Math" w:hAnsi="Cambria Math"/>
                    <w:i/>
                  </w:rPr>
                </m:ctrlPr>
              </m:naryPr>
              <m:sub>
                <m:r>
                  <w:rPr>
                    <w:rFonts w:ascii="Cambria Math" w:hAnsi="Cambria Math"/>
                  </w:rPr>
                  <m:t>j</m:t>
                </m:r>
                <m:r>
                  <w:rPr>
                    <w:rFonts w:ascii="Cambria Math" w:hAnsi="Cambria Math"/>
                  </w:rPr>
                  <m:t>=1</m:t>
                </m:r>
              </m:sub>
              <m:sup>
                <m:r>
                  <w:rPr>
                    <w:rFonts w:ascii="Cambria Math" w:hAnsi="Cambria Math"/>
                  </w:rPr>
                  <m:t>3</m:t>
                </m:r>
              </m:sup>
              <m:e>
                <m:r>
                  <w:rPr>
                    <w:rFonts w:ascii="Cambria Math" w:hAnsi="Cambria Math"/>
                  </w:rPr>
                  <m:t>1/</m:t>
                </m:r>
                <m:sSub>
                  <m:sSubPr>
                    <m:ctrlPr>
                      <w:rPr>
                        <w:rFonts w:ascii="Cambria Math" w:hAnsi="Cambria Math"/>
                        <w:iCs/>
                      </w:rPr>
                    </m:ctrlPr>
                  </m:sSubPr>
                  <m:e>
                    <m:r>
                      <m:rPr>
                        <m:sty m:val="p"/>
                      </m:rPr>
                      <w:rPr>
                        <w:rFonts w:ascii="Cambria Math" w:hAnsi="Cambria Math"/>
                      </w:rPr>
                      <m:t>RMSE</m:t>
                    </m:r>
                  </m:e>
                  <m:sub>
                    <m:r>
                      <w:rPr>
                        <w:rFonts w:ascii="Cambria Math" w:hAnsi="Cambria Math"/>
                      </w:rPr>
                      <m:t>j</m:t>
                    </m:r>
                  </m:sub>
                </m:sSub>
              </m:e>
            </m:nary>
          </m:den>
        </m:f>
      </m:oMath>
      <w:r>
        <w:t xml:space="preserve">  </w:t>
      </w:r>
      <w:r>
        <w:rPr>
          <w:rFonts w:hint="eastAsia"/>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w:t>
      </w:r>
      <w:r>
        <w:rPr>
          <w:rFonts w:ascii="Times New Roman" w:eastAsia="等线" w:hAnsi="Times New Roman" w:cs="Times New Roman"/>
          <w:color w:val="0000FF"/>
          <w:sz w:val="24"/>
          <w:lang w:bidi="ar"/>
        </w:rPr>
        <w:t xml:space="preserve">Eq. </w:t>
      </w:r>
      <w:r>
        <w:rPr>
          <w:rFonts w:ascii="Times New Roman" w:eastAsia="等线" w:hAnsi="Times New Roman" w:cs="Times New Roman" w:hint="eastAsia"/>
          <w:color w:val="0000FF"/>
          <w:sz w:val="24"/>
          <w:lang w:bidi="ar"/>
        </w:rPr>
        <w:t>1</w:t>
      </w:r>
      <w:r>
        <w:rPr>
          <w:rFonts w:hint="eastAsia"/>
        </w:rPr>
        <w:t>）</w:t>
      </w:r>
    </w:p>
    <w:p w14:paraId="02D97567" w14:textId="77777777" w:rsidR="005129E4" w:rsidRDefault="00565856">
      <w:pPr>
        <w:spacing w:line="360" w:lineRule="auto"/>
        <w:ind w:firstLineChars="200" w:firstLine="440"/>
        <w:jc w:val="both"/>
        <w:rPr>
          <w:rFonts w:hint="eastAsia"/>
        </w:rPr>
      </w:pPr>
      <m:oMath>
        <m:sSub>
          <m:sSubPr>
            <m:ctrlPr>
              <w:rPr>
                <w:rFonts w:ascii="Cambria Math" w:hAnsi="Cambria Math"/>
                <w:i/>
              </w:rPr>
            </m:ctrlPr>
          </m:sSubPr>
          <m:e>
            <w:bookmarkStart w:id="0" w:name="_Hlk192167536"/>
            <m:r>
              <w:rPr>
                <w:rFonts w:ascii="Cambria Math" w:hAnsi="Cambria Math" w:hint="eastAsia"/>
              </w:rPr>
              <m:t>w</m:t>
            </m:r>
          </m:e>
          <m:sub>
            <m:sSup>
              <m:sSupPr>
                <m:ctrlPr>
                  <w:rPr>
                    <w:rFonts w:ascii="Cambria Math" w:hAnsi="Cambria Math"/>
                    <w:iCs/>
                  </w:rPr>
                </m:ctrlPr>
              </m:sSupPr>
              <m:e>
                <m:r>
                  <w:rPr>
                    <w:rFonts w:ascii="Cambria Math" w:hAnsi="Cambria Math"/>
                  </w:rPr>
                  <m:t>R</m:t>
                </m:r>
              </m:e>
              <m:sup>
                <m:r>
                  <w:rPr>
                    <w:rFonts w:ascii="Cambria Math" w:hAnsi="Cambria Math"/>
                  </w:rPr>
                  <m:t>2</m:t>
                </m:r>
              </m:sup>
            </m:sSup>
            <m:r>
              <w:rPr>
                <w:rFonts w:ascii="Cambria Math" w:hAnsi="Cambria Math"/>
              </w:rPr>
              <m:t>,</m:t>
            </m:r>
            <m:r>
              <w:rPr>
                <w:rFonts w:ascii="Cambria Math" w:hAnsi="Cambria Math" w:hint="eastAsia"/>
              </w:rPr>
              <m:t>i</m:t>
            </m:r>
            <w:bookmarkEnd w:id="0"/>
          </m:sub>
        </m:sSub>
        <m:r>
          <w:rPr>
            <w:rFonts w:ascii="Cambria Math" w:hAnsi="Cambria Math"/>
          </w:rPr>
          <m:t>=</m:t>
        </m:r>
        <m:f>
          <m:fPr>
            <m:ctrlPr>
              <w:rPr>
                <w:rFonts w:ascii="Cambria Math" w:hAnsi="Cambria Math"/>
                <w:i/>
              </w:rPr>
            </m:ctrlPr>
          </m:fPr>
          <m:num>
            <m:sSubSup>
              <m:sSubSupPr>
                <m:ctrlPr>
                  <w:rPr>
                    <w:rFonts w:ascii="Cambria Math" w:hAnsi="Cambria Math"/>
                    <w:i/>
                  </w:rPr>
                </m:ctrlPr>
              </m:sSubSupPr>
              <m:e>
                <w:bookmarkStart w:id="1" w:name="_Hlk192166790"/>
                <m:r>
                  <w:rPr>
                    <w:rFonts w:ascii="Cambria Math" w:hAnsi="Cambria Math"/>
                  </w:rPr>
                  <m:t>R</m:t>
                </m:r>
              </m:e>
              <m:sub>
                <m:r>
                  <w:rPr>
                    <w:rFonts w:ascii="Cambria Math" w:hAnsi="Cambria Math" w:hint="eastAsia"/>
                  </w:rPr>
                  <m:t>i</m:t>
                </m:r>
              </m:sub>
              <m:sup>
                <m:r>
                  <w:rPr>
                    <w:rFonts w:ascii="Cambria Math" w:hAnsi="Cambria Math"/>
                  </w:rPr>
                  <m:t>2</m:t>
                </m:r>
                <w:bookmarkEnd w:id="1"/>
              </m:sup>
            </m:sSubSup>
          </m:num>
          <m:den>
            <m:nary>
              <m:naryPr>
                <m:chr m:val="∑"/>
                <m:limLoc m:val="undOvr"/>
                <m:ctrlPr>
                  <w:rPr>
                    <w:rFonts w:ascii="Cambria Math" w:hAnsi="Cambria Math"/>
                    <w:i/>
                  </w:rPr>
                </m:ctrlPr>
              </m:naryPr>
              <m:sub>
                <m:r>
                  <w:rPr>
                    <w:rFonts w:ascii="Cambria Math" w:hAnsi="Cambria Math" w:hint="eastAsia"/>
                  </w:rPr>
                  <m:t>j</m:t>
                </m:r>
                <m:r>
                  <w:rPr>
                    <w:rFonts w:ascii="Cambria Math" w:hAnsi="Cambria Math"/>
                  </w:rPr>
                  <m:t>=1</m:t>
                </m:r>
              </m:sub>
              <m:sup>
                <m:r>
                  <w:rPr>
                    <w:rFonts w:ascii="Cambria Math" w:hAnsi="Cambria Math"/>
                  </w:rPr>
                  <m:t>3</m:t>
                </m:r>
              </m:sup>
              <m:e>
                <m:sSubSup>
                  <m:sSubSupPr>
                    <m:ctrlPr>
                      <w:rPr>
                        <w:rFonts w:ascii="Cambria Math" w:hAnsi="Cambria Math"/>
                        <w:i/>
                      </w:rPr>
                    </m:ctrlPr>
                  </m:sSubSupPr>
                  <m:e>
                    <m:r>
                      <w:rPr>
                        <w:rFonts w:ascii="Cambria Math" w:hAnsi="Cambria Math"/>
                      </w:rPr>
                      <m:t>R</m:t>
                    </m:r>
                  </m:e>
                  <m:sub>
                    <m:r>
                      <w:rPr>
                        <w:rFonts w:ascii="Cambria Math" w:hAnsi="Cambria Math" w:hint="eastAsia"/>
                      </w:rPr>
                      <m:t>j</m:t>
                    </m:r>
                  </m:sub>
                  <m:sup>
                    <m:r>
                      <w:rPr>
                        <w:rFonts w:ascii="Cambria Math" w:hAnsi="Cambria Math"/>
                      </w:rPr>
                      <m:t>2</m:t>
                    </m:r>
                  </m:sup>
                </m:sSubSup>
              </m:e>
            </m:nary>
          </m:den>
        </m:f>
      </m:oMath>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w:t>
      </w:r>
      <w:r>
        <w:rPr>
          <w:rFonts w:ascii="Times New Roman" w:eastAsia="等线" w:hAnsi="Times New Roman" w:cs="Times New Roman"/>
          <w:color w:val="0000FF"/>
          <w:sz w:val="24"/>
          <w:lang w:bidi="ar"/>
        </w:rPr>
        <w:t xml:space="preserve">Eq. </w:t>
      </w:r>
      <w:r>
        <w:rPr>
          <w:rFonts w:ascii="Times New Roman" w:eastAsia="等线" w:hAnsi="Times New Roman" w:cs="Times New Roman" w:hint="eastAsia"/>
          <w:color w:val="0000FF"/>
          <w:sz w:val="24"/>
          <w:lang w:bidi="ar"/>
        </w:rPr>
        <w:t>2</w:t>
      </w:r>
      <w:r>
        <w:rPr>
          <w:rFonts w:hint="eastAsia"/>
        </w:rPr>
        <w:t>）</w:t>
      </w:r>
    </w:p>
    <w:p w14:paraId="6B79ACBC" w14:textId="77777777" w:rsidR="005129E4" w:rsidRDefault="00565856">
      <w:pPr>
        <w:numPr>
          <w:ilvl w:val="255"/>
          <w:numId w:val="0"/>
        </w:numPr>
        <w:spacing w:after="0" w:line="480" w:lineRule="auto"/>
        <w:ind w:firstLineChars="200" w:firstLine="480"/>
        <w:jc w:val="both"/>
        <w:rPr>
          <w:rFonts w:ascii="Times New Roman" w:hAnsi="Times New Roman" w:cs="Times New Roman"/>
          <w:sz w:val="24"/>
        </w:rPr>
      </w:pPr>
      <w:r>
        <w:rPr>
          <w:rFonts w:ascii="Times New Roman" w:hAnsi="Times New Roman" w:cs="Times New Roman" w:hint="eastAsia"/>
          <w:sz w:val="24"/>
        </w:rPr>
        <w:t>W</w:t>
      </w:r>
      <w:r>
        <w:rPr>
          <w:rFonts w:ascii="Times New Roman" w:hAnsi="Times New Roman" w:cs="Times New Roman" w:hint="eastAsia"/>
          <w:sz w:val="24"/>
        </w:rPr>
        <w:t>here</w:t>
      </w:r>
      <w:r>
        <w:rPr>
          <w:rFonts w:ascii="Times New Roman" w:hAnsi="Times New Roman" w:cs="Times New Roman" w:hint="eastAsia"/>
          <w:sz w:val="24"/>
        </w:rPr>
        <w:t xml:space="preserve"> </w:t>
      </w:r>
      <m:oMath>
        <m:r>
          <m:rPr>
            <m:sty m:val="p"/>
          </m:rPr>
          <w:rPr>
            <w:rFonts w:ascii="Cambria Math" w:hAnsi="Cambria Math" w:cs="Times New Roman" w:hint="eastAsia"/>
            <w:sz w:val="24"/>
          </w:rPr>
          <m:t>i</m:t>
        </m:r>
      </m:oMath>
      <w:r>
        <w:rPr>
          <w:rFonts w:ascii="Cambria Math" w:hAnsi="Cambria Math" w:cs="Times New Roman"/>
          <w:sz w:val="24"/>
        </w:rPr>
        <w:t>ϵ</w:t>
      </w:r>
      <w:r>
        <w:rPr>
          <w:rFonts w:ascii="Cambria Math" w:hAnsi="Cambria Math" w:cs="Times New Roman" w:hint="eastAsia"/>
          <w:sz w:val="24"/>
        </w:rPr>
        <w:t xml:space="preserve"> </w:t>
      </w:r>
      <w:r>
        <w:rPr>
          <w:rFonts w:ascii="Times New Roman" w:hAnsi="Times New Roman" w:cs="Times New Roman" w:hint="eastAsia"/>
          <w:sz w:val="24"/>
        </w:rPr>
        <w:t>{M</w:t>
      </w:r>
      <w:r>
        <w:rPr>
          <w:rFonts w:ascii="Times New Roman" w:hAnsi="Times New Roman" w:cs="Times New Roman" w:hint="eastAsia"/>
          <w:sz w:val="24"/>
          <w:vertAlign w:val="subscript"/>
        </w:rPr>
        <w:t>1</w:t>
      </w:r>
      <w:r>
        <w:rPr>
          <w:rFonts w:ascii="Times New Roman" w:hAnsi="Times New Roman" w:cs="Times New Roman" w:hint="eastAsia"/>
          <w:sz w:val="24"/>
        </w:rPr>
        <w:t>, M</w:t>
      </w:r>
      <w:r>
        <w:rPr>
          <w:rFonts w:ascii="Times New Roman" w:hAnsi="Times New Roman" w:cs="Times New Roman" w:hint="eastAsia"/>
          <w:sz w:val="24"/>
          <w:vertAlign w:val="subscript"/>
        </w:rPr>
        <w:t>2</w:t>
      </w:r>
      <w:r>
        <w:rPr>
          <w:rFonts w:ascii="Times New Roman" w:hAnsi="Times New Roman" w:cs="Times New Roman" w:hint="eastAsia"/>
          <w:sz w:val="24"/>
        </w:rPr>
        <w:t>, M</w:t>
      </w:r>
      <w:r>
        <w:rPr>
          <w:rFonts w:ascii="Times New Roman" w:hAnsi="Times New Roman" w:cs="Times New Roman" w:hint="eastAsia"/>
          <w:sz w:val="24"/>
          <w:vertAlign w:val="subscript"/>
        </w:rPr>
        <w:t>3</w:t>
      </w:r>
      <w:r>
        <w:rPr>
          <w:rFonts w:ascii="Times New Roman" w:hAnsi="Times New Roman" w:cs="Times New Roman" w:hint="eastAsia"/>
          <w:sz w:val="24"/>
        </w:rPr>
        <w:t>}</w:t>
      </w:r>
      <w:r>
        <w:rPr>
          <w:rFonts w:ascii="Times New Roman" w:hAnsi="Times New Roman" w:cs="Times New Roman" w:hint="eastAsia"/>
          <w:sz w:val="24"/>
        </w:rPr>
        <w:t xml:space="preserve"> </w:t>
      </w:r>
      <w:r>
        <w:rPr>
          <w:rFonts w:ascii="Times New Roman" w:hAnsi="Times New Roman" w:cs="Times New Roman" w:hint="eastAsia"/>
          <w:sz w:val="24"/>
        </w:rPr>
        <w:t>is the index of the base model, and</w:t>
      </w:r>
      <w:r>
        <w:rPr>
          <w:rFonts w:ascii="Times New Roman" w:hAnsi="Times New Roman" w:cs="Times New Roman" w:hint="eastAsia"/>
          <w:sz w:val="24"/>
        </w:rPr>
        <w:t xml:space="preserve"> </w:t>
      </w:r>
      <m:oMath>
        <m:sSub>
          <m:sSubPr>
            <m:ctrlPr>
              <w:rPr>
                <w:rFonts w:ascii="Cambria Math" w:hAnsi="Cambria Math"/>
                <w:iCs/>
              </w:rPr>
            </m:ctrlPr>
          </m:sSubPr>
          <m:e>
            <m:r>
              <m:rPr>
                <m:sty m:val="p"/>
              </m:rPr>
              <w:rPr>
                <w:rFonts w:ascii="Cambria Math" w:hAnsi="Cambria Math"/>
              </w:rPr>
              <m:t>RMSE</m:t>
            </m:r>
          </m:e>
          <m:sub>
            <m:r>
              <w:rPr>
                <w:rFonts w:ascii="Cambria Math" w:hAnsi="Cambria Math"/>
              </w:rPr>
              <m:t>i</m:t>
            </m:r>
          </m:sub>
        </m:sSub>
      </m:oMath>
      <w:r>
        <w:rPr>
          <w:rFonts w:hAnsi="Cambria Math" w:hint="eastAsia"/>
          <w:iCs/>
        </w:rPr>
        <w:t xml:space="preserve"> </w:t>
      </w:r>
      <w:r>
        <w:rPr>
          <w:rFonts w:ascii="Times New Roman" w:hAnsi="Times New Roman" w:cs="Times New Roman" w:hint="eastAsia"/>
          <w:sz w:val="24"/>
        </w:rPr>
        <w:t>and</w:t>
      </w:r>
      <m:oMath>
        <m:sSubSup>
          <m:sSubSupPr>
            <m:ctrlPr>
              <w:rPr>
                <w:rFonts w:ascii="Cambria Math" w:hAnsi="Cambria Math"/>
                <w:i/>
              </w:rPr>
            </m:ctrlPr>
          </m:sSubSupPr>
          <m:e>
            <m:r>
              <w:rPr>
                <w:rFonts w:ascii="Cambria Math" w:hAnsi="Cambria Math"/>
              </w:rPr>
              <m:t xml:space="preserve"> </m:t>
            </m:r>
            <m:r>
              <w:rPr>
                <w:rFonts w:ascii="Cambria Math" w:hAnsi="Cambria Math"/>
              </w:rPr>
              <m:t>R</m:t>
            </m:r>
          </m:e>
          <m:sub>
            <m:r>
              <w:rPr>
                <w:rFonts w:ascii="Cambria Math" w:hAnsi="Cambria Math" w:hint="eastAsia"/>
              </w:rPr>
              <m:t>i</m:t>
            </m:r>
          </m:sub>
          <m:sup>
            <m:r>
              <w:rPr>
                <w:rFonts w:ascii="Cambria Math" w:hAnsi="Cambria Math"/>
              </w:rPr>
              <m:t>2</m:t>
            </m:r>
          </m:sup>
        </m:sSubSup>
      </m:oMath>
      <w:r>
        <w:rPr>
          <w:rFonts w:hAnsi="Cambria Math" w:hint="eastAsia"/>
        </w:rPr>
        <w:t xml:space="preserve"> </w:t>
      </w:r>
      <w:r>
        <w:rPr>
          <w:rFonts w:ascii="Times New Roman" w:hAnsi="Times New Roman" w:cs="Times New Roman" w:hint="eastAsia"/>
          <w:sz w:val="24"/>
        </w:rPr>
        <w:t>represent the performance metrics of the</w:t>
      </w:r>
      <w:r>
        <w:rPr>
          <w:rFonts w:ascii="Times New Roman" w:hAnsi="Times New Roman" w:cs="Times New Roman" w:hint="eastAsia"/>
          <w:sz w:val="24"/>
        </w:rPr>
        <w:t xml:space="preserve"> </w:t>
      </w:r>
      <m:oMath>
        <m:r>
          <w:rPr>
            <w:rFonts w:ascii="Cambria Math" w:hAnsi="Cambria Math"/>
            <w:sz w:val="24"/>
          </w:rPr>
          <m:t>i</m:t>
        </m:r>
      </m:oMath>
      <w:r>
        <w:rPr>
          <w:rFonts w:ascii="Times New Roman" w:hAnsi="Times New Roman" w:cs="Times New Roman" w:hint="eastAsia"/>
          <w:sz w:val="24"/>
        </w:rPr>
        <w:t>-th model, respectively.</w:t>
      </w:r>
    </w:p>
    <w:p w14:paraId="35E48A9B" w14:textId="77777777" w:rsidR="005129E4" w:rsidRDefault="00565856">
      <w:pPr>
        <w:numPr>
          <w:ilvl w:val="0"/>
          <w:numId w:val="1"/>
        </w:numPr>
        <w:spacing w:after="0" w:line="480" w:lineRule="auto"/>
        <w:ind w:firstLineChars="200" w:firstLine="480"/>
        <w:jc w:val="both"/>
        <w:rPr>
          <w:rFonts w:ascii="Times New Roman" w:hAnsi="Times New Roman" w:cs="Times New Roman"/>
          <w:sz w:val="24"/>
        </w:rPr>
      </w:pPr>
      <w:r>
        <w:rPr>
          <w:rFonts w:ascii="Times New Roman" w:hAnsi="Times New Roman" w:cs="Times New Roman" w:hint="eastAsia"/>
          <w:sz w:val="24"/>
        </w:rPr>
        <w:t xml:space="preserve"> Weight Integration and Balance</w:t>
      </w:r>
    </w:p>
    <w:p w14:paraId="1BA632DA" w14:textId="77777777" w:rsidR="005129E4" w:rsidRDefault="00565856">
      <w:pPr>
        <w:numPr>
          <w:ilvl w:val="255"/>
          <w:numId w:val="0"/>
        </w:numPr>
        <w:spacing w:after="0" w:line="480" w:lineRule="auto"/>
        <w:ind w:firstLine="420"/>
        <w:jc w:val="both"/>
        <w:rPr>
          <w:rFonts w:ascii="Times New Roman" w:hAnsi="Times New Roman" w:cs="Times New Roman"/>
          <w:sz w:val="24"/>
        </w:rPr>
      </w:pPr>
      <w:r>
        <w:rPr>
          <w:rFonts w:ascii="Times New Roman" w:hAnsi="Times New Roman" w:cs="Times New Roman"/>
          <w:sz w:val="24"/>
        </w:rPr>
        <w:t xml:space="preserve">Introduce a </w:t>
      </w:r>
      <w:r>
        <w:rPr>
          <w:rFonts w:ascii="Times New Roman" w:hAnsi="Times New Roman" w:cs="Times New Roman"/>
          <w:sz w:val="24"/>
        </w:rPr>
        <w:t>balancing coefficient</w:t>
      </w:r>
      <w:r>
        <w:rPr>
          <w:rFonts w:ascii="Times New Roman" w:hAnsi="Times New Roman" w:cs="Times New Roman" w:hint="eastAsia"/>
          <w:sz w:val="24"/>
        </w:rPr>
        <w:t xml:space="preserve"> </w:t>
      </w:r>
      <w:r>
        <w:rPr>
          <w:rFonts w:ascii="Times New Roman" w:hAnsi="Times New Roman" w:cs="Times New Roman"/>
          <w:sz w:val="24"/>
        </w:rPr>
        <w:t>α∈[0,1]</w:t>
      </w:r>
      <w:r>
        <w:rPr>
          <w:rFonts w:ascii="Times New Roman" w:hAnsi="Times New Roman" w:cs="Times New Roman" w:hint="eastAsia"/>
        </w:rPr>
        <w:t xml:space="preserve"> </w:t>
      </w:r>
      <w:r>
        <w:rPr>
          <w:rFonts w:ascii="Times New Roman" w:hAnsi="Times New Roman" w:cs="Times New Roman"/>
          <w:sz w:val="24"/>
        </w:rPr>
        <w:t xml:space="preserve">to adjust the contribution of RMSE and </w:t>
      </w:r>
      <w:r>
        <w:rPr>
          <w:rFonts w:ascii="Times New Roman" w:hAnsi="Times New Roman" w:cs="Times New Roman"/>
          <w:i/>
          <w:iCs/>
          <w:sz w:val="24"/>
        </w:rPr>
        <w:t>R</w:t>
      </w:r>
      <w:r>
        <w:rPr>
          <w:rFonts w:ascii="Times New Roman" w:hAnsi="Times New Roman" w:cs="Times New Roman" w:hint="eastAsia"/>
          <w:i/>
          <w:iCs/>
          <w:sz w:val="24"/>
        </w:rPr>
        <w:t>2</w:t>
      </w:r>
      <w:r>
        <w:rPr>
          <w:rFonts w:ascii="Times New Roman" w:hAnsi="Times New Roman" w:cs="Times New Roman"/>
          <w:sz w:val="24"/>
        </w:rPr>
        <w:t>, generating the comprehensive weight for each prediction model:</w:t>
      </w:r>
    </w:p>
    <w:p w14:paraId="51F9A72B" w14:textId="77777777" w:rsidR="005129E4" w:rsidRDefault="00565856">
      <w:pPr>
        <w:numPr>
          <w:ilvl w:val="255"/>
          <w:numId w:val="0"/>
        </w:numPr>
        <w:spacing w:after="0" w:line="480" w:lineRule="auto"/>
        <w:ind w:firstLine="420"/>
        <w:jc w:val="both"/>
        <w:rPr>
          <w:rFonts w:ascii="Times New Roman" w:hAnsi="Times New Roman" w:cs="Times New Roman"/>
          <w:sz w:val="24"/>
        </w:rPr>
      </w:pPr>
      <m:oMath>
        <m:sSub>
          <m:sSubPr>
            <m:ctrlPr>
              <w:rPr>
                <w:rFonts w:ascii="Cambria Math" w:hAnsi="Cambria Math" w:cs="Times New Roman"/>
                <w:sz w:val="24"/>
              </w:rPr>
            </m:ctrlPr>
          </m:sSubPr>
          <m:e>
            <m:r>
              <m:rPr>
                <m:sty m:val="p"/>
              </m:rPr>
              <w:rPr>
                <w:rFonts w:ascii="Cambria Math" w:hAnsi="Cambria Math" w:cs="Times New Roman"/>
                <w:sz w:val="24"/>
              </w:rPr>
              <m:t>w</m:t>
            </m:r>
          </m:e>
          <m:sub>
            <m:r>
              <m:rPr>
                <m:sty m:val="p"/>
              </m:rPr>
              <w:rPr>
                <w:rFonts w:ascii="Cambria Math" w:hAnsi="Cambria Math" w:cs="Times New Roman"/>
                <w:sz w:val="24"/>
              </w:rPr>
              <m:t>i</m:t>
            </m:r>
          </m:sub>
        </m:sSub>
        <m:r>
          <m:rPr>
            <m:sty m:val="p"/>
          </m:rPr>
          <w:rPr>
            <w:rFonts w:ascii="Cambria Math" w:hAnsi="Cambria Math" w:cs="Times New Roman"/>
            <w:sz w:val="24"/>
          </w:rPr>
          <m:t>=α∙</m:t>
        </m:r>
        <m:sSub>
          <m:sSubPr>
            <m:ctrlPr>
              <w:rPr>
                <w:rFonts w:ascii="Cambria Math" w:hAnsi="Cambria Math" w:cs="Times New Roman"/>
                <w:sz w:val="24"/>
              </w:rPr>
            </m:ctrlPr>
          </m:sSubPr>
          <m:e>
            <m:r>
              <m:rPr>
                <m:sty m:val="p"/>
              </m:rPr>
              <w:rPr>
                <w:rFonts w:ascii="Cambria Math" w:hAnsi="Cambria Math" w:cs="Times New Roman"/>
                <w:sz w:val="24"/>
              </w:rPr>
              <m:t>w</m:t>
            </m:r>
          </m:e>
          <m:sub>
            <m:r>
              <m:rPr>
                <m:sty m:val="p"/>
              </m:rPr>
              <w:rPr>
                <w:rFonts w:ascii="Cambria Math" w:hAnsi="Cambria Math" w:cs="Times New Roman"/>
                <w:sz w:val="24"/>
              </w:rPr>
              <m:t>RMSE,i</m:t>
            </m:r>
          </m:sub>
        </m:sSub>
        <m:r>
          <m:rPr>
            <m:sty m:val="p"/>
          </m:rPr>
          <w:rPr>
            <w:rFonts w:ascii="Cambria Math" w:hAnsi="Cambria Math" w:cs="Times New Roman"/>
            <w:sz w:val="24"/>
          </w:rPr>
          <m:t>+(1-α)∙</m:t>
        </m:r>
        <m:sSub>
          <m:sSubPr>
            <m:ctrlPr>
              <w:rPr>
                <w:rFonts w:ascii="Cambria Math" w:hAnsi="Cambria Math" w:cs="Times New Roman"/>
                <w:sz w:val="24"/>
              </w:rPr>
            </m:ctrlPr>
          </m:sSubPr>
          <m:e>
            <m:r>
              <m:rPr>
                <m:sty m:val="p"/>
              </m:rPr>
              <w:rPr>
                <w:rFonts w:ascii="Cambria Math" w:hAnsi="Cambria Math" w:cs="Times New Roman"/>
                <w:sz w:val="24"/>
              </w:rPr>
              <m:t>w</m:t>
            </m:r>
          </m:e>
          <m:sub>
            <m:sSup>
              <m:sSupPr>
                <m:ctrlPr>
                  <w:rPr>
                    <w:rFonts w:ascii="Cambria Math" w:hAnsi="Cambria Math" w:cs="Times New Roman"/>
                    <w:sz w:val="24"/>
                  </w:rPr>
                </m:ctrlPr>
              </m:sSupPr>
              <m:e>
                <m:r>
                  <m:rPr>
                    <m:sty m:val="p"/>
                  </m:rPr>
                  <w:rPr>
                    <w:rFonts w:ascii="Cambria Math" w:hAnsi="Cambria Math" w:cs="Times New Roman"/>
                    <w:sz w:val="24"/>
                  </w:rPr>
                  <m:t>R</m:t>
                </m:r>
              </m:e>
              <m:sup>
                <m:r>
                  <m:rPr>
                    <m:sty m:val="p"/>
                  </m:rPr>
                  <w:rPr>
                    <w:rFonts w:ascii="Cambria Math" w:hAnsi="Cambria Math" w:cs="Times New Roman"/>
                    <w:sz w:val="24"/>
                  </w:rPr>
                  <m:t>2</m:t>
                </m:r>
              </m:sup>
            </m:sSup>
            <m:r>
              <m:rPr>
                <m:sty m:val="p"/>
              </m:rPr>
              <w:rPr>
                <w:rFonts w:ascii="Cambria Math" w:hAnsi="Cambria Math" w:cs="Times New Roman"/>
                <w:sz w:val="24"/>
              </w:rPr>
              <m:t>,i</m:t>
            </m:r>
          </m:sub>
        </m:sSub>
      </m:oMath>
      <w:r>
        <w:rPr>
          <w:rFonts w:ascii="Times New Roman" w:hAnsi="Times New Roman" w:cs="Times New Roman" w:hint="eastAsia"/>
          <w:sz w:val="24"/>
        </w:rPr>
        <w:tab/>
      </w:r>
      <w:r>
        <w:rPr>
          <w:rFonts w:ascii="Times New Roman" w:hAnsi="Times New Roman" w:cs="Times New Roman" w:hint="eastAsia"/>
          <w:sz w:val="24"/>
        </w:rPr>
        <w:tab/>
      </w:r>
      <w:r>
        <w:rPr>
          <w:rFonts w:ascii="Times New Roman" w:hAnsi="Times New Roman" w:cs="Times New Roman" w:hint="eastAsia"/>
          <w:sz w:val="24"/>
        </w:rPr>
        <w:tab/>
      </w:r>
      <w:r>
        <w:rPr>
          <w:rFonts w:ascii="Times New Roman" w:hAnsi="Times New Roman" w:cs="Times New Roman" w:hint="eastAsia"/>
          <w:sz w:val="24"/>
        </w:rPr>
        <w:tab/>
      </w:r>
      <w:r>
        <w:rPr>
          <w:rFonts w:ascii="Times New Roman" w:hAnsi="Times New Roman" w:cs="Times New Roman" w:hint="eastAsia"/>
          <w:sz w:val="24"/>
        </w:rPr>
        <w:tab/>
      </w:r>
      <w:r>
        <w:rPr>
          <w:rFonts w:ascii="Times New Roman" w:hAnsi="Times New Roman" w:cs="Times New Roman" w:hint="eastAsia"/>
          <w:sz w:val="24"/>
        </w:rPr>
        <w:tab/>
      </w:r>
      <w:r>
        <w:rPr>
          <w:rFonts w:ascii="Times New Roman" w:hAnsi="Times New Roman" w:cs="Times New Roman" w:hint="eastAsia"/>
          <w:sz w:val="24"/>
        </w:rPr>
        <w:tab/>
      </w:r>
      <w:r>
        <w:rPr>
          <w:rFonts w:ascii="Times New Roman" w:hAnsi="Times New Roman" w:cs="Times New Roman" w:hint="eastAsia"/>
          <w:sz w:val="24"/>
        </w:rPr>
        <w:tab/>
      </w:r>
      <w:r>
        <w:rPr>
          <w:rFonts w:ascii="Times New Roman" w:hAnsi="Times New Roman" w:cs="Times New Roman" w:hint="eastAsia"/>
          <w:sz w:val="24"/>
        </w:rPr>
        <w:tab/>
      </w:r>
      <w:r>
        <w:rPr>
          <w:rFonts w:ascii="Times New Roman" w:hAnsi="Times New Roman" w:cs="Times New Roman" w:hint="eastAsia"/>
          <w:sz w:val="24"/>
        </w:rPr>
        <w:tab/>
        <w:t>(</w:t>
      </w:r>
      <w:r>
        <w:rPr>
          <w:rFonts w:ascii="Times New Roman" w:eastAsia="等线" w:hAnsi="Times New Roman" w:cs="Times New Roman"/>
          <w:color w:val="0000FF"/>
          <w:sz w:val="24"/>
          <w:lang w:bidi="ar"/>
        </w:rPr>
        <w:t xml:space="preserve">Eq. </w:t>
      </w:r>
      <w:r>
        <w:rPr>
          <w:rFonts w:ascii="Times New Roman" w:eastAsia="等线" w:hAnsi="Times New Roman" w:cs="Times New Roman" w:hint="eastAsia"/>
          <w:color w:val="0000FF"/>
          <w:sz w:val="24"/>
          <w:lang w:bidi="ar"/>
        </w:rPr>
        <w:t>3</w:t>
      </w:r>
      <w:r>
        <w:rPr>
          <w:rFonts w:ascii="Times New Roman" w:hAnsi="Times New Roman" w:cs="Times New Roman" w:hint="eastAsia"/>
          <w:sz w:val="24"/>
        </w:rPr>
        <w:t>)</w:t>
      </w:r>
    </w:p>
    <w:p w14:paraId="718EEB85" w14:textId="77777777" w:rsidR="005129E4" w:rsidRDefault="00565856">
      <w:pPr>
        <w:numPr>
          <w:ilvl w:val="255"/>
          <w:numId w:val="0"/>
        </w:numPr>
        <w:spacing w:after="0" w:line="480" w:lineRule="auto"/>
        <w:ind w:firstLine="420"/>
        <w:jc w:val="both"/>
        <w:rPr>
          <w:rFonts w:ascii="Times New Roman" w:hAnsi="Times New Roman" w:cs="Times New Roman"/>
          <w:sz w:val="24"/>
        </w:rPr>
      </w:pPr>
      <w:r>
        <w:rPr>
          <w:rFonts w:ascii="Times New Roman" w:hAnsi="Times New Roman" w:cs="Times New Roman"/>
          <w:sz w:val="24"/>
        </w:rPr>
        <w:lastRenderedPageBreak/>
        <w:t>In this study,</w:t>
      </w:r>
      <w:r>
        <w:rPr>
          <w:rFonts w:ascii="Times New Roman" w:hAnsi="Times New Roman" w:cs="Times New Roman" w:hint="eastAsia"/>
          <w:sz w:val="24"/>
        </w:rPr>
        <w:t xml:space="preserve"> </w:t>
      </w:r>
      <w:r>
        <w:rPr>
          <w:rFonts w:ascii="Times New Roman" w:hAnsi="Times New Roman" w:cs="Times New Roman"/>
          <w:sz w:val="24"/>
        </w:rPr>
        <w:t>α</w:t>
      </w:r>
      <w:r>
        <w:rPr>
          <w:rFonts w:ascii="Times New Roman" w:hAnsi="Times New Roman" w:cs="Times New Roman"/>
          <w:sz w:val="24"/>
        </w:rPr>
        <w:t xml:space="preserve"> = 0.5</w:t>
      </w:r>
      <w:r>
        <w:rPr>
          <w:rFonts w:ascii="Times New Roman" w:hAnsi="Times New Roman" w:cs="Times New Roman" w:hint="eastAsia"/>
          <w:sz w:val="24"/>
        </w:rPr>
        <w:t xml:space="preserve"> </w:t>
      </w:r>
      <w:r>
        <w:rPr>
          <w:rFonts w:ascii="Times New Roman" w:hAnsi="Times New Roman" w:cs="Times New Roman"/>
          <w:sz w:val="24"/>
        </w:rPr>
        <w:t xml:space="preserve">, indicating equal contributions from both </w:t>
      </w:r>
      <w:r>
        <w:rPr>
          <w:rFonts w:ascii="Times New Roman" w:hAnsi="Times New Roman" w:cs="Times New Roman"/>
          <w:sz w:val="24"/>
        </w:rPr>
        <w:t>metrics.</w:t>
      </w:r>
    </w:p>
    <w:p w14:paraId="12EE316C" w14:textId="77777777" w:rsidR="005129E4" w:rsidRDefault="00565856">
      <w:pPr>
        <w:numPr>
          <w:ilvl w:val="255"/>
          <w:numId w:val="0"/>
        </w:numPr>
        <w:spacing w:after="0" w:line="480" w:lineRule="auto"/>
        <w:jc w:val="both"/>
        <w:rPr>
          <w:rFonts w:ascii="Times New Roman" w:hAnsi="Times New Roman" w:cs="Times New Roman"/>
          <w:sz w:val="24"/>
        </w:rPr>
      </w:pPr>
      <w:r>
        <w:rPr>
          <w:rFonts w:ascii="Times New Roman" w:hAnsi="Times New Roman" w:cs="Times New Roman" w:hint="eastAsia"/>
          <w:sz w:val="24"/>
        </w:rPr>
        <w:t xml:space="preserve"> Weight Normalization</w:t>
      </w:r>
    </w:p>
    <w:p w14:paraId="56EAC97C" w14:textId="77777777" w:rsidR="005129E4" w:rsidRDefault="00565856">
      <w:pPr>
        <w:numPr>
          <w:ilvl w:val="255"/>
          <w:numId w:val="0"/>
        </w:numPr>
        <w:spacing w:after="0" w:line="480" w:lineRule="auto"/>
        <w:ind w:firstLine="420"/>
        <w:jc w:val="both"/>
        <w:rPr>
          <w:rFonts w:ascii="Times New Roman" w:hAnsi="Times New Roman" w:cs="Times New Roman"/>
          <w:sz w:val="24"/>
        </w:rPr>
      </w:pPr>
      <w:r>
        <w:rPr>
          <w:rFonts w:ascii="Times New Roman" w:hAnsi="Times New Roman" w:cs="Times New Roman"/>
          <w:sz w:val="24"/>
        </w:rPr>
        <w:t>Normalize the comprehensive weights to ensure the sum of weights is 1:</w:t>
      </w:r>
    </w:p>
    <w:p w14:paraId="08407E4E" w14:textId="77777777" w:rsidR="005129E4" w:rsidRDefault="00565856">
      <w:pPr>
        <w:numPr>
          <w:ilvl w:val="255"/>
          <w:numId w:val="0"/>
        </w:numPr>
        <w:spacing w:after="0" w:line="312" w:lineRule="auto"/>
        <w:ind w:firstLine="480"/>
        <w:jc w:val="right"/>
        <w:rPr>
          <w:rFonts w:ascii="Times New Roman" w:hAnsi="Times New Roman" w:cs="Times New Roman"/>
          <w:sz w:val="24"/>
        </w:rPr>
      </w:pPr>
      <m:oMath>
        <m:sSub>
          <m:sSubPr>
            <m:ctrlPr>
              <w:rPr>
                <w:rFonts w:ascii="Cambria Math" w:hAnsi="Cambria Math" w:cs="Times New Roman"/>
                <w:sz w:val="24"/>
              </w:rPr>
            </m:ctrlPr>
          </m:sSubPr>
          <m:e>
            <m:acc>
              <m:accPr>
                <m:ctrlPr>
                  <w:rPr>
                    <w:rFonts w:ascii="Cambria Math" w:hAnsi="Cambria Math" w:cs="Times New Roman"/>
                    <w:sz w:val="24"/>
                  </w:rPr>
                </m:ctrlPr>
              </m:accPr>
              <m:e>
                <m:r>
                  <w:rPr>
                    <w:rFonts w:ascii="Cambria Math" w:hAnsi="Cambria Math" w:cs="Times New Roman"/>
                    <w:sz w:val="24"/>
                  </w:rPr>
                  <m:t>w</m:t>
                </m:r>
              </m:e>
            </m:acc>
          </m:e>
          <m:sub>
            <m:r>
              <w:rPr>
                <w:rFonts w:ascii="Cambria Math" w:hAnsi="Cambria Math" w:cs="Times New Roman"/>
                <w:sz w:val="24"/>
              </w:rPr>
              <m:t>i</m:t>
            </m:r>
          </m:sub>
        </m:sSub>
        <m:r>
          <m:rPr>
            <m:sty m:val="p"/>
          </m:rPr>
          <w:rPr>
            <w:rFonts w:ascii="Cambria Math" w:hAnsi="Cambria Math" w:cs="Times New Roman"/>
            <w:sz w:val="24"/>
          </w:rPr>
          <m:t>=</m:t>
        </m:r>
        <m:f>
          <m:fPr>
            <m:ctrlPr>
              <w:rPr>
                <w:rFonts w:ascii="Cambria Math" w:hAnsi="Cambria Math" w:cs="Times New Roman"/>
                <w:i/>
                <w:iCs/>
                <w:sz w:val="24"/>
              </w:rPr>
            </m:ctrlPr>
          </m:fPr>
          <m:num>
            <m:sSub>
              <m:sSubPr>
                <m:ctrlPr>
                  <w:rPr>
                    <w:rFonts w:ascii="Cambria Math" w:hAnsi="Cambria Math" w:cs="Times New Roman"/>
                    <w:i/>
                    <w:iCs/>
                    <w:sz w:val="24"/>
                  </w:rPr>
                </m:ctrlPr>
              </m:sSubPr>
              <m:e>
                <m:r>
                  <w:rPr>
                    <w:rFonts w:ascii="Cambria Math" w:hAnsi="Cambria Math" w:cs="Times New Roman"/>
                    <w:sz w:val="24"/>
                  </w:rPr>
                  <m:t>w</m:t>
                </m:r>
              </m:e>
              <m:sub>
                <m:r>
                  <w:rPr>
                    <w:rFonts w:ascii="Cambria Math" w:hAnsi="Cambria Math" w:cs="Times New Roman"/>
                    <w:sz w:val="24"/>
                  </w:rPr>
                  <m:t>i</m:t>
                </m:r>
              </m:sub>
            </m:sSub>
          </m:num>
          <m:den>
            <m:nary>
              <m:naryPr>
                <m:chr m:val="∑"/>
                <m:limLoc m:val="subSup"/>
                <m:ctrlPr>
                  <w:rPr>
                    <w:rFonts w:ascii="Cambria Math" w:hAnsi="Cambria Math" w:cs="Times New Roman"/>
                    <w:i/>
                    <w:iCs/>
                    <w:sz w:val="24"/>
                  </w:rPr>
                </m:ctrlPr>
              </m:naryPr>
              <m:sub>
                <m:r>
                  <w:rPr>
                    <w:rFonts w:ascii="Cambria Math" w:hAnsi="Cambria Math" w:cs="Times New Roman"/>
                    <w:sz w:val="24"/>
                  </w:rPr>
                  <m:t>j</m:t>
                </m:r>
                <m:r>
                  <w:rPr>
                    <w:rFonts w:ascii="Cambria Math" w:hAnsi="Cambria Math" w:cs="Times New Roman"/>
                    <w:sz w:val="24"/>
                  </w:rPr>
                  <m:t>=1</m:t>
                </m:r>
              </m:sub>
              <m:sup>
                <m:r>
                  <w:rPr>
                    <w:rFonts w:ascii="Cambria Math" w:hAnsi="Cambria Math" w:cs="Times New Roman"/>
                    <w:sz w:val="24"/>
                  </w:rPr>
                  <m:t>3</m:t>
                </m:r>
              </m:sup>
              <m:e>
                <m:sSub>
                  <m:sSubPr>
                    <m:ctrlPr>
                      <w:rPr>
                        <w:rFonts w:ascii="Cambria Math" w:hAnsi="Cambria Math" w:cs="Times New Roman"/>
                        <w:i/>
                        <w:sz w:val="24"/>
                      </w:rPr>
                    </m:ctrlPr>
                  </m:sSubPr>
                  <m:e>
                    <m:r>
                      <w:rPr>
                        <w:rFonts w:ascii="Cambria Math" w:hAnsi="Cambria Math" w:cs="Times New Roman"/>
                        <w:sz w:val="24"/>
                      </w:rPr>
                      <m:t>w</m:t>
                    </m:r>
                  </m:e>
                  <m:sub>
                    <m:r>
                      <w:rPr>
                        <w:rFonts w:ascii="Cambria Math" w:hAnsi="Cambria Math" w:cs="Times New Roman"/>
                        <w:sz w:val="24"/>
                      </w:rPr>
                      <m:t>j</m:t>
                    </m:r>
                  </m:sub>
                </m:sSub>
              </m:e>
            </m:nary>
          </m:den>
        </m:f>
      </m:oMath>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ab/>
      </w:r>
      <w:r>
        <w:rPr>
          <w:rFonts w:ascii="Times New Roman" w:hAnsi="Times New Roman" w:cs="Times New Roman" w:hint="eastAsia"/>
          <w:iCs/>
          <w:sz w:val="24"/>
        </w:rPr>
        <w:t>(</w:t>
      </w:r>
      <w:r>
        <w:rPr>
          <w:rFonts w:ascii="Times New Roman" w:eastAsia="等线" w:hAnsi="Times New Roman" w:cs="Times New Roman"/>
          <w:color w:val="0000FF"/>
          <w:sz w:val="24"/>
          <w:lang w:bidi="ar"/>
        </w:rPr>
        <w:t xml:space="preserve">Eq. </w:t>
      </w:r>
      <w:r>
        <w:rPr>
          <w:rFonts w:ascii="Times New Roman" w:eastAsia="等线" w:hAnsi="Times New Roman" w:cs="Times New Roman" w:hint="eastAsia"/>
          <w:color w:val="0000FF"/>
          <w:sz w:val="24"/>
          <w:lang w:bidi="ar"/>
        </w:rPr>
        <w:t>4</w:t>
      </w:r>
      <w:r>
        <w:rPr>
          <w:rFonts w:ascii="Times New Roman" w:hAnsi="Times New Roman" w:cs="Times New Roman" w:hint="eastAsia"/>
          <w:iCs/>
          <w:sz w:val="24"/>
        </w:rPr>
        <w:t>)</w:t>
      </w:r>
    </w:p>
    <w:p w14:paraId="2D3A2B29" w14:textId="77777777" w:rsidR="005129E4" w:rsidRDefault="00565856">
      <w:pPr>
        <w:numPr>
          <w:ilvl w:val="0"/>
          <w:numId w:val="1"/>
        </w:numPr>
        <w:spacing w:after="0" w:line="480" w:lineRule="auto"/>
        <w:ind w:firstLineChars="200" w:firstLine="480"/>
        <w:jc w:val="both"/>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hint="eastAsia"/>
          <w:sz w:val="24"/>
        </w:rPr>
        <w:t>Ensemble Model Prediction</w:t>
      </w:r>
    </w:p>
    <w:p w14:paraId="2B969FE8" w14:textId="77777777" w:rsidR="005129E4" w:rsidRDefault="00565856">
      <w:pPr>
        <w:numPr>
          <w:ilvl w:val="255"/>
          <w:numId w:val="0"/>
        </w:numPr>
        <w:spacing w:after="0" w:line="480" w:lineRule="auto"/>
        <w:ind w:firstLine="420"/>
        <w:jc w:val="both"/>
        <w:rPr>
          <w:rFonts w:ascii="Times New Roman" w:hAnsi="Times New Roman" w:cs="Times New Roman"/>
          <w:sz w:val="24"/>
        </w:rPr>
      </w:pPr>
      <w:r>
        <w:rPr>
          <w:rFonts w:ascii="Times New Roman" w:hAnsi="Times New Roman" w:cs="Times New Roman"/>
          <w:sz w:val="24"/>
        </w:rPr>
        <w:t xml:space="preserve">The final predicted value is the weighted sum of the predictions from each base </w:t>
      </w:r>
      <w:r>
        <w:rPr>
          <w:rFonts w:ascii="Times New Roman" w:hAnsi="Times New Roman" w:cs="Times New Roman"/>
          <w:sz w:val="24"/>
        </w:rPr>
        <w:t>model:</w:t>
      </w:r>
    </w:p>
    <w:p w14:paraId="4C816338" w14:textId="77777777" w:rsidR="005129E4" w:rsidRDefault="00565856">
      <w:pPr>
        <w:ind w:firstLine="480"/>
        <w:jc w:val="right"/>
        <w:rPr>
          <w:rFonts w:ascii="Times New Roman" w:hAnsi="Times New Roman" w:cs="Times New Roman"/>
          <w:iCs/>
          <w:sz w:val="24"/>
        </w:rPr>
      </w:pPr>
      <m:oMath>
        <m:sSub>
          <m:sSubPr>
            <m:ctrlPr>
              <w:rPr>
                <w:rFonts w:ascii="Cambria Math" w:hAnsi="Cambria Math"/>
                <w:i/>
              </w:rPr>
            </m:ctrlPr>
          </m:sSubPr>
          <m:e>
            <m:acc>
              <m:accPr>
                <m:ctrlPr>
                  <w:rPr>
                    <w:rFonts w:ascii="Cambria Math" w:hAnsi="Cambria Math"/>
                    <w:i/>
                  </w:rPr>
                </m:ctrlPr>
              </m:accPr>
              <m:e>
                <m:r>
                  <w:rPr>
                    <w:rFonts w:ascii="Cambria Math" w:hAnsi="Cambria Math"/>
                  </w:rPr>
                  <m:t>y</m:t>
                </m:r>
              </m:e>
            </m:acc>
          </m:e>
          <m:sub>
            <m:r>
              <m:rPr>
                <m:sty m:val="p"/>
              </m:rPr>
              <w:rPr>
                <w:rFonts w:ascii="Cambria Math" w:hAnsi="Cambria Math" w:hint="eastAsia"/>
              </w:rPr>
              <m:t>ensemble</m:t>
            </m:r>
          </m:sub>
        </m:sSub>
        <m:r>
          <w:rPr>
            <w:rFonts w:ascii="Cambria Math" w:hAnsi="Cambria Math"/>
          </w:rPr>
          <m:t>=</m:t>
        </m:r>
        <m:nary>
          <m:naryPr>
            <m:chr m:val="∑"/>
            <m:limLoc m:val="subSup"/>
            <m:ctrlPr>
              <w:rPr>
                <w:rFonts w:ascii="Cambria Math" w:hAnsi="Cambria Math"/>
                <w:i/>
                <w:szCs w:val="20"/>
              </w:rPr>
            </m:ctrlPr>
          </m:naryPr>
          <m:sub>
            <m:r>
              <w:rPr>
                <w:rFonts w:ascii="Cambria Math" w:hAnsi="Cambria Math"/>
                <w:szCs w:val="20"/>
              </w:rPr>
              <m:t>i</m:t>
            </m:r>
            <m:r>
              <w:rPr>
                <w:rFonts w:ascii="Cambria Math" w:hAnsi="Cambria Math"/>
                <w:szCs w:val="20"/>
              </w:rPr>
              <m:t>=1</m:t>
            </m:r>
          </m:sub>
          <m:sup>
            <m:r>
              <w:rPr>
                <w:rFonts w:ascii="Cambria Math" w:hAnsi="Cambria Math"/>
                <w:szCs w:val="20"/>
              </w:rPr>
              <m:t>3</m:t>
            </m:r>
          </m:sup>
          <m:e>
            <m:sSub>
              <m:sSubPr>
                <m:ctrlPr>
                  <w:rPr>
                    <w:rFonts w:ascii="Cambria Math" w:hAnsi="Cambria Math"/>
                  </w:rPr>
                </m:ctrlPr>
              </m:sSubPr>
              <m:e>
                <m:acc>
                  <m:accPr>
                    <m:ctrlPr>
                      <w:rPr>
                        <w:rFonts w:ascii="Cambria Math" w:hAnsi="Cambria Math"/>
                      </w:rPr>
                    </m:ctrlPr>
                  </m:accPr>
                  <m:e>
                    <m:r>
                      <w:rPr>
                        <w:rFonts w:ascii="Cambria Math" w:hAnsi="Cambria Math"/>
                      </w:rPr>
                      <m:t>w</m:t>
                    </m:r>
                  </m:e>
                </m:acc>
              </m:e>
              <m:sub>
                <m:r>
                  <w:rPr>
                    <w:rFonts w:ascii="Cambria Math" w:hAnsi="Cambria Math"/>
                  </w:rPr>
                  <m:t>i</m:t>
                </m:r>
              </m:sub>
            </m:sSub>
            <m:r>
              <m:rPr>
                <m:sty m:val="p"/>
              </m:rPr>
              <w:rPr>
                <w:rFonts w:ascii="Cambria Math" w:hAnsi="Cambria Math"/>
              </w:rPr>
              <m:t>∙</m:t>
            </m:r>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m:t>
                </m:r>
              </m:sub>
            </m:sSub>
          </m:e>
        </m:nary>
      </m:oMath>
      <w:r>
        <w:rPr>
          <w:rFonts w:hAnsi="Cambria Math" w:hint="eastAsia"/>
          <w:szCs w:val="20"/>
        </w:rPr>
        <w:tab/>
      </w:r>
      <w:r>
        <w:rPr>
          <w:rFonts w:hAnsi="Cambria Math" w:hint="eastAsia"/>
          <w:szCs w:val="20"/>
        </w:rPr>
        <w:tab/>
      </w:r>
      <w:r>
        <w:rPr>
          <w:rFonts w:hAnsi="Cambria Math" w:hint="eastAsia"/>
          <w:szCs w:val="20"/>
        </w:rPr>
        <w:tab/>
      </w:r>
      <w:r>
        <w:rPr>
          <w:rFonts w:hAnsi="Cambria Math" w:hint="eastAsia"/>
          <w:szCs w:val="20"/>
        </w:rPr>
        <w:tab/>
      </w:r>
      <w:r>
        <w:rPr>
          <w:rFonts w:hAnsi="Cambria Math" w:hint="eastAsia"/>
          <w:szCs w:val="20"/>
        </w:rPr>
        <w:tab/>
      </w:r>
      <w:r>
        <w:rPr>
          <w:rFonts w:hAnsi="Cambria Math" w:hint="eastAsia"/>
          <w:szCs w:val="20"/>
        </w:rPr>
        <w:tab/>
      </w:r>
      <w:r>
        <w:rPr>
          <w:rFonts w:hAnsi="Cambria Math" w:hint="eastAsia"/>
          <w:szCs w:val="20"/>
        </w:rPr>
        <w:tab/>
      </w:r>
      <w:r>
        <w:rPr>
          <w:rFonts w:hAnsi="Cambria Math" w:hint="eastAsia"/>
          <w:szCs w:val="20"/>
        </w:rPr>
        <w:tab/>
      </w:r>
      <w:r>
        <w:rPr>
          <w:rFonts w:hAnsi="Cambria Math" w:hint="eastAsia"/>
          <w:szCs w:val="20"/>
        </w:rPr>
        <w:tab/>
      </w:r>
      <w:r>
        <w:rPr>
          <w:rFonts w:hAnsi="Cambria Math" w:hint="eastAsia"/>
          <w:szCs w:val="20"/>
        </w:rPr>
        <w:tab/>
      </w:r>
      <w:r>
        <w:rPr>
          <w:rFonts w:hAnsi="Cambria Math" w:hint="eastAsia"/>
          <w:szCs w:val="20"/>
        </w:rPr>
        <w:tab/>
      </w:r>
      <w:r>
        <w:rPr>
          <w:rFonts w:hAnsi="Cambria Math" w:hint="eastAsia"/>
          <w:szCs w:val="20"/>
        </w:rPr>
        <w:tab/>
      </w:r>
      <w:r>
        <w:rPr>
          <w:rFonts w:ascii="Times New Roman" w:hAnsi="Times New Roman" w:cs="Times New Roman" w:hint="eastAsia"/>
          <w:iCs/>
          <w:sz w:val="24"/>
        </w:rPr>
        <w:t>(</w:t>
      </w:r>
      <w:r>
        <w:rPr>
          <w:rFonts w:ascii="Times New Roman" w:eastAsia="等线" w:hAnsi="Times New Roman" w:cs="Times New Roman"/>
          <w:color w:val="0000FF"/>
          <w:sz w:val="24"/>
          <w:lang w:bidi="ar"/>
        </w:rPr>
        <w:t xml:space="preserve">Eq. </w:t>
      </w:r>
      <w:r>
        <w:rPr>
          <w:rFonts w:ascii="Times New Roman" w:eastAsia="等线" w:hAnsi="Times New Roman" w:cs="Times New Roman" w:hint="eastAsia"/>
          <w:color w:val="0000FF"/>
          <w:sz w:val="24"/>
          <w:lang w:bidi="ar"/>
        </w:rPr>
        <w:t>5</w:t>
      </w:r>
      <w:r>
        <w:rPr>
          <w:rFonts w:ascii="Times New Roman" w:hAnsi="Times New Roman" w:cs="Times New Roman" w:hint="eastAsia"/>
          <w:iCs/>
          <w:sz w:val="24"/>
        </w:rPr>
        <w:t>)</w:t>
      </w:r>
    </w:p>
    <w:p w14:paraId="1AC83051" w14:textId="77777777" w:rsidR="005129E4" w:rsidRDefault="00565856">
      <w:pPr>
        <w:ind w:firstLine="420"/>
        <w:jc w:val="both"/>
        <w:rPr>
          <w:rFonts w:ascii="Times New Roman" w:hAnsi="Times New Roman" w:cs="Times New Roman"/>
          <w:iCs/>
          <w:sz w:val="24"/>
        </w:rPr>
      </w:pPr>
      <w:r>
        <w:rPr>
          <w:rFonts w:ascii="Times New Roman" w:hAnsi="Times New Roman" w:cs="Times New Roman" w:hint="eastAsia"/>
          <w:iCs/>
          <w:sz w:val="24"/>
        </w:rPr>
        <w:t>Where</w:t>
      </w:r>
      <w:r>
        <w:rPr>
          <w:rFonts w:ascii="Times New Roman" w:hAnsi="Times New Roman" w:cs="Times New Roman" w:hint="eastAsia"/>
          <w:iCs/>
          <w:sz w:val="24"/>
        </w:rPr>
        <w:t xml:space="preserve"> </w:t>
      </w:r>
      <m:oMath>
        <m:sSub>
          <m:sSubPr>
            <m:ctrlPr>
              <w:rPr>
                <w:rFonts w:ascii="Cambria Math" w:hAnsi="Cambria Math"/>
              </w:rPr>
            </m:ctrlPr>
          </m:sSubPr>
          <m:e>
            <m:acc>
              <m:accPr>
                <m:ctrlPr>
                  <w:rPr>
                    <w:rFonts w:ascii="Cambria Math" w:hAnsi="Cambria Math"/>
                  </w:rPr>
                </m:ctrlPr>
              </m:accPr>
              <m:e>
                <m:r>
                  <w:rPr>
                    <w:rFonts w:ascii="Cambria Math" w:hAnsi="Cambria Math"/>
                  </w:rPr>
                  <m:t>y</m:t>
                </m:r>
              </m:e>
            </m:acc>
          </m:e>
          <m:sub>
            <m:r>
              <w:rPr>
                <w:rFonts w:ascii="Cambria Math" w:hAnsi="Cambria Math"/>
              </w:rPr>
              <m:t>i</m:t>
            </m:r>
          </m:sub>
        </m:sSub>
      </m:oMath>
      <w:r>
        <w:rPr>
          <w:rFonts w:hAnsi="Cambria Math" w:hint="eastAsia"/>
        </w:rPr>
        <w:t xml:space="preserve"> </w:t>
      </w:r>
      <w:r>
        <w:rPr>
          <w:rFonts w:ascii="Times New Roman" w:hAnsi="Times New Roman" w:cs="Times New Roman" w:hint="eastAsia"/>
          <w:iCs/>
          <w:sz w:val="24"/>
        </w:rPr>
        <w:t>represents the prediction of the</w:t>
      </w:r>
      <w:r>
        <w:rPr>
          <w:rFonts w:ascii="Times New Roman" w:hAnsi="Times New Roman" w:cs="Times New Roman" w:hint="eastAsia"/>
          <w:iCs/>
          <w:sz w:val="24"/>
        </w:rPr>
        <w:t xml:space="preserve"> </w:t>
      </w:r>
      <m:oMath>
        <m:r>
          <w:rPr>
            <w:rFonts w:ascii="Cambria Math" w:hAnsi="Cambria Math"/>
            <w:szCs w:val="20"/>
          </w:rPr>
          <m:t>i</m:t>
        </m:r>
      </m:oMath>
      <w:r>
        <w:rPr>
          <w:rFonts w:ascii="Times New Roman" w:hAnsi="Times New Roman" w:cs="Times New Roman" w:hint="eastAsia"/>
          <w:iCs/>
          <w:sz w:val="24"/>
        </w:rPr>
        <w:t>-th base model.</w:t>
      </w:r>
    </w:p>
    <w:p w14:paraId="0CF24628" w14:textId="77777777" w:rsidR="005129E4" w:rsidRDefault="00565856">
      <w:pPr>
        <w:numPr>
          <w:ilvl w:val="0"/>
          <w:numId w:val="1"/>
        </w:numPr>
        <w:ind w:firstLineChars="200" w:firstLine="480"/>
        <w:jc w:val="both"/>
        <w:rPr>
          <w:rFonts w:ascii="Times New Roman" w:hAnsi="Times New Roman" w:cs="Times New Roman"/>
          <w:iCs/>
          <w:sz w:val="24"/>
        </w:rPr>
      </w:pPr>
      <w:r>
        <w:rPr>
          <w:rFonts w:ascii="Times New Roman" w:hAnsi="Times New Roman" w:cs="Times New Roman" w:hint="eastAsia"/>
          <w:iCs/>
          <w:sz w:val="24"/>
        </w:rPr>
        <w:t xml:space="preserve"> </w:t>
      </w:r>
      <w:r>
        <w:rPr>
          <w:rFonts w:ascii="Times New Roman" w:hAnsi="Times New Roman" w:cs="Times New Roman"/>
          <w:iCs/>
          <w:sz w:val="24"/>
        </w:rPr>
        <w:t>Implementation Example</w:t>
      </w:r>
    </w:p>
    <w:p w14:paraId="457A1EE2" w14:textId="77777777" w:rsidR="005129E4" w:rsidRDefault="00565856">
      <w:pPr>
        <w:spacing w:after="0" w:line="240" w:lineRule="auto"/>
        <w:jc w:val="both"/>
        <w:rPr>
          <w:rFonts w:ascii="Times New Roman" w:hAnsi="Times New Roman" w:cs="Times New Roman"/>
          <w:sz w:val="21"/>
          <w:szCs w:val="21"/>
        </w:rPr>
      </w:pPr>
      <w:r>
        <w:rPr>
          <w:rFonts w:ascii="Times New Roman" w:hAnsi="Times New Roman" w:cs="Times New Roman" w:hint="eastAsia"/>
          <w:b/>
          <w:bCs/>
          <w:sz w:val="21"/>
          <w:szCs w:val="21"/>
        </w:rPr>
        <w:t>TableS</w:t>
      </w:r>
      <w:r>
        <w:rPr>
          <w:rFonts w:ascii="Times New Roman" w:hAnsi="Times New Roman" w:cs="Times New Roman" w:hint="eastAsia"/>
          <w:b/>
          <w:bCs/>
          <w:sz w:val="21"/>
          <w:szCs w:val="21"/>
        </w:rPr>
        <w:t>1</w:t>
      </w:r>
      <w:r>
        <w:rPr>
          <w:rFonts w:ascii="Times New Roman" w:hAnsi="Times New Roman" w:cs="Times New Roman" w:hint="eastAsia"/>
          <w:sz w:val="21"/>
          <w:szCs w:val="21"/>
        </w:rPr>
        <w:t xml:space="preserve">  Weight calculation demonstration</w:t>
      </w:r>
    </w:p>
    <w:tbl>
      <w:tblPr>
        <w:tblStyle w:val="a7"/>
        <w:tblW w:w="4999" w:type="pct"/>
        <w:jc w:val="center"/>
        <w:tblLook w:val="04A0" w:firstRow="1" w:lastRow="0" w:firstColumn="1" w:lastColumn="0" w:noHBand="0" w:noVBand="1"/>
      </w:tblPr>
      <w:tblGrid>
        <w:gridCol w:w="1298"/>
        <w:gridCol w:w="1338"/>
        <w:gridCol w:w="991"/>
        <w:gridCol w:w="1170"/>
        <w:gridCol w:w="1169"/>
        <w:gridCol w:w="1169"/>
        <w:gridCol w:w="1169"/>
      </w:tblGrid>
      <w:tr w:rsidR="005129E4" w14:paraId="216BD2C7" w14:textId="77777777" w:rsidTr="004D6C40">
        <w:trPr>
          <w:trHeight w:val="408"/>
          <w:jc w:val="center"/>
        </w:trPr>
        <w:tc>
          <w:tcPr>
            <w:tcW w:w="781" w:type="pct"/>
            <w:tcBorders>
              <w:top w:val="single" w:sz="4" w:space="0" w:color="auto"/>
              <w:left w:val="nil"/>
              <w:bottom w:val="single" w:sz="4" w:space="0" w:color="auto"/>
              <w:right w:val="nil"/>
            </w:tcBorders>
            <w:vAlign w:val="center"/>
          </w:tcPr>
          <w:p w14:paraId="78FFA056"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Model</w:t>
            </w:r>
          </w:p>
        </w:tc>
        <w:tc>
          <w:tcPr>
            <w:tcW w:w="805" w:type="pct"/>
            <w:tcBorders>
              <w:top w:val="single" w:sz="4" w:space="0" w:color="auto"/>
              <w:left w:val="nil"/>
              <w:bottom w:val="single" w:sz="4" w:space="0" w:color="auto"/>
              <w:right w:val="nil"/>
            </w:tcBorders>
            <w:vAlign w:val="center"/>
          </w:tcPr>
          <w:p w14:paraId="01B6F417"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RMSE</w:t>
            </w:r>
          </w:p>
        </w:tc>
        <w:tc>
          <w:tcPr>
            <w:tcW w:w="596" w:type="pct"/>
            <w:tcBorders>
              <w:top w:val="single" w:sz="4" w:space="0" w:color="auto"/>
              <w:left w:val="nil"/>
              <w:bottom w:val="single" w:sz="4" w:space="0" w:color="auto"/>
              <w:right w:val="nil"/>
            </w:tcBorders>
            <w:vAlign w:val="center"/>
          </w:tcPr>
          <w:p w14:paraId="62BEB8BF"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eastAsia="宋体" w:hAnsi="Times New Roman" w:cs="Times New Roman"/>
                <w:i/>
                <w:iCs/>
                <w:color w:val="000000" w:themeColor="text1"/>
                <w:sz w:val="21"/>
                <w:szCs w:val="21"/>
              </w:rPr>
              <w:t>R</w:t>
            </w:r>
            <w:r>
              <w:rPr>
                <w:rFonts w:ascii="Times New Roman" w:eastAsia="宋体" w:hAnsi="Times New Roman" w:cs="Times New Roman"/>
                <w:color w:val="000000" w:themeColor="text1"/>
                <w:sz w:val="21"/>
                <w:szCs w:val="21"/>
                <w:vertAlign w:val="superscript"/>
              </w:rPr>
              <w:t>2</w:t>
            </w:r>
          </w:p>
        </w:tc>
        <w:tc>
          <w:tcPr>
            <w:tcW w:w="704" w:type="pct"/>
            <w:tcBorders>
              <w:top w:val="single" w:sz="4" w:space="0" w:color="auto"/>
              <w:left w:val="nil"/>
              <w:bottom w:val="single" w:sz="4" w:space="0" w:color="auto"/>
              <w:right w:val="nil"/>
            </w:tcBorders>
            <w:vAlign w:val="center"/>
          </w:tcPr>
          <w:p w14:paraId="49C25F8A"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m:oMathPara>
              <m:oMathParaPr>
                <m:jc m:val="left"/>
              </m:oMathParaPr>
              <m:oMath>
                <m:sSub>
                  <m:sSubPr>
                    <m:ctrlPr>
                      <w:rPr>
                        <w:rFonts w:ascii="Cambria Math" w:eastAsia="宋体" w:hAnsi="Cambria Math" w:cs="Times New Roman"/>
                        <w:color w:val="000000" w:themeColor="text1"/>
                        <w:sz w:val="21"/>
                        <w:szCs w:val="21"/>
                      </w:rPr>
                    </m:ctrlPr>
                  </m:sSubPr>
                  <m:e>
                    <m:r>
                      <m:rPr>
                        <m:sty m:val="p"/>
                      </m:rPr>
                      <w:rPr>
                        <w:rFonts w:ascii="Cambria Math" w:eastAsia="宋体" w:hAnsi="Cambria Math" w:cs="Times New Roman"/>
                        <w:color w:val="000000" w:themeColor="text1"/>
                        <w:sz w:val="21"/>
                        <w:szCs w:val="21"/>
                      </w:rPr>
                      <m:t>w</m:t>
                    </m:r>
                  </m:e>
                  <m:sub>
                    <m:r>
                      <m:rPr>
                        <m:sty m:val="p"/>
                      </m:rPr>
                      <w:rPr>
                        <w:rFonts w:ascii="Cambria Math" w:eastAsia="宋体" w:hAnsi="Cambria Math" w:cs="Times New Roman"/>
                        <w:color w:val="000000" w:themeColor="text1"/>
                        <w:sz w:val="21"/>
                        <w:szCs w:val="21"/>
                      </w:rPr>
                      <m:t>RMSE,i</m:t>
                    </m:r>
                  </m:sub>
                </m:sSub>
              </m:oMath>
            </m:oMathPara>
          </w:p>
        </w:tc>
        <w:tc>
          <w:tcPr>
            <w:tcW w:w="704" w:type="pct"/>
            <w:tcBorders>
              <w:top w:val="single" w:sz="4" w:space="0" w:color="auto"/>
              <w:left w:val="nil"/>
              <w:bottom w:val="single" w:sz="4" w:space="0" w:color="auto"/>
              <w:right w:val="nil"/>
            </w:tcBorders>
            <w:vAlign w:val="center"/>
          </w:tcPr>
          <w:p w14:paraId="40D80E0B"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m:oMathPara>
              <m:oMathParaPr>
                <m:jc m:val="left"/>
              </m:oMathParaPr>
              <m:oMath>
                <m:sSub>
                  <m:sSubPr>
                    <m:ctrlPr>
                      <w:rPr>
                        <w:rFonts w:ascii="Cambria Math" w:hAnsi="Cambria Math"/>
                        <w:i/>
                        <w:sz w:val="21"/>
                        <w:szCs w:val="21"/>
                      </w:rPr>
                    </m:ctrlPr>
                  </m:sSubPr>
                  <m:e>
                    <m:r>
                      <w:rPr>
                        <w:rFonts w:ascii="Cambria Math" w:hAnsi="Cambria Math" w:hint="eastAsia"/>
                        <w:sz w:val="21"/>
                        <w:szCs w:val="21"/>
                      </w:rPr>
                      <m:t>w</m:t>
                    </m:r>
                  </m:e>
                  <m:sub>
                    <m:sSup>
                      <m:sSupPr>
                        <m:ctrlPr>
                          <w:rPr>
                            <w:rFonts w:ascii="Cambria Math" w:hAnsi="Cambria Math"/>
                            <w:iCs/>
                            <w:sz w:val="21"/>
                            <w:szCs w:val="21"/>
                          </w:rPr>
                        </m:ctrlPr>
                      </m:sSupPr>
                      <m:e>
                        <m:r>
                          <w:rPr>
                            <w:rFonts w:ascii="Cambria Math" w:hAnsi="Cambria Math"/>
                            <w:sz w:val="21"/>
                            <w:szCs w:val="21"/>
                          </w:rPr>
                          <m:t>R</m:t>
                        </m:r>
                      </m:e>
                      <m:sup>
                        <m:r>
                          <w:rPr>
                            <w:rFonts w:ascii="Cambria Math" w:hAnsi="Cambria Math"/>
                            <w:sz w:val="21"/>
                            <w:szCs w:val="21"/>
                          </w:rPr>
                          <m:t>2</m:t>
                        </m:r>
                      </m:sup>
                    </m:sSup>
                    <m:r>
                      <w:rPr>
                        <w:rFonts w:ascii="Cambria Math" w:hAnsi="Cambria Math"/>
                        <w:sz w:val="21"/>
                        <w:szCs w:val="21"/>
                      </w:rPr>
                      <m:t>,</m:t>
                    </m:r>
                    <m:r>
                      <w:rPr>
                        <w:rFonts w:ascii="Cambria Math" w:hAnsi="Cambria Math" w:hint="eastAsia"/>
                        <w:sz w:val="21"/>
                        <w:szCs w:val="21"/>
                      </w:rPr>
                      <m:t>i</m:t>
                    </m:r>
                  </m:sub>
                </m:sSub>
              </m:oMath>
            </m:oMathPara>
          </w:p>
        </w:tc>
        <w:tc>
          <w:tcPr>
            <w:tcW w:w="704" w:type="pct"/>
            <w:tcBorders>
              <w:top w:val="single" w:sz="4" w:space="0" w:color="auto"/>
              <w:left w:val="nil"/>
              <w:bottom w:val="single" w:sz="4" w:space="0" w:color="auto"/>
              <w:right w:val="nil"/>
            </w:tcBorders>
            <w:vAlign w:val="center"/>
          </w:tcPr>
          <w:p w14:paraId="3B9F9ED4" w14:textId="77777777" w:rsidR="005129E4" w:rsidRPr="004D6C40" w:rsidRDefault="00565856">
            <w:pPr>
              <w:numPr>
                <w:ilvl w:val="255"/>
                <w:numId w:val="0"/>
              </w:numPr>
              <w:spacing w:after="0" w:line="240" w:lineRule="auto"/>
              <w:rPr>
                <w:rFonts w:ascii="Times New Roman" w:eastAsia="宋体" w:hAnsi="Times New Roman" w:cs="Times New Roman"/>
                <w:color w:val="000000" w:themeColor="text1"/>
                <w:sz w:val="21"/>
                <w:szCs w:val="21"/>
                <w:vertAlign w:val="superscript"/>
              </w:rPr>
            </w:pPr>
            <m:oMath>
              <m:sSub>
                <m:sSubPr>
                  <m:ctrlPr>
                    <w:rPr>
                      <w:rFonts w:ascii="Cambria Math" w:eastAsia="宋体" w:hAnsi="Cambria Math" w:cs="Times New Roman"/>
                      <w:color w:val="000000" w:themeColor="text1"/>
                      <w:sz w:val="21"/>
                      <w:szCs w:val="21"/>
                    </w:rPr>
                  </m:ctrlPr>
                </m:sSubPr>
                <m:e>
                  <m:r>
                    <m:rPr>
                      <m:sty m:val="p"/>
                    </m:rPr>
                    <w:rPr>
                      <w:rFonts w:ascii="Cambria Math" w:eastAsia="宋体" w:hAnsi="Cambria Math" w:cs="Times New Roman"/>
                      <w:color w:val="000000" w:themeColor="text1"/>
                      <w:sz w:val="21"/>
                      <w:szCs w:val="21"/>
                    </w:rPr>
                    <m:t>w</m:t>
                  </m:r>
                </m:e>
                <m:sub>
                  <m:r>
                    <w:rPr>
                      <w:rFonts w:ascii="Cambria Math" w:eastAsia="宋体" w:hAnsi="Cambria Math" w:cs="Times New Roman"/>
                      <w:color w:val="000000" w:themeColor="text1"/>
                      <w:sz w:val="21"/>
                      <w:szCs w:val="21"/>
                    </w:rPr>
                    <m:t>i</m:t>
                  </m:r>
                </m:sub>
              </m:sSub>
            </m:oMath>
            <w:r w:rsidRPr="004D6C40">
              <w:rPr>
                <w:rFonts w:ascii="Times New Roman" w:eastAsia="宋体" w:hAnsi="Times New Roman" w:cs="Times New Roman"/>
                <w:color w:val="000000" w:themeColor="text1"/>
                <w:sz w:val="21"/>
                <w:szCs w:val="21"/>
                <w:vertAlign w:val="superscript"/>
              </w:rPr>
              <w:t>a</w:t>
            </w:r>
          </w:p>
        </w:tc>
        <w:tc>
          <w:tcPr>
            <w:tcW w:w="704" w:type="pct"/>
            <w:tcBorders>
              <w:top w:val="single" w:sz="4" w:space="0" w:color="auto"/>
              <w:left w:val="nil"/>
              <w:bottom w:val="single" w:sz="4" w:space="0" w:color="auto"/>
              <w:right w:val="nil"/>
            </w:tcBorders>
            <w:vAlign w:val="center"/>
          </w:tcPr>
          <w:p w14:paraId="759CF4E4"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m:oMathPara>
              <m:oMathParaPr>
                <m:jc m:val="left"/>
              </m:oMathParaPr>
              <m:oMath>
                <m:sSub>
                  <m:sSubPr>
                    <m:ctrlPr>
                      <w:rPr>
                        <w:rFonts w:ascii="Cambria Math" w:eastAsia="宋体" w:hAnsi="Cambria Math" w:cs="Times New Roman"/>
                        <w:color w:val="000000" w:themeColor="text1"/>
                        <w:sz w:val="21"/>
                        <w:szCs w:val="21"/>
                      </w:rPr>
                    </m:ctrlPr>
                  </m:sSubPr>
                  <m:e>
                    <m:acc>
                      <m:accPr>
                        <m:ctrlPr>
                          <w:rPr>
                            <w:rFonts w:ascii="Cambria Math" w:eastAsia="宋体" w:hAnsi="Cambria Math" w:cs="Times New Roman"/>
                            <w:color w:val="000000" w:themeColor="text1"/>
                            <w:sz w:val="21"/>
                            <w:szCs w:val="21"/>
                          </w:rPr>
                        </m:ctrlPr>
                      </m:accPr>
                      <m:e>
                        <m:r>
                          <m:rPr>
                            <m:sty m:val="p"/>
                          </m:rPr>
                          <w:rPr>
                            <w:rFonts w:ascii="Cambria Math" w:eastAsia="宋体" w:hAnsi="Cambria Math" w:cs="Times New Roman"/>
                            <w:color w:val="000000" w:themeColor="text1"/>
                            <w:sz w:val="21"/>
                            <w:szCs w:val="21"/>
                          </w:rPr>
                          <m:t>w</m:t>
                        </m:r>
                      </m:e>
                    </m:acc>
                  </m:e>
                  <m:sub>
                    <m:r>
                      <m:rPr>
                        <m:sty m:val="p"/>
                      </m:rPr>
                      <w:rPr>
                        <w:rFonts w:ascii="Cambria Math" w:eastAsia="宋体" w:hAnsi="Cambria Math" w:cs="Times New Roman"/>
                        <w:color w:val="000000" w:themeColor="text1"/>
                        <w:sz w:val="21"/>
                        <w:szCs w:val="21"/>
                      </w:rPr>
                      <m:t>i</m:t>
                    </m:r>
                  </m:sub>
                </m:sSub>
              </m:oMath>
            </m:oMathPara>
          </w:p>
        </w:tc>
      </w:tr>
      <w:tr w:rsidR="005129E4" w14:paraId="68834745" w14:textId="77777777" w:rsidTr="004D6C40">
        <w:trPr>
          <w:trHeight w:val="23"/>
          <w:jc w:val="center"/>
        </w:trPr>
        <w:tc>
          <w:tcPr>
            <w:tcW w:w="781" w:type="pct"/>
            <w:tcBorders>
              <w:top w:val="single" w:sz="4" w:space="0" w:color="auto"/>
              <w:left w:val="nil"/>
              <w:bottom w:val="nil"/>
              <w:right w:val="nil"/>
            </w:tcBorders>
            <w:vAlign w:val="center"/>
          </w:tcPr>
          <w:p w14:paraId="4081F130"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M</w:t>
            </w:r>
            <w:r w:rsidRPr="004D6C40">
              <w:rPr>
                <w:rFonts w:ascii="Times New Roman" w:eastAsia="宋体" w:hAnsi="Times New Roman" w:cs="Times New Roman"/>
                <w:color w:val="000000" w:themeColor="text1"/>
                <w:sz w:val="21"/>
                <w:szCs w:val="21"/>
                <w:vertAlign w:val="subscript"/>
              </w:rPr>
              <w:t>1</w:t>
            </w:r>
          </w:p>
        </w:tc>
        <w:tc>
          <w:tcPr>
            <w:tcW w:w="805" w:type="pct"/>
            <w:tcBorders>
              <w:top w:val="single" w:sz="4" w:space="0" w:color="auto"/>
              <w:left w:val="nil"/>
              <w:bottom w:val="nil"/>
              <w:right w:val="nil"/>
            </w:tcBorders>
            <w:vAlign w:val="center"/>
          </w:tcPr>
          <w:p w14:paraId="540E908F" w14:textId="77777777" w:rsidR="005129E4" w:rsidRDefault="00565856">
            <w:pPr>
              <w:numPr>
                <w:ilvl w:val="255"/>
                <w:numId w:val="0"/>
              </w:numPr>
              <w:spacing w:after="0" w:line="240" w:lineRule="auto"/>
              <w:rPr>
                <w:rFonts w:ascii="Times New Roman" w:hAnsi="Times New Roman" w:cs="Times New Roman"/>
                <w:color w:val="000000" w:themeColor="text1"/>
                <w:sz w:val="21"/>
                <w:szCs w:val="21"/>
              </w:rPr>
            </w:pPr>
            <w:r>
              <w:rPr>
                <w:rFonts w:ascii="Times New Roman" w:hAnsi="Times New Roman" w:cs="Times New Roman"/>
                <w:sz w:val="21"/>
                <w:szCs w:val="21"/>
              </w:rPr>
              <w:t>2.1</w:t>
            </w:r>
            <w:r>
              <w:rPr>
                <w:rFonts w:ascii="Times New Roman" w:hAnsi="Times New Roman" w:cs="Times New Roman" w:hint="eastAsia"/>
                <w:sz w:val="21"/>
                <w:szCs w:val="21"/>
              </w:rPr>
              <w:t>1</w:t>
            </w:r>
          </w:p>
        </w:tc>
        <w:tc>
          <w:tcPr>
            <w:tcW w:w="596" w:type="pct"/>
            <w:tcBorders>
              <w:top w:val="single" w:sz="4" w:space="0" w:color="auto"/>
              <w:left w:val="nil"/>
              <w:bottom w:val="nil"/>
              <w:right w:val="nil"/>
            </w:tcBorders>
            <w:vAlign w:val="center"/>
          </w:tcPr>
          <w:p w14:paraId="4DCC9AC9"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eastAsia="宋体" w:hAnsi="Times New Roman" w:cs="Times New Roman" w:hint="eastAsia"/>
                <w:sz w:val="21"/>
                <w:szCs w:val="21"/>
              </w:rPr>
              <w:t>0</w:t>
            </w:r>
            <w:r>
              <w:rPr>
                <w:rFonts w:ascii="Times New Roman" w:eastAsia="宋体" w:hAnsi="Times New Roman" w:cs="Times New Roman" w:hint="eastAsia"/>
                <w:sz w:val="21"/>
                <w:szCs w:val="21"/>
              </w:rPr>
              <w:t>.83</w:t>
            </w:r>
          </w:p>
        </w:tc>
        <w:tc>
          <w:tcPr>
            <w:tcW w:w="704" w:type="pct"/>
            <w:tcBorders>
              <w:top w:val="single" w:sz="4" w:space="0" w:color="auto"/>
              <w:left w:val="nil"/>
              <w:bottom w:val="nil"/>
              <w:right w:val="nil"/>
            </w:tcBorders>
            <w:vAlign w:val="center"/>
          </w:tcPr>
          <w:p w14:paraId="3D5AECE2"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0.350</w:t>
            </w:r>
          </w:p>
        </w:tc>
        <w:tc>
          <w:tcPr>
            <w:tcW w:w="704" w:type="pct"/>
            <w:tcBorders>
              <w:top w:val="single" w:sz="4" w:space="0" w:color="auto"/>
              <w:left w:val="nil"/>
              <w:bottom w:val="nil"/>
              <w:right w:val="nil"/>
            </w:tcBorders>
            <w:vAlign w:val="center"/>
          </w:tcPr>
          <w:p w14:paraId="643E681A"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0.341</w:t>
            </w:r>
          </w:p>
        </w:tc>
        <w:tc>
          <w:tcPr>
            <w:tcW w:w="704" w:type="pct"/>
            <w:tcBorders>
              <w:top w:val="single" w:sz="4" w:space="0" w:color="auto"/>
              <w:left w:val="nil"/>
              <w:bottom w:val="nil"/>
              <w:right w:val="nil"/>
            </w:tcBorders>
            <w:vAlign w:val="center"/>
          </w:tcPr>
          <w:p w14:paraId="492C8AA8"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0.346</w:t>
            </w:r>
          </w:p>
        </w:tc>
        <w:tc>
          <w:tcPr>
            <w:tcW w:w="704" w:type="pct"/>
            <w:tcBorders>
              <w:top w:val="single" w:sz="4" w:space="0" w:color="auto"/>
              <w:left w:val="nil"/>
              <w:bottom w:val="nil"/>
              <w:right w:val="nil"/>
            </w:tcBorders>
            <w:vAlign w:val="center"/>
          </w:tcPr>
          <w:p w14:paraId="4CD0275F"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0.346</w:t>
            </w:r>
          </w:p>
        </w:tc>
      </w:tr>
      <w:tr w:rsidR="005129E4" w14:paraId="0AAFB80F" w14:textId="77777777" w:rsidTr="004D6C40">
        <w:trPr>
          <w:trHeight w:val="23"/>
          <w:jc w:val="center"/>
        </w:trPr>
        <w:tc>
          <w:tcPr>
            <w:tcW w:w="781" w:type="pct"/>
            <w:tcBorders>
              <w:top w:val="nil"/>
              <w:left w:val="nil"/>
              <w:bottom w:val="nil"/>
              <w:right w:val="nil"/>
            </w:tcBorders>
            <w:vAlign w:val="center"/>
          </w:tcPr>
          <w:p w14:paraId="0F520127"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M</w:t>
            </w:r>
            <w:r w:rsidRPr="004D6C40">
              <w:rPr>
                <w:rFonts w:ascii="Times New Roman" w:eastAsia="宋体" w:hAnsi="Times New Roman" w:cs="Times New Roman"/>
                <w:color w:val="000000" w:themeColor="text1"/>
                <w:sz w:val="21"/>
                <w:szCs w:val="21"/>
                <w:vertAlign w:val="subscript"/>
              </w:rPr>
              <w:t>2</w:t>
            </w:r>
          </w:p>
        </w:tc>
        <w:tc>
          <w:tcPr>
            <w:tcW w:w="805" w:type="pct"/>
            <w:tcBorders>
              <w:top w:val="nil"/>
              <w:left w:val="nil"/>
              <w:bottom w:val="nil"/>
              <w:right w:val="nil"/>
            </w:tcBorders>
            <w:vAlign w:val="center"/>
          </w:tcPr>
          <w:p w14:paraId="5802FBE6" w14:textId="77777777" w:rsidR="005129E4" w:rsidRDefault="00565856">
            <w:pPr>
              <w:numPr>
                <w:ilvl w:val="255"/>
                <w:numId w:val="0"/>
              </w:numPr>
              <w:spacing w:after="0" w:line="240" w:lineRule="auto"/>
              <w:rPr>
                <w:rFonts w:ascii="Times New Roman" w:hAnsi="Times New Roman" w:cs="Times New Roman"/>
                <w:color w:val="000000" w:themeColor="text1"/>
                <w:sz w:val="21"/>
                <w:szCs w:val="21"/>
              </w:rPr>
            </w:pPr>
            <w:r>
              <w:rPr>
                <w:rFonts w:ascii="Times New Roman" w:hAnsi="Times New Roman" w:cs="Times New Roman"/>
                <w:sz w:val="21"/>
                <w:szCs w:val="21"/>
              </w:rPr>
              <w:t>1.8</w:t>
            </w:r>
            <w:r>
              <w:rPr>
                <w:rFonts w:ascii="Times New Roman" w:hAnsi="Times New Roman" w:cs="Times New Roman" w:hint="eastAsia"/>
                <w:sz w:val="21"/>
                <w:szCs w:val="21"/>
              </w:rPr>
              <w:t>3</w:t>
            </w:r>
          </w:p>
        </w:tc>
        <w:tc>
          <w:tcPr>
            <w:tcW w:w="596" w:type="pct"/>
            <w:tcBorders>
              <w:top w:val="nil"/>
              <w:left w:val="nil"/>
              <w:bottom w:val="nil"/>
              <w:right w:val="nil"/>
            </w:tcBorders>
            <w:vAlign w:val="center"/>
          </w:tcPr>
          <w:p w14:paraId="05869261"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0.87</w:t>
            </w:r>
          </w:p>
        </w:tc>
        <w:tc>
          <w:tcPr>
            <w:tcW w:w="704" w:type="pct"/>
            <w:tcBorders>
              <w:top w:val="nil"/>
              <w:left w:val="nil"/>
              <w:bottom w:val="nil"/>
              <w:right w:val="nil"/>
            </w:tcBorders>
            <w:vAlign w:val="center"/>
          </w:tcPr>
          <w:p w14:paraId="16AA5554"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0.403</w:t>
            </w:r>
          </w:p>
        </w:tc>
        <w:tc>
          <w:tcPr>
            <w:tcW w:w="704" w:type="pct"/>
            <w:tcBorders>
              <w:top w:val="nil"/>
              <w:left w:val="nil"/>
              <w:bottom w:val="nil"/>
              <w:right w:val="nil"/>
            </w:tcBorders>
            <w:vAlign w:val="center"/>
          </w:tcPr>
          <w:p w14:paraId="1F9832F0"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0.357</w:t>
            </w:r>
          </w:p>
        </w:tc>
        <w:tc>
          <w:tcPr>
            <w:tcW w:w="704" w:type="pct"/>
            <w:tcBorders>
              <w:top w:val="nil"/>
              <w:left w:val="nil"/>
              <w:bottom w:val="nil"/>
              <w:right w:val="nil"/>
            </w:tcBorders>
            <w:vAlign w:val="center"/>
          </w:tcPr>
          <w:p w14:paraId="2CE6D63D" w14:textId="77777777" w:rsidR="005129E4"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0.380</w:t>
            </w:r>
          </w:p>
        </w:tc>
        <w:tc>
          <w:tcPr>
            <w:tcW w:w="704" w:type="pct"/>
            <w:tcBorders>
              <w:top w:val="nil"/>
              <w:left w:val="nil"/>
              <w:bottom w:val="nil"/>
              <w:right w:val="nil"/>
            </w:tcBorders>
            <w:vAlign w:val="center"/>
          </w:tcPr>
          <w:p w14:paraId="2EB5ACB7" w14:textId="77777777" w:rsidR="005129E4" w:rsidRPr="004D6C40"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0.380</w:t>
            </w:r>
          </w:p>
        </w:tc>
      </w:tr>
      <w:tr w:rsidR="005129E4" w14:paraId="65542FC4" w14:textId="77777777" w:rsidTr="004D6C40">
        <w:trPr>
          <w:trHeight w:val="23"/>
          <w:jc w:val="center"/>
        </w:trPr>
        <w:tc>
          <w:tcPr>
            <w:tcW w:w="781" w:type="pct"/>
            <w:tcBorders>
              <w:top w:val="nil"/>
              <w:left w:val="nil"/>
              <w:bottom w:val="single" w:sz="4" w:space="0" w:color="000000" w:themeColor="text1"/>
              <w:right w:val="nil"/>
            </w:tcBorders>
            <w:vAlign w:val="center"/>
          </w:tcPr>
          <w:p w14:paraId="1234C72F" w14:textId="77777777" w:rsidR="005129E4" w:rsidRPr="004D6C40" w:rsidRDefault="00565856">
            <w:pPr>
              <w:numPr>
                <w:ilvl w:val="255"/>
                <w:numId w:val="0"/>
              </w:numPr>
              <w:spacing w:after="0" w:line="240" w:lineRule="auto"/>
              <w:rPr>
                <w:rFonts w:ascii="Times New Roman" w:eastAsia="宋体" w:hAnsi="Times New Roman" w:cs="Times New Roman"/>
                <w:color w:val="000000" w:themeColor="text1"/>
                <w:sz w:val="21"/>
                <w:szCs w:val="21"/>
              </w:rPr>
            </w:pPr>
            <w:r w:rsidRPr="004D6C40">
              <w:rPr>
                <w:rFonts w:ascii="Times New Roman" w:eastAsia="宋体" w:hAnsi="Times New Roman" w:cs="Times New Roman"/>
                <w:color w:val="000000" w:themeColor="text1"/>
                <w:sz w:val="21"/>
                <w:szCs w:val="21"/>
              </w:rPr>
              <w:t>M</w:t>
            </w:r>
            <w:r w:rsidRPr="004D6C40">
              <w:rPr>
                <w:rFonts w:ascii="Times New Roman" w:eastAsia="宋体" w:hAnsi="Times New Roman" w:cs="Times New Roman"/>
                <w:color w:val="000000" w:themeColor="text1"/>
                <w:sz w:val="21"/>
                <w:szCs w:val="21"/>
                <w:vertAlign w:val="subscript"/>
              </w:rPr>
              <w:t>3</w:t>
            </w:r>
          </w:p>
        </w:tc>
        <w:tc>
          <w:tcPr>
            <w:tcW w:w="805" w:type="pct"/>
            <w:tcBorders>
              <w:top w:val="nil"/>
              <w:left w:val="nil"/>
              <w:bottom w:val="single" w:sz="4" w:space="0" w:color="000000" w:themeColor="text1"/>
              <w:right w:val="nil"/>
            </w:tcBorders>
            <w:vAlign w:val="center"/>
          </w:tcPr>
          <w:p w14:paraId="0DC9FE3D" w14:textId="77777777" w:rsidR="005129E4" w:rsidRPr="004D6C40" w:rsidRDefault="00565856">
            <w:pPr>
              <w:numPr>
                <w:ilvl w:val="255"/>
                <w:numId w:val="0"/>
              </w:numPr>
              <w:spacing w:after="0" w:line="240" w:lineRule="auto"/>
              <w:rPr>
                <w:rFonts w:ascii="Times New Roman" w:hAnsi="Times New Roman" w:cs="Times New Roman"/>
                <w:color w:val="000000" w:themeColor="text1"/>
                <w:sz w:val="21"/>
                <w:szCs w:val="21"/>
              </w:rPr>
            </w:pPr>
            <w:r w:rsidRPr="004D6C40">
              <w:rPr>
                <w:rFonts w:ascii="Times New Roman" w:hAnsi="Times New Roman" w:cs="Times New Roman" w:hint="eastAsia"/>
                <w:sz w:val="21"/>
                <w:szCs w:val="21"/>
              </w:rPr>
              <w:t>2.5</w:t>
            </w:r>
            <w:r>
              <w:rPr>
                <w:rFonts w:ascii="Times New Roman" w:hAnsi="Times New Roman" w:cs="Times New Roman" w:hint="eastAsia"/>
                <w:sz w:val="21"/>
                <w:szCs w:val="21"/>
              </w:rPr>
              <w:t>2</w:t>
            </w:r>
          </w:p>
        </w:tc>
        <w:tc>
          <w:tcPr>
            <w:tcW w:w="596" w:type="pct"/>
            <w:tcBorders>
              <w:top w:val="nil"/>
              <w:left w:val="nil"/>
              <w:bottom w:val="single" w:sz="4" w:space="0" w:color="000000" w:themeColor="text1"/>
              <w:right w:val="nil"/>
            </w:tcBorders>
            <w:vAlign w:val="center"/>
          </w:tcPr>
          <w:p w14:paraId="192B2B6D" w14:textId="77777777" w:rsidR="005129E4" w:rsidRPr="004D6C40"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0.79</w:t>
            </w:r>
          </w:p>
        </w:tc>
        <w:tc>
          <w:tcPr>
            <w:tcW w:w="704" w:type="pct"/>
            <w:tcBorders>
              <w:top w:val="nil"/>
              <w:left w:val="nil"/>
              <w:bottom w:val="single" w:sz="4" w:space="0" w:color="000000" w:themeColor="text1"/>
              <w:right w:val="nil"/>
            </w:tcBorders>
            <w:vAlign w:val="center"/>
          </w:tcPr>
          <w:p w14:paraId="282DB018" w14:textId="77777777" w:rsidR="005129E4" w:rsidRPr="004D6C40" w:rsidRDefault="00565856">
            <w:pPr>
              <w:numPr>
                <w:ilvl w:val="255"/>
                <w:numId w:val="0"/>
              </w:numPr>
              <w:spacing w:after="0" w:line="240" w:lineRule="auto"/>
              <w:rPr>
                <w:rFonts w:ascii="Times New Roman" w:eastAsia="宋体" w:hAnsi="Times New Roman" w:cs="Times New Roman"/>
                <w:color w:val="000000" w:themeColor="text1"/>
                <w:sz w:val="21"/>
                <w:szCs w:val="21"/>
              </w:rPr>
            </w:pPr>
            <w:r w:rsidRPr="004D6C40">
              <w:rPr>
                <w:rFonts w:ascii="Times New Roman" w:hAnsi="Times New Roman" w:cs="Times New Roman" w:hint="eastAsia"/>
                <w:sz w:val="21"/>
                <w:szCs w:val="21"/>
              </w:rPr>
              <w:t>0.247</w:t>
            </w:r>
          </w:p>
        </w:tc>
        <w:tc>
          <w:tcPr>
            <w:tcW w:w="704" w:type="pct"/>
            <w:tcBorders>
              <w:top w:val="nil"/>
              <w:left w:val="nil"/>
              <w:bottom w:val="single" w:sz="4" w:space="0" w:color="000000" w:themeColor="text1"/>
              <w:right w:val="nil"/>
            </w:tcBorders>
            <w:vAlign w:val="center"/>
          </w:tcPr>
          <w:p w14:paraId="7BC944BC" w14:textId="77777777" w:rsidR="005129E4" w:rsidRPr="004D6C40"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0.302</w:t>
            </w:r>
          </w:p>
        </w:tc>
        <w:tc>
          <w:tcPr>
            <w:tcW w:w="704" w:type="pct"/>
            <w:tcBorders>
              <w:top w:val="nil"/>
              <w:left w:val="nil"/>
              <w:bottom w:val="single" w:sz="4" w:space="0" w:color="000000" w:themeColor="text1"/>
              <w:right w:val="nil"/>
            </w:tcBorders>
            <w:vAlign w:val="center"/>
          </w:tcPr>
          <w:p w14:paraId="735ECD17" w14:textId="77777777" w:rsidR="005129E4" w:rsidRPr="004D6C40" w:rsidRDefault="00565856">
            <w:pPr>
              <w:numPr>
                <w:ilvl w:val="255"/>
                <w:numId w:val="0"/>
              </w:numPr>
              <w:spacing w:after="0" w:line="240" w:lineRule="auto"/>
              <w:rPr>
                <w:rFonts w:ascii="Times New Roman" w:eastAsia="宋体" w:hAnsi="Times New Roman" w:cs="Times New Roman"/>
                <w:color w:val="000000" w:themeColor="text1"/>
                <w:sz w:val="21"/>
                <w:szCs w:val="21"/>
              </w:rPr>
            </w:pPr>
            <w:r w:rsidRPr="004D6C40">
              <w:rPr>
                <w:rFonts w:ascii="Times New Roman" w:hAnsi="Times New Roman" w:cs="Times New Roman" w:hint="eastAsia"/>
                <w:sz w:val="21"/>
                <w:szCs w:val="21"/>
              </w:rPr>
              <w:t>0.274</w:t>
            </w:r>
          </w:p>
        </w:tc>
        <w:tc>
          <w:tcPr>
            <w:tcW w:w="704" w:type="pct"/>
            <w:tcBorders>
              <w:top w:val="nil"/>
              <w:left w:val="nil"/>
              <w:bottom w:val="single" w:sz="4" w:space="0" w:color="000000" w:themeColor="text1"/>
              <w:right w:val="nil"/>
            </w:tcBorders>
            <w:vAlign w:val="center"/>
          </w:tcPr>
          <w:p w14:paraId="16EEE1AC" w14:textId="77777777" w:rsidR="005129E4" w:rsidRPr="004D6C40" w:rsidRDefault="00565856">
            <w:pPr>
              <w:numPr>
                <w:ilvl w:val="255"/>
                <w:numId w:val="0"/>
              </w:num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0.274</w:t>
            </w:r>
          </w:p>
        </w:tc>
      </w:tr>
    </w:tbl>
    <w:p w14:paraId="69B95974" w14:textId="77777777" w:rsidR="005129E4" w:rsidRDefault="00565856" w:rsidP="004D6C40">
      <w:pPr>
        <w:numPr>
          <w:ilvl w:val="255"/>
          <w:numId w:val="0"/>
        </w:numPr>
        <w:jc w:val="both"/>
        <w:rPr>
          <w:rFonts w:ascii="Times New Roman" w:hAnsi="Times New Roman" w:cs="Times New Roman"/>
          <w:iCs/>
          <w:sz w:val="24"/>
        </w:rPr>
      </w:pPr>
      <w:r>
        <w:rPr>
          <w:rFonts w:ascii="Times New Roman" w:hAnsi="Times New Roman" w:cs="Times New Roman" w:hint="eastAsia"/>
          <w:color w:val="000000" w:themeColor="text1"/>
          <w:sz w:val="21"/>
          <w:szCs w:val="21"/>
          <w:vertAlign w:val="superscript"/>
        </w:rPr>
        <w:t>a</w:t>
      </w:r>
      <w:r>
        <w:rPr>
          <w:rFonts w:ascii="Times New Roman" w:hAnsi="Times New Roman" w:cs="Times New Roman" w:hint="eastAsia"/>
          <w:color w:val="000000" w:themeColor="text1"/>
          <w:sz w:val="21"/>
          <w:szCs w:val="21"/>
        </w:rPr>
        <w:t>Abbreviations:</w:t>
      </w:r>
      <w:r>
        <w:rPr>
          <w:rFonts w:ascii="Times New Roman" w:hAnsi="Times New Roman" w:cs="Times New Roman" w:hint="eastAsia"/>
          <w:color w:val="000000" w:themeColor="text1"/>
          <w:sz w:val="21"/>
          <w:szCs w:val="21"/>
        </w:rPr>
        <w:t xml:space="preserve"> </w:t>
      </w:r>
      <w:r>
        <w:rPr>
          <w:rFonts w:ascii="Times New Roman" w:hAnsi="Times New Roman" w:cs="Times New Roman"/>
          <w:sz w:val="24"/>
        </w:rPr>
        <w:t>α</w:t>
      </w:r>
      <w:r>
        <w:rPr>
          <w:rFonts w:ascii="Times New Roman" w:hAnsi="Times New Roman" w:cs="Times New Roman"/>
          <w:sz w:val="24"/>
        </w:rPr>
        <w:t xml:space="preserve"> = 0.5</w:t>
      </w:r>
      <w:r>
        <w:rPr>
          <w:rFonts w:ascii="Times New Roman" w:hAnsi="Times New Roman" w:cs="Times New Roman" w:hint="eastAsia"/>
          <w:sz w:val="24"/>
        </w:rPr>
        <w:t xml:space="preserve">; </w:t>
      </w:r>
      <w:r w:rsidRPr="004D6C40">
        <w:rPr>
          <w:rFonts w:ascii="Times New Roman" w:eastAsia="KaTeX_Size1" w:hAnsi="Times New Roman" w:cs="Times New Roman"/>
          <w:color w:val="000000"/>
          <w:sz w:val="21"/>
          <w:szCs w:val="21"/>
          <w:shd w:val="clear" w:color="auto" w:fill="FFFFFF"/>
        </w:rPr>
        <w:t>∑</w:t>
      </w:r>
      <m:oMath>
        <m:sSub>
          <m:sSubPr>
            <m:ctrlPr>
              <w:rPr>
                <w:rFonts w:ascii="Cambria Math" w:eastAsia="宋体" w:hAnsi="Cambria Math" w:cs="Times New Roman"/>
                <w:color w:val="000000" w:themeColor="text1"/>
                <w:sz w:val="21"/>
                <w:szCs w:val="21"/>
              </w:rPr>
            </m:ctrlPr>
          </m:sSubPr>
          <m:e>
            <m:acc>
              <m:accPr>
                <m:ctrlPr>
                  <w:rPr>
                    <w:rFonts w:ascii="Cambria Math" w:eastAsia="宋体" w:hAnsi="Cambria Math" w:cs="Times New Roman"/>
                    <w:color w:val="000000" w:themeColor="text1"/>
                    <w:sz w:val="21"/>
                    <w:szCs w:val="21"/>
                  </w:rPr>
                </m:ctrlPr>
              </m:accPr>
              <m:e>
                <m:r>
                  <m:rPr>
                    <m:sty m:val="p"/>
                  </m:rPr>
                  <w:rPr>
                    <w:rFonts w:ascii="Cambria Math" w:eastAsia="宋体" w:hAnsi="Cambria Math" w:cs="Times New Roman"/>
                    <w:color w:val="000000" w:themeColor="text1"/>
                    <w:sz w:val="21"/>
                    <w:szCs w:val="21"/>
                  </w:rPr>
                  <m:t>w</m:t>
                </m:r>
              </m:e>
            </m:acc>
          </m:e>
          <m:sub>
            <m:r>
              <m:rPr>
                <m:sty m:val="p"/>
              </m:rPr>
              <w:rPr>
                <w:rFonts w:ascii="Cambria Math" w:eastAsia="宋体" w:hAnsi="Cambria Math" w:cs="Times New Roman"/>
                <w:color w:val="000000" w:themeColor="text1"/>
                <w:sz w:val="21"/>
                <w:szCs w:val="21"/>
              </w:rPr>
              <m:t>i</m:t>
            </m:r>
          </m:sub>
        </m:sSub>
      </m:oMath>
      <w:r w:rsidRPr="004D6C40">
        <w:rPr>
          <w:rFonts w:ascii="Times New Roman" w:eastAsia="宋体" w:hAnsi="Times New Roman" w:cs="Times New Roman"/>
          <w:color w:val="000000" w:themeColor="text1"/>
          <w:sz w:val="21"/>
          <w:szCs w:val="21"/>
        </w:rPr>
        <w:t xml:space="preserve"> </w:t>
      </w:r>
      <w:r w:rsidRPr="004D6C40">
        <w:rPr>
          <w:rFonts w:ascii="Times New Roman" w:eastAsia="宋体" w:hAnsi="Times New Roman" w:cs="Times New Roman"/>
          <w:color w:val="000000" w:themeColor="text1"/>
          <w:sz w:val="21"/>
          <w:szCs w:val="21"/>
        </w:rPr>
        <w:t>=</w:t>
      </w:r>
      <w:r w:rsidRPr="004D6C40">
        <w:rPr>
          <w:rFonts w:ascii="Times New Roman" w:eastAsia="宋体" w:hAnsi="Times New Roman" w:cs="Times New Roman"/>
          <w:color w:val="000000" w:themeColor="text1"/>
          <w:sz w:val="21"/>
          <w:szCs w:val="21"/>
        </w:rPr>
        <w:t xml:space="preserve"> </w:t>
      </w:r>
      <w:r w:rsidRPr="004D6C40">
        <w:rPr>
          <w:rFonts w:ascii="Times New Roman" w:eastAsia="宋体" w:hAnsi="Times New Roman" w:cs="Times New Roman"/>
          <w:color w:val="000000" w:themeColor="text1"/>
          <w:sz w:val="21"/>
          <w:szCs w:val="21"/>
        </w:rPr>
        <w:t>1</w:t>
      </w:r>
      <w:r>
        <w:rPr>
          <w:rFonts w:ascii="Times New Roman" w:eastAsia="宋体" w:hAnsi="Times New Roman" w:cs="Times New Roman" w:hint="eastAsia"/>
          <w:color w:val="000000" w:themeColor="text1"/>
          <w:sz w:val="21"/>
          <w:szCs w:val="21"/>
        </w:rPr>
        <w:t xml:space="preserve"> .</w:t>
      </w:r>
    </w:p>
    <w:p w14:paraId="06A99C86" w14:textId="77777777" w:rsidR="005129E4" w:rsidRDefault="00565856">
      <w:pPr>
        <w:widowControl/>
        <w:spacing w:after="0" w:line="480" w:lineRule="auto"/>
        <w:jc w:val="both"/>
        <w:rPr>
          <w:rFonts w:ascii="Times New Roman" w:hAnsi="Times New Roman" w:cs="Times New Roman"/>
          <w:b/>
          <w:bCs/>
          <w:sz w:val="24"/>
        </w:rPr>
      </w:pPr>
      <w:r>
        <w:rPr>
          <w:rFonts w:ascii="Times New Roman" w:hAnsi="Times New Roman" w:cs="Times New Roman" w:hint="eastAsia"/>
          <w:b/>
          <w:bCs/>
          <w:sz w:val="24"/>
        </w:rPr>
        <w:t>Appendix S</w:t>
      </w:r>
      <w:r>
        <w:rPr>
          <w:rFonts w:ascii="Times New Roman" w:hAnsi="Times New Roman" w:cs="Times New Roman" w:hint="eastAsia"/>
          <w:b/>
          <w:bCs/>
          <w:sz w:val="24"/>
        </w:rPr>
        <w:t>3</w:t>
      </w:r>
      <w:r>
        <w:rPr>
          <w:rFonts w:ascii="Times New Roman" w:hAnsi="Times New Roman" w:cs="Times New Roman" w:hint="eastAsia"/>
          <w:b/>
          <w:bCs/>
          <w:sz w:val="24"/>
        </w:rPr>
        <w:t xml:space="preserve">  Space-for-time substitution method</w:t>
      </w:r>
    </w:p>
    <w:p w14:paraId="33E66AF1" w14:textId="77777777" w:rsidR="005129E4" w:rsidRDefault="00565856">
      <w:pPr>
        <w:widowControl/>
        <w:spacing w:after="0" w:line="480" w:lineRule="auto"/>
        <w:ind w:firstLineChars="200" w:firstLine="480"/>
        <w:jc w:val="both"/>
        <w:rPr>
          <w:rFonts w:ascii="Times New Roman" w:hAnsi="Times New Roman" w:cs="Times New Roman"/>
          <w:b/>
          <w:bCs/>
          <w:sz w:val="21"/>
          <w:szCs w:val="21"/>
        </w:rPr>
      </w:pPr>
      <w:r>
        <w:rPr>
          <w:rFonts w:ascii="Times New Roman" w:hAnsi="Times New Roman" w:cs="Times New Roman" w:hint="eastAsia"/>
          <w:sz w:val="24"/>
        </w:rPr>
        <w:t>The space-for-time substitution method is a technique that utilizes spatial statistical patterns to predict temporal changes (</w:t>
      </w:r>
      <w:r>
        <w:rPr>
          <w:rFonts w:ascii="Times New Roman" w:hAnsi="Times New Roman" w:cs="Times New Roman" w:hint="eastAsia"/>
          <w:color w:val="0000FF"/>
          <w:sz w:val="24"/>
        </w:rPr>
        <w:t>Pickett, 1989</w:t>
      </w:r>
      <w:r>
        <w:rPr>
          <w:rFonts w:ascii="Times New Roman" w:hAnsi="Times New Roman" w:cs="Times New Roman" w:hint="eastAsia"/>
          <w:sz w:val="24"/>
        </w:rPr>
        <w:t>). Specifically, this method assumes that different locations in space can represent different stages in time, thereby inferring temporal changes by studying spatial variations. The advantage of this method is that it allows for the prediction of future temporal changes using existing spatial data, reducing the reliance on long-term monitoring data (</w:t>
      </w:r>
      <w:r>
        <w:rPr>
          <w:rFonts w:ascii="Times New Roman" w:hAnsi="Times New Roman" w:cs="Times New Roman" w:hint="eastAsia"/>
          <w:color w:val="0000FF"/>
          <w:sz w:val="24"/>
        </w:rPr>
        <w:t>Negassa et al., 2023</w:t>
      </w:r>
      <w:r>
        <w:rPr>
          <w:rFonts w:ascii="Times New Roman" w:hAnsi="Times New Roman" w:cs="Times New Roman" w:hint="eastAsia"/>
          <w:sz w:val="24"/>
        </w:rPr>
        <w:t>). This method has been widely applied to predict the spatiotemporal variations of soil organic carbon (SOC) stocks in the United States and</w:t>
      </w:r>
      <w:r>
        <w:rPr>
          <w:rFonts w:ascii="Times New Roman" w:hAnsi="Times New Roman" w:cs="Times New Roman" w:hint="eastAsia"/>
          <w:sz w:val="24"/>
        </w:rPr>
        <w:t xml:space="preserve"> China. When using the space-for-time </w:t>
      </w:r>
      <w:r>
        <w:rPr>
          <w:rFonts w:ascii="Times New Roman" w:hAnsi="Times New Roman" w:cs="Times New Roman" w:hint="eastAsia"/>
          <w:sz w:val="24"/>
        </w:rPr>
        <w:lastRenderedPageBreak/>
        <w:t>substitution method to predict the spatiotemporal variations of SOC stocks, researchers typically reference the SCORPAN equation, which considers the formation process of soil organic carbon. They assume that certain influencing factors remain relatively stable over time, such as topographic variables and soil types, to study the effects of major driving factors like climate variables and land use types on the target variable (</w:t>
      </w:r>
      <w:r>
        <w:rPr>
          <w:rFonts w:ascii="Times New Roman" w:hAnsi="Times New Roman" w:cs="Times New Roman" w:hint="eastAsia"/>
          <w:color w:val="0000FF"/>
          <w:sz w:val="24"/>
        </w:rPr>
        <w:t>Wang, Zhang et al., 2023</w:t>
      </w:r>
      <w:r>
        <w:rPr>
          <w:rFonts w:ascii="Times New Roman" w:hAnsi="Times New Roman" w:cs="Times New Roman" w:hint="eastAsia"/>
          <w:sz w:val="24"/>
        </w:rPr>
        <w:t>).</w:t>
      </w:r>
    </w:p>
    <w:p w14:paraId="29A1641D" w14:textId="4323D92E" w:rsidR="005129E4" w:rsidRDefault="00565856">
      <w:pPr>
        <w:spacing w:after="0" w:line="240" w:lineRule="auto"/>
        <w:jc w:val="both"/>
        <w:rPr>
          <w:rFonts w:ascii="Times New Roman" w:hAnsi="Times New Roman" w:cs="Times New Roman"/>
          <w:sz w:val="21"/>
          <w:szCs w:val="21"/>
        </w:rPr>
      </w:pPr>
      <w:r>
        <w:rPr>
          <w:rFonts w:ascii="Times New Roman" w:hAnsi="Times New Roman" w:cs="Times New Roman" w:hint="eastAsia"/>
          <w:b/>
          <w:bCs/>
          <w:sz w:val="21"/>
          <w:szCs w:val="21"/>
        </w:rPr>
        <w:t>TableS</w:t>
      </w:r>
      <w:r>
        <w:rPr>
          <w:rFonts w:ascii="Times New Roman" w:hAnsi="Times New Roman" w:cs="Times New Roman" w:hint="eastAsia"/>
          <w:b/>
          <w:bCs/>
          <w:sz w:val="21"/>
          <w:szCs w:val="21"/>
        </w:rPr>
        <w:t>2</w:t>
      </w:r>
      <w:r>
        <w:rPr>
          <w:rFonts w:ascii="Times New Roman" w:hAnsi="Times New Roman" w:cs="Times New Roman" w:hint="eastAsia"/>
          <w:sz w:val="21"/>
          <w:szCs w:val="21"/>
        </w:rPr>
        <w:t xml:space="preserve">  </w:t>
      </w:r>
      <w:r>
        <w:rPr>
          <w:rFonts w:ascii="Times New Roman" w:hAnsi="Times New Roman" w:cs="Times New Roman"/>
          <w:sz w:val="21"/>
          <w:szCs w:val="21"/>
        </w:rPr>
        <w:t xml:space="preserve">Linear correlation between soil organic carbon </w:t>
      </w:r>
      <w:r>
        <w:rPr>
          <w:rFonts w:ascii="Times New Roman" w:hAnsi="Times New Roman" w:cs="Times New Roman" w:hint="eastAsia"/>
          <w:sz w:val="21"/>
          <w:szCs w:val="21"/>
        </w:rPr>
        <w:t>density</w:t>
      </w:r>
      <w:r>
        <w:rPr>
          <w:rFonts w:ascii="Times New Roman" w:hAnsi="Times New Roman" w:cs="Times New Roman"/>
          <w:sz w:val="21"/>
          <w:szCs w:val="21"/>
        </w:rPr>
        <w:t xml:space="preserve"> and environmental factors</w:t>
      </w:r>
    </w:p>
    <w:tbl>
      <w:tblPr>
        <w:tblStyle w:val="a7"/>
        <w:tblW w:w="5000" w:type="pct"/>
        <w:jc w:val="center"/>
        <w:tblBorders>
          <w:top w:val="single" w:sz="18" w:space="0" w:color="auto"/>
          <w:left w:val="none" w:sz="0" w:space="0" w:color="auto"/>
          <w:bottom w:val="single" w:sz="18" w:space="0" w:color="auto"/>
          <w:right w:val="none" w:sz="0" w:space="0" w:color="auto"/>
          <w:insideH w:val="single" w:sz="8" w:space="0" w:color="auto"/>
          <w:insideV w:val="none" w:sz="0" w:space="0" w:color="auto"/>
        </w:tblBorders>
        <w:tblLook w:val="04A0" w:firstRow="1" w:lastRow="0" w:firstColumn="1" w:lastColumn="0" w:noHBand="0" w:noVBand="1"/>
      </w:tblPr>
      <w:tblGrid>
        <w:gridCol w:w="2976"/>
        <w:gridCol w:w="3262"/>
        <w:gridCol w:w="2068"/>
      </w:tblGrid>
      <w:tr w:rsidR="005129E4" w14:paraId="7910B88A" w14:textId="77777777" w:rsidTr="004D6C40">
        <w:trPr>
          <w:trHeight w:val="407"/>
          <w:jc w:val="center"/>
        </w:trPr>
        <w:tc>
          <w:tcPr>
            <w:tcW w:w="1791" w:type="pct"/>
            <w:tcBorders>
              <w:top w:val="single" w:sz="4" w:space="0" w:color="auto"/>
              <w:bottom w:val="single" w:sz="4" w:space="0" w:color="auto"/>
            </w:tcBorders>
            <w:vAlign w:val="center"/>
          </w:tcPr>
          <w:p w14:paraId="2F8A67BB"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Factors</w:t>
            </w:r>
          </w:p>
        </w:tc>
        <w:tc>
          <w:tcPr>
            <w:tcW w:w="1963" w:type="pct"/>
            <w:tcBorders>
              <w:top w:val="single" w:sz="4" w:space="0" w:color="auto"/>
              <w:bottom w:val="single" w:sz="4" w:space="0" w:color="auto"/>
            </w:tcBorders>
            <w:vAlign w:val="center"/>
          </w:tcPr>
          <w:p w14:paraId="6BBA3770"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Correlation coefficients</w:t>
            </w:r>
          </w:p>
        </w:tc>
        <w:tc>
          <w:tcPr>
            <w:tcW w:w="1245" w:type="pct"/>
            <w:tcBorders>
              <w:top w:val="single" w:sz="4" w:space="0" w:color="auto"/>
              <w:bottom w:val="single" w:sz="4" w:space="0" w:color="auto"/>
            </w:tcBorders>
            <w:vAlign w:val="center"/>
          </w:tcPr>
          <w:p w14:paraId="61EDC0F7"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p value</w:t>
            </w:r>
          </w:p>
        </w:tc>
      </w:tr>
      <w:tr w:rsidR="005129E4" w14:paraId="00466184" w14:textId="77777777" w:rsidTr="004D6C40">
        <w:trPr>
          <w:trHeight w:val="20"/>
          <w:jc w:val="center"/>
        </w:trPr>
        <w:tc>
          <w:tcPr>
            <w:tcW w:w="1791" w:type="pct"/>
            <w:tcBorders>
              <w:top w:val="single" w:sz="4" w:space="0" w:color="auto"/>
              <w:bottom w:val="nil"/>
            </w:tcBorders>
            <w:vAlign w:val="center"/>
          </w:tcPr>
          <w:p w14:paraId="11848D28"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Precipitation</w:t>
            </w:r>
          </w:p>
        </w:tc>
        <w:tc>
          <w:tcPr>
            <w:tcW w:w="1963" w:type="pct"/>
            <w:tcBorders>
              <w:top w:val="single" w:sz="4" w:space="0" w:color="auto"/>
              <w:bottom w:val="nil"/>
            </w:tcBorders>
            <w:vAlign w:val="center"/>
          </w:tcPr>
          <w:p w14:paraId="2527F74C"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0.314**</w:t>
            </w:r>
          </w:p>
        </w:tc>
        <w:tc>
          <w:tcPr>
            <w:tcW w:w="1245" w:type="pct"/>
            <w:tcBorders>
              <w:top w:val="single" w:sz="4" w:space="0" w:color="auto"/>
              <w:bottom w:val="nil"/>
            </w:tcBorders>
            <w:vAlign w:val="center"/>
          </w:tcPr>
          <w:p w14:paraId="0946E831"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47279BF1" w14:textId="77777777" w:rsidTr="004D6C40">
        <w:trPr>
          <w:trHeight w:val="20"/>
          <w:jc w:val="center"/>
        </w:trPr>
        <w:tc>
          <w:tcPr>
            <w:tcW w:w="1791" w:type="pct"/>
            <w:tcBorders>
              <w:top w:val="nil"/>
              <w:bottom w:val="nil"/>
            </w:tcBorders>
            <w:vAlign w:val="center"/>
          </w:tcPr>
          <w:p w14:paraId="2717C3E5"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Temperature</w:t>
            </w:r>
          </w:p>
        </w:tc>
        <w:tc>
          <w:tcPr>
            <w:tcW w:w="1963" w:type="pct"/>
            <w:tcBorders>
              <w:top w:val="nil"/>
              <w:bottom w:val="nil"/>
            </w:tcBorders>
            <w:vAlign w:val="center"/>
          </w:tcPr>
          <w:p w14:paraId="55C2F1D9"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-0.374**</w:t>
            </w:r>
          </w:p>
        </w:tc>
        <w:tc>
          <w:tcPr>
            <w:tcW w:w="1245" w:type="pct"/>
            <w:tcBorders>
              <w:top w:val="nil"/>
              <w:bottom w:val="nil"/>
            </w:tcBorders>
            <w:vAlign w:val="center"/>
          </w:tcPr>
          <w:p w14:paraId="32C4E8E6"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5EDCC7B3" w14:textId="77777777" w:rsidTr="004D6C40">
        <w:trPr>
          <w:trHeight w:val="20"/>
          <w:jc w:val="center"/>
        </w:trPr>
        <w:tc>
          <w:tcPr>
            <w:tcW w:w="1791" w:type="pct"/>
            <w:tcBorders>
              <w:top w:val="nil"/>
              <w:bottom w:val="nil"/>
            </w:tcBorders>
            <w:vAlign w:val="center"/>
          </w:tcPr>
          <w:p w14:paraId="559644F7"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Landtype</w:t>
            </w:r>
          </w:p>
        </w:tc>
        <w:tc>
          <w:tcPr>
            <w:tcW w:w="1963" w:type="pct"/>
            <w:tcBorders>
              <w:top w:val="nil"/>
              <w:bottom w:val="nil"/>
            </w:tcBorders>
            <w:vAlign w:val="center"/>
          </w:tcPr>
          <w:p w14:paraId="00E09E76"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-0.101**</w:t>
            </w:r>
          </w:p>
        </w:tc>
        <w:tc>
          <w:tcPr>
            <w:tcW w:w="1245" w:type="pct"/>
            <w:tcBorders>
              <w:top w:val="nil"/>
              <w:bottom w:val="nil"/>
            </w:tcBorders>
            <w:vAlign w:val="center"/>
          </w:tcPr>
          <w:p w14:paraId="442BC978"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5B6EE918" w14:textId="77777777" w:rsidTr="004D6C40">
        <w:trPr>
          <w:trHeight w:val="20"/>
          <w:jc w:val="center"/>
        </w:trPr>
        <w:tc>
          <w:tcPr>
            <w:tcW w:w="1791" w:type="pct"/>
            <w:tcBorders>
              <w:top w:val="nil"/>
              <w:bottom w:val="nil"/>
            </w:tcBorders>
            <w:vAlign w:val="center"/>
          </w:tcPr>
          <w:p w14:paraId="56E611CA"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Clay</w:t>
            </w:r>
          </w:p>
        </w:tc>
        <w:tc>
          <w:tcPr>
            <w:tcW w:w="1963" w:type="pct"/>
            <w:tcBorders>
              <w:top w:val="nil"/>
              <w:bottom w:val="nil"/>
            </w:tcBorders>
            <w:vAlign w:val="center"/>
          </w:tcPr>
          <w:p w14:paraId="53456493"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-0.100**</w:t>
            </w:r>
          </w:p>
        </w:tc>
        <w:tc>
          <w:tcPr>
            <w:tcW w:w="1245" w:type="pct"/>
            <w:tcBorders>
              <w:top w:val="nil"/>
              <w:bottom w:val="nil"/>
            </w:tcBorders>
            <w:vAlign w:val="center"/>
          </w:tcPr>
          <w:p w14:paraId="28302E5A"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2473FB05" w14:textId="77777777" w:rsidTr="004D6C40">
        <w:trPr>
          <w:trHeight w:val="20"/>
          <w:jc w:val="center"/>
        </w:trPr>
        <w:tc>
          <w:tcPr>
            <w:tcW w:w="1791" w:type="pct"/>
            <w:tcBorders>
              <w:top w:val="nil"/>
              <w:bottom w:val="nil"/>
            </w:tcBorders>
            <w:vAlign w:val="center"/>
          </w:tcPr>
          <w:p w14:paraId="48F1129D"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 xml:space="preserve">Silt </w:t>
            </w:r>
          </w:p>
          <w:p w14:paraId="6363E328" w14:textId="77777777" w:rsidR="005129E4" w:rsidRDefault="00565856">
            <w:pPr>
              <w:spacing w:after="0" w:line="240" w:lineRule="auto"/>
              <w:rPr>
                <w:rFonts w:ascii="Times New Roman" w:hAnsi="Times New Roman" w:cs="Times New Roman"/>
                <w:sz w:val="21"/>
                <w:szCs w:val="21"/>
              </w:rPr>
            </w:pPr>
            <w:r>
              <w:rPr>
                <w:rFonts w:ascii="Times New Roman" w:eastAsia="宋体" w:hAnsi="Times New Roman" w:cs="Times New Roman"/>
                <w:color w:val="000000" w:themeColor="text1"/>
                <w:sz w:val="21"/>
                <w:szCs w:val="21"/>
              </w:rPr>
              <w:t>Sand</w:t>
            </w:r>
          </w:p>
        </w:tc>
        <w:tc>
          <w:tcPr>
            <w:tcW w:w="1963" w:type="pct"/>
            <w:tcBorders>
              <w:top w:val="nil"/>
              <w:bottom w:val="nil"/>
            </w:tcBorders>
            <w:vAlign w:val="center"/>
          </w:tcPr>
          <w:p w14:paraId="0A0E525F"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-0.037</w:t>
            </w:r>
          </w:p>
          <w:p w14:paraId="627ABC02"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0.093**</w:t>
            </w:r>
          </w:p>
        </w:tc>
        <w:tc>
          <w:tcPr>
            <w:tcW w:w="1245" w:type="pct"/>
            <w:tcBorders>
              <w:top w:val="nil"/>
              <w:bottom w:val="nil"/>
            </w:tcBorders>
            <w:vAlign w:val="center"/>
          </w:tcPr>
          <w:p w14:paraId="198B8D18"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0.106</w:t>
            </w:r>
          </w:p>
          <w:p w14:paraId="19B08892"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3B8DBF16" w14:textId="77777777" w:rsidTr="004D6C40">
        <w:trPr>
          <w:trHeight w:val="20"/>
          <w:jc w:val="center"/>
        </w:trPr>
        <w:tc>
          <w:tcPr>
            <w:tcW w:w="1791" w:type="pct"/>
            <w:tcBorders>
              <w:top w:val="nil"/>
              <w:bottom w:val="nil"/>
            </w:tcBorders>
            <w:vAlign w:val="center"/>
          </w:tcPr>
          <w:p w14:paraId="1071A837" w14:textId="77777777" w:rsidR="005129E4" w:rsidRDefault="00565856">
            <w:pPr>
              <w:spacing w:after="0" w:line="240" w:lineRule="auto"/>
              <w:rPr>
                <w:rFonts w:ascii="Times New Roman" w:hAnsi="Times New Roman" w:cs="Times New Roman"/>
                <w:sz w:val="21"/>
                <w:szCs w:val="21"/>
              </w:rPr>
            </w:pPr>
            <w:r>
              <w:rPr>
                <w:rFonts w:ascii="Times New Roman" w:eastAsia="宋体" w:hAnsi="Times New Roman" w:cs="Times New Roman"/>
                <w:color w:val="000000" w:themeColor="text1"/>
                <w:sz w:val="21"/>
                <w:szCs w:val="21"/>
              </w:rPr>
              <w:t>Soil_pH</w:t>
            </w:r>
          </w:p>
        </w:tc>
        <w:tc>
          <w:tcPr>
            <w:tcW w:w="1963" w:type="pct"/>
            <w:tcBorders>
              <w:top w:val="nil"/>
              <w:bottom w:val="nil"/>
            </w:tcBorders>
            <w:vAlign w:val="center"/>
          </w:tcPr>
          <w:p w14:paraId="734EFEB3"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-0.006</w:t>
            </w:r>
          </w:p>
        </w:tc>
        <w:tc>
          <w:tcPr>
            <w:tcW w:w="1245" w:type="pct"/>
            <w:tcBorders>
              <w:top w:val="nil"/>
              <w:bottom w:val="nil"/>
            </w:tcBorders>
            <w:vAlign w:val="center"/>
          </w:tcPr>
          <w:p w14:paraId="388E0620"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0.804</w:t>
            </w:r>
          </w:p>
        </w:tc>
      </w:tr>
      <w:tr w:rsidR="005129E4" w14:paraId="16ADFF7C" w14:textId="77777777" w:rsidTr="004D6C40">
        <w:trPr>
          <w:trHeight w:val="20"/>
          <w:jc w:val="center"/>
        </w:trPr>
        <w:tc>
          <w:tcPr>
            <w:tcW w:w="1791" w:type="pct"/>
            <w:tcBorders>
              <w:top w:val="nil"/>
              <w:bottom w:val="nil"/>
            </w:tcBorders>
            <w:vAlign w:val="center"/>
          </w:tcPr>
          <w:p w14:paraId="47E87114"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Soil hydration</w:t>
            </w:r>
          </w:p>
        </w:tc>
        <w:tc>
          <w:tcPr>
            <w:tcW w:w="1963" w:type="pct"/>
            <w:tcBorders>
              <w:top w:val="nil"/>
              <w:bottom w:val="nil"/>
            </w:tcBorders>
            <w:vAlign w:val="center"/>
          </w:tcPr>
          <w:p w14:paraId="3B46EE0C"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-0.155**</w:t>
            </w:r>
          </w:p>
        </w:tc>
        <w:tc>
          <w:tcPr>
            <w:tcW w:w="1245" w:type="pct"/>
            <w:tcBorders>
              <w:top w:val="nil"/>
              <w:bottom w:val="nil"/>
            </w:tcBorders>
            <w:vAlign w:val="center"/>
          </w:tcPr>
          <w:p w14:paraId="2B271DC6"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17540142" w14:textId="77777777" w:rsidTr="004D6C40">
        <w:trPr>
          <w:trHeight w:val="20"/>
          <w:jc w:val="center"/>
        </w:trPr>
        <w:tc>
          <w:tcPr>
            <w:tcW w:w="1791" w:type="pct"/>
            <w:tcBorders>
              <w:top w:val="nil"/>
              <w:bottom w:val="nil"/>
            </w:tcBorders>
            <w:vAlign w:val="center"/>
          </w:tcPr>
          <w:p w14:paraId="2C2F079F"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TWI</w:t>
            </w:r>
          </w:p>
        </w:tc>
        <w:tc>
          <w:tcPr>
            <w:tcW w:w="1963" w:type="pct"/>
            <w:tcBorders>
              <w:top w:val="nil"/>
              <w:bottom w:val="nil"/>
            </w:tcBorders>
            <w:vAlign w:val="center"/>
          </w:tcPr>
          <w:p w14:paraId="234434DB"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-0.144**</w:t>
            </w:r>
          </w:p>
        </w:tc>
        <w:tc>
          <w:tcPr>
            <w:tcW w:w="1245" w:type="pct"/>
            <w:tcBorders>
              <w:top w:val="nil"/>
              <w:bottom w:val="nil"/>
            </w:tcBorders>
            <w:vAlign w:val="center"/>
          </w:tcPr>
          <w:p w14:paraId="0AAC8416"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216E2790" w14:textId="77777777" w:rsidTr="004D6C40">
        <w:trPr>
          <w:trHeight w:val="20"/>
          <w:jc w:val="center"/>
        </w:trPr>
        <w:tc>
          <w:tcPr>
            <w:tcW w:w="1791" w:type="pct"/>
            <w:tcBorders>
              <w:top w:val="nil"/>
              <w:bottom w:val="nil"/>
            </w:tcBorders>
            <w:vAlign w:val="center"/>
          </w:tcPr>
          <w:p w14:paraId="0CC0FC79"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Slope</w:t>
            </w:r>
          </w:p>
        </w:tc>
        <w:tc>
          <w:tcPr>
            <w:tcW w:w="1963" w:type="pct"/>
            <w:tcBorders>
              <w:top w:val="nil"/>
              <w:bottom w:val="nil"/>
            </w:tcBorders>
            <w:vAlign w:val="center"/>
          </w:tcPr>
          <w:p w14:paraId="62A269F9"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0.214**</w:t>
            </w:r>
          </w:p>
        </w:tc>
        <w:tc>
          <w:tcPr>
            <w:tcW w:w="1245" w:type="pct"/>
            <w:tcBorders>
              <w:top w:val="nil"/>
              <w:bottom w:val="nil"/>
            </w:tcBorders>
            <w:vAlign w:val="center"/>
          </w:tcPr>
          <w:p w14:paraId="0BC86242"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1EC14DB2" w14:textId="77777777" w:rsidTr="004D6C40">
        <w:trPr>
          <w:trHeight w:val="20"/>
          <w:jc w:val="center"/>
        </w:trPr>
        <w:tc>
          <w:tcPr>
            <w:tcW w:w="1791" w:type="pct"/>
            <w:tcBorders>
              <w:top w:val="nil"/>
              <w:bottom w:val="nil"/>
            </w:tcBorders>
            <w:vAlign w:val="center"/>
          </w:tcPr>
          <w:p w14:paraId="19F091E3"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Dem</w:t>
            </w:r>
          </w:p>
        </w:tc>
        <w:tc>
          <w:tcPr>
            <w:tcW w:w="1963" w:type="pct"/>
            <w:tcBorders>
              <w:top w:val="nil"/>
              <w:bottom w:val="nil"/>
            </w:tcBorders>
            <w:vAlign w:val="center"/>
          </w:tcPr>
          <w:p w14:paraId="3D196B63"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0.395**</w:t>
            </w:r>
          </w:p>
        </w:tc>
        <w:tc>
          <w:tcPr>
            <w:tcW w:w="1245" w:type="pct"/>
            <w:tcBorders>
              <w:top w:val="nil"/>
              <w:bottom w:val="nil"/>
            </w:tcBorders>
            <w:vAlign w:val="center"/>
          </w:tcPr>
          <w:p w14:paraId="1339781B"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1B8220F0" w14:textId="77777777" w:rsidTr="004D6C40">
        <w:trPr>
          <w:trHeight w:val="20"/>
          <w:jc w:val="center"/>
        </w:trPr>
        <w:tc>
          <w:tcPr>
            <w:tcW w:w="1791" w:type="pct"/>
            <w:tcBorders>
              <w:top w:val="nil"/>
              <w:bottom w:val="nil"/>
            </w:tcBorders>
            <w:vAlign w:val="center"/>
          </w:tcPr>
          <w:p w14:paraId="78CE6DBE" w14:textId="77777777" w:rsidR="005129E4" w:rsidRDefault="00565856">
            <w:pPr>
              <w:spacing w:after="0" w:line="240" w:lineRule="auto"/>
              <w:rPr>
                <w:rFonts w:ascii="Times New Roman" w:hAnsi="Times New Roman" w:cs="Times New Roman"/>
                <w:sz w:val="21"/>
                <w:szCs w:val="21"/>
              </w:rPr>
            </w:pPr>
            <w:r>
              <w:rPr>
                <w:rFonts w:ascii="Times New Roman" w:eastAsia="宋体" w:hAnsi="Times New Roman" w:cs="Times New Roman"/>
                <w:color w:val="000000" w:themeColor="text1"/>
                <w:sz w:val="21"/>
                <w:szCs w:val="21"/>
              </w:rPr>
              <w:t>Aspect</w:t>
            </w:r>
          </w:p>
        </w:tc>
        <w:tc>
          <w:tcPr>
            <w:tcW w:w="1963" w:type="pct"/>
            <w:tcBorders>
              <w:top w:val="nil"/>
              <w:bottom w:val="nil"/>
            </w:tcBorders>
            <w:vAlign w:val="center"/>
          </w:tcPr>
          <w:p w14:paraId="22550830"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0.013</w:t>
            </w:r>
          </w:p>
        </w:tc>
        <w:tc>
          <w:tcPr>
            <w:tcW w:w="1245" w:type="pct"/>
            <w:tcBorders>
              <w:top w:val="nil"/>
              <w:bottom w:val="nil"/>
            </w:tcBorders>
            <w:vAlign w:val="center"/>
          </w:tcPr>
          <w:p w14:paraId="3327DE26"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0.580</w:t>
            </w:r>
          </w:p>
        </w:tc>
      </w:tr>
      <w:tr w:rsidR="005129E4" w14:paraId="309C9E1F" w14:textId="77777777" w:rsidTr="004D6C40">
        <w:trPr>
          <w:trHeight w:val="20"/>
          <w:jc w:val="center"/>
        </w:trPr>
        <w:tc>
          <w:tcPr>
            <w:tcW w:w="1791" w:type="pct"/>
            <w:tcBorders>
              <w:top w:val="nil"/>
              <w:bottom w:val="nil"/>
            </w:tcBorders>
            <w:vAlign w:val="center"/>
          </w:tcPr>
          <w:p w14:paraId="6A365573"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Fertilization</w:t>
            </w:r>
          </w:p>
        </w:tc>
        <w:tc>
          <w:tcPr>
            <w:tcW w:w="1963" w:type="pct"/>
            <w:tcBorders>
              <w:top w:val="nil"/>
              <w:bottom w:val="nil"/>
            </w:tcBorders>
            <w:vAlign w:val="center"/>
          </w:tcPr>
          <w:p w14:paraId="41791ACF"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-0.114**</w:t>
            </w:r>
          </w:p>
        </w:tc>
        <w:tc>
          <w:tcPr>
            <w:tcW w:w="1245" w:type="pct"/>
            <w:tcBorders>
              <w:top w:val="nil"/>
              <w:bottom w:val="nil"/>
            </w:tcBorders>
            <w:vAlign w:val="center"/>
          </w:tcPr>
          <w:p w14:paraId="5E063E9B"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19400848" w14:textId="77777777" w:rsidTr="004D6C40">
        <w:trPr>
          <w:trHeight w:val="20"/>
          <w:jc w:val="center"/>
        </w:trPr>
        <w:tc>
          <w:tcPr>
            <w:tcW w:w="1791" w:type="pct"/>
            <w:tcBorders>
              <w:top w:val="nil"/>
              <w:bottom w:val="nil"/>
            </w:tcBorders>
            <w:vAlign w:val="center"/>
          </w:tcPr>
          <w:p w14:paraId="036ACEA0"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Nighttime brightness</w:t>
            </w:r>
          </w:p>
        </w:tc>
        <w:tc>
          <w:tcPr>
            <w:tcW w:w="1963" w:type="pct"/>
            <w:tcBorders>
              <w:top w:val="nil"/>
              <w:bottom w:val="nil"/>
            </w:tcBorders>
            <w:vAlign w:val="center"/>
          </w:tcPr>
          <w:p w14:paraId="33858EEA"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-0.071**</w:t>
            </w:r>
          </w:p>
        </w:tc>
        <w:tc>
          <w:tcPr>
            <w:tcW w:w="1245" w:type="pct"/>
            <w:tcBorders>
              <w:top w:val="nil"/>
              <w:bottom w:val="nil"/>
            </w:tcBorders>
            <w:vAlign w:val="center"/>
          </w:tcPr>
          <w:p w14:paraId="25C88917"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0.002</w:t>
            </w:r>
          </w:p>
        </w:tc>
      </w:tr>
      <w:tr w:rsidR="005129E4" w14:paraId="5F09599B" w14:textId="77777777" w:rsidTr="004D6C40">
        <w:trPr>
          <w:trHeight w:val="20"/>
          <w:jc w:val="center"/>
        </w:trPr>
        <w:tc>
          <w:tcPr>
            <w:tcW w:w="1791" w:type="pct"/>
            <w:tcBorders>
              <w:top w:val="nil"/>
              <w:bottom w:val="nil"/>
            </w:tcBorders>
            <w:vAlign w:val="center"/>
          </w:tcPr>
          <w:p w14:paraId="488A6C3A"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Meat production</w:t>
            </w:r>
          </w:p>
        </w:tc>
        <w:tc>
          <w:tcPr>
            <w:tcW w:w="1963" w:type="pct"/>
            <w:tcBorders>
              <w:top w:val="nil"/>
              <w:bottom w:val="nil"/>
            </w:tcBorders>
            <w:vAlign w:val="center"/>
          </w:tcPr>
          <w:p w14:paraId="0166BE26"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-0.209**</w:t>
            </w:r>
          </w:p>
        </w:tc>
        <w:tc>
          <w:tcPr>
            <w:tcW w:w="1245" w:type="pct"/>
            <w:tcBorders>
              <w:top w:val="nil"/>
              <w:bottom w:val="nil"/>
            </w:tcBorders>
            <w:vAlign w:val="center"/>
          </w:tcPr>
          <w:p w14:paraId="5D995972"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0BA6E1F4" w14:textId="77777777" w:rsidTr="004D6C40">
        <w:trPr>
          <w:trHeight w:val="20"/>
          <w:jc w:val="center"/>
        </w:trPr>
        <w:tc>
          <w:tcPr>
            <w:tcW w:w="1791" w:type="pct"/>
            <w:tcBorders>
              <w:top w:val="nil"/>
              <w:bottom w:val="nil"/>
            </w:tcBorders>
            <w:vAlign w:val="center"/>
          </w:tcPr>
          <w:p w14:paraId="04BF89E5"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Land use</w:t>
            </w:r>
          </w:p>
        </w:tc>
        <w:tc>
          <w:tcPr>
            <w:tcW w:w="1963" w:type="pct"/>
            <w:tcBorders>
              <w:top w:val="nil"/>
              <w:bottom w:val="nil"/>
            </w:tcBorders>
            <w:vAlign w:val="center"/>
          </w:tcPr>
          <w:p w14:paraId="4319CFF6"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0.155**</w:t>
            </w:r>
          </w:p>
        </w:tc>
        <w:tc>
          <w:tcPr>
            <w:tcW w:w="1245" w:type="pct"/>
            <w:tcBorders>
              <w:top w:val="nil"/>
              <w:bottom w:val="nil"/>
            </w:tcBorders>
            <w:vAlign w:val="center"/>
          </w:tcPr>
          <w:p w14:paraId="504BEBEE"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19D8B6EC" w14:textId="77777777" w:rsidTr="004D6C40">
        <w:trPr>
          <w:trHeight w:val="20"/>
          <w:jc w:val="center"/>
        </w:trPr>
        <w:tc>
          <w:tcPr>
            <w:tcW w:w="1791" w:type="pct"/>
            <w:tcBorders>
              <w:top w:val="nil"/>
              <w:bottom w:val="nil"/>
            </w:tcBorders>
            <w:vAlign w:val="center"/>
          </w:tcPr>
          <w:p w14:paraId="1C3714FA"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Population density</w:t>
            </w:r>
          </w:p>
        </w:tc>
        <w:tc>
          <w:tcPr>
            <w:tcW w:w="1963" w:type="pct"/>
            <w:tcBorders>
              <w:top w:val="nil"/>
              <w:bottom w:val="nil"/>
            </w:tcBorders>
            <w:vAlign w:val="center"/>
          </w:tcPr>
          <w:p w14:paraId="082C6B4D"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-0.041*</w:t>
            </w:r>
          </w:p>
        </w:tc>
        <w:tc>
          <w:tcPr>
            <w:tcW w:w="1245" w:type="pct"/>
            <w:tcBorders>
              <w:top w:val="nil"/>
              <w:bottom w:val="nil"/>
            </w:tcBorders>
            <w:vAlign w:val="center"/>
          </w:tcPr>
          <w:p w14:paraId="2B1D3075"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0.048</w:t>
            </w:r>
          </w:p>
        </w:tc>
      </w:tr>
      <w:tr w:rsidR="005129E4" w14:paraId="3405877D" w14:textId="77777777" w:rsidTr="004D6C40">
        <w:trPr>
          <w:trHeight w:val="20"/>
          <w:jc w:val="center"/>
        </w:trPr>
        <w:tc>
          <w:tcPr>
            <w:tcW w:w="1791" w:type="pct"/>
            <w:tcBorders>
              <w:top w:val="nil"/>
              <w:bottom w:val="nil"/>
            </w:tcBorders>
            <w:vAlign w:val="center"/>
          </w:tcPr>
          <w:p w14:paraId="29EE3AFA"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TN</w:t>
            </w:r>
            <w:r>
              <w:rPr>
                <w:rFonts w:ascii="Times New Roman" w:hAnsi="Times New Roman" w:cs="Times New Roman" w:hint="eastAsia"/>
                <w:color w:val="000000" w:themeColor="text1"/>
                <w:sz w:val="21"/>
                <w:szCs w:val="21"/>
                <w:vertAlign w:val="superscript"/>
              </w:rPr>
              <w:t>a</w:t>
            </w:r>
          </w:p>
        </w:tc>
        <w:tc>
          <w:tcPr>
            <w:tcW w:w="1963" w:type="pct"/>
            <w:tcBorders>
              <w:top w:val="nil"/>
              <w:bottom w:val="nil"/>
            </w:tcBorders>
            <w:vAlign w:val="center"/>
          </w:tcPr>
          <w:p w14:paraId="335947FC"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0.444**</w:t>
            </w:r>
          </w:p>
        </w:tc>
        <w:tc>
          <w:tcPr>
            <w:tcW w:w="1245" w:type="pct"/>
            <w:tcBorders>
              <w:top w:val="nil"/>
              <w:bottom w:val="nil"/>
            </w:tcBorders>
            <w:vAlign w:val="center"/>
          </w:tcPr>
          <w:p w14:paraId="032B6D1C"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5319C032" w14:textId="77777777" w:rsidTr="004D6C40">
        <w:trPr>
          <w:trHeight w:val="20"/>
          <w:jc w:val="center"/>
        </w:trPr>
        <w:tc>
          <w:tcPr>
            <w:tcW w:w="1791" w:type="pct"/>
            <w:tcBorders>
              <w:top w:val="nil"/>
              <w:bottom w:val="nil"/>
            </w:tcBorders>
            <w:vAlign w:val="center"/>
          </w:tcPr>
          <w:p w14:paraId="532BA8B8"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hAnsi="Times New Roman" w:cs="Times New Roman"/>
                <w:sz w:val="21"/>
                <w:szCs w:val="21"/>
              </w:rPr>
              <w:t>NEP</w:t>
            </w:r>
          </w:p>
        </w:tc>
        <w:tc>
          <w:tcPr>
            <w:tcW w:w="1963" w:type="pct"/>
            <w:tcBorders>
              <w:top w:val="nil"/>
              <w:bottom w:val="nil"/>
            </w:tcBorders>
            <w:vAlign w:val="center"/>
          </w:tcPr>
          <w:p w14:paraId="4CF4714F" w14:textId="77777777" w:rsidR="005129E4" w:rsidRDefault="00565856">
            <w:pPr>
              <w:spacing w:after="0" w:line="240" w:lineRule="auto"/>
              <w:rPr>
                <w:rFonts w:ascii="Times New Roman" w:hAnsi="Times New Roman" w:cs="Times New Roman"/>
                <w:sz w:val="21"/>
                <w:szCs w:val="21"/>
              </w:rPr>
            </w:pPr>
            <w:r>
              <w:rPr>
                <w:rFonts w:ascii="Times New Roman" w:hAnsi="Times New Roman" w:cs="Times New Roman"/>
                <w:sz w:val="21"/>
                <w:szCs w:val="21"/>
              </w:rPr>
              <w:t>0.096**</w:t>
            </w:r>
          </w:p>
        </w:tc>
        <w:tc>
          <w:tcPr>
            <w:tcW w:w="1245" w:type="pct"/>
            <w:tcBorders>
              <w:top w:val="nil"/>
              <w:bottom w:val="nil"/>
            </w:tcBorders>
            <w:vAlign w:val="center"/>
          </w:tcPr>
          <w:p w14:paraId="58ABD511"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0.000</w:t>
            </w:r>
          </w:p>
        </w:tc>
      </w:tr>
      <w:tr w:rsidR="005129E4" w14:paraId="3EC5D676" w14:textId="77777777" w:rsidTr="004D6C40">
        <w:trPr>
          <w:trHeight w:val="20"/>
          <w:jc w:val="center"/>
        </w:trPr>
        <w:tc>
          <w:tcPr>
            <w:tcW w:w="1791" w:type="pct"/>
            <w:tcBorders>
              <w:top w:val="nil"/>
              <w:bottom w:val="single" w:sz="4" w:space="0" w:color="auto"/>
            </w:tcBorders>
            <w:vAlign w:val="center"/>
          </w:tcPr>
          <w:p w14:paraId="1DEF21E5" w14:textId="77777777" w:rsidR="005129E4" w:rsidRDefault="00565856">
            <w:pPr>
              <w:spacing w:after="0" w:line="240" w:lineRule="auto"/>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NDVI_max</w:t>
            </w:r>
          </w:p>
        </w:tc>
        <w:tc>
          <w:tcPr>
            <w:tcW w:w="1963" w:type="pct"/>
            <w:tcBorders>
              <w:top w:val="nil"/>
              <w:bottom w:val="single" w:sz="4" w:space="0" w:color="auto"/>
            </w:tcBorders>
            <w:vAlign w:val="center"/>
          </w:tcPr>
          <w:p w14:paraId="79F41EF6"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0.070</w:t>
            </w:r>
            <w:r>
              <w:rPr>
                <w:rFonts w:ascii="Times New Roman" w:hAnsi="Times New Roman" w:cs="Times New Roman"/>
                <w:sz w:val="21"/>
                <w:szCs w:val="21"/>
              </w:rPr>
              <w:t>**</w:t>
            </w:r>
          </w:p>
        </w:tc>
        <w:tc>
          <w:tcPr>
            <w:tcW w:w="1245" w:type="pct"/>
            <w:tcBorders>
              <w:top w:val="nil"/>
              <w:bottom w:val="single" w:sz="4" w:space="0" w:color="auto"/>
            </w:tcBorders>
            <w:vAlign w:val="center"/>
          </w:tcPr>
          <w:p w14:paraId="2554BC3A" w14:textId="77777777" w:rsidR="005129E4" w:rsidRDefault="00565856">
            <w:pPr>
              <w:spacing w:after="0" w:line="240" w:lineRule="auto"/>
              <w:rPr>
                <w:rFonts w:ascii="Times New Roman" w:eastAsia="等线" w:hAnsi="Times New Roman" w:cs="Times New Roman"/>
                <w:color w:val="000000"/>
                <w:sz w:val="21"/>
                <w:szCs w:val="21"/>
              </w:rPr>
            </w:pPr>
            <w:r>
              <w:rPr>
                <w:rFonts w:ascii="Times New Roman" w:eastAsia="等线" w:hAnsi="Times New Roman" w:cs="Times New Roman"/>
                <w:color w:val="000000"/>
                <w:sz w:val="21"/>
                <w:szCs w:val="21"/>
              </w:rPr>
              <w:t>0.002</w:t>
            </w:r>
          </w:p>
        </w:tc>
      </w:tr>
    </w:tbl>
    <w:p w14:paraId="46C13B18" w14:textId="77777777" w:rsidR="005129E4" w:rsidRDefault="00565856">
      <w:pPr>
        <w:spacing w:after="0"/>
        <w:rPr>
          <w:rFonts w:ascii="Times New Roman" w:eastAsia="宋体" w:hAnsi="Times New Roman" w:cs="Times New Roman"/>
        </w:rPr>
      </w:pPr>
      <w:r>
        <w:rPr>
          <w:rFonts w:ascii="Times New Roman" w:hAnsi="Times New Roman" w:cs="Times New Roman" w:hint="eastAsia"/>
          <w:color w:val="000000" w:themeColor="text1"/>
          <w:sz w:val="21"/>
          <w:szCs w:val="21"/>
          <w:vertAlign w:val="superscript"/>
        </w:rPr>
        <w:t>a</w:t>
      </w:r>
      <w:r>
        <w:rPr>
          <w:rFonts w:ascii="Times New Roman" w:hAnsi="Times New Roman" w:cs="Times New Roman" w:hint="eastAsia"/>
          <w:color w:val="000000" w:themeColor="text1"/>
          <w:sz w:val="21"/>
          <w:szCs w:val="21"/>
        </w:rPr>
        <w:t>Abbreviations:TN</w:t>
      </w:r>
      <w:r>
        <w:rPr>
          <w:rFonts w:ascii="Times New Roman" w:hAnsi="Times New Roman" w:cs="Times New Roman"/>
          <w:color w:val="000000" w:themeColor="text1"/>
          <w:sz w:val="21"/>
          <w:szCs w:val="21"/>
        </w:rPr>
        <w:t xml:space="preserve"> </w:t>
      </w:r>
      <w:r>
        <w:rPr>
          <w:rFonts w:ascii="Times New Roman" w:hAnsi="Times New Roman" w:cs="Times New Roman" w:hint="eastAsia"/>
          <w:color w:val="000000" w:themeColor="text1"/>
          <w:sz w:val="21"/>
          <w:szCs w:val="21"/>
        </w:rPr>
        <w:t>,</w:t>
      </w:r>
      <w:r>
        <w:rPr>
          <w:rFonts w:ascii="Times New Roman" w:hAnsi="Times New Roman" w:cs="Times New Roman"/>
          <w:color w:val="000000" w:themeColor="text1"/>
          <w:sz w:val="21"/>
          <w:szCs w:val="21"/>
        </w:rPr>
        <w:t xml:space="preserve"> total soil nitrogen content</w:t>
      </w:r>
      <w:r>
        <w:rPr>
          <w:rFonts w:ascii="Times New Roman" w:hAnsi="Times New Roman" w:cs="Times New Roman" w:hint="eastAsia"/>
          <w:color w:val="000000" w:themeColor="text1"/>
          <w:sz w:val="21"/>
          <w:szCs w:val="21"/>
        </w:rPr>
        <w:t xml:space="preserve"> ; Dem</w:t>
      </w:r>
      <w:r>
        <w:rPr>
          <w:rFonts w:ascii="Times New Roman" w:hAnsi="Times New Roman" w:cs="Times New Roman"/>
          <w:color w:val="000000" w:themeColor="text1"/>
          <w:sz w:val="21"/>
          <w:szCs w:val="21"/>
        </w:rPr>
        <w:t xml:space="preserve"> </w:t>
      </w:r>
      <w:r>
        <w:rPr>
          <w:rFonts w:ascii="Times New Roman" w:hAnsi="Times New Roman" w:cs="Times New Roman" w:hint="eastAsia"/>
          <w:color w:val="000000" w:themeColor="text1"/>
          <w:sz w:val="21"/>
          <w:szCs w:val="21"/>
        </w:rPr>
        <w:t>,</w:t>
      </w:r>
      <w:r>
        <w:rPr>
          <w:rFonts w:ascii="Times New Roman" w:hAnsi="Times New Roman" w:cs="Times New Roman"/>
          <w:color w:val="000000" w:themeColor="text1"/>
          <w:sz w:val="21"/>
          <w:szCs w:val="21"/>
        </w:rPr>
        <w:t xml:space="preserve"> elevation</w:t>
      </w:r>
      <w:r>
        <w:rPr>
          <w:rFonts w:ascii="Times New Roman" w:hAnsi="Times New Roman" w:cs="Times New Roman" w:hint="eastAsia"/>
          <w:color w:val="000000" w:themeColor="text1"/>
          <w:sz w:val="21"/>
          <w:szCs w:val="21"/>
        </w:rPr>
        <w:t>;</w:t>
      </w:r>
      <w:r>
        <w:rPr>
          <w:rFonts w:ascii="Times New Roman" w:hAnsi="Times New Roman" w:cs="Times New Roman"/>
          <w:color w:val="000000" w:themeColor="text1"/>
          <w:sz w:val="21"/>
          <w:szCs w:val="21"/>
        </w:rPr>
        <w:t xml:space="preserve"> TWI </w:t>
      </w:r>
      <w:r>
        <w:rPr>
          <w:rFonts w:ascii="Times New Roman" w:hAnsi="Times New Roman" w:cs="Times New Roman" w:hint="eastAsia"/>
          <w:color w:val="000000" w:themeColor="text1"/>
          <w:sz w:val="21"/>
          <w:szCs w:val="21"/>
        </w:rPr>
        <w:t>,</w:t>
      </w:r>
      <w:r>
        <w:rPr>
          <w:rFonts w:ascii="Times New Roman" w:hAnsi="Times New Roman" w:cs="Times New Roman"/>
          <w:color w:val="000000" w:themeColor="text1"/>
          <w:sz w:val="21"/>
          <w:szCs w:val="21"/>
        </w:rPr>
        <w:t xml:space="preserve"> topographic wetness index; </w:t>
      </w:r>
      <w:r>
        <w:rPr>
          <w:rFonts w:ascii="Times New Roman" w:hAnsi="Times New Roman" w:cs="Times New Roman" w:hint="eastAsia"/>
          <w:color w:val="000000" w:themeColor="text1"/>
          <w:sz w:val="21"/>
          <w:szCs w:val="21"/>
        </w:rPr>
        <w:t xml:space="preserve">NEP , </w:t>
      </w:r>
      <w:r>
        <w:rPr>
          <w:rFonts w:ascii="Times New Roman" w:hAnsi="Times New Roman" w:cs="Times New Roman"/>
          <w:color w:val="000000" w:themeColor="text1"/>
          <w:sz w:val="21"/>
          <w:szCs w:val="21"/>
        </w:rPr>
        <w:t>net ecosystem productivity</w:t>
      </w:r>
      <w:r>
        <w:rPr>
          <w:rFonts w:ascii="Times New Roman" w:hAnsi="Times New Roman" w:cs="Times New Roman" w:hint="eastAsia"/>
          <w:color w:val="000000" w:themeColor="text1"/>
          <w:sz w:val="21"/>
          <w:szCs w:val="21"/>
        </w:rPr>
        <w:t xml:space="preserve">; </w:t>
      </w:r>
      <w:r>
        <w:rPr>
          <w:rFonts w:ascii="Times New Roman" w:eastAsia="宋体" w:hAnsi="Times New Roman" w:cs="Times New Roman"/>
          <w:color w:val="000000" w:themeColor="text1"/>
          <w:sz w:val="21"/>
          <w:szCs w:val="21"/>
        </w:rPr>
        <w:t>NDVI_max</w:t>
      </w:r>
      <w:r>
        <w:rPr>
          <w:rFonts w:ascii="Times New Roman" w:eastAsia="宋体" w:hAnsi="Times New Roman" w:cs="Times New Roman" w:hint="eastAsia"/>
          <w:color w:val="000000" w:themeColor="text1"/>
          <w:sz w:val="21"/>
          <w:szCs w:val="21"/>
        </w:rPr>
        <w:t>,annual maximum normalized difference vegetation. index</w:t>
      </w:r>
    </w:p>
    <w:p w14:paraId="7E04D378" w14:textId="514F8B28" w:rsidR="005129E4" w:rsidRDefault="00565856">
      <w:pPr>
        <w:keepNext/>
        <w:keepLines/>
        <w:spacing w:after="0" w:line="240" w:lineRule="auto"/>
        <w:jc w:val="both"/>
        <w:rPr>
          <w:rFonts w:ascii="Times New Roman" w:hAnsi="Times New Roman" w:cs="Times New Roman"/>
        </w:rPr>
      </w:pPr>
      <w:r>
        <w:rPr>
          <w:rFonts w:ascii="Times New Roman" w:hAnsi="Times New Roman" w:cs="Times New Roman"/>
          <w:b/>
          <w:bCs/>
        </w:rPr>
        <w:t>TableS</w:t>
      </w:r>
      <w:r>
        <w:rPr>
          <w:rFonts w:ascii="Times New Roman" w:hAnsi="Times New Roman" w:cs="Times New Roman" w:hint="eastAsia"/>
          <w:b/>
          <w:bCs/>
        </w:rPr>
        <w:t>3</w:t>
      </w:r>
      <w:r>
        <w:rPr>
          <w:rFonts w:ascii="Times New Roman" w:hAnsi="Times New Roman" w:cs="Times New Roman"/>
        </w:rPr>
        <w:t xml:space="preserve"> </w:t>
      </w:r>
      <w:r>
        <w:rPr>
          <w:rFonts w:ascii="Times New Roman" w:hAnsi="Times New Roman" w:cs="Times New Roman" w:hint="eastAsia"/>
        </w:rPr>
        <w:t xml:space="preserve"> </w:t>
      </w:r>
      <w:r>
        <w:rPr>
          <w:rFonts w:ascii="Times New Roman" w:hAnsi="Times New Roman" w:cs="Times New Roman"/>
        </w:rPr>
        <w:t>Prediction Performance of Soil Organic Carbon (SOC) Stock Models for Topsoil (0–20 cm) in the Yangtze River Basin in Testing Sets</w:t>
      </w:r>
    </w:p>
    <w:tbl>
      <w:tblPr>
        <w:tblStyle w:val="a7"/>
        <w:tblW w:w="8732" w:type="dxa"/>
        <w:tblBorders>
          <w:top w:val="single" w:sz="18" w:space="0" w:color="auto"/>
          <w:left w:val="none" w:sz="0" w:space="0" w:color="auto"/>
          <w:bottom w:val="single" w:sz="18" w:space="0" w:color="auto"/>
          <w:right w:val="none" w:sz="0" w:space="0" w:color="auto"/>
          <w:insideH w:val="single" w:sz="8" w:space="0" w:color="auto"/>
          <w:insideV w:val="none" w:sz="0" w:space="0" w:color="auto"/>
        </w:tblBorders>
        <w:tblLayout w:type="fixed"/>
        <w:tblLook w:val="04A0" w:firstRow="1" w:lastRow="0" w:firstColumn="1" w:lastColumn="0" w:noHBand="0" w:noVBand="1"/>
      </w:tblPr>
      <w:tblGrid>
        <w:gridCol w:w="2977"/>
        <w:gridCol w:w="2552"/>
        <w:gridCol w:w="3203"/>
      </w:tblGrid>
      <w:tr w:rsidR="005129E4" w14:paraId="58DFA801" w14:textId="77777777">
        <w:trPr>
          <w:cantSplit/>
          <w:trHeight w:val="397"/>
        </w:trPr>
        <w:tc>
          <w:tcPr>
            <w:tcW w:w="2977" w:type="dxa"/>
            <w:tcBorders>
              <w:top w:val="single" w:sz="4" w:space="0" w:color="auto"/>
              <w:bottom w:val="single" w:sz="4" w:space="0" w:color="auto"/>
            </w:tcBorders>
            <w:vAlign w:val="center"/>
          </w:tcPr>
          <w:p w14:paraId="1A3194F0" w14:textId="77777777" w:rsidR="005129E4" w:rsidRDefault="00565856">
            <w:pPr>
              <w:spacing w:after="0" w:line="240" w:lineRule="auto"/>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Model</w:t>
            </w:r>
            <w:r>
              <w:rPr>
                <w:rFonts w:ascii="Times New Roman" w:eastAsia="宋体" w:hAnsi="Times New Roman" w:cs="Times New Roman" w:hint="eastAsia"/>
                <w:color w:val="000000" w:themeColor="text1"/>
                <w:sz w:val="21"/>
                <w:szCs w:val="21"/>
                <w:vertAlign w:val="superscript"/>
              </w:rPr>
              <w:t>a</w:t>
            </w:r>
          </w:p>
        </w:tc>
        <w:tc>
          <w:tcPr>
            <w:tcW w:w="2552" w:type="dxa"/>
            <w:tcBorders>
              <w:top w:val="single" w:sz="4" w:space="0" w:color="auto"/>
              <w:bottom w:val="single" w:sz="4" w:space="0" w:color="auto"/>
            </w:tcBorders>
            <w:vAlign w:val="center"/>
          </w:tcPr>
          <w:p w14:paraId="7B2B75DA" w14:textId="77777777" w:rsidR="005129E4" w:rsidRDefault="00565856">
            <w:pPr>
              <w:spacing w:after="0" w:line="240" w:lineRule="auto"/>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i/>
                <w:iCs/>
                <w:color w:val="000000" w:themeColor="text1"/>
                <w:sz w:val="21"/>
                <w:szCs w:val="21"/>
              </w:rPr>
              <w:t>R</w:t>
            </w:r>
            <w:r>
              <w:rPr>
                <w:rFonts w:ascii="Times New Roman" w:eastAsia="宋体" w:hAnsi="Times New Roman" w:cs="Times New Roman" w:hint="eastAsia"/>
                <w:color w:val="000000" w:themeColor="text1"/>
                <w:sz w:val="21"/>
                <w:szCs w:val="21"/>
                <w:vertAlign w:val="superscript"/>
              </w:rPr>
              <w:t>2</w:t>
            </w:r>
          </w:p>
        </w:tc>
        <w:tc>
          <w:tcPr>
            <w:tcW w:w="3203" w:type="dxa"/>
            <w:tcBorders>
              <w:top w:val="single" w:sz="4" w:space="0" w:color="auto"/>
              <w:bottom w:val="single" w:sz="4" w:space="0" w:color="auto"/>
            </w:tcBorders>
            <w:vAlign w:val="center"/>
          </w:tcPr>
          <w:p w14:paraId="4D553504" w14:textId="77777777" w:rsidR="005129E4" w:rsidRDefault="00565856">
            <w:pPr>
              <w:spacing w:after="0" w:line="240" w:lineRule="auto"/>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RMSE</w:t>
            </w:r>
          </w:p>
        </w:tc>
      </w:tr>
      <w:tr w:rsidR="005129E4" w14:paraId="2856B46A" w14:textId="77777777">
        <w:trPr>
          <w:cantSplit/>
          <w:trHeight w:val="20"/>
        </w:trPr>
        <w:tc>
          <w:tcPr>
            <w:tcW w:w="2977" w:type="dxa"/>
            <w:tcBorders>
              <w:top w:val="single" w:sz="4" w:space="0" w:color="auto"/>
              <w:bottom w:val="nil"/>
            </w:tcBorders>
            <w:vAlign w:val="center"/>
          </w:tcPr>
          <w:p w14:paraId="173D0821" w14:textId="77777777" w:rsidR="005129E4" w:rsidRDefault="00565856">
            <w:pPr>
              <w:spacing w:after="0" w:line="240" w:lineRule="auto"/>
              <w:jc w:val="center"/>
              <w:rPr>
                <w:rFonts w:ascii="Times New Roman" w:eastAsia="宋体" w:hAnsi="Times New Roman" w:cs="Times New Roman"/>
                <w:color w:val="000000" w:themeColor="text1"/>
                <w:sz w:val="21"/>
                <w:szCs w:val="21"/>
              </w:rPr>
            </w:pPr>
            <w:r>
              <w:rPr>
                <w:rFonts w:ascii="Times New Roman" w:hAnsi="Times New Roman" w:cs="Times New Roman" w:hint="eastAsia"/>
                <w:sz w:val="21"/>
                <w:szCs w:val="21"/>
              </w:rPr>
              <w:t>RF</w:t>
            </w:r>
          </w:p>
        </w:tc>
        <w:tc>
          <w:tcPr>
            <w:tcW w:w="2552" w:type="dxa"/>
            <w:tcBorders>
              <w:top w:val="single" w:sz="4" w:space="0" w:color="auto"/>
              <w:bottom w:val="nil"/>
            </w:tcBorders>
            <w:vAlign w:val="center"/>
          </w:tcPr>
          <w:p w14:paraId="1B6DA4B2" w14:textId="77777777" w:rsidR="005129E4" w:rsidRDefault="00565856">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0.703</w:t>
            </w:r>
          </w:p>
        </w:tc>
        <w:tc>
          <w:tcPr>
            <w:tcW w:w="3203" w:type="dxa"/>
            <w:tcBorders>
              <w:top w:val="single" w:sz="4" w:space="0" w:color="auto"/>
              <w:bottom w:val="nil"/>
            </w:tcBorders>
            <w:vAlign w:val="center"/>
          </w:tcPr>
          <w:p w14:paraId="5853F7CF" w14:textId="77777777" w:rsidR="005129E4" w:rsidRDefault="00565856">
            <w:pPr>
              <w:spacing w:after="0" w:line="240" w:lineRule="auto"/>
              <w:jc w:val="center"/>
              <w:rPr>
                <w:rFonts w:ascii="Times New Roman" w:eastAsia="等线" w:hAnsi="Times New Roman" w:cs="Times New Roman"/>
                <w:color w:val="000000"/>
                <w:sz w:val="21"/>
                <w:szCs w:val="21"/>
              </w:rPr>
            </w:pPr>
            <w:r>
              <w:rPr>
                <w:rFonts w:ascii="Times New Roman" w:eastAsia="等线" w:hAnsi="Times New Roman" w:cs="Times New Roman" w:hint="eastAsia"/>
                <w:color w:val="000000"/>
                <w:sz w:val="21"/>
                <w:szCs w:val="21"/>
              </w:rPr>
              <w:t>2.740</w:t>
            </w:r>
          </w:p>
        </w:tc>
      </w:tr>
      <w:tr w:rsidR="005129E4" w14:paraId="3A6A38C0" w14:textId="77777777">
        <w:trPr>
          <w:cantSplit/>
          <w:trHeight w:val="20"/>
        </w:trPr>
        <w:tc>
          <w:tcPr>
            <w:tcW w:w="2977" w:type="dxa"/>
            <w:tcBorders>
              <w:top w:val="nil"/>
              <w:bottom w:val="nil"/>
            </w:tcBorders>
            <w:vAlign w:val="center"/>
          </w:tcPr>
          <w:p w14:paraId="215415C9" w14:textId="77777777" w:rsidR="005129E4" w:rsidRDefault="00565856">
            <w:pPr>
              <w:spacing w:after="0" w:line="240" w:lineRule="auto"/>
              <w:jc w:val="center"/>
              <w:rPr>
                <w:rFonts w:ascii="Times New Roman" w:eastAsia="宋体" w:hAnsi="Times New Roman" w:cs="Times New Roman"/>
                <w:color w:val="000000" w:themeColor="text1"/>
                <w:sz w:val="21"/>
                <w:szCs w:val="21"/>
              </w:rPr>
            </w:pPr>
            <w:r>
              <w:rPr>
                <w:rFonts w:ascii="Times New Roman" w:hAnsi="Times New Roman" w:cs="Times New Roman" w:hint="eastAsia"/>
                <w:sz w:val="21"/>
                <w:szCs w:val="21"/>
              </w:rPr>
              <w:t>GBRT</w:t>
            </w:r>
          </w:p>
        </w:tc>
        <w:tc>
          <w:tcPr>
            <w:tcW w:w="2552" w:type="dxa"/>
            <w:tcBorders>
              <w:top w:val="nil"/>
              <w:bottom w:val="nil"/>
            </w:tcBorders>
            <w:vAlign w:val="center"/>
          </w:tcPr>
          <w:p w14:paraId="31D47A3D" w14:textId="77777777" w:rsidR="005129E4" w:rsidRDefault="00565856">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0.682</w:t>
            </w:r>
          </w:p>
        </w:tc>
        <w:tc>
          <w:tcPr>
            <w:tcW w:w="3203" w:type="dxa"/>
            <w:tcBorders>
              <w:top w:val="nil"/>
              <w:bottom w:val="nil"/>
            </w:tcBorders>
            <w:vAlign w:val="center"/>
          </w:tcPr>
          <w:p w14:paraId="3F62552B" w14:textId="77777777" w:rsidR="005129E4" w:rsidRDefault="00565856">
            <w:pPr>
              <w:spacing w:after="0" w:line="240" w:lineRule="auto"/>
              <w:jc w:val="center"/>
              <w:rPr>
                <w:rFonts w:ascii="Times New Roman" w:eastAsia="等线" w:hAnsi="Times New Roman" w:cs="Times New Roman"/>
                <w:color w:val="000000"/>
                <w:sz w:val="21"/>
                <w:szCs w:val="21"/>
              </w:rPr>
            </w:pPr>
            <w:r>
              <w:rPr>
                <w:rFonts w:ascii="Times New Roman" w:eastAsia="等线" w:hAnsi="Times New Roman" w:cs="Times New Roman" w:hint="eastAsia"/>
                <w:color w:val="000000"/>
                <w:sz w:val="21"/>
                <w:szCs w:val="21"/>
              </w:rPr>
              <w:t>2.860</w:t>
            </w:r>
          </w:p>
        </w:tc>
      </w:tr>
      <w:tr w:rsidR="005129E4" w14:paraId="21B00D8D" w14:textId="77777777">
        <w:trPr>
          <w:cantSplit/>
          <w:trHeight w:val="20"/>
        </w:trPr>
        <w:tc>
          <w:tcPr>
            <w:tcW w:w="2977" w:type="dxa"/>
            <w:tcBorders>
              <w:top w:val="nil"/>
              <w:bottom w:val="nil"/>
            </w:tcBorders>
            <w:vAlign w:val="center"/>
          </w:tcPr>
          <w:p w14:paraId="180FE755" w14:textId="77777777" w:rsidR="005129E4" w:rsidRDefault="00565856">
            <w:pPr>
              <w:spacing w:after="0" w:line="240" w:lineRule="auto"/>
              <w:jc w:val="center"/>
              <w:rPr>
                <w:rFonts w:ascii="Times New Roman" w:eastAsia="宋体" w:hAnsi="Times New Roman" w:cs="Times New Roman"/>
                <w:color w:val="000000" w:themeColor="text1"/>
                <w:sz w:val="21"/>
                <w:szCs w:val="21"/>
              </w:rPr>
            </w:pPr>
            <w:r>
              <w:rPr>
                <w:rFonts w:ascii="Times New Roman" w:hAnsi="Times New Roman" w:cs="Times New Roman" w:hint="eastAsia"/>
                <w:sz w:val="21"/>
                <w:szCs w:val="21"/>
              </w:rPr>
              <w:t>SVM</w:t>
            </w:r>
          </w:p>
        </w:tc>
        <w:tc>
          <w:tcPr>
            <w:tcW w:w="2552" w:type="dxa"/>
            <w:tcBorders>
              <w:top w:val="nil"/>
              <w:bottom w:val="nil"/>
            </w:tcBorders>
            <w:vAlign w:val="center"/>
          </w:tcPr>
          <w:p w14:paraId="352A6998" w14:textId="77777777" w:rsidR="005129E4" w:rsidRDefault="00565856">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0.295</w:t>
            </w:r>
          </w:p>
        </w:tc>
        <w:tc>
          <w:tcPr>
            <w:tcW w:w="3203" w:type="dxa"/>
            <w:tcBorders>
              <w:top w:val="nil"/>
              <w:bottom w:val="nil"/>
            </w:tcBorders>
            <w:vAlign w:val="center"/>
          </w:tcPr>
          <w:p w14:paraId="3721AB29" w14:textId="77777777" w:rsidR="005129E4" w:rsidRDefault="00565856">
            <w:pPr>
              <w:spacing w:after="0" w:line="240" w:lineRule="auto"/>
              <w:jc w:val="center"/>
              <w:rPr>
                <w:rFonts w:ascii="Times New Roman" w:eastAsia="等线" w:hAnsi="Times New Roman" w:cs="Times New Roman"/>
                <w:color w:val="000000"/>
                <w:sz w:val="21"/>
                <w:szCs w:val="21"/>
              </w:rPr>
            </w:pPr>
            <w:r>
              <w:rPr>
                <w:rFonts w:ascii="Times New Roman" w:eastAsia="等线" w:hAnsi="Times New Roman" w:cs="Times New Roman" w:hint="eastAsia"/>
                <w:color w:val="000000"/>
                <w:sz w:val="21"/>
                <w:szCs w:val="21"/>
              </w:rPr>
              <w:t>3.015</w:t>
            </w:r>
          </w:p>
        </w:tc>
      </w:tr>
      <w:tr w:rsidR="005129E4" w14:paraId="1AE0615A" w14:textId="77777777">
        <w:trPr>
          <w:cantSplit/>
          <w:trHeight w:val="20"/>
        </w:trPr>
        <w:tc>
          <w:tcPr>
            <w:tcW w:w="2977" w:type="dxa"/>
            <w:tcBorders>
              <w:top w:val="nil"/>
              <w:bottom w:val="nil"/>
            </w:tcBorders>
            <w:vAlign w:val="center"/>
          </w:tcPr>
          <w:p w14:paraId="7A04A2E6" w14:textId="77777777" w:rsidR="005129E4" w:rsidRDefault="00565856">
            <w:pPr>
              <w:spacing w:after="0" w:line="240" w:lineRule="auto"/>
              <w:jc w:val="center"/>
              <w:rPr>
                <w:rFonts w:ascii="Times New Roman" w:eastAsia="宋体" w:hAnsi="Times New Roman" w:cs="Times New Roman"/>
                <w:color w:val="000000" w:themeColor="text1"/>
                <w:sz w:val="21"/>
                <w:szCs w:val="21"/>
              </w:rPr>
            </w:pPr>
            <w:r>
              <w:rPr>
                <w:rFonts w:ascii="Times New Roman" w:hAnsi="Times New Roman" w:cs="Times New Roman" w:hint="eastAsia"/>
                <w:sz w:val="21"/>
                <w:szCs w:val="21"/>
              </w:rPr>
              <w:lastRenderedPageBreak/>
              <w:t>LSTM</w:t>
            </w:r>
          </w:p>
        </w:tc>
        <w:tc>
          <w:tcPr>
            <w:tcW w:w="2552" w:type="dxa"/>
            <w:tcBorders>
              <w:top w:val="nil"/>
              <w:bottom w:val="nil"/>
            </w:tcBorders>
            <w:vAlign w:val="center"/>
          </w:tcPr>
          <w:p w14:paraId="1EEA591A" w14:textId="77777777" w:rsidR="005129E4" w:rsidRDefault="00565856">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0.386</w:t>
            </w:r>
          </w:p>
        </w:tc>
        <w:tc>
          <w:tcPr>
            <w:tcW w:w="3203" w:type="dxa"/>
            <w:tcBorders>
              <w:top w:val="nil"/>
              <w:bottom w:val="nil"/>
            </w:tcBorders>
            <w:vAlign w:val="center"/>
          </w:tcPr>
          <w:p w14:paraId="1F69048D" w14:textId="77777777" w:rsidR="005129E4" w:rsidRDefault="00565856">
            <w:pPr>
              <w:spacing w:after="0" w:line="240" w:lineRule="auto"/>
              <w:jc w:val="center"/>
              <w:rPr>
                <w:rFonts w:ascii="Times New Roman" w:eastAsia="等线" w:hAnsi="Times New Roman" w:cs="Times New Roman"/>
                <w:color w:val="000000"/>
                <w:sz w:val="21"/>
                <w:szCs w:val="21"/>
              </w:rPr>
            </w:pPr>
            <w:r>
              <w:rPr>
                <w:rFonts w:ascii="Times New Roman" w:eastAsia="等线" w:hAnsi="Times New Roman" w:cs="Times New Roman" w:hint="eastAsia"/>
                <w:color w:val="000000"/>
                <w:sz w:val="21"/>
                <w:szCs w:val="21"/>
              </w:rPr>
              <w:t>2.928</w:t>
            </w:r>
          </w:p>
        </w:tc>
      </w:tr>
      <w:tr w:rsidR="005129E4" w14:paraId="0B447650" w14:textId="77777777">
        <w:trPr>
          <w:cantSplit/>
          <w:trHeight w:val="20"/>
        </w:trPr>
        <w:tc>
          <w:tcPr>
            <w:tcW w:w="2977" w:type="dxa"/>
            <w:tcBorders>
              <w:top w:val="nil"/>
              <w:bottom w:val="nil"/>
            </w:tcBorders>
            <w:vAlign w:val="center"/>
          </w:tcPr>
          <w:p w14:paraId="2D038227" w14:textId="77777777" w:rsidR="005129E4" w:rsidRDefault="00565856">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ETR</w:t>
            </w:r>
          </w:p>
        </w:tc>
        <w:tc>
          <w:tcPr>
            <w:tcW w:w="2552" w:type="dxa"/>
            <w:tcBorders>
              <w:top w:val="nil"/>
              <w:bottom w:val="nil"/>
            </w:tcBorders>
            <w:vAlign w:val="center"/>
          </w:tcPr>
          <w:p w14:paraId="7AA4DE71" w14:textId="77777777" w:rsidR="005129E4" w:rsidRDefault="00565856">
            <w:pPr>
              <w:spacing w:after="0" w:line="240" w:lineRule="auto"/>
              <w:jc w:val="center"/>
              <w:rPr>
                <w:rFonts w:ascii="Times New Roman" w:hAnsi="Times New Roman" w:cs="Times New Roman"/>
                <w:sz w:val="21"/>
                <w:szCs w:val="21"/>
              </w:rPr>
            </w:pPr>
            <w:r>
              <w:rPr>
                <w:rFonts w:ascii="Times New Roman" w:hAnsi="Times New Roman" w:cs="Times New Roman" w:hint="eastAsia"/>
                <w:sz w:val="21"/>
                <w:szCs w:val="21"/>
              </w:rPr>
              <w:t>0.708</w:t>
            </w:r>
          </w:p>
        </w:tc>
        <w:tc>
          <w:tcPr>
            <w:tcW w:w="3203" w:type="dxa"/>
            <w:tcBorders>
              <w:top w:val="nil"/>
              <w:bottom w:val="nil"/>
            </w:tcBorders>
            <w:vAlign w:val="center"/>
          </w:tcPr>
          <w:p w14:paraId="21F691CF" w14:textId="77777777" w:rsidR="005129E4" w:rsidRDefault="00565856">
            <w:pPr>
              <w:spacing w:after="0" w:line="240" w:lineRule="auto"/>
              <w:jc w:val="center"/>
              <w:rPr>
                <w:rFonts w:ascii="Times New Roman" w:eastAsia="等线" w:hAnsi="Times New Roman" w:cs="Times New Roman"/>
                <w:color w:val="000000"/>
                <w:sz w:val="21"/>
                <w:szCs w:val="21"/>
              </w:rPr>
            </w:pPr>
            <w:r>
              <w:rPr>
                <w:rFonts w:ascii="Times New Roman" w:eastAsia="等线" w:hAnsi="Times New Roman" w:cs="Times New Roman" w:hint="eastAsia"/>
                <w:color w:val="000000"/>
                <w:sz w:val="21"/>
                <w:szCs w:val="21"/>
              </w:rPr>
              <w:t>2.664</w:t>
            </w:r>
          </w:p>
        </w:tc>
      </w:tr>
      <w:tr w:rsidR="005129E4" w14:paraId="5BAEAFDA" w14:textId="77777777">
        <w:trPr>
          <w:cantSplit/>
          <w:trHeight w:val="20"/>
        </w:trPr>
        <w:tc>
          <w:tcPr>
            <w:tcW w:w="2977" w:type="dxa"/>
            <w:tcBorders>
              <w:top w:val="nil"/>
              <w:bottom w:val="single" w:sz="4" w:space="0" w:color="auto"/>
            </w:tcBorders>
            <w:vAlign w:val="center"/>
          </w:tcPr>
          <w:p w14:paraId="5C7B92CF" w14:textId="77777777" w:rsidR="005129E4" w:rsidRDefault="00565856">
            <w:pPr>
              <w:spacing w:after="0" w:line="240" w:lineRule="auto"/>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Weighted Ensemble Model</w:t>
            </w:r>
          </w:p>
        </w:tc>
        <w:tc>
          <w:tcPr>
            <w:tcW w:w="2552" w:type="dxa"/>
            <w:tcBorders>
              <w:top w:val="nil"/>
              <w:bottom w:val="single" w:sz="4" w:space="0" w:color="auto"/>
            </w:tcBorders>
            <w:vAlign w:val="center"/>
          </w:tcPr>
          <w:p w14:paraId="0BBBEE70" w14:textId="77777777" w:rsidR="005129E4" w:rsidRDefault="00565856">
            <w:pPr>
              <w:spacing w:after="0" w:line="240" w:lineRule="auto"/>
              <w:jc w:val="center"/>
              <w:rPr>
                <w:rFonts w:ascii="Times New Roman" w:eastAsia="等线" w:hAnsi="Times New Roman" w:cs="Times New Roman"/>
                <w:color w:val="000000"/>
                <w:sz w:val="21"/>
                <w:szCs w:val="21"/>
              </w:rPr>
            </w:pPr>
            <w:r>
              <w:rPr>
                <w:rFonts w:ascii="Times New Roman" w:eastAsia="等线" w:hAnsi="Times New Roman" w:cs="Times New Roman" w:hint="eastAsia"/>
                <w:color w:val="000000"/>
                <w:sz w:val="21"/>
                <w:szCs w:val="21"/>
              </w:rPr>
              <w:t>0.713</w:t>
            </w:r>
          </w:p>
        </w:tc>
        <w:tc>
          <w:tcPr>
            <w:tcW w:w="3203" w:type="dxa"/>
            <w:tcBorders>
              <w:top w:val="nil"/>
              <w:bottom w:val="single" w:sz="4" w:space="0" w:color="auto"/>
            </w:tcBorders>
            <w:vAlign w:val="center"/>
          </w:tcPr>
          <w:p w14:paraId="43B6ECFE" w14:textId="77777777" w:rsidR="005129E4" w:rsidRDefault="00565856">
            <w:pPr>
              <w:spacing w:after="0" w:line="240" w:lineRule="auto"/>
              <w:jc w:val="center"/>
              <w:rPr>
                <w:rFonts w:ascii="Times New Roman" w:eastAsia="等线" w:hAnsi="Times New Roman" w:cs="Times New Roman"/>
                <w:color w:val="000000"/>
                <w:sz w:val="21"/>
                <w:szCs w:val="21"/>
              </w:rPr>
            </w:pPr>
            <w:r>
              <w:rPr>
                <w:rFonts w:ascii="Times New Roman" w:eastAsia="等线" w:hAnsi="Times New Roman" w:cs="Times New Roman" w:hint="eastAsia"/>
                <w:color w:val="000000"/>
                <w:sz w:val="21"/>
                <w:szCs w:val="21"/>
              </w:rPr>
              <w:t>2.234</w:t>
            </w:r>
          </w:p>
        </w:tc>
      </w:tr>
    </w:tbl>
    <w:p w14:paraId="579D2765" w14:textId="77777777" w:rsidR="005129E4" w:rsidRDefault="00565856">
      <w:pPr>
        <w:spacing w:after="0" w:line="240" w:lineRule="auto"/>
        <w:jc w:val="both"/>
        <w:rPr>
          <w:rFonts w:ascii="Times New Roman" w:hAnsi="Times New Roman" w:cs="Times New Roman"/>
          <w:sz w:val="21"/>
          <w:szCs w:val="21"/>
        </w:rPr>
      </w:pPr>
      <w:r>
        <w:rPr>
          <w:rFonts w:ascii="Times New Roman" w:hAnsi="Times New Roman" w:cs="Times New Roman" w:hint="eastAsia"/>
          <w:color w:val="000000" w:themeColor="text1"/>
          <w:sz w:val="21"/>
          <w:szCs w:val="21"/>
          <w:vertAlign w:val="superscript"/>
        </w:rPr>
        <w:t>a</w:t>
      </w:r>
      <w:r>
        <w:rPr>
          <w:rFonts w:ascii="Times New Roman" w:hAnsi="Times New Roman" w:cs="Times New Roman" w:hint="eastAsia"/>
          <w:color w:val="000000" w:themeColor="text1"/>
          <w:sz w:val="21"/>
          <w:szCs w:val="21"/>
        </w:rPr>
        <w:t>Abbreviations:</w:t>
      </w:r>
      <w:r>
        <w:rPr>
          <w:rFonts w:ascii="Times New Roman" w:hAnsi="Times New Roman" w:cs="Times New Roman" w:hint="eastAsia"/>
          <w:sz w:val="21"/>
          <w:szCs w:val="21"/>
        </w:rPr>
        <w:t xml:space="preserve"> </w:t>
      </w:r>
      <w:r>
        <w:rPr>
          <w:rFonts w:ascii="Times New Roman" w:hAnsi="Times New Roman" w:cs="Times New Roman"/>
          <w:sz w:val="21"/>
          <w:szCs w:val="21"/>
        </w:rPr>
        <w:t>RF</w:t>
      </w:r>
      <w:r>
        <w:rPr>
          <w:rFonts w:ascii="Times New Roman" w:hAnsi="Times New Roman" w:cs="Times New Roman" w:hint="eastAsia"/>
          <w:sz w:val="21"/>
          <w:szCs w:val="21"/>
        </w:rPr>
        <w:t>,</w:t>
      </w:r>
      <w:r>
        <w:rPr>
          <w:rFonts w:ascii="Times New Roman" w:hAnsi="Times New Roman" w:cs="Times New Roman"/>
          <w:sz w:val="21"/>
          <w:szCs w:val="21"/>
        </w:rPr>
        <w:t xml:space="preserve"> Random Forest; GBRT </w:t>
      </w:r>
      <w:r>
        <w:rPr>
          <w:rFonts w:ascii="Times New Roman" w:hAnsi="Times New Roman" w:cs="Times New Roman" w:hint="eastAsia"/>
          <w:sz w:val="21"/>
          <w:szCs w:val="21"/>
        </w:rPr>
        <w:t>,</w:t>
      </w:r>
      <w:r>
        <w:rPr>
          <w:rFonts w:ascii="Times New Roman" w:hAnsi="Times New Roman" w:cs="Times New Roman"/>
          <w:sz w:val="21"/>
          <w:szCs w:val="21"/>
        </w:rPr>
        <w:t xml:space="preserve"> Gradient Boosting Regression Trees; SVM </w:t>
      </w:r>
      <w:r>
        <w:rPr>
          <w:rFonts w:ascii="Times New Roman" w:hAnsi="Times New Roman" w:cs="Times New Roman" w:hint="eastAsia"/>
          <w:sz w:val="21"/>
          <w:szCs w:val="21"/>
        </w:rPr>
        <w:t>,</w:t>
      </w:r>
      <w:r>
        <w:rPr>
          <w:rFonts w:ascii="Times New Roman" w:hAnsi="Times New Roman" w:cs="Times New Roman"/>
          <w:sz w:val="21"/>
          <w:szCs w:val="21"/>
        </w:rPr>
        <w:t xml:space="preserve"> Support Vector Machine; LSTM </w:t>
      </w:r>
      <w:r>
        <w:rPr>
          <w:rFonts w:ascii="Times New Roman" w:hAnsi="Times New Roman" w:cs="Times New Roman" w:hint="eastAsia"/>
          <w:sz w:val="21"/>
          <w:szCs w:val="21"/>
        </w:rPr>
        <w:t>,</w:t>
      </w:r>
      <w:r>
        <w:rPr>
          <w:rFonts w:ascii="Times New Roman" w:hAnsi="Times New Roman" w:cs="Times New Roman"/>
          <w:sz w:val="21"/>
          <w:szCs w:val="21"/>
        </w:rPr>
        <w:t xml:space="preserve"> Long Short-Term Memory networks; ETR</w:t>
      </w:r>
      <w:r>
        <w:rPr>
          <w:rFonts w:ascii="Times New Roman" w:hAnsi="Times New Roman" w:cs="Times New Roman" w:hint="eastAsia"/>
          <w:sz w:val="21"/>
          <w:szCs w:val="21"/>
        </w:rPr>
        <w:t>,</w:t>
      </w:r>
      <w:r>
        <w:rPr>
          <w:rFonts w:ascii="Times New Roman" w:hAnsi="Times New Roman" w:cs="Times New Roman"/>
          <w:sz w:val="21"/>
          <w:szCs w:val="21"/>
        </w:rPr>
        <w:t xml:space="preserve"> Extra Trees Regressor.</w:t>
      </w:r>
    </w:p>
    <w:p w14:paraId="42FD286E" w14:textId="77777777" w:rsidR="005129E4" w:rsidRDefault="005129E4">
      <w:pPr>
        <w:spacing w:after="0" w:line="240" w:lineRule="auto"/>
        <w:jc w:val="both"/>
        <w:rPr>
          <w:rFonts w:ascii="Times New Roman" w:hAnsi="Times New Roman" w:cs="Times New Roman"/>
          <w:sz w:val="21"/>
          <w:szCs w:val="21"/>
        </w:rPr>
      </w:pPr>
    </w:p>
    <w:p w14:paraId="08AD03B1" w14:textId="77777777" w:rsidR="005129E4" w:rsidRDefault="005129E4">
      <w:pPr>
        <w:spacing w:after="0" w:line="240" w:lineRule="auto"/>
        <w:jc w:val="both"/>
        <w:rPr>
          <w:rFonts w:ascii="Times New Roman" w:hAnsi="Times New Roman" w:cs="Times New Roman"/>
          <w:sz w:val="21"/>
          <w:szCs w:val="21"/>
        </w:rPr>
      </w:pPr>
    </w:p>
    <w:p w14:paraId="70736528" w14:textId="77777777" w:rsidR="005129E4" w:rsidRDefault="005129E4">
      <w:pPr>
        <w:spacing w:after="0" w:line="240" w:lineRule="auto"/>
        <w:jc w:val="both"/>
        <w:rPr>
          <w:rFonts w:ascii="Times New Roman" w:hAnsi="Times New Roman" w:cs="Times New Roman"/>
          <w:sz w:val="21"/>
          <w:szCs w:val="21"/>
        </w:rPr>
      </w:pPr>
    </w:p>
    <w:p w14:paraId="15FC90CB" w14:textId="77777777" w:rsidR="005129E4" w:rsidRDefault="005129E4">
      <w:pPr>
        <w:spacing w:after="0" w:line="240" w:lineRule="auto"/>
        <w:jc w:val="both"/>
        <w:rPr>
          <w:rFonts w:ascii="Times New Roman" w:hAnsi="Times New Roman" w:cs="Times New Roman"/>
          <w:sz w:val="21"/>
          <w:szCs w:val="21"/>
        </w:rPr>
      </w:pPr>
    </w:p>
    <w:p w14:paraId="154B6688" w14:textId="77777777" w:rsidR="005129E4" w:rsidRDefault="005129E4">
      <w:pPr>
        <w:spacing w:after="0" w:line="240" w:lineRule="auto"/>
        <w:jc w:val="both"/>
        <w:rPr>
          <w:rFonts w:ascii="Times New Roman" w:hAnsi="Times New Roman" w:cs="Times New Roman"/>
          <w:sz w:val="21"/>
          <w:szCs w:val="21"/>
        </w:rPr>
      </w:pPr>
    </w:p>
    <w:p w14:paraId="08A93E62" w14:textId="77777777" w:rsidR="005129E4" w:rsidRDefault="005129E4">
      <w:pPr>
        <w:spacing w:after="0" w:line="240" w:lineRule="auto"/>
        <w:jc w:val="both"/>
        <w:rPr>
          <w:rFonts w:ascii="Times New Roman" w:hAnsi="Times New Roman" w:cs="Times New Roman"/>
          <w:sz w:val="21"/>
          <w:szCs w:val="21"/>
        </w:rPr>
      </w:pPr>
    </w:p>
    <w:p w14:paraId="5FCAFA4F" w14:textId="77777777" w:rsidR="005129E4" w:rsidRDefault="00565856">
      <w:pPr>
        <w:spacing w:after="0" w:line="240" w:lineRule="auto"/>
        <w:jc w:val="center"/>
        <w:rPr>
          <w:rFonts w:ascii="Times New Roman" w:hAnsi="Times New Roman" w:cs="Times New Roman"/>
          <w:sz w:val="21"/>
          <w:szCs w:val="21"/>
        </w:rPr>
      </w:pPr>
      <w:r>
        <w:rPr>
          <w:rFonts w:ascii="Times New Roman" w:hAnsi="Times New Roman" w:cs="Times New Roman" w:hint="eastAsia"/>
          <w:noProof/>
          <w:sz w:val="21"/>
          <w:szCs w:val="21"/>
        </w:rPr>
        <w:drawing>
          <wp:inline distT="0" distB="0" distL="114300" distR="114300" wp14:anchorId="3A9B25E1" wp14:editId="6D08F743">
            <wp:extent cx="2908935" cy="2500630"/>
            <wp:effectExtent l="0" t="0" r="5715" b="13970"/>
            <wp:docPr id="3" name="图片 3" descr="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下载"/>
                    <pic:cNvPicPr>
                      <a:picLocks noChangeAspect="1"/>
                    </pic:cNvPicPr>
                  </pic:nvPicPr>
                  <pic:blipFill>
                    <a:blip r:embed="rId8"/>
                    <a:stretch>
                      <a:fillRect/>
                    </a:stretch>
                  </pic:blipFill>
                  <pic:spPr>
                    <a:xfrm>
                      <a:off x="0" y="0"/>
                      <a:ext cx="2908935" cy="2500630"/>
                    </a:xfrm>
                    <a:prstGeom prst="rect">
                      <a:avLst/>
                    </a:prstGeom>
                  </pic:spPr>
                </pic:pic>
              </a:graphicData>
            </a:graphic>
          </wp:inline>
        </w:drawing>
      </w:r>
    </w:p>
    <w:p w14:paraId="08F19832" w14:textId="77777777" w:rsidR="005129E4" w:rsidRDefault="00565856">
      <w:pPr>
        <w:spacing w:after="0" w:line="240" w:lineRule="auto"/>
        <w:jc w:val="both"/>
        <w:rPr>
          <w:rFonts w:ascii="Times New Roman" w:hAnsi="Times New Roman" w:cs="Times New Roman"/>
          <w:sz w:val="21"/>
          <w:szCs w:val="21"/>
        </w:rPr>
      </w:pPr>
      <w:r>
        <w:rPr>
          <w:rFonts w:ascii="Times New Roman" w:hAnsi="Times New Roman" w:cs="Times New Roman" w:hint="eastAsia"/>
          <w:b/>
          <w:bCs/>
        </w:rPr>
        <w:t>Figure S1</w:t>
      </w:r>
      <w:r>
        <w:rPr>
          <w:rFonts w:ascii="Times New Roman" w:hAnsi="Times New Roman" w:cs="Times New Roman" w:hint="eastAsia"/>
        </w:rPr>
        <w:t xml:space="preserve">  Results of the Kruskal-Wallis test for the soil organic carbon storage in the 0-20 cm topsoil of the Yangtze River Basin under different land use types</w:t>
      </w:r>
    </w:p>
    <w:p w14:paraId="3768746E" w14:textId="77777777" w:rsidR="005129E4" w:rsidRDefault="00565856">
      <w:pPr>
        <w:rPr>
          <w:rFonts w:ascii="Times New Roman" w:hAnsi="Times New Roman" w:cs="Times New Roman"/>
        </w:rPr>
      </w:pPr>
      <w:r>
        <w:rPr>
          <w:rFonts w:ascii="Times New Roman" w:hAnsi="Times New Roman" w:cs="Times New Roman" w:hint="eastAsia"/>
          <w:noProof/>
        </w:rPr>
        <w:lastRenderedPageBreak/>
        <w:drawing>
          <wp:inline distT="0" distB="0" distL="114300" distR="114300" wp14:anchorId="0C02ACF8" wp14:editId="5DB261A9">
            <wp:extent cx="5201920" cy="4470400"/>
            <wp:effectExtent l="0" t="0" r="5080" b="0"/>
            <wp:docPr id="1" name="图片 1" descr="模型评估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模型评估_画板 1"/>
                    <pic:cNvPicPr>
                      <a:picLocks noChangeAspect="1"/>
                    </pic:cNvPicPr>
                  </pic:nvPicPr>
                  <pic:blipFill>
                    <a:blip r:embed="rId9"/>
                    <a:stretch>
                      <a:fillRect/>
                    </a:stretch>
                  </pic:blipFill>
                  <pic:spPr>
                    <a:xfrm>
                      <a:off x="0" y="0"/>
                      <a:ext cx="5201920" cy="4470400"/>
                    </a:xfrm>
                    <a:prstGeom prst="rect">
                      <a:avLst/>
                    </a:prstGeom>
                  </pic:spPr>
                </pic:pic>
              </a:graphicData>
            </a:graphic>
          </wp:inline>
        </w:drawing>
      </w:r>
    </w:p>
    <w:p w14:paraId="3D4777A1" w14:textId="77777777" w:rsidR="005129E4" w:rsidRDefault="00565856">
      <w:pPr>
        <w:spacing w:after="0" w:line="240" w:lineRule="auto"/>
        <w:rPr>
          <w:rFonts w:ascii="Times New Roman" w:hAnsi="Times New Roman" w:cs="Times New Roman"/>
        </w:rPr>
      </w:pPr>
      <w:r>
        <w:rPr>
          <w:rFonts w:ascii="Times New Roman" w:hAnsi="Times New Roman" w:cs="Times New Roman" w:hint="eastAsia"/>
          <w:b/>
          <w:bCs/>
        </w:rPr>
        <w:t>Figure S2</w:t>
      </w:r>
      <w:r>
        <w:rPr>
          <w:rFonts w:ascii="Times New Roman" w:hAnsi="Times New Roman" w:cs="Times New Roman" w:hint="eastAsia"/>
        </w:rPr>
        <w:t xml:space="preserve">  Scatter Plots of Predicted vs. Actual Soil SOC Stocks Using Different Models (a) Random Forest (RF) (b) Gradient Boosting Regression Tree (GBRT) (c) Extra Trees Regressor (ETR) (d) Weighted Ensemble Model</w:t>
      </w:r>
    </w:p>
    <w:p w14:paraId="79C522E4" w14:textId="77777777" w:rsidR="005129E4" w:rsidRDefault="005129E4">
      <w:pPr>
        <w:spacing w:after="0" w:line="240" w:lineRule="auto"/>
        <w:rPr>
          <w:rFonts w:ascii="Times New Roman" w:hAnsi="Times New Roman" w:cs="Times New Roman"/>
        </w:rPr>
      </w:pPr>
    </w:p>
    <w:p w14:paraId="1AD88901" w14:textId="77777777" w:rsidR="005129E4" w:rsidRDefault="005129E4">
      <w:pPr>
        <w:spacing w:after="0" w:line="240" w:lineRule="auto"/>
        <w:rPr>
          <w:rFonts w:ascii="Times New Roman" w:hAnsi="Times New Roman" w:cs="Times New Roman"/>
        </w:rPr>
      </w:pPr>
    </w:p>
    <w:p w14:paraId="000CAEBA" w14:textId="77777777" w:rsidR="005129E4" w:rsidRDefault="00565856">
      <w:pPr>
        <w:jc w:val="center"/>
        <w:rPr>
          <w:rFonts w:ascii="Times New Roman" w:hAnsi="Times New Roman" w:cs="Times New Roman"/>
        </w:rPr>
      </w:pPr>
      <w:r>
        <w:rPr>
          <w:rFonts w:ascii="Times New Roman" w:hAnsi="Times New Roman" w:cs="Times New Roman"/>
          <w:noProof/>
        </w:rPr>
        <w:drawing>
          <wp:inline distT="0" distB="0" distL="0" distR="0" wp14:anchorId="1F5979BF" wp14:editId="46A056B3">
            <wp:extent cx="2221865" cy="2370455"/>
            <wp:effectExtent l="0" t="0" r="6985" b="0"/>
            <wp:docPr id="3241234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123455" name="图片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43510" cy="2393689"/>
                    </a:xfrm>
                    <a:prstGeom prst="rect">
                      <a:avLst/>
                    </a:prstGeom>
                  </pic:spPr>
                </pic:pic>
              </a:graphicData>
            </a:graphic>
          </wp:inline>
        </w:drawing>
      </w:r>
    </w:p>
    <w:p w14:paraId="0197D45D" w14:textId="77777777" w:rsidR="005129E4" w:rsidRDefault="00565856">
      <w:pPr>
        <w:spacing w:after="0" w:line="240" w:lineRule="auto"/>
        <w:rPr>
          <w:rFonts w:ascii="Times New Roman" w:hAnsi="Times New Roman" w:cs="Times New Roman"/>
        </w:rPr>
      </w:pPr>
      <w:r>
        <w:rPr>
          <w:rFonts w:ascii="Times New Roman" w:hAnsi="Times New Roman" w:cs="Times New Roman" w:hint="eastAsia"/>
          <w:b/>
          <w:bCs/>
        </w:rPr>
        <w:t xml:space="preserve">Figure S3 </w:t>
      </w:r>
      <w:r>
        <w:rPr>
          <w:rFonts w:ascii="Times New Roman" w:hAnsi="Times New Roman" w:cs="Times New Roman" w:hint="eastAsia"/>
        </w:rPr>
        <w:t xml:space="preserve"> Relative Importance of 15 Environmental Variables (Weighted by Absolute SHAP Values to 100%)</w:t>
      </w:r>
    </w:p>
    <w:p w14:paraId="38BAAF81" w14:textId="77777777" w:rsidR="005129E4" w:rsidRDefault="005129E4">
      <w:pPr>
        <w:spacing w:after="0" w:line="240" w:lineRule="auto"/>
        <w:rPr>
          <w:rFonts w:ascii="Times New Roman" w:hAnsi="Times New Roman" w:cs="Times New Roman"/>
        </w:rPr>
      </w:pPr>
    </w:p>
    <w:p w14:paraId="6CEBC670" w14:textId="77777777" w:rsidR="005129E4" w:rsidRDefault="00565856">
      <w:pPr>
        <w:spacing w:after="0" w:line="240" w:lineRule="auto"/>
        <w:rPr>
          <w:rFonts w:ascii="Times New Roman" w:hAnsi="Times New Roman" w:cs="Times New Roman"/>
        </w:rPr>
      </w:pPr>
      <w:r>
        <w:rPr>
          <w:rFonts w:ascii="Times New Roman" w:hAnsi="Times New Roman" w:cs="Times New Roman" w:hint="eastAsia"/>
          <w:noProof/>
        </w:rPr>
        <w:lastRenderedPageBreak/>
        <w:drawing>
          <wp:inline distT="0" distB="0" distL="114300" distR="114300" wp14:anchorId="102AE15B" wp14:editId="581408BE">
            <wp:extent cx="5257800" cy="3206115"/>
            <wp:effectExtent l="0" t="0" r="0" b="6985"/>
            <wp:docPr id="4" name="图片 4" descr="各省差值图 - 1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各省差值图 - 1_画板 1"/>
                    <pic:cNvPicPr>
                      <a:picLocks noChangeAspect="1"/>
                    </pic:cNvPicPr>
                  </pic:nvPicPr>
                  <pic:blipFill>
                    <a:blip r:embed="rId11"/>
                    <a:stretch>
                      <a:fillRect/>
                    </a:stretch>
                  </pic:blipFill>
                  <pic:spPr>
                    <a:xfrm>
                      <a:off x="0" y="0"/>
                      <a:ext cx="5257800" cy="3206115"/>
                    </a:xfrm>
                    <a:prstGeom prst="rect">
                      <a:avLst/>
                    </a:prstGeom>
                  </pic:spPr>
                </pic:pic>
              </a:graphicData>
            </a:graphic>
          </wp:inline>
        </w:drawing>
      </w:r>
    </w:p>
    <w:p w14:paraId="2C28AC67" w14:textId="77777777" w:rsidR="005129E4" w:rsidRDefault="005129E4">
      <w:pPr>
        <w:spacing w:after="0" w:line="240" w:lineRule="auto"/>
        <w:rPr>
          <w:rFonts w:ascii="Times New Roman" w:hAnsi="Times New Roman" w:cs="Times New Roman"/>
        </w:rPr>
      </w:pPr>
    </w:p>
    <w:p w14:paraId="2F6AACAF" w14:textId="77777777" w:rsidR="005129E4" w:rsidRDefault="00565856">
      <w:pPr>
        <w:spacing w:after="0" w:line="240" w:lineRule="auto"/>
        <w:rPr>
          <w:rFonts w:ascii="Times New Roman" w:hAnsi="Times New Roman" w:cs="Times New Roman"/>
        </w:rPr>
      </w:pPr>
      <w:r>
        <w:rPr>
          <w:rFonts w:ascii="Times New Roman" w:hAnsi="Times New Roman" w:cs="Times New Roman" w:hint="eastAsia"/>
          <w:b/>
          <w:bCs/>
        </w:rPr>
        <w:t>Figure S</w:t>
      </w:r>
      <w:r>
        <w:rPr>
          <w:rFonts w:ascii="Times New Roman" w:hAnsi="Times New Roman" w:cs="Times New Roman" w:hint="eastAsia"/>
          <w:b/>
          <w:bCs/>
        </w:rPr>
        <w:t>4</w:t>
      </w:r>
      <w:r>
        <w:rPr>
          <w:rFonts w:ascii="Times New Roman" w:hAnsi="Times New Roman" w:cs="Times New Roman" w:hint="eastAsia"/>
          <w:b/>
          <w:bCs/>
        </w:rPr>
        <w:t xml:space="preserve"> </w:t>
      </w:r>
      <w:r>
        <w:rPr>
          <w:rFonts w:ascii="Times New Roman" w:hAnsi="Times New Roman" w:cs="Times New Roman" w:hint="eastAsia"/>
        </w:rPr>
        <w:t xml:space="preserve"> </w:t>
      </w:r>
      <w:r>
        <w:rPr>
          <w:rFonts w:ascii="Times New Roman" w:hAnsi="Times New Roman" w:cs="Times New Roman" w:hint="eastAsia"/>
        </w:rPr>
        <w:t>Prediction of changes in surface soil organic carbon stocks (0</w:t>
      </w:r>
      <w:r>
        <w:rPr>
          <w:rFonts w:ascii="Times New Roman" w:hAnsi="Times New Roman" w:cs="Times New Roman" w:hint="eastAsia"/>
        </w:rPr>
        <w:t>-</w:t>
      </w:r>
      <w:r>
        <w:rPr>
          <w:rFonts w:ascii="Times New Roman" w:hAnsi="Times New Roman" w:cs="Times New Roman" w:hint="eastAsia"/>
        </w:rPr>
        <w:t>20 cm) in provinces of the Yangtze River basin</w:t>
      </w:r>
      <w:r>
        <w:rPr>
          <w:rFonts w:ascii="Times New Roman" w:hAnsi="Times New Roman" w:cs="Times New Roman" w:hint="eastAsia"/>
        </w:rPr>
        <w:t>.Panels (A)</w:t>
      </w:r>
      <w:r>
        <w:rPr>
          <w:rFonts w:ascii="Times New Roman" w:hAnsi="Times New Roman" w:cs="Times New Roman" w:hint="eastAsia"/>
        </w:rPr>
        <w:t>–</w:t>
      </w:r>
      <w:r>
        <w:rPr>
          <w:rFonts w:ascii="Times New Roman" w:hAnsi="Times New Roman" w:cs="Times New Roman" w:hint="eastAsia"/>
        </w:rPr>
        <w:t xml:space="preserve">(D) show </w:t>
      </w:r>
      <w:r>
        <w:rPr>
          <w:rFonts w:ascii="Times New Roman" w:hAnsi="Times New Roman" w:cs="Times New Roman" w:hint="eastAsia"/>
        </w:rPr>
        <w:t>differences under SSP245 (2030s vs. 2010: A; 2050s vs. 2030s: B) and SSP585 (2030s vs. 2010: C; 2050s vs. 2030s: D). Red = increase; blue = decrease.</w:t>
      </w:r>
    </w:p>
    <w:p w14:paraId="2A6F7112" w14:textId="77777777" w:rsidR="005129E4" w:rsidRDefault="005129E4">
      <w:pPr>
        <w:spacing w:after="0" w:line="240" w:lineRule="auto"/>
        <w:rPr>
          <w:rFonts w:ascii="Times New Roman" w:hAnsi="Times New Roman" w:cs="Times New Roman"/>
        </w:rPr>
      </w:pPr>
    </w:p>
    <w:p w14:paraId="10517B8F" w14:textId="77777777" w:rsidR="005129E4" w:rsidRDefault="005129E4">
      <w:pPr>
        <w:spacing w:after="0" w:line="240" w:lineRule="auto"/>
        <w:rPr>
          <w:rFonts w:ascii="Times New Roman" w:hAnsi="Times New Roman" w:cs="Times New Roman"/>
        </w:rPr>
      </w:pPr>
    </w:p>
    <w:p w14:paraId="20FDE362" w14:textId="77777777" w:rsidR="005129E4" w:rsidRDefault="005129E4">
      <w:pPr>
        <w:spacing w:after="0" w:line="240" w:lineRule="auto"/>
        <w:rPr>
          <w:rFonts w:ascii="Times New Roman" w:hAnsi="Times New Roman" w:cs="Times New Roman"/>
        </w:rPr>
      </w:pPr>
    </w:p>
    <w:p w14:paraId="4708F68D" w14:textId="77777777" w:rsidR="005129E4" w:rsidRDefault="00565856">
      <w:pPr>
        <w:spacing w:after="0" w:line="240" w:lineRule="auto"/>
        <w:rPr>
          <w:rFonts w:ascii="Times New Roman" w:hAnsi="Times New Roman" w:cs="Times New Roman"/>
        </w:rPr>
      </w:pPr>
      <w:r>
        <w:rPr>
          <w:rFonts w:ascii="Times New Roman" w:hAnsi="Times New Roman" w:cs="Times New Roman" w:hint="eastAsia"/>
          <w:noProof/>
        </w:rPr>
        <w:drawing>
          <wp:inline distT="0" distB="0" distL="114300" distR="114300" wp14:anchorId="13A05311" wp14:editId="089F7830">
            <wp:extent cx="5234305" cy="2501265"/>
            <wp:effectExtent l="0" t="0" r="4445" b="13335"/>
            <wp:docPr id="2" name="图片 2" descr="采样点到个省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采样点到个省份"/>
                    <pic:cNvPicPr>
                      <a:picLocks noChangeAspect="1"/>
                    </pic:cNvPicPr>
                  </pic:nvPicPr>
                  <pic:blipFill>
                    <a:blip r:embed="rId12"/>
                    <a:stretch>
                      <a:fillRect/>
                    </a:stretch>
                  </pic:blipFill>
                  <pic:spPr>
                    <a:xfrm>
                      <a:off x="0" y="0"/>
                      <a:ext cx="5234305" cy="2501265"/>
                    </a:xfrm>
                    <a:prstGeom prst="rect">
                      <a:avLst/>
                    </a:prstGeom>
                  </pic:spPr>
                </pic:pic>
              </a:graphicData>
            </a:graphic>
          </wp:inline>
        </w:drawing>
      </w:r>
    </w:p>
    <w:p w14:paraId="3DE751CB" w14:textId="77777777" w:rsidR="005129E4" w:rsidRDefault="00565856">
      <w:pPr>
        <w:spacing w:after="0" w:line="240" w:lineRule="auto"/>
        <w:rPr>
          <w:rFonts w:ascii="Times New Roman" w:hAnsi="Times New Roman" w:cs="Times New Roman"/>
        </w:rPr>
      </w:pPr>
      <w:r>
        <w:rPr>
          <w:rFonts w:ascii="Times New Roman" w:hAnsi="Times New Roman" w:cs="Times New Roman" w:hint="eastAsia"/>
          <w:b/>
          <w:bCs/>
        </w:rPr>
        <w:t>Figure S</w:t>
      </w:r>
      <w:r>
        <w:rPr>
          <w:rFonts w:ascii="Times New Roman" w:hAnsi="Times New Roman" w:cs="Times New Roman" w:hint="eastAsia"/>
          <w:b/>
          <w:bCs/>
        </w:rPr>
        <w:t>5</w:t>
      </w:r>
      <w:r>
        <w:rPr>
          <w:rFonts w:ascii="Times New Roman" w:hAnsi="Times New Roman" w:cs="Times New Roman" w:hint="eastAsia"/>
          <w:b/>
          <w:bCs/>
        </w:rPr>
        <w:t xml:space="preserve"> </w:t>
      </w:r>
      <w:r>
        <w:rPr>
          <w:rFonts w:ascii="Times New Roman" w:hAnsi="Times New Roman" w:cs="Times New Roman" w:hint="eastAsia"/>
        </w:rPr>
        <w:t xml:space="preserve"> </w:t>
      </w:r>
      <w:r w:rsidRPr="004D6C40">
        <w:rPr>
          <w:rFonts w:ascii="Times New Roman" w:hAnsi="Times New Roman" w:cs="Times New Roman" w:hint="eastAsia"/>
        </w:rPr>
        <w:t>Spatial Uncertainty Proxy Based on Sampling Density</w:t>
      </w:r>
    </w:p>
    <w:p w14:paraId="6E39B907" w14:textId="77777777" w:rsidR="005129E4" w:rsidRDefault="00565856">
      <w:pPr>
        <w:pStyle w:val="HTML"/>
        <w:widowControl/>
        <w:wordWrap w:val="0"/>
        <w:spacing w:after="0"/>
        <w:rPr>
          <w:rFonts w:ascii="Courier New" w:eastAsia="Courier New" w:hAnsi="Courier New" w:cs="Courier New" w:hint="default"/>
          <w:color w:val="494949"/>
          <w:sz w:val="18"/>
          <w:szCs w:val="18"/>
        </w:rPr>
      </w:pPr>
      <w:r w:rsidRPr="004D6C40">
        <w:rPr>
          <w:rFonts w:ascii="Times New Roman" w:eastAsiaTheme="minorEastAsia" w:hAnsi="Times New Roman" w:hint="default"/>
          <w:color w:val="000000" w:themeColor="text1"/>
          <w:kern w:val="2"/>
          <w:sz w:val="21"/>
          <w:szCs w:val="21"/>
          <w:bdr w:val="none" w:sz="4" w:space="0" w:color="auto"/>
        </w:rPr>
        <w:t>Note</w:t>
      </w:r>
      <w:r>
        <w:rPr>
          <w:rFonts w:ascii="Times New Roman" w:eastAsiaTheme="minorEastAsia" w:hAnsi="Times New Roman"/>
          <w:color w:val="000000" w:themeColor="text1"/>
          <w:kern w:val="2"/>
          <w:sz w:val="21"/>
          <w:szCs w:val="21"/>
          <w:bdr w:val="none" w:sz="4" w:space="0" w:color="auto"/>
        </w:rPr>
        <w:t>: Low density =</w:t>
      </w:r>
      <w:r>
        <w:rPr>
          <w:rFonts w:ascii="Times New Roman" w:eastAsiaTheme="minorEastAsia" w:hAnsi="Times New Roman"/>
          <w:color w:val="000000" w:themeColor="text1"/>
          <w:kern w:val="2"/>
          <w:sz w:val="21"/>
          <w:szCs w:val="21"/>
          <w:bdr w:val="none" w:sz="4" w:space="0" w:color="auto"/>
        </w:rPr>
        <w:t xml:space="preserve"> high uncertainty, units: points/km</w:t>
      </w:r>
      <w:r>
        <w:rPr>
          <w:rFonts w:ascii="Times New Roman" w:eastAsiaTheme="minorEastAsia" w:hAnsi="Times New Roman"/>
          <w:color w:val="000000" w:themeColor="text1"/>
          <w:kern w:val="2"/>
          <w:sz w:val="21"/>
          <w:szCs w:val="21"/>
          <w:bdr w:val="none" w:sz="4" w:space="0" w:color="auto"/>
          <w:vertAlign w:val="superscript"/>
        </w:rPr>
        <w:t>2</w:t>
      </w:r>
    </w:p>
    <w:p w14:paraId="377C2B0B" w14:textId="77777777" w:rsidR="005129E4" w:rsidRDefault="005129E4">
      <w:pPr>
        <w:spacing w:after="0" w:line="240" w:lineRule="auto"/>
        <w:rPr>
          <w:rFonts w:ascii="Times New Roman" w:hAnsi="Times New Roman" w:cs="Times New Roman"/>
        </w:rPr>
      </w:pPr>
    </w:p>
    <w:p w14:paraId="318C153F" w14:textId="77777777" w:rsidR="005129E4" w:rsidRDefault="00565856">
      <w:pPr>
        <w:spacing w:after="0" w:line="240" w:lineRule="auto"/>
        <w:rPr>
          <w:rFonts w:ascii="Times New Roman" w:hAnsi="Times New Roman" w:cs="Times New Roman"/>
        </w:rPr>
      </w:pPr>
      <w:r>
        <w:rPr>
          <w:rFonts w:ascii="Times New Roman" w:hAnsi="Times New Roman" w:cs="Times New Roman" w:hint="eastAsia"/>
        </w:rPr>
        <w:br w:type="page"/>
      </w:r>
    </w:p>
    <w:p w14:paraId="6617D9F7" w14:textId="77777777" w:rsidR="005129E4" w:rsidRDefault="005129E4">
      <w:pPr>
        <w:spacing w:after="0" w:line="240" w:lineRule="auto"/>
        <w:rPr>
          <w:rFonts w:ascii="Times New Roman" w:hAnsi="Times New Roman" w:cs="Times New Roman"/>
        </w:rPr>
      </w:pPr>
    </w:p>
    <w:p w14:paraId="3C11CEE5" w14:textId="77777777" w:rsidR="005129E4" w:rsidRDefault="005129E4">
      <w:pPr>
        <w:spacing w:after="0" w:line="240" w:lineRule="auto"/>
        <w:rPr>
          <w:rFonts w:ascii="Times New Roman" w:hAnsi="Times New Roman" w:cs="Times New Roman"/>
        </w:rPr>
      </w:pPr>
    </w:p>
    <w:p w14:paraId="123AEBD4" w14:textId="77777777" w:rsidR="005129E4" w:rsidRDefault="00565856">
      <w:pPr>
        <w:adjustRightInd w:val="0"/>
        <w:snapToGrid w:val="0"/>
        <w:spacing w:after="0" w:line="480" w:lineRule="auto"/>
        <w:rPr>
          <w:rFonts w:ascii="Times New Roman" w:hAnsi="Times New Roman" w:cs="Times New Roman"/>
          <w:b/>
          <w:sz w:val="24"/>
        </w:rPr>
      </w:pPr>
      <w:bookmarkStart w:id="2" w:name="_Ref180421403"/>
      <w:r>
        <w:rPr>
          <w:rFonts w:ascii="Times New Roman" w:hAnsi="Times New Roman" w:cs="Times New Roman"/>
          <w:b/>
          <w:sz w:val="24"/>
        </w:rPr>
        <w:t>References</w:t>
      </w:r>
    </w:p>
    <w:p w14:paraId="7975E62D" w14:textId="77777777" w:rsidR="005129E4" w:rsidRDefault="00565856">
      <w:pPr>
        <w:pStyle w:val="10"/>
        <w:spacing w:line="240" w:lineRule="auto"/>
        <w:rPr>
          <w:rFonts w:ascii="Times New Roman" w:hAnsi="Times New Roman" w:cs="Times New Roman"/>
          <w:sz w:val="24"/>
        </w:rPr>
      </w:pPr>
      <w:r>
        <w:rPr>
          <w:rFonts w:ascii="Times New Roman" w:hAnsi="Times New Roman" w:cs="Times New Roman"/>
          <w:sz w:val="24"/>
        </w:rPr>
        <w:t xml:space="preserve">Almuhammadi, S., Alnajim, A., &amp; Ayub, M. (2023). QUIC Network Traffic Classification Using Ensemble Machine Learning Techniques. </w:t>
      </w:r>
      <w:r>
        <w:rPr>
          <w:rFonts w:ascii="Times New Roman" w:hAnsi="Times New Roman" w:cs="Times New Roman"/>
          <w:i/>
          <w:iCs/>
          <w:sz w:val="24"/>
        </w:rPr>
        <w:t>Applied Sciences</w:t>
      </w:r>
      <w:r>
        <w:rPr>
          <w:rFonts w:ascii="Times New Roman" w:hAnsi="Times New Roman" w:cs="Times New Roman"/>
          <w:sz w:val="24"/>
        </w:rPr>
        <w:t xml:space="preserve">, </w:t>
      </w:r>
      <w:r>
        <w:rPr>
          <w:rFonts w:ascii="Times New Roman" w:hAnsi="Times New Roman" w:cs="Times New Roman"/>
          <w:i/>
          <w:iCs/>
          <w:sz w:val="24"/>
        </w:rPr>
        <w:t>13</w:t>
      </w:r>
      <w:r>
        <w:rPr>
          <w:rFonts w:ascii="Times New Roman" w:hAnsi="Times New Roman" w:cs="Times New Roman"/>
          <w:sz w:val="24"/>
        </w:rPr>
        <w:t>(8), 4725.</w:t>
      </w:r>
    </w:p>
    <w:p w14:paraId="3B0C3519" w14:textId="77777777" w:rsidR="005129E4" w:rsidRDefault="00565856">
      <w:pPr>
        <w:pStyle w:val="10"/>
        <w:spacing w:line="240" w:lineRule="auto"/>
        <w:rPr>
          <w:rFonts w:ascii="Times New Roman" w:hAnsi="Times New Roman" w:cs="Times New Roman"/>
          <w:sz w:val="24"/>
          <w:lang w:val="de-DE"/>
        </w:rPr>
      </w:pPr>
      <w:r>
        <w:rPr>
          <w:rFonts w:ascii="Times New Roman" w:hAnsi="Times New Roman" w:cs="Times New Roman"/>
          <w:sz w:val="24"/>
        </w:rPr>
        <w:t xml:space="preserve">Biau, G. (2012). Analysis of a random forests model. </w:t>
      </w:r>
      <w:r>
        <w:rPr>
          <w:rFonts w:ascii="Times New Roman" w:hAnsi="Times New Roman" w:cs="Times New Roman"/>
          <w:i/>
          <w:iCs/>
          <w:sz w:val="24"/>
          <w:lang w:val="de-DE"/>
        </w:rPr>
        <w:t>J. Mach. Learn. Res.</w:t>
      </w:r>
      <w:r>
        <w:rPr>
          <w:rFonts w:ascii="Times New Roman" w:hAnsi="Times New Roman" w:cs="Times New Roman"/>
          <w:sz w:val="24"/>
          <w:lang w:val="de-DE"/>
        </w:rPr>
        <w:t xml:space="preserve">, </w:t>
      </w:r>
      <w:r>
        <w:rPr>
          <w:rFonts w:ascii="Times New Roman" w:hAnsi="Times New Roman" w:cs="Times New Roman"/>
          <w:i/>
          <w:iCs/>
          <w:sz w:val="24"/>
          <w:lang w:val="de-DE"/>
        </w:rPr>
        <w:t>13</w:t>
      </w:r>
      <w:r>
        <w:rPr>
          <w:rFonts w:ascii="Times New Roman" w:hAnsi="Times New Roman" w:cs="Times New Roman"/>
          <w:sz w:val="24"/>
          <w:lang w:val="de-DE"/>
        </w:rPr>
        <w:t>(null), 1063–1095. JMLR.org.</w:t>
      </w:r>
    </w:p>
    <w:p w14:paraId="5E5DD786" w14:textId="77777777" w:rsidR="005129E4" w:rsidRDefault="00565856">
      <w:pPr>
        <w:pStyle w:val="10"/>
        <w:spacing w:line="240" w:lineRule="auto"/>
        <w:rPr>
          <w:rFonts w:ascii="Times New Roman" w:hAnsi="Times New Roman" w:cs="Times New Roman"/>
          <w:sz w:val="24"/>
        </w:rPr>
      </w:pPr>
      <w:r>
        <w:rPr>
          <w:rFonts w:ascii="Times New Roman" w:hAnsi="Times New Roman" w:cs="Times New Roman"/>
          <w:sz w:val="24"/>
          <w:lang w:val="de-DE"/>
        </w:rPr>
        <w:t xml:space="preserve">Huang, Y., Liu, Y., Li, C., &amp; Wang, C. (2019). </w:t>
      </w:r>
      <w:r>
        <w:rPr>
          <w:rFonts w:ascii="Times New Roman" w:hAnsi="Times New Roman" w:cs="Times New Roman"/>
          <w:sz w:val="24"/>
        </w:rPr>
        <w:t xml:space="preserve">GBRTVis: Online analysis of gradient boosting regression tree. </w:t>
      </w:r>
      <w:r>
        <w:rPr>
          <w:rFonts w:ascii="Times New Roman" w:hAnsi="Times New Roman" w:cs="Times New Roman"/>
          <w:i/>
          <w:iCs/>
          <w:sz w:val="24"/>
        </w:rPr>
        <w:t>Journal of Visualization</w:t>
      </w:r>
      <w:r>
        <w:rPr>
          <w:rFonts w:ascii="Times New Roman" w:hAnsi="Times New Roman" w:cs="Times New Roman"/>
          <w:sz w:val="24"/>
        </w:rPr>
        <w:t xml:space="preserve">, </w:t>
      </w:r>
      <w:r>
        <w:rPr>
          <w:rFonts w:ascii="Times New Roman" w:hAnsi="Times New Roman" w:cs="Times New Roman"/>
          <w:i/>
          <w:iCs/>
          <w:sz w:val="24"/>
        </w:rPr>
        <w:t>22</w:t>
      </w:r>
      <w:r>
        <w:rPr>
          <w:rFonts w:ascii="Times New Roman" w:hAnsi="Times New Roman" w:cs="Times New Roman"/>
          <w:sz w:val="24"/>
        </w:rPr>
        <w:t>(1), 125–140.</w:t>
      </w:r>
    </w:p>
    <w:p w14:paraId="5122088B" w14:textId="77777777" w:rsidR="005129E4" w:rsidRDefault="00565856">
      <w:pPr>
        <w:pStyle w:val="10"/>
        <w:spacing w:line="240" w:lineRule="auto"/>
        <w:rPr>
          <w:rFonts w:ascii="Times New Roman" w:hAnsi="Times New Roman" w:cs="Times New Roman"/>
          <w:sz w:val="24"/>
        </w:rPr>
      </w:pPr>
      <w:r>
        <w:rPr>
          <w:rFonts w:ascii="Times New Roman" w:hAnsi="Times New Roman" w:cs="Times New Roman"/>
          <w:sz w:val="24"/>
        </w:rPr>
        <w:t xml:space="preserve">Mosaid, H., Barakat, A., John, K., Faouzi, E., Bustillo, V., El Garnaoui, M., &amp; Heung, B. (2024). Improved soil carbon stock spatial prediction in a Mediterranean soil erosion site through robust machine learning techniques. </w:t>
      </w:r>
      <w:r>
        <w:rPr>
          <w:rFonts w:ascii="Times New Roman" w:hAnsi="Times New Roman" w:cs="Times New Roman"/>
          <w:i/>
          <w:iCs/>
          <w:sz w:val="24"/>
        </w:rPr>
        <w:t>Environmental Monitoring and Assessment</w:t>
      </w:r>
      <w:r>
        <w:rPr>
          <w:rFonts w:ascii="Times New Roman" w:hAnsi="Times New Roman" w:cs="Times New Roman"/>
          <w:sz w:val="24"/>
        </w:rPr>
        <w:t xml:space="preserve">, </w:t>
      </w:r>
      <w:r>
        <w:rPr>
          <w:rFonts w:ascii="Times New Roman" w:hAnsi="Times New Roman" w:cs="Times New Roman"/>
          <w:i/>
          <w:iCs/>
          <w:sz w:val="24"/>
        </w:rPr>
        <w:t>196</w:t>
      </w:r>
      <w:r>
        <w:rPr>
          <w:rFonts w:ascii="Times New Roman" w:hAnsi="Times New Roman" w:cs="Times New Roman"/>
          <w:sz w:val="24"/>
        </w:rPr>
        <w:t>(2), 130.</w:t>
      </w:r>
    </w:p>
    <w:p w14:paraId="21AEA6AC" w14:textId="77777777" w:rsidR="005129E4" w:rsidRDefault="00565856">
      <w:pPr>
        <w:pStyle w:val="10"/>
        <w:spacing w:line="240" w:lineRule="auto"/>
        <w:rPr>
          <w:rFonts w:ascii="Times New Roman" w:hAnsi="Times New Roman" w:cs="Times New Roman"/>
          <w:sz w:val="24"/>
        </w:rPr>
      </w:pPr>
      <w:r>
        <w:rPr>
          <w:rFonts w:ascii="Times New Roman" w:hAnsi="Times New Roman" w:cs="Times New Roman"/>
          <w:sz w:val="24"/>
        </w:rPr>
        <w:t xml:space="preserve">Nasseri, M., Falatouri, T., Brandtner, P., &amp; Darbanian, F. (2023). Applying Machine Learning in Retail Demand Prediction—A Comparison of Tree-Based Ensembles and Long Short-Term Memory-Based Deep Learning. </w:t>
      </w:r>
      <w:r>
        <w:rPr>
          <w:rFonts w:ascii="Times New Roman" w:hAnsi="Times New Roman" w:cs="Times New Roman"/>
          <w:i/>
          <w:iCs/>
          <w:sz w:val="24"/>
        </w:rPr>
        <w:t>Applied Sciences</w:t>
      </w:r>
      <w:r>
        <w:rPr>
          <w:rFonts w:ascii="Times New Roman" w:hAnsi="Times New Roman" w:cs="Times New Roman"/>
          <w:sz w:val="24"/>
        </w:rPr>
        <w:t xml:space="preserve">, </w:t>
      </w:r>
      <w:r>
        <w:rPr>
          <w:rFonts w:ascii="Times New Roman" w:hAnsi="Times New Roman" w:cs="Times New Roman"/>
          <w:i/>
          <w:iCs/>
          <w:sz w:val="24"/>
        </w:rPr>
        <w:t>13</w:t>
      </w:r>
      <w:r>
        <w:rPr>
          <w:rFonts w:ascii="Times New Roman" w:hAnsi="Times New Roman" w:cs="Times New Roman"/>
          <w:sz w:val="24"/>
        </w:rPr>
        <w:t>(19), 11112.</w:t>
      </w:r>
    </w:p>
    <w:p w14:paraId="443CD6B9" w14:textId="77777777" w:rsidR="005129E4" w:rsidRDefault="00565856">
      <w:pPr>
        <w:pStyle w:val="10"/>
        <w:spacing w:line="240" w:lineRule="auto"/>
        <w:rPr>
          <w:rFonts w:ascii="Times New Roman" w:hAnsi="Times New Roman" w:cs="Times New Roman"/>
          <w:sz w:val="24"/>
        </w:rPr>
      </w:pPr>
      <w:r>
        <w:rPr>
          <w:rFonts w:ascii="Times New Roman" w:hAnsi="Times New Roman" w:cs="Times New Roman"/>
          <w:sz w:val="24"/>
        </w:rPr>
        <w:t xml:space="preserve">Negassa, M. K., Haile, M., Feyisa, G. L., Wogi, L., &amp; Liben, F. M. (2023). Soil Organic Carbon Stock Prediction: Fate under 2050 Climate Scenarios, the Case of Eastern Ethiopia. </w:t>
      </w:r>
      <w:r>
        <w:rPr>
          <w:rFonts w:ascii="Times New Roman" w:hAnsi="Times New Roman" w:cs="Times New Roman"/>
          <w:i/>
          <w:iCs/>
          <w:sz w:val="24"/>
        </w:rPr>
        <w:t>Sustainability</w:t>
      </w:r>
      <w:r>
        <w:rPr>
          <w:rFonts w:ascii="Times New Roman" w:hAnsi="Times New Roman" w:cs="Times New Roman"/>
          <w:sz w:val="24"/>
        </w:rPr>
        <w:t xml:space="preserve">, </w:t>
      </w:r>
      <w:r>
        <w:rPr>
          <w:rFonts w:ascii="Times New Roman" w:hAnsi="Times New Roman" w:cs="Times New Roman"/>
          <w:i/>
          <w:iCs/>
          <w:sz w:val="24"/>
        </w:rPr>
        <w:t>15</w:t>
      </w:r>
      <w:r>
        <w:rPr>
          <w:rFonts w:ascii="Times New Roman" w:hAnsi="Times New Roman" w:cs="Times New Roman"/>
          <w:sz w:val="24"/>
        </w:rPr>
        <w:t>(8), 6495.</w:t>
      </w:r>
    </w:p>
    <w:p w14:paraId="6D06408F" w14:textId="77777777" w:rsidR="005129E4" w:rsidRDefault="00565856">
      <w:pPr>
        <w:pStyle w:val="10"/>
        <w:spacing w:line="240" w:lineRule="auto"/>
        <w:rPr>
          <w:rFonts w:ascii="Times New Roman" w:hAnsi="Times New Roman" w:cs="Times New Roman"/>
          <w:sz w:val="24"/>
        </w:rPr>
      </w:pPr>
      <w:r>
        <w:rPr>
          <w:rFonts w:ascii="Times New Roman" w:hAnsi="Times New Roman" w:cs="Times New Roman"/>
          <w:sz w:val="24"/>
        </w:rPr>
        <w:t xml:space="preserve">Pickett, S. T. A. (1989). Space-for-Time Substitution as an Alternative to Long-Term Studies. In G. E. Likens (Ed.), </w:t>
      </w:r>
      <w:r>
        <w:rPr>
          <w:rFonts w:ascii="Times New Roman" w:hAnsi="Times New Roman" w:cs="Times New Roman"/>
          <w:i/>
          <w:iCs/>
          <w:sz w:val="24"/>
        </w:rPr>
        <w:t>Long-Term Studies in Ecology</w:t>
      </w:r>
      <w:r>
        <w:rPr>
          <w:rFonts w:ascii="Times New Roman" w:hAnsi="Times New Roman" w:cs="Times New Roman"/>
          <w:sz w:val="24"/>
        </w:rPr>
        <w:t xml:space="preserve"> (pp. 110–135). New York, NY: Springer New York. Retrieved November 19, 2024, from http://link.springer.com/10.1007/978-1-4615-7358-6_5</w:t>
      </w:r>
    </w:p>
    <w:p w14:paraId="23E7A77C" w14:textId="77777777" w:rsidR="005129E4" w:rsidRDefault="00565856">
      <w:pPr>
        <w:pStyle w:val="10"/>
        <w:spacing w:line="240" w:lineRule="auto"/>
        <w:rPr>
          <w:rFonts w:ascii="Times New Roman" w:hAnsi="Times New Roman" w:cs="Times New Roman"/>
          <w:sz w:val="24"/>
        </w:rPr>
      </w:pPr>
      <w:r>
        <w:rPr>
          <w:rFonts w:ascii="Times New Roman" w:hAnsi="Times New Roman" w:cs="Times New Roman"/>
          <w:sz w:val="24"/>
          <w:lang w:val="de-DE"/>
        </w:rPr>
        <w:t xml:space="preserve">Schonlau, M., &amp; Zou, R. Y. (2020). </w:t>
      </w:r>
      <w:r>
        <w:rPr>
          <w:rFonts w:ascii="Times New Roman" w:hAnsi="Times New Roman" w:cs="Times New Roman"/>
          <w:sz w:val="24"/>
        </w:rPr>
        <w:t xml:space="preserve">The random forest algorithm for statistical learning. </w:t>
      </w:r>
      <w:r>
        <w:rPr>
          <w:rFonts w:ascii="Times New Roman" w:hAnsi="Times New Roman" w:cs="Times New Roman"/>
          <w:i/>
          <w:iCs/>
          <w:sz w:val="24"/>
        </w:rPr>
        <w:t>The Stata Journal: Promoting communications on statistics and Stata</w:t>
      </w:r>
      <w:r>
        <w:rPr>
          <w:rFonts w:ascii="Times New Roman" w:hAnsi="Times New Roman" w:cs="Times New Roman"/>
          <w:sz w:val="24"/>
        </w:rPr>
        <w:t xml:space="preserve">, </w:t>
      </w:r>
      <w:r>
        <w:rPr>
          <w:rFonts w:ascii="Times New Roman" w:hAnsi="Times New Roman" w:cs="Times New Roman"/>
          <w:i/>
          <w:iCs/>
          <w:sz w:val="24"/>
        </w:rPr>
        <w:t>20</w:t>
      </w:r>
      <w:r>
        <w:rPr>
          <w:rFonts w:ascii="Times New Roman" w:hAnsi="Times New Roman" w:cs="Times New Roman"/>
          <w:sz w:val="24"/>
        </w:rPr>
        <w:t>(1), 3–29.</w:t>
      </w:r>
    </w:p>
    <w:p w14:paraId="09110B81" w14:textId="77777777" w:rsidR="005129E4" w:rsidRDefault="00565856">
      <w:pPr>
        <w:pStyle w:val="10"/>
        <w:spacing w:line="240" w:lineRule="auto"/>
        <w:rPr>
          <w:rFonts w:ascii="Times New Roman" w:hAnsi="Times New Roman" w:cs="Times New Roman"/>
          <w:sz w:val="24"/>
          <w:lang w:val="de-DE"/>
        </w:rPr>
      </w:pPr>
      <w:r>
        <w:rPr>
          <w:rFonts w:ascii="Times New Roman" w:hAnsi="Times New Roman" w:cs="Times New Roman"/>
          <w:sz w:val="24"/>
        </w:rPr>
        <w:t xml:space="preserve">Tian, H., &amp; Chen, J. (2022). Deep Learning with Spatial Attention-Based CONV-LSTM for SOC Estimation of Lithium-Ion Batteries. </w:t>
      </w:r>
      <w:r>
        <w:rPr>
          <w:rFonts w:ascii="Times New Roman" w:hAnsi="Times New Roman" w:cs="Times New Roman"/>
          <w:i/>
          <w:iCs/>
          <w:sz w:val="24"/>
          <w:lang w:val="de-DE"/>
        </w:rPr>
        <w:t>Processes</w:t>
      </w:r>
      <w:r>
        <w:rPr>
          <w:rFonts w:ascii="Times New Roman" w:hAnsi="Times New Roman" w:cs="Times New Roman"/>
          <w:sz w:val="24"/>
          <w:lang w:val="de-DE"/>
        </w:rPr>
        <w:t xml:space="preserve">, </w:t>
      </w:r>
      <w:r>
        <w:rPr>
          <w:rFonts w:ascii="Times New Roman" w:hAnsi="Times New Roman" w:cs="Times New Roman"/>
          <w:i/>
          <w:iCs/>
          <w:sz w:val="24"/>
          <w:lang w:val="de-DE"/>
        </w:rPr>
        <w:t>10</w:t>
      </w:r>
      <w:r>
        <w:rPr>
          <w:rFonts w:ascii="Times New Roman" w:hAnsi="Times New Roman" w:cs="Times New Roman"/>
          <w:sz w:val="24"/>
          <w:lang w:val="de-DE"/>
        </w:rPr>
        <w:t>(11), 2185.</w:t>
      </w:r>
    </w:p>
    <w:p w14:paraId="6DF303F7" w14:textId="77777777" w:rsidR="005129E4" w:rsidRDefault="00565856">
      <w:pPr>
        <w:pStyle w:val="10"/>
        <w:spacing w:line="240" w:lineRule="auto"/>
        <w:rPr>
          <w:rFonts w:ascii="Times New Roman" w:hAnsi="Times New Roman" w:cs="Times New Roman"/>
          <w:sz w:val="24"/>
        </w:rPr>
      </w:pPr>
      <w:r>
        <w:rPr>
          <w:rFonts w:ascii="Times New Roman" w:hAnsi="Times New Roman" w:cs="Times New Roman"/>
          <w:sz w:val="24"/>
          <w:lang w:val="de-DE"/>
        </w:rPr>
        <w:t xml:space="preserve">Wang, S., Zhang, X., Adhikari, K., Roland, B., Zhuang, Q., Wang, Z., Shi, D., et al. </w:t>
      </w:r>
      <w:r>
        <w:rPr>
          <w:rFonts w:ascii="Times New Roman" w:hAnsi="Times New Roman" w:cs="Times New Roman"/>
          <w:sz w:val="24"/>
        </w:rPr>
        <w:t xml:space="preserve">(2023). Predicting soil organic carbon stocks under future land use and climate change conditions in Northeast China. </w:t>
      </w:r>
      <w:r>
        <w:rPr>
          <w:rFonts w:ascii="Times New Roman" w:hAnsi="Times New Roman" w:cs="Times New Roman"/>
          <w:i/>
          <w:iCs/>
          <w:sz w:val="24"/>
        </w:rPr>
        <w:t>Environmental Impact Assessment Review</w:t>
      </w:r>
      <w:r>
        <w:rPr>
          <w:rFonts w:ascii="Times New Roman" w:hAnsi="Times New Roman" w:cs="Times New Roman"/>
          <w:sz w:val="24"/>
        </w:rPr>
        <w:t xml:space="preserve">, </w:t>
      </w:r>
      <w:r>
        <w:rPr>
          <w:rFonts w:ascii="Times New Roman" w:hAnsi="Times New Roman" w:cs="Times New Roman"/>
          <w:i/>
          <w:iCs/>
          <w:sz w:val="24"/>
        </w:rPr>
        <w:t>103</w:t>
      </w:r>
      <w:r>
        <w:rPr>
          <w:rFonts w:ascii="Times New Roman" w:hAnsi="Times New Roman" w:cs="Times New Roman"/>
          <w:sz w:val="24"/>
        </w:rPr>
        <w:t>, 107278.</w:t>
      </w:r>
    </w:p>
    <w:p w14:paraId="1EEC0C19" w14:textId="77777777" w:rsidR="005129E4" w:rsidRDefault="00565856">
      <w:pPr>
        <w:pStyle w:val="10"/>
        <w:spacing w:line="240" w:lineRule="auto"/>
        <w:rPr>
          <w:rFonts w:ascii="Times New Roman" w:hAnsi="Times New Roman" w:cs="Times New Roman"/>
          <w:sz w:val="24"/>
        </w:rPr>
      </w:pPr>
      <w:r>
        <w:rPr>
          <w:rFonts w:ascii="Times New Roman" w:hAnsi="Times New Roman" w:cs="Times New Roman"/>
          <w:sz w:val="24"/>
        </w:rPr>
        <w:t xml:space="preserve">Wang, T., Zhou, W., Xiao, J., Li, H., Yao, L., Xie, L., &amp; Wang, K. (2023). Soil Organic Carbon Prediction Using Sentinel-2 Data and Environmental Variables in a Karst Trough Valley Area of Southwest China. </w:t>
      </w:r>
      <w:r>
        <w:rPr>
          <w:rFonts w:ascii="Times New Roman" w:hAnsi="Times New Roman" w:cs="Times New Roman"/>
          <w:i/>
          <w:iCs/>
          <w:sz w:val="24"/>
        </w:rPr>
        <w:t>Remote Sensing</w:t>
      </w:r>
      <w:r>
        <w:rPr>
          <w:rFonts w:ascii="Times New Roman" w:hAnsi="Times New Roman" w:cs="Times New Roman"/>
          <w:sz w:val="24"/>
        </w:rPr>
        <w:t xml:space="preserve">, </w:t>
      </w:r>
      <w:r>
        <w:rPr>
          <w:rFonts w:ascii="Times New Roman" w:hAnsi="Times New Roman" w:cs="Times New Roman"/>
          <w:i/>
          <w:iCs/>
          <w:sz w:val="24"/>
        </w:rPr>
        <w:t>15</w:t>
      </w:r>
      <w:r>
        <w:rPr>
          <w:rFonts w:ascii="Times New Roman" w:hAnsi="Times New Roman" w:cs="Times New Roman"/>
          <w:sz w:val="24"/>
        </w:rPr>
        <w:t>(8). Retrieved from https://www.mdpi.com/2072-4292/15/8/2118</w:t>
      </w:r>
    </w:p>
    <w:p w14:paraId="6098EE2D" w14:textId="77777777" w:rsidR="005129E4" w:rsidRDefault="00565856">
      <w:pPr>
        <w:pStyle w:val="10"/>
        <w:spacing w:line="240" w:lineRule="auto"/>
        <w:rPr>
          <w:rFonts w:ascii="Times New Roman" w:hAnsi="Times New Roman" w:cs="Times New Roman"/>
          <w:sz w:val="24"/>
        </w:rPr>
      </w:pPr>
      <w:r>
        <w:rPr>
          <w:rFonts w:ascii="Times New Roman" w:hAnsi="Times New Roman" w:cs="Times New Roman"/>
          <w:sz w:val="24"/>
        </w:rPr>
        <w:t xml:space="preserve">Yang, H., Liu, X., &amp; Song, K. (2022). A novel gradient boosting regression tree technique optimized by improved sparrow search algorithm for predicting TBM penetration rate. </w:t>
      </w:r>
      <w:r>
        <w:rPr>
          <w:rFonts w:ascii="Times New Roman" w:hAnsi="Times New Roman" w:cs="Times New Roman"/>
          <w:i/>
          <w:iCs/>
          <w:sz w:val="24"/>
        </w:rPr>
        <w:t>Arabian Journal of Geosciences</w:t>
      </w:r>
      <w:r>
        <w:rPr>
          <w:rFonts w:ascii="Times New Roman" w:hAnsi="Times New Roman" w:cs="Times New Roman"/>
          <w:sz w:val="24"/>
        </w:rPr>
        <w:t xml:space="preserve">, </w:t>
      </w:r>
      <w:r>
        <w:rPr>
          <w:rFonts w:ascii="Times New Roman" w:hAnsi="Times New Roman" w:cs="Times New Roman"/>
          <w:i/>
          <w:iCs/>
          <w:sz w:val="24"/>
        </w:rPr>
        <w:t>15</w:t>
      </w:r>
      <w:r>
        <w:rPr>
          <w:rFonts w:ascii="Times New Roman" w:hAnsi="Times New Roman" w:cs="Times New Roman"/>
          <w:sz w:val="24"/>
        </w:rPr>
        <w:t>(6), 461.</w:t>
      </w:r>
    </w:p>
    <w:bookmarkEnd w:id="2"/>
    <w:p w14:paraId="65F61F0B" w14:textId="77777777" w:rsidR="005129E4" w:rsidRDefault="005129E4">
      <w:pPr>
        <w:adjustRightInd w:val="0"/>
        <w:snapToGrid w:val="0"/>
        <w:spacing w:line="240" w:lineRule="auto"/>
        <w:rPr>
          <w:rFonts w:ascii="Times New Roman" w:hAnsi="Times New Roman" w:cs="Times New Roman"/>
          <w:sz w:val="21"/>
          <w:szCs w:val="21"/>
        </w:rPr>
      </w:pPr>
    </w:p>
    <w:p w14:paraId="2E11DC03" w14:textId="77777777" w:rsidR="005129E4" w:rsidRDefault="005129E4">
      <w:pPr>
        <w:rPr>
          <w:rFonts w:hint="eastAsia"/>
        </w:rPr>
      </w:pPr>
    </w:p>
    <w:sectPr w:rsidR="005129E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BE501" w14:textId="77777777" w:rsidR="005129E4" w:rsidRDefault="00565856">
      <w:pPr>
        <w:spacing w:line="240" w:lineRule="auto"/>
        <w:rPr>
          <w:rFonts w:hint="eastAsia"/>
        </w:rPr>
      </w:pPr>
      <w:r>
        <w:separator/>
      </w:r>
    </w:p>
  </w:endnote>
  <w:endnote w:type="continuationSeparator" w:id="0">
    <w:p w14:paraId="0475A5A1" w14:textId="77777777" w:rsidR="005129E4" w:rsidRDefault="00565856">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imes">
    <w:altName w:val="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KaTeX_Size1">
    <w:altName w:val="ESRI AMFM Electric"/>
    <w:charset w:val="00"/>
    <w:family w:val="auto"/>
    <w:pitch w:val="default"/>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65E54" w14:textId="77777777" w:rsidR="005129E4" w:rsidRDefault="00565856">
      <w:pPr>
        <w:spacing w:after="0"/>
        <w:rPr>
          <w:rFonts w:hint="eastAsia"/>
        </w:rPr>
      </w:pPr>
      <w:r>
        <w:separator/>
      </w:r>
    </w:p>
  </w:footnote>
  <w:footnote w:type="continuationSeparator" w:id="0">
    <w:p w14:paraId="6A54D0F6" w14:textId="77777777" w:rsidR="005129E4" w:rsidRDefault="00565856">
      <w:pPr>
        <w:spacing w:after="0"/>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5CE4F51"/>
    <w:multiLevelType w:val="singleLevel"/>
    <w:tmpl w:val="95CE4F51"/>
    <w:lvl w:ilvl="0">
      <w:start w:val="1"/>
      <w:numFmt w:val="decimal"/>
      <w:suff w:val="space"/>
      <w:lvlText w:val="(%1)"/>
      <w:lvlJc w:val="left"/>
    </w:lvl>
  </w:abstractNum>
  <w:num w:numId="1" w16cid:durableId="1318609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2F9"/>
    <w:rsid w:val="0000193E"/>
    <w:rsid w:val="000169DA"/>
    <w:rsid w:val="00021BDD"/>
    <w:rsid w:val="00024B29"/>
    <w:rsid w:val="00034C2C"/>
    <w:rsid w:val="00035C61"/>
    <w:rsid w:val="00041674"/>
    <w:rsid w:val="000516A1"/>
    <w:rsid w:val="000A38C4"/>
    <w:rsid w:val="000A4F6A"/>
    <w:rsid w:val="000C53B2"/>
    <w:rsid w:val="000D2F03"/>
    <w:rsid w:val="000E4CAC"/>
    <w:rsid w:val="00143CCF"/>
    <w:rsid w:val="00145C62"/>
    <w:rsid w:val="001606C1"/>
    <w:rsid w:val="00193789"/>
    <w:rsid w:val="001A5BC6"/>
    <w:rsid w:val="001D7133"/>
    <w:rsid w:val="001F624D"/>
    <w:rsid w:val="001F76C4"/>
    <w:rsid w:val="002134CD"/>
    <w:rsid w:val="00245694"/>
    <w:rsid w:val="002B2037"/>
    <w:rsid w:val="002B3118"/>
    <w:rsid w:val="002B751C"/>
    <w:rsid w:val="002B7A1B"/>
    <w:rsid w:val="002C0372"/>
    <w:rsid w:val="002C0AAE"/>
    <w:rsid w:val="002D306C"/>
    <w:rsid w:val="002D4B9E"/>
    <w:rsid w:val="00310238"/>
    <w:rsid w:val="0033602B"/>
    <w:rsid w:val="003419C4"/>
    <w:rsid w:val="0035515A"/>
    <w:rsid w:val="00386B2A"/>
    <w:rsid w:val="003A6A94"/>
    <w:rsid w:val="003B1177"/>
    <w:rsid w:val="003C14AD"/>
    <w:rsid w:val="003D3341"/>
    <w:rsid w:val="003E45F4"/>
    <w:rsid w:val="004063C9"/>
    <w:rsid w:val="004270AC"/>
    <w:rsid w:val="00435B92"/>
    <w:rsid w:val="00436138"/>
    <w:rsid w:val="00441B11"/>
    <w:rsid w:val="00463814"/>
    <w:rsid w:val="004738C4"/>
    <w:rsid w:val="00475CCC"/>
    <w:rsid w:val="00490507"/>
    <w:rsid w:val="00494AE4"/>
    <w:rsid w:val="004B616C"/>
    <w:rsid w:val="004B796B"/>
    <w:rsid w:val="004C11D7"/>
    <w:rsid w:val="004C3179"/>
    <w:rsid w:val="004C71A8"/>
    <w:rsid w:val="004D6C40"/>
    <w:rsid w:val="004D73AF"/>
    <w:rsid w:val="004E2B62"/>
    <w:rsid w:val="004F3CFC"/>
    <w:rsid w:val="004F62C3"/>
    <w:rsid w:val="005048D4"/>
    <w:rsid w:val="00506CBD"/>
    <w:rsid w:val="005129E4"/>
    <w:rsid w:val="00520598"/>
    <w:rsid w:val="005210B1"/>
    <w:rsid w:val="005236BC"/>
    <w:rsid w:val="005248C5"/>
    <w:rsid w:val="005250D3"/>
    <w:rsid w:val="00531554"/>
    <w:rsid w:val="00534395"/>
    <w:rsid w:val="00553794"/>
    <w:rsid w:val="00554373"/>
    <w:rsid w:val="00565856"/>
    <w:rsid w:val="005957A7"/>
    <w:rsid w:val="00596076"/>
    <w:rsid w:val="005A2630"/>
    <w:rsid w:val="005B6970"/>
    <w:rsid w:val="005C736A"/>
    <w:rsid w:val="005D0572"/>
    <w:rsid w:val="005D127E"/>
    <w:rsid w:val="005D1766"/>
    <w:rsid w:val="005F7C24"/>
    <w:rsid w:val="00600621"/>
    <w:rsid w:val="0062070C"/>
    <w:rsid w:val="0062642A"/>
    <w:rsid w:val="00633ECA"/>
    <w:rsid w:val="0063412D"/>
    <w:rsid w:val="00653C09"/>
    <w:rsid w:val="0066222E"/>
    <w:rsid w:val="006679DF"/>
    <w:rsid w:val="00672170"/>
    <w:rsid w:val="006769DB"/>
    <w:rsid w:val="0067759F"/>
    <w:rsid w:val="0068087E"/>
    <w:rsid w:val="006836F8"/>
    <w:rsid w:val="00684CE1"/>
    <w:rsid w:val="00687B04"/>
    <w:rsid w:val="006A6B3F"/>
    <w:rsid w:val="006C150A"/>
    <w:rsid w:val="006C44F1"/>
    <w:rsid w:val="006E18FA"/>
    <w:rsid w:val="006E6EF7"/>
    <w:rsid w:val="006F10E1"/>
    <w:rsid w:val="00707BAE"/>
    <w:rsid w:val="00717C75"/>
    <w:rsid w:val="00736872"/>
    <w:rsid w:val="00736B6F"/>
    <w:rsid w:val="00740552"/>
    <w:rsid w:val="0074143D"/>
    <w:rsid w:val="007422F9"/>
    <w:rsid w:val="00754DF6"/>
    <w:rsid w:val="007571F3"/>
    <w:rsid w:val="0076082F"/>
    <w:rsid w:val="007673E0"/>
    <w:rsid w:val="007C0F21"/>
    <w:rsid w:val="007C3BC4"/>
    <w:rsid w:val="007C75AF"/>
    <w:rsid w:val="007E0CF5"/>
    <w:rsid w:val="007E3026"/>
    <w:rsid w:val="007E3A74"/>
    <w:rsid w:val="00803ECE"/>
    <w:rsid w:val="00805CFA"/>
    <w:rsid w:val="00866D4C"/>
    <w:rsid w:val="00871546"/>
    <w:rsid w:val="008B40EF"/>
    <w:rsid w:val="008B572D"/>
    <w:rsid w:val="008F4DD5"/>
    <w:rsid w:val="009125EF"/>
    <w:rsid w:val="00924A72"/>
    <w:rsid w:val="00945667"/>
    <w:rsid w:val="00975A20"/>
    <w:rsid w:val="00987529"/>
    <w:rsid w:val="00990E77"/>
    <w:rsid w:val="009A3959"/>
    <w:rsid w:val="009E5C1A"/>
    <w:rsid w:val="009E7FA1"/>
    <w:rsid w:val="00A4096A"/>
    <w:rsid w:val="00A47C4C"/>
    <w:rsid w:val="00A76FEA"/>
    <w:rsid w:val="00A8581E"/>
    <w:rsid w:val="00A90766"/>
    <w:rsid w:val="00A96A8D"/>
    <w:rsid w:val="00AA1601"/>
    <w:rsid w:val="00AB390D"/>
    <w:rsid w:val="00AD516E"/>
    <w:rsid w:val="00AD5708"/>
    <w:rsid w:val="00AE6C56"/>
    <w:rsid w:val="00AF2251"/>
    <w:rsid w:val="00B03A32"/>
    <w:rsid w:val="00B138F8"/>
    <w:rsid w:val="00B13E3F"/>
    <w:rsid w:val="00B17615"/>
    <w:rsid w:val="00B20E0C"/>
    <w:rsid w:val="00B67D4D"/>
    <w:rsid w:val="00B72758"/>
    <w:rsid w:val="00B95A71"/>
    <w:rsid w:val="00BB6161"/>
    <w:rsid w:val="00BB720F"/>
    <w:rsid w:val="00BC58B3"/>
    <w:rsid w:val="00BE11CC"/>
    <w:rsid w:val="00BE5356"/>
    <w:rsid w:val="00C05458"/>
    <w:rsid w:val="00C068D7"/>
    <w:rsid w:val="00C104EB"/>
    <w:rsid w:val="00C11873"/>
    <w:rsid w:val="00C12125"/>
    <w:rsid w:val="00C41EEB"/>
    <w:rsid w:val="00C71E4D"/>
    <w:rsid w:val="00C814D1"/>
    <w:rsid w:val="00C8495B"/>
    <w:rsid w:val="00CB5F32"/>
    <w:rsid w:val="00CF1CEC"/>
    <w:rsid w:val="00CF34AF"/>
    <w:rsid w:val="00CF4CD5"/>
    <w:rsid w:val="00D35027"/>
    <w:rsid w:val="00D47A8E"/>
    <w:rsid w:val="00D63AA5"/>
    <w:rsid w:val="00D7160F"/>
    <w:rsid w:val="00DB0696"/>
    <w:rsid w:val="00DC734B"/>
    <w:rsid w:val="00DF1569"/>
    <w:rsid w:val="00DF2C01"/>
    <w:rsid w:val="00E05CB3"/>
    <w:rsid w:val="00E17729"/>
    <w:rsid w:val="00E17EB0"/>
    <w:rsid w:val="00E351D5"/>
    <w:rsid w:val="00E37129"/>
    <w:rsid w:val="00E64551"/>
    <w:rsid w:val="00EA2B77"/>
    <w:rsid w:val="00EB0A1A"/>
    <w:rsid w:val="00EC7A41"/>
    <w:rsid w:val="00ED375A"/>
    <w:rsid w:val="00EF1CC3"/>
    <w:rsid w:val="00F0433F"/>
    <w:rsid w:val="00F043D1"/>
    <w:rsid w:val="00F111E0"/>
    <w:rsid w:val="00F3233A"/>
    <w:rsid w:val="00F3387F"/>
    <w:rsid w:val="00F33AD1"/>
    <w:rsid w:val="00F4275E"/>
    <w:rsid w:val="00F46733"/>
    <w:rsid w:val="00F47265"/>
    <w:rsid w:val="00F53E70"/>
    <w:rsid w:val="00F57FB3"/>
    <w:rsid w:val="00F6425D"/>
    <w:rsid w:val="00F6469A"/>
    <w:rsid w:val="00F71B32"/>
    <w:rsid w:val="00F820F0"/>
    <w:rsid w:val="00F86A62"/>
    <w:rsid w:val="00F97AA1"/>
    <w:rsid w:val="00FA1D7C"/>
    <w:rsid w:val="00FB09B7"/>
    <w:rsid w:val="00FB1256"/>
    <w:rsid w:val="00FB57A3"/>
    <w:rsid w:val="00FC1D3A"/>
    <w:rsid w:val="00FC3A6A"/>
    <w:rsid w:val="00FC4570"/>
    <w:rsid w:val="00FD15A1"/>
    <w:rsid w:val="00FD4469"/>
    <w:rsid w:val="00FF17ED"/>
    <w:rsid w:val="0428457E"/>
    <w:rsid w:val="0E4D3F08"/>
    <w:rsid w:val="168A560C"/>
    <w:rsid w:val="1C2838BF"/>
    <w:rsid w:val="1F5D41BA"/>
    <w:rsid w:val="20636434"/>
    <w:rsid w:val="2C3D5164"/>
    <w:rsid w:val="31265A68"/>
    <w:rsid w:val="3ACA22B9"/>
    <w:rsid w:val="3FAF60DA"/>
    <w:rsid w:val="48F36B7F"/>
    <w:rsid w:val="49B95884"/>
    <w:rsid w:val="52F01B82"/>
    <w:rsid w:val="65D605E8"/>
    <w:rsid w:val="699B2AD1"/>
    <w:rsid w:val="6A460022"/>
    <w:rsid w:val="74774F7C"/>
    <w:rsid w:val="74C643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4434CE"/>
  <w15:docId w15:val="{9EA2B960-F26D-4F1C-AB5B-DF647BEFC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rFonts w:asciiTheme="minorHAnsi" w:eastAsiaTheme="minorEastAsia" w:hAnsiTheme="minorHAnsi" w:cstheme="minorBidi"/>
      <w:kern w:val="2"/>
      <w:sz w:val="22"/>
      <w:szCs w:val="24"/>
      <w14:ligatures w14:val="standardContextual"/>
    </w:rPr>
  </w:style>
  <w:style w:type="paragraph" w:styleId="4">
    <w:name w:val="heading 4"/>
    <w:basedOn w:val="a"/>
    <w:next w:val="a"/>
    <w:uiPriority w:val="9"/>
    <w:semiHidden/>
    <w:unhideWhenUsed/>
    <w:qFormat/>
    <w:pPr>
      <w:spacing w:beforeAutospacing="1" w:after="0" w:afterAutospacing="1"/>
      <w:outlineLvl w:val="3"/>
    </w:pPr>
    <w:rPr>
      <w:rFonts w:ascii="宋体" w:eastAsia="宋体" w:hAnsi="宋体" w:cs="Times New Roman" w:hint="eastAsia"/>
      <w:b/>
      <w:bCs/>
      <w:kern w:val="0"/>
      <w:sz w:val="24"/>
    </w:rPr>
  </w:style>
  <w:style w:type="paragraph" w:styleId="5">
    <w:name w:val="heading 5"/>
    <w:basedOn w:val="a"/>
    <w:next w:val="a"/>
    <w:uiPriority w:val="9"/>
    <w:semiHidden/>
    <w:unhideWhenUsed/>
    <w:qFormat/>
    <w:pPr>
      <w:spacing w:beforeAutospacing="1" w:after="0" w:afterAutospacing="1"/>
      <w:outlineLvl w:val="4"/>
    </w:pPr>
    <w:rPr>
      <w:rFonts w:ascii="宋体" w:eastAsia="宋体" w:hAnsi="宋体" w:cs="Times New Roman" w:hint="eastAsia"/>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spacing w:line="240" w:lineRule="auto"/>
    </w:pPr>
    <w:rPr>
      <w:sz w:val="18"/>
      <w:szCs w:val="18"/>
    </w:rPr>
  </w:style>
  <w:style w:type="paragraph" w:styleId="a5">
    <w:name w:val="header"/>
    <w:basedOn w:val="a"/>
    <w:link w:val="a6"/>
    <w:uiPriority w:val="99"/>
    <w:unhideWhenUsed/>
    <w:qFormat/>
    <w:pPr>
      <w:tabs>
        <w:tab w:val="center" w:pos="4153"/>
        <w:tab w:val="right" w:pos="8306"/>
      </w:tabs>
      <w:snapToGrid w:val="0"/>
      <w:spacing w:line="240" w:lineRule="auto"/>
      <w:jc w:val="center"/>
    </w:pPr>
    <w:rPr>
      <w:sz w:val="18"/>
      <w:szCs w:val="18"/>
    </w:rPr>
  </w:style>
  <w:style w:type="paragraph" w:styleId="HTML">
    <w:name w:val="HTML Preformatted"/>
    <w:basedOn w:val="a"/>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cs="Times New Roman" w:hint="eastAsia"/>
      <w:kern w:val="0"/>
      <w:sz w:val="24"/>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22"/>
    <w:qFormat/>
    <w:rPr>
      <w:b/>
    </w:rPr>
  </w:style>
  <w:style w:type="character" w:styleId="a9">
    <w:name w:val="FollowedHyperlink"/>
    <w:basedOn w:val="a0"/>
    <w:uiPriority w:val="99"/>
    <w:semiHidden/>
    <w:unhideWhenUsed/>
    <w:qFormat/>
    <w:rPr>
      <w:color w:val="96607D" w:themeColor="followedHyperlink"/>
      <w:u w:val="single"/>
    </w:rPr>
  </w:style>
  <w:style w:type="character" w:styleId="aa">
    <w:name w:val="Hyperlink"/>
    <w:basedOn w:val="a0"/>
    <w:uiPriority w:val="99"/>
    <w:unhideWhenUsed/>
    <w:qFormat/>
    <w:rPr>
      <w:color w:val="467886" w:themeColor="hyperlink"/>
      <w:u w:val="single"/>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styleId="ab">
    <w:name w:val="List Paragraph"/>
    <w:basedOn w:val="a"/>
    <w:uiPriority w:val="34"/>
    <w:qFormat/>
    <w:pPr>
      <w:ind w:firstLineChars="200" w:firstLine="420"/>
    </w:pPr>
  </w:style>
  <w:style w:type="character" w:customStyle="1" w:styleId="1">
    <w:name w:val="未处理的提及1"/>
    <w:basedOn w:val="a0"/>
    <w:uiPriority w:val="99"/>
    <w:semiHidden/>
    <w:unhideWhenUsed/>
    <w:qFormat/>
    <w:rPr>
      <w:color w:val="605E5C"/>
      <w:shd w:val="clear" w:color="auto" w:fill="E1DFDD"/>
    </w:rPr>
  </w:style>
  <w:style w:type="paragraph" w:customStyle="1" w:styleId="10">
    <w:name w:val="书目1"/>
    <w:basedOn w:val="a"/>
    <w:next w:val="a"/>
    <w:uiPriority w:val="37"/>
    <w:unhideWhenUsed/>
    <w:qFormat/>
    <w:pPr>
      <w:spacing w:after="0" w:line="480" w:lineRule="auto"/>
      <w:ind w:left="720" w:hanging="720"/>
    </w:pPr>
  </w:style>
  <w:style w:type="paragraph" w:customStyle="1" w:styleId="BIEmailAddress">
    <w:name w:val="BI_Email_Address"/>
    <w:basedOn w:val="a"/>
    <w:next w:val="a"/>
    <w:qFormat/>
    <w:pPr>
      <w:widowControl/>
      <w:spacing w:after="200" w:line="480" w:lineRule="auto"/>
      <w:jc w:val="both"/>
    </w:pPr>
    <w:rPr>
      <w:rFonts w:ascii="Times" w:eastAsia="宋体" w:hAnsi="Times" w:cs="Times New Roman"/>
      <w:kern w:val="0"/>
      <w:sz w:val="24"/>
      <w:szCs w:val="20"/>
      <w:lang w:eastAsia="en-US"/>
      <w14:ligatures w14:val="none"/>
    </w:rPr>
  </w:style>
  <w:style w:type="paragraph" w:styleId="ac">
    <w:name w:val="Revision"/>
    <w:hidden/>
    <w:uiPriority w:val="99"/>
    <w:unhideWhenUsed/>
    <w:rsid w:val="004D6C40"/>
    <w:rPr>
      <w:rFonts w:asciiTheme="minorHAnsi" w:eastAsiaTheme="minorEastAsia" w:hAnsiTheme="minorHAnsi" w:cstheme="minorBidi"/>
      <w:kern w:val="2"/>
      <w:sz w:val="2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F99D0-60A5-4AE9-B533-85914125AE0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1519</Words>
  <Characters>9186</Characters>
  <Application>Microsoft Office Word</Application>
  <DocSecurity>0</DocSecurity>
  <Lines>76</Lines>
  <Paragraphs>21</Paragraphs>
  <ScaleCrop>false</ScaleCrop>
  <Company/>
  <LinksUpToDate>false</LinksUpToDate>
  <CharactersWithSpaces>10684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玉倩 刘</dc:creator>
  <cp:lastModifiedBy>Duan GL</cp:lastModifiedBy>
  <cp:revision>3</cp:revision>
  <dcterms:created xsi:type="dcterms:W3CDTF">2025-06-26T09:56:00Z</dcterms:created>
  <dcterms:modified xsi:type="dcterms:W3CDTF">2025-06-26T09:57:00Z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zotero-version="7.0.9"&gt;&lt;session id="I0oKSmJl"/&gt;&lt;style id="http://www.zotero.org/styles/apa-5th-edition" locale="en-GB" hasBibliography="1" bibliographyStyleHasBeenSet="1"/&gt;&lt;prefs&gt;&lt;pref name="fieldType" value="Field"/&gt;&lt;/prefs&gt;&lt;/data&gt;</vt:lpwstr>
  </property>
  <property fmtid="{D5CDD505-2E9C-101B-9397-08002B2CF9AE}" pid="3" name="KSOTemplateDocerSaveRecord">
    <vt:lpwstr>eyJoZGlkIjoiYTQ0MjIxNDljOGQ5YjVlZTgzMWRkYTgzZDE1YTJhYzYiLCJ1c2VySWQiOiI0NTU1NTA2MDIifQ==</vt:lpwstr>
  </property>
  <property fmtid="{D5CDD505-2E9C-101B-9397-08002B2CF9AE}" pid="4" name="KSOProductBuildVer">
    <vt:lpwstr>2052-12.1.0.21541</vt:lpwstr>
  </property>
  <property fmtid="{D5CDD505-2E9C-101B-9397-08002B2CF9AE}" pid="5" name="ICV">
    <vt:lpwstr>61263924AC2D42C9AFC0D1FC0A380D6F_13</vt:lpwstr>
  </property>
</Properties>
</file>