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Hlk26354981"/>
      <w:r>
        <w:rPr>
          <w:rFonts w:ascii="Times New Roman" w:hAnsi="Times New Roman" w:cs="Times New Roman"/>
          <w:b/>
          <w:sz w:val="28"/>
        </w:rPr>
        <w:t>Support Information</w:t>
      </w:r>
      <w:bookmarkEnd w:id="0"/>
    </w:p>
    <w:p>
      <w:pPr>
        <w:pStyle w:val="2"/>
        <w:spacing w:line="480" w:lineRule="auto"/>
      </w:pPr>
      <w:r>
        <w:t>S</w:t>
      </w:r>
      <w:r>
        <w:rPr>
          <w:rFonts w:hint="eastAsia"/>
        </w:rPr>
        <w:t>upporting</w:t>
      </w:r>
      <w:r>
        <w:t xml:space="preserve"> Materials and Methods</w:t>
      </w:r>
    </w:p>
    <w:p>
      <w:pPr>
        <w:pStyle w:val="3"/>
        <w:spacing w:line="480" w:lineRule="auto"/>
      </w:pPr>
      <w:r>
        <w:t>Determination of peanut yield and soil properties</w:t>
      </w:r>
    </w:p>
    <w:p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peanut of each plot was collected and weighed to record the yield. Soil pH was determined by Shanghai Reitz pH meter (pHs-3C); soil organic matter</w:t>
      </w:r>
      <w:r>
        <w:rPr>
          <w:rFonts w:hint="eastAsia" w:ascii="Times New Roman" w:hAnsi="Times New Roman" w:cs="Times New Roman"/>
          <w:sz w:val="24"/>
        </w:rPr>
        <w:t xml:space="preserve"> (SOC)</w:t>
      </w:r>
      <w:r>
        <w:rPr>
          <w:rFonts w:ascii="Times New Roman" w:hAnsi="Times New Roman" w:cs="Times New Roman"/>
          <w:sz w:val="24"/>
        </w:rPr>
        <w:t xml:space="preserve"> was determined by potassium dichromate volumetric method; soil total nitrogen was determined by Kjeldahl method with flow injection meter</w:t>
      </w:r>
      <w:r>
        <w:rPr>
          <w:rFonts w:hint="eastAsia" w:ascii="Times New Roman" w:hAnsi="Times New Roman" w:cs="Times New Roman"/>
          <w:sz w:val="24"/>
        </w:rPr>
        <w:t xml:space="preserve"> (</w:t>
      </w:r>
      <w:r>
        <w:fldChar w:fldCharType="begin"/>
      </w:r>
      <w:r>
        <w:instrText xml:space="preserve"> HYPERLINK \l "bo" </w:instrText>
      </w:r>
      <w:r>
        <w:fldChar w:fldCharType="separate"/>
      </w:r>
      <w:r>
        <w:rPr>
          <w:rStyle w:val="13"/>
          <w:rFonts w:hint="eastAsia"/>
        </w:rPr>
        <w:t>Bowman, 1988</w:t>
      </w:r>
      <w:r>
        <w:rPr>
          <w:rStyle w:val="13"/>
          <w:rFonts w:hint="eastAsia"/>
        </w:rPr>
        <w:fldChar w:fldCharType="end"/>
      </w:r>
      <w:r>
        <w:rPr>
          <w:rFonts w:hint="eastAsia"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; soil total phosphorus was determined by alkali fusion-molybdenum antimony antimicrobial colorimetric method with ultraviolet spectrophotometer</w:t>
      </w:r>
      <w:r>
        <w:rPr>
          <w:rFonts w:hint="eastAsia" w:ascii="Times New Roman" w:hAnsi="Times New Roman" w:cs="Times New Roman"/>
          <w:sz w:val="24"/>
        </w:rPr>
        <w:t xml:space="preserve"> (</w:t>
      </w:r>
      <w:r>
        <w:fldChar w:fldCharType="begin"/>
      </w:r>
      <w:r>
        <w:instrText xml:space="preserve"> HYPERLINK \l "wa" </w:instrText>
      </w:r>
      <w:r>
        <w:fldChar w:fldCharType="separate"/>
      </w:r>
      <w:r>
        <w:rPr>
          <w:rStyle w:val="13"/>
          <w:rFonts w:hint="eastAsia"/>
        </w:rPr>
        <w:t>Walkley and Black, 1934</w:t>
      </w:r>
      <w:r>
        <w:rPr>
          <w:rStyle w:val="13"/>
          <w:rFonts w:hint="eastAsia"/>
        </w:rPr>
        <w:fldChar w:fldCharType="end"/>
      </w:r>
      <w:r>
        <w:rPr>
          <w:rFonts w:hint="eastAsia"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; soil total potassium was determined by alkali fusion-atomic absorption method; soil alkaline nitrogen was determined by alkaline diffusion method</w:t>
      </w:r>
      <w:r>
        <w:rPr>
          <w:rFonts w:hint="eastAsia" w:ascii="Times New Roman" w:hAnsi="Times New Roman" w:cs="Times New Roman"/>
          <w:sz w:val="24"/>
        </w:rPr>
        <w:t xml:space="preserve"> (</w:t>
      </w:r>
      <w:r>
        <w:fldChar w:fldCharType="begin"/>
      </w:r>
      <w:r>
        <w:instrText xml:space="preserve"> HYPERLINK \l "ai" </w:instrText>
      </w:r>
      <w:r>
        <w:fldChar w:fldCharType="separate"/>
      </w:r>
      <w:r>
        <w:rPr>
          <w:rStyle w:val="13"/>
          <w:rFonts w:hint="eastAsia"/>
        </w:rPr>
        <w:t>Ai et al., 2017</w:t>
      </w:r>
      <w:r>
        <w:rPr>
          <w:rStyle w:val="13"/>
          <w:rFonts w:hint="eastAsia"/>
        </w:rPr>
        <w:fldChar w:fldCharType="end"/>
      </w:r>
      <w:r>
        <w:rPr>
          <w:rFonts w:hint="eastAsia"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; available phosphorus (AP) was determined using the molybdenum blue colorimetry method</w:t>
      </w:r>
      <w:r>
        <w:rPr>
          <w:rFonts w:hint="eastAsia" w:ascii="Times New Roman" w:hAnsi="Times New Roman" w:cs="Times New Roman"/>
          <w:sz w:val="24"/>
        </w:rPr>
        <w:t xml:space="preserve"> (</w:t>
      </w:r>
      <w:r>
        <w:fldChar w:fldCharType="begin"/>
      </w:r>
      <w:r>
        <w:instrText xml:space="preserve"> HYPERLINK \l "st" </w:instrText>
      </w:r>
      <w:r>
        <w:fldChar w:fldCharType="separate"/>
      </w:r>
      <w:r>
        <w:rPr>
          <w:rStyle w:val="13"/>
          <w:rFonts w:hint="eastAsia"/>
        </w:rPr>
        <w:t>Ståhlberg, 1980</w:t>
      </w:r>
      <w:r>
        <w:rPr>
          <w:rStyle w:val="13"/>
          <w:rFonts w:hint="eastAsia"/>
        </w:rPr>
        <w:fldChar w:fldCharType="end"/>
      </w:r>
      <w:r>
        <w:rPr>
          <w:rFonts w:hint="eastAsia"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; soil quick-acting potassium was determined by ammonium acetate leaching-flame photometer method.</w:t>
      </w:r>
    </w:p>
    <w:p>
      <w:pPr>
        <w:spacing w:line="480" w:lineRule="auto"/>
        <w:rPr>
          <w:rFonts w:ascii="Times New Roman" w:hAnsi="Times New Roman" w:cs="Times New Roman"/>
          <w:sz w:val="24"/>
        </w:rPr>
      </w:pPr>
    </w:p>
    <w:p>
      <w:pPr>
        <w:pStyle w:val="2"/>
        <w:spacing w:line="480" w:lineRule="auto"/>
      </w:pPr>
      <w:r>
        <w:rPr>
          <w:rFonts w:hint="eastAsia"/>
        </w:rPr>
        <w:t>R</w:t>
      </w:r>
      <w:r>
        <w:t>eference:</w:t>
      </w:r>
    </w:p>
    <w:p>
      <w:pPr>
        <w:spacing w:line="480" w:lineRule="auto"/>
        <w:ind w:left="720" w:hanging="720" w:hangingChars="300"/>
        <w:jc w:val="left"/>
        <w:rPr>
          <w:rFonts w:ascii="Times New Roman" w:hAnsi="Times New Roman" w:cs="Times New Roman"/>
          <w:sz w:val="24"/>
        </w:rPr>
      </w:pPr>
      <w:bookmarkStart w:id="1" w:name="ai"/>
      <w:r>
        <w:rPr>
          <w:rFonts w:ascii="Times New Roman" w:hAnsi="Times New Roman" w:cs="Times New Roman"/>
          <w:sz w:val="24"/>
        </w:rPr>
        <w:t>Ai, Z.M., He, L.R., Xin, Q., Yang, T., Liu, G.B., Xue, S., 2017. Slope aspect affects the nonstructural carbohydrates and C: N: P stoichiometry of Artemisia sacrorum on the Loess Plateau in China. Catena 152, 9</w:t>
      </w:r>
      <w:r>
        <w:rPr>
          <w:rFonts w:hint="eastAsia"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17.</w:t>
      </w:r>
    </w:p>
    <w:bookmarkEnd w:id="1"/>
    <w:p>
      <w:pPr>
        <w:spacing w:line="480" w:lineRule="auto"/>
        <w:ind w:left="720" w:hanging="720" w:hangingChars="300"/>
        <w:jc w:val="left"/>
        <w:rPr>
          <w:rFonts w:ascii="Times New Roman" w:hAnsi="Times New Roman" w:cs="Times New Roman"/>
          <w:sz w:val="24"/>
        </w:rPr>
      </w:pPr>
      <w:bookmarkStart w:id="2" w:name="bo"/>
      <w:r>
        <w:rPr>
          <w:rFonts w:hint="eastAsia" w:ascii="Times New Roman" w:hAnsi="Times New Roman" w:cs="Times New Roman"/>
          <w:sz w:val="24"/>
        </w:rPr>
        <w:t xml:space="preserve">Bowman, R.A., 1988. A rapid method to determine total phosphorus in soils. Soil Science Society of America Journal 52, 1301-1304. </w:t>
      </w:r>
      <w:bookmarkEnd w:id="2"/>
      <w:bookmarkStart w:id="3" w:name="st"/>
    </w:p>
    <w:p>
      <w:pPr>
        <w:spacing w:line="480" w:lineRule="auto"/>
        <w:ind w:left="720" w:hanging="720" w:hangingChars="300"/>
        <w:jc w:val="left"/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t>Ståhlberg, S., 1980. A New Extraction Method for Estimation of Plant-available P, K and Mg: A Trial Application in Swedish Cultivated Soils. Acta Agriculturae Scandinavica 30, 93-107.</w:t>
      </w:r>
      <w:bookmarkEnd w:id="3"/>
    </w:p>
    <w:p>
      <w:pPr>
        <w:spacing w:line="480" w:lineRule="auto"/>
        <w:ind w:left="720" w:hanging="720" w:hangingChars="300"/>
        <w:jc w:val="left"/>
        <w:rPr>
          <w:rFonts w:ascii="Times New Roman" w:hAnsi="Times New Roman" w:cs="Times New Roman"/>
          <w:sz w:val="24"/>
        </w:rPr>
      </w:pPr>
      <w:bookmarkStart w:id="4" w:name="wa"/>
      <w:r>
        <w:rPr>
          <w:rFonts w:hint="eastAsia" w:ascii="Times New Roman" w:hAnsi="Times New Roman" w:cs="Times New Roman"/>
          <w:sz w:val="24"/>
        </w:rPr>
        <w:t>Walkley, A., Black, I.A., 1934. An examination of the Degtjareff method for determining soil organic matter, and a proposed modification of the chromic acid titration method. Soil Science 37, 29-38.</w:t>
      </w:r>
    </w:p>
    <w:bookmarkEnd w:id="4"/>
    <w:p>
      <w:pPr>
        <w:spacing w:line="480" w:lineRule="auto"/>
        <w:jc w:val="left"/>
        <w:rPr>
          <w:rFonts w:ascii="Times New Roman" w:hAnsi="Times New Roman" w:cs="Times New Roman"/>
          <w:sz w:val="24"/>
        </w:rPr>
        <w:sectPr>
          <w:headerReference r:id="rId4" w:type="first"/>
          <w:footerReference r:id="rId7" w:type="first"/>
          <w:footerReference r:id="rId5" w:type="default"/>
          <w:headerReference r:id="rId3" w:type="even"/>
          <w:footerReference r:id="rId6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pgNumType w:start="1"/>
          <w:cols w:space="425" w:num="1"/>
          <w:docGrid w:type="lines" w:linePitch="312" w:charSpace="0"/>
        </w:sectPr>
      </w:pPr>
    </w:p>
    <w:p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Table S1</w:t>
      </w:r>
      <w:r>
        <w:rPr>
          <w:rFonts w:hint="eastAsia" w:ascii="Times New Roman" w:hAnsi="Times New Roman" w:eastAsia="宋体" w:cs="Times New Roman"/>
          <w:b/>
          <w:bCs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 xml:space="preserve">Pearson correlation </w:t>
      </w:r>
      <w:r>
        <w:rPr>
          <w:rFonts w:ascii="Times New Roman" w:hAnsi="Times New Roman" w:eastAsia="宋体" w:cs="Times New Roman"/>
          <w:sz w:val="24"/>
        </w:rPr>
        <w:t>between</w:t>
      </w:r>
      <w:r>
        <w:rPr>
          <w:rFonts w:hint="eastAsia" w:ascii="Times New Roman" w:hAnsi="Times New Roman" w:eastAsia="宋体" w:cs="Times New Roman"/>
          <w:sz w:val="24"/>
        </w:rPr>
        <w:t xml:space="preserve"> fungal </w:t>
      </w:r>
      <w:r>
        <w:rPr>
          <w:rFonts w:ascii="Times New Roman" w:hAnsi="Times New Roman" w:eastAsia="宋体" w:cs="Times New Roman"/>
          <w:sz w:val="24"/>
        </w:rPr>
        <w:t>index (</w:t>
      </w:r>
      <w:r>
        <w:rPr>
          <w:rFonts w:hint="eastAsia" w:ascii="Times New Roman" w:hAnsi="Times New Roman" w:eastAsia="宋体" w:cs="Times New Roman"/>
          <w:sz w:val="24"/>
        </w:rPr>
        <w:t>abundance and alpha-diversity</w:t>
      </w:r>
      <w:r>
        <w:rPr>
          <w:rFonts w:ascii="Times New Roman" w:hAnsi="Times New Roman" w:eastAsia="宋体" w:cs="Times New Roman"/>
          <w:sz w:val="24"/>
        </w:rPr>
        <w:t>)</w:t>
      </w:r>
      <w:r>
        <w:rPr>
          <w:rFonts w:hint="eastAsia" w:ascii="Times New Roman" w:hAnsi="Times New Roman" w:eastAsia="宋体" w:cs="Times New Roman"/>
          <w:sz w:val="24"/>
        </w:rPr>
        <w:t xml:space="preserve"> </w:t>
      </w:r>
      <w:r>
        <w:rPr>
          <w:rFonts w:ascii="Times New Roman" w:hAnsi="Times New Roman" w:eastAsia="宋体" w:cs="Times New Roman"/>
          <w:sz w:val="24"/>
        </w:rPr>
        <w:t xml:space="preserve">and </w:t>
      </w:r>
      <w:r>
        <w:rPr>
          <w:rFonts w:hint="eastAsia" w:ascii="Times New Roman" w:hAnsi="Times New Roman" w:eastAsia="宋体" w:cs="Times New Roman"/>
          <w:sz w:val="24"/>
        </w:rPr>
        <w:t xml:space="preserve">soil properties. *: 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hint="eastAsia" w:ascii="Times New Roman" w:hAnsi="Times New Roman" w:eastAsia="宋体" w:cs="Times New Roman"/>
          <w:sz w:val="24"/>
        </w:rPr>
        <w:t xml:space="preserve"> &lt; 0.05; **: 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hint="eastAsia" w:ascii="Times New Roman" w:hAnsi="Times New Roman" w:eastAsia="宋体" w:cs="Times New Roman"/>
          <w:sz w:val="24"/>
        </w:rPr>
        <w:t xml:space="preserve"> &lt; 0.01; ***: 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hint="eastAsia" w:ascii="Times New Roman" w:hAnsi="Times New Roman" w:eastAsia="宋体" w:cs="Times New Roman"/>
          <w:sz w:val="24"/>
        </w:rPr>
        <w:t xml:space="preserve"> &lt; 0.001.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2130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Soil properties</w:t>
            </w:r>
          </w:p>
        </w:tc>
        <w:tc>
          <w:tcPr>
            <w:tcW w:w="2130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Abundance</w:t>
            </w:r>
          </w:p>
        </w:tc>
        <w:tc>
          <w:tcPr>
            <w:tcW w:w="213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Simpson </w:t>
            </w:r>
            <w:r>
              <w:rPr>
                <w:rFonts w:hint="eastAsia" w:ascii="Times New Roman" w:hAnsi="Times New Roman" w:cs="Times New Roman"/>
                <w:b/>
                <w:bCs/>
                <w:sz w:val="22"/>
                <w:szCs w:val="22"/>
              </w:rPr>
              <w:t>evenness</w:t>
            </w:r>
          </w:p>
        </w:tc>
        <w:tc>
          <w:tcPr>
            <w:tcW w:w="213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OTU richness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pH</w:t>
            </w:r>
          </w:p>
        </w:tc>
        <w:tc>
          <w:tcPr>
            <w:tcW w:w="2130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-0.218</w:t>
            </w:r>
          </w:p>
        </w:tc>
        <w:tc>
          <w:tcPr>
            <w:tcW w:w="2131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0.429</w:t>
            </w:r>
          </w:p>
        </w:tc>
        <w:tc>
          <w:tcPr>
            <w:tcW w:w="2131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-0.290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SOC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0.455*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- 0.540*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0.536*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SBD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(g/m</w:t>
            </w:r>
            <w:r>
              <w:rPr>
                <w:rFonts w:ascii="Times New Roman" w:hAnsi="Times New Roman"/>
                <w:kern w:val="2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-0.618**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0.356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-0.255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TN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0.313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-0.576**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0.577**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TP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-0.148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0.043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-0.167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TK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0.206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-0.176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-0.098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AP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(mg/kg)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-0.490*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0.273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-0.133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AK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(mg/kg)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0.185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0.218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-0.238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NH4</w:t>
            </w:r>
            <w:r>
              <w:rPr>
                <w:rFonts w:ascii="Times New Roman" w:hAnsi="Times New Roman"/>
                <w:kern w:val="2"/>
                <w:sz w:val="22"/>
                <w:szCs w:val="22"/>
                <w:vertAlign w:val="superscript"/>
              </w:rPr>
              <w:t>+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-N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(mg/kg)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0.197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-0.158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0.096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NO3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  <w:vertAlign w:val="superscript"/>
              </w:rPr>
              <w:t>-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-N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(mg/kg)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0.800**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-0.566**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0.119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DOC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(mg/kg)</w:t>
            </w:r>
          </w:p>
        </w:tc>
        <w:tc>
          <w:tcPr>
            <w:tcW w:w="2130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0.120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-0.259</w:t>
            </w:r>
          </w:p>
        </w:tc>
        <w:tc>
          <w:tcPr>
            <w:tcW w:w="213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0.564**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DON</w:t>
            </w:r>
            <w:r>
              <w:rPr>
                <w:rFonts w:hint="eastAsia" w:ascii="Times New Roman" w:hAnsi="Times New Roman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2"/>
                <w:szCs w:val="22"/>
              </w:rPr>
              <w:t>(mg/kg)</w:t>
            </w:r>
          </w:p>
        </w:tc>
        <w:tc>
          <w:tcPr>
            <w:tcW w:w="2130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0.253</w:t>
            </w:r>
          </w:p>
        </w:tc>
        <w:tc>
          <w:tcPr>
            <w:tcW w:w="2131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-0.418</w:t>
            </w:r>
          </w:p>
        </w:tc>
        <w:tc>
          <w:tcPr>
            <w:tcW w:w="2131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0.444*</w:t>
            </w:r>
          </w:p>
        </w:tc>
      </w:tr>
    </w:tbl>
    <w:p>
      <w:pPr>
        <w:spacing w:line="480" w:lineRule="auto"/>
        <w:rPr>
          <w:rFonts w:ascii="Times New Roman" w:hAnsi="Times New Roman" w:cs="Times New Roman"/>
          <w:sz w:val="2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cs="Times New Roman"/>
          <w:sz w:val="24"/>
        </w:rPr>
      </w:pPr>
      <w:bookmarkStart w:id="5" w:name="_GoBack"/>
      <w:r>
        <w:rPr>
          <w:rFonts w:hint="eastAsia" w:ascii="Times New Roman" w:hAnsi="Times New Roman" w:eastAsia="宋体" w:cs="Times New Roman"/>
          <w:b/>
          <w:bCs/>
          <w:sz w:val="24"/>
        </w:rPr>
        <w:t>Table S2.</w:t>
      </w:r>
      <w:r>
        <w:rPr>
          <w:rFonts w:hint="eastAsia" w:ascii="Times New Roman" w:hAnsi="Times New Roman" w:cs="Times New Roman"/>
          <w:sz w:val="24"/>
        </w:rPr>
        <w:t xml:space="preserve"> SIMPER analysis showing the contribution of fungal species to the differences of fungal community composition between the CK and green manure treatment. CK group: without the rotation of green manure and peanut; HV group: peanut-hairy vetch rotation; RG group: peanut-ryegrass rotation; RD group: peanut-radish rotation.</w:t>
      </w:r>
    </w:p>
    <w:tbl>
      <w:tblPr>
        <w:tblStyle w:val="11"/>
        <w:tblW w:w="0" w:type="auto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9"/>
        <w:gridCol w:w="2800"/>
        <w:gridCol w:w="2800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Group</w:t>
            </w:r>
          </w:p>
        </w:tc>
        <w:tc>
          <w:tcPr>
            <w:tcW w:w="2800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S</w:t>
            </w:r>
            <w:r>
              <w:rPr>
                <w:rFonts w:hint="eastAsia"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pecies</w:t>
            </w:r>
          </w:p>
        </w:tc>
        <w:tc>
          <w:tcPr>
            <w:tcW w:w="2800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Contribution</w:t>
            </w:r>
            <w:r>
              <w:rPr>
                <w:rFonts w:hint="eastAsia"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(%)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CK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VS 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HV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Candida athensensis</w:t>
            </w:r>
          </w:p>
        </w:tc>
        <w:tc>
          <w:tcPr>
            <w:tcW w:w="280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18.5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Gibberella fujikuroi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15.3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Mortierella camargensis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8.9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Aspergillus niger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7.9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Didymella exigua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5.2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CK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VS 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RG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Mortierella camargensis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18.5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Gibberella fujikuroi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14.4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Aspergillus niger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7.8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Didymella exigua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3.7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Schizothecium glutinans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3.6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CK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VS 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RD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Mortierella camargensis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22.4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Gibberella fujikuroi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11.9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Aspergillus niger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8.9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Aspergillus flavus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5.3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799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Didymella exigua</w:t>
            </w:r>
          </w:p>
        </w:tc>
        <w:tc>
          <w:tcPr>
            <w:tcW w:w="2800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4.0</w:t>
            </w:r>
          </w:p>
        </w:tc>
      </w:tr>
    </w:tbl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cs="Times New Roman"/>
          <w:sz w:val="2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bookmarkEnd w:id="5"/>
    <w:p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t>Table S3: Indicator fungal species in different treatments. CK group: without the rotation of green manure and peanut; HV group: peanut-hairy vetch rotation; RG group: peanut-ryegrass rotation; RD group: peanut-radish rotation.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2"/>
        <w:gridCol w:w="1387"/>
        <w:gridCol w:w="2975"/>
        <w:gridCol w:w="1187"/>
        <w:gridCol w:w="17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Group</w:t>
            </w:r>
          </w:p>
        </w:tc>
        <w:tc>
          <w:tcPr>
            <w:tcW w:w="1704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Indicator</w:t>
            </w:r>
            <w:r>
              <w:rPr>
                <w:rFonts w:hint="eastAsia"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value</w:t>
            </w:r>
          </w:p>
        </w:tc>
        <w:tc>
          <w:tcPr>
            <w:tcW w:w="1704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Fungal sepcies</w:t>
            </w:r>
          </w:p>
        </w:tc>
        <w:tc>
          <w:tcPr>
            <w:tcW w:w="1705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kern w:val="2"/>
                <w:sz w:val="22"/>
                <w:szCs w:val="22"/>
              </w:rPr>
              <w:t>P</w:t>
            </w:r>
          </w:p>
        </w:tc>
        <w:tc>
          <w:tcPr>
            <w:tcW w:w="1705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Relative</w:t>
            </w:r>
          </w:p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"/>
                <w:sz w:val="22"/>
                <w:szCs w:val="22"/>
              </w:rPr>
              <w:t> abundance (%)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CK</w:t>
            </w:r>
          </w:p>
        </w:tc>
        <w:tc>
          <w:tcPr>
            <w:tcW w:w="1704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0.624</w:t>
            </w:r>
          </w:p>
        </w:tc>
        <w:tc>
          <w:tcPr>
            <w:tcW w:w="1704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Aspergillus niger</w:t>
            </w:r>
          </w:p>
        </w:tc>
        <w:tc>
          <w:tcPr>
            <w:tcW w:w="1705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0.033</w:t>
            </w:r>
          </w:p>
        </w:tc>
        <w:tc>
          <w:tcPr>
            <w:tcW w:w="1705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4.300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0.403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Penicillium levitum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0.048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2.123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0.68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Olpidium brassicae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0.012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0.507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0.68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7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Mortierella amoeboidea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0.002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0.23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0.8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00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Ganoderma lingzhi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0.003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0.11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0.57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Purpureocillium lilacinum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0.028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0.08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0.89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 Veronaeopsis simplex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0.03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0.07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0.94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 Curvularia lunata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0.75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9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Macrophomina phaseolina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0.005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0.04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0.8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00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 Schizophyllum commune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0.003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HV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0.95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Scedosporium prolificans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0.035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0.229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0.68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Aureobasidium pullulans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0.016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RG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 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0.644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Schizothecium glutinans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0.001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2.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0.921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Humicola nigrescens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0.017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0.266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0.67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5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Cladorrhinum bulbillosum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0.015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0.13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0.729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Arthrographis kalrae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0.034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0.11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0.919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Phialocephala hiberna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0.025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0.10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0.79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Mrakia frigida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0.004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0.8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00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Fusarium tricinctum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0.005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RD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0.357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Mortierella camargensis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0.045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25.53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0.966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 Cryptococcus terreus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0.003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0.38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0.932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Chaetomium bostrychodes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0.019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0.13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0.77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Basidiobolus heterosporus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0.013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0.97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Metarhizium pinghaense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0.005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0.05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0.84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Scolecobasidium terreum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0.002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0.05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0.734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Cryptococcus victoriae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0.043</w:t>
            </w:r>
          </w:p>
        </w:tc>
        <w:tc>
          <w:tcPr>
            <w:tcW w:w="1705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0.6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00</w:t>
            </w:r>
          </w:p>
        </w:tc>
        <w:tc>
          <w:tcPr>
            <w:tcW w:w="1704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color w:val="000000"/>
                <w:kern w:val="2"/>
                <w:sz w:val="22"/>
                <w:szCs w:val="22"/>
              </w:rPr>
              <w:t> Toxicocladosporium strelitziae</w:t>
            </w:r>
          </w:p>
        </w:tc>
        <w:tc>
          <w:tcPr>
            <w:tcW w:w="1705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0.037</w:t>
            </w:r>
          </w:p>
        </w:tc>
        <w:tc>
          <w:tcPr>
            <w:tcW w:w="1705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0.019</w:t>
            </w:r>
          </w:p>
        </w:tc>
      </w:tr>
    </w:tbl>
    <w:p>
      <w:pPr>
        <w:spacing w:line="480" w:lineRule="auto"/>
        <w:rPr>
          <w:rFonts w:ascii="Times New Roman" w:hAnsi="Times New Roman" w:cs="Times New Roman"/>
          <w:sz w:val="2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Table S</w:t>
      </w:r>
      <w:r>
        <w:rPr>
          <w:rFonts w:hint="eastAsia" w:ascii="Times New Roman" w:hAnsi="Times New Roman" w:eastAsia="宋体" w:cs="Times New Roman"/>
          <w:b/>
          <w:bCs/>
          <w:sz w:val="24"/>
        </w:rPr>
        <w:t xml:space="preserve">4. </w:t>
      </w:r>
      <w:r>
        <w:rPr>
          <w:rFonts w:hint="eastAsia" w:ascii="Times New Roman" w:hAnsi="Times New Roman" w:eastAsia="宋体" w:cs="Times New Roman"/>
          <w:sz w:val="24"/>
        </w:rPr>
        <w:t xml:space="preserve">The Pearson correlation </w:t>
      </w:r>
      <w:r>
        <w:rPr>
          <w:rFonts w:ascii="Times New Roman" w:hAnsi="Times New Roman" w:eastAsia="宋体" w:cs="Times New Roman"/>
          <w:sz w:val="24"/>
        </w:rPr>
        <w:t>between</w:t>
      </w:r>
      <w:r>
        <w:rPr>
          <w:rFonts w:hint="eastAsia" w:ascii="Times New Roman" w:hAnsi="Times New Roman" w:eastAsia="宋体" w:cs="Times New Roman"/>
          <w:sz w:val="24"/>
        </w:rPr>
        <w:t xml:space="preserve"> </w:t>
      </w:r>
      <w:r>
        <w:rPr>
          <w:rFonts w:ascii="Times New Roman" w:hAnsi="Times New Roman" w:eastAsia="宋体" w:cs="Times New Roman"/>
          <w:sz w:val="24"/>
        </w:rPr>
        <w:t>fungal index (</w:t>
      </w:r>
      <w:r>
        <w:rPr>
          <w:rFonts w:hint="eastAsia" w:ascii="Times New Roman" w:hAnsi="Times New Roman" w:eastAsia="宋体" w:cs="Times New Roman"/>
          <w:sz w:val="24"/>
        </w:rPr>
        <w:t xml:space="preserve">relative abundance </w:t>
      </w:r>
      <w:r>
        <w:rPr>
          <w:rFonts w:ascii="Times New Roman" w:hAnsi="Times New Roman" w:eastAsia="宋体" w:cs="Times New Roman"/>
          <w:sz w:val="24"/>
        </w:rPr>
        <w:t>of p</w:t>
      </w:r>
      <w:r>
        <w:rPr>
          <w:rFonts w:hint="eastAsia" w:ascii="Times New Roman" w:hAnsi="Times New Roman" w:eastAsia="宋体" w:cs="Times New Roman"/>
          <w:sz w:val="24"/>
        </w:rPr>
        <w:t xml:space="preserve">lant </w:t>
      </w:r>
      <w:r>
        <w:rPr>
          <w:rFonts w:ascii="Times New Roman" w:hAnsi="Times New Roman" w:eastAsia="宋体" w:cs="Times New Roman"/>
          <w:sz w:val="24"/>
        </w:rPr>
        <w:t>p</w:t>
      </w:r>
      <w:r>
        <w:rPr>
          <w:rFonts w:hint="eastAsia" w:ascii="Times New Roman" w:hAnsi="Times New Roman" w:eastAsia="宋体" w:cs="Times New Roman"/>
          <w:sz w:val="24"/>
        </w:rPr>
        <w:t xml:space="preserve">athogen and </w:t>
      </w:r>
      <w:r>
        <w:rPr>
          <w:rFonts w:ascii="Times New Roman" w:hAnsi="Times New Roman" w:eastAsia="宋体" w:cs="Times New Roman"/>
          <w:sz w:val="24"/>
        </w:rPr>
        <w:t>saprotroph) and soil properties and crop productivity</w:t>
      </w:r>
      <w:r>
        <w:rPr>
          <w:rFonts w:hint="eastAsia" w:ascii="Times New Roman" w:hAnsi="Times New Roman" w:eastAsia="宋体" w:cs="Times New Roman"/>
          <w:sz w:val="24"/>
        </w:rPr>
        <w:t xml:space="preserve">. *: 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hint="eastAsia" w:ascii="Times New Roman" w:hAnsi="Times New Roman" w:eastAsia="宋体" w:cs="Times New Roman"/>
          <w:sz w:val="24"/>
        </w:rPr>
        <w:t xml:space="preserve"> &lt; 0.05; **: 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hint="eastAsia" w:ascii="Times New Roman" w:hAnsi="Times New Roman" w:eastAsia="宋体" w:cs="Times New Roman"/>
          <w:sz w:val="24"/>
        </w:rPr>
        <w:t xml:space="preserve"> &lt; 0.01.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9"/>
        <w:gridCol w:w="1623"/>
        <w:gridCol w:w="1623"/>
        <w:gridCol w:w="1623"/>
        <w:gridCol w:w="16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Soil properties</w:t>
            </w:r>
          </w:p>
        </w:tc>
        <w:tc>
          <w:tcPr>
            <w:tcW w:w="3246" w:type="dxa"/>
            <w:gridSpan w:val="2"/>
            <w:tcBorders>
              <w:top w:val="single" w:color="auto" w:sz="12" w:space="0"/>
            </w:tcBorders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Plant pathogen</w:t>
            </w:r>
          </w:p>
        </w:tc>
        <w:tc>
          <w:tcPr>
            <w:tcW w:w="3247" w:type="dxa"/>
            <w:gridSpan w:val="2"/>
            <w:tcBorders>
              <w:top w:val="single" w:color="auto" w:sz="12" w:space="0"/>
            </w:tcBorders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Plant s</w:t>
            </w:r>
            <w:r>
              <w:rPr>
                <w:rFonts w:hint="eastAsia" w:ascii="Times New Roman" w:hAnsi="Times New Roman"/>
                <w:b/>
                <w:bCs/>
                <w:color w:val="000000"/>
                <w:sz w:val="22"/>
                <w:szCs w:val="22"/>
              </w:rPr>
              <w:t>aprotroph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vMerge w:val="continue"/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</w:pPr>
          </w:p>
        </w:tc>
        <w:tc>
          <w:tcPr>
            <w:tcW w:w="6493" w:type="dxa"/>
            <w:gridSpan w:val="4"/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2"/>
                <w:szCs w:val="22"/>
              </w:rPr>
              <w:t>R</w:t>
            </w: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elative abundance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vMerge w:val="continue"/>
            <w:tcBorders>
              <w:bottom w:val="single" w:color="auto" w:sz="4" w:space="0"/>
            </w:tcBorders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623" w:type="dxa"/>
            <w:tcBorders>
              <w:bottom w:val="single" w:color="auto" w:sz="4" w:space="0"/>
            </w:tcBorders>
            <w:vAlign w:val="center"/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r</w:t>
            </w:r>
          </w:p>
        </w:tc>
        <w:tc>
          <w:tcPr>
            <w:tcW w:w="1623" w:type="dxa"/>
            <w:tcBorders>
              <w:bottom w:val="single" w:color="auto" w:sz="4" w:space="0"/>
            </w:tcBorders>
            <w:vAlign w:val="center"/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P</w:t>
            </w:r>
          </w:p>
        </w:tc>
        <w:tc>
          <w:tcPr>
            <w:tcW w:w="1623" w:type="dxa"/>
            <w:tcBorders>
              <w:bottom w:val="single" w:color="auto" w:sz="4" w:space="0"/>
            </w:tcBorders>
            <w:vAlign w:val="center"/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r</w:t>
            </w:r>
          </w:p>
        </w:tc>
        <w:tc>
          <w:tcPr>
            <w:tcW w:w="1624" w:type="dxa"/>
            <w:tcBorders>
              <w:bottom w:val="single" w:color="auto" w:sz="4" w:space="0"/>
            </w:tcBorders>
            <w:vAlign w:val="center"/>
          </w:tcPr>
          <w:p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P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pH</w:t>
            </w:r>
          </w:p>
        </w:tc>
        <w:tc>
          <w:tcPr>
            <w:tcW w:w="1623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0.270</w:t>
            </w:r>
          </w:p>
        </w:tc>
        <w:tc>
          <w:tcPr>
            <w:tcW w:w="1623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0.249</w:t>
            </w:r>
          </w:p>
        </w:tc>
        <w:tc>
          <w:tcPr>
            <w:tcW w:w="1623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-0.116</w:t>
            </w:r>
          </w:p>
        </w:tc>
        <w:tc>
          <w:tcPr>
            <w:tcW w:w="1624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0.625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SBD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(g/m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0.549*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0.012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-0.419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SOC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-0.593**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0.006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0.261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0.267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TN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-0.379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0.099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0.348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0.133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TP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0.410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0.072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0.068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0.777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TK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0.098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0.682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0.161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0.498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AP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(mg/kg)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0.385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0.093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-0.066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0.783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AK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(mg/kg)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0.266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0.257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0.152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0.523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NH4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  <w:vertAlign w:val="superscript"/>
              </w:rPr>
              <w:t>+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-N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(mg/kg)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0.074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0.758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0.122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0.608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NO3</w:t>
            </w:r>
            <w:r>
              <w:rPr>
                <w:rFonts w:hint="eastAsia" w:ascii="Times New Roman" w:hAnsi="Times New Roman"/>
                <w:color w:val="000000"/>
                <w:vertAlign w:val="superscript"/>
              </w:rPr>
              <w:t>-</w:t>
            </w:r>
            <w:r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N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(mg/kg)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-0.698**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0.001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0.283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0.227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DOC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(mg/kg)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0.044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0.854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0.155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0.514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DON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(mg/kg)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-0.232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0.324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-0.017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0.945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Peanut yield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(kg/ha)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-0.573**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0.008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0.558*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029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ascii="Times New Roman" w:hAnsi="Times New Roman"/>
                <w:color w:val="000000"/>
                <w:kern w:val="2"/>
                <w:sz w:val="22"/>
                <w:szCs w:val="22"/>
              </w:rPr>
              <w:t>Straw yield</w:t>
            </w: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 xml:space="preserve"> (kg/ha)</w:t>
            </w:r>
          </w:p>
        </w:tc>
        <w:tc>
          <w:tcPr>
            <w:tcW w:w="1623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-0.405</w:t>
            </w:r>
          </w:p>
        </w:tc>
        <w:tc>
          <w:tcPr>
            <w:tcW w:w="1623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0.076</w:t>
            </w:r>
          </w:p>
        </w:tc>
        <w:tc>
          <w:tcPr>
            <w:tcW w:w="1623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0.520*</w:t>
            </w:r>
          </w:p>
        </w:tc>
        <w:tc>
          <w:tcPr>
            <w:tcW w:w="1624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/>
                <w:color w:val="000000"/>
                <w:kern w:val="2"/>
                <w:sz w:val="22"/>
                <w:szCs w:val="22"/>
              </w:rPr>
              <w:t>0.019</w:t>
            </w:r>
          </w:p>
        </w:tc>
      </w:tr>
    </w:tbl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eastAsia="宋体" w:cs="Times New Roman"/>
          <w:sz w:val="2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>
      <w:pPr>
        <w:spacing w:line="48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 xml:space="preserve">Table S5. </w:t>
      </w:r>
      <w:r>
        <w:rPr>
          <w:rFonts w:hint="eastAsia" w:ascii="Times New Roman" w:hAnsi="Times New Roman" w:eastAsia="宋体" w:cs="Times New Roman"/>
          <w:sz w:val="24"/>
        </w:rPr>
        <w:t xml:space="preserve">Topological </w:t>
      </w:r>
      <w:r>
        <w:rPr>
          <w:rFonts w:ascii="Times New Roman" w:hAnsi="Times New Roman" w:eastAsia="宋体" w:cs="Times New Roman"/>
          <w:sz w:val="24"/>
        </w:rPr>
        <w:t>propertie</w:t>
      </w:r>
      <w:r>
        <w:rPr>
          <w:rFonts w:hint="eastAsia" w:ascii="Times New Roman" w:hAnsi="Times New Roman" w:eastAsia="宋体" w:cs="Times New Roman"/>
          <w:sz w:val="24"/>
        </w:rPr>
        <w:t>s of soil fungal network</w:t>
      </w:r>
      <w:r>
        <w:rPr>
          <w:rFonts w:ascii="Times New Roman" w:hAnsi="Times New Roman" w:eastAsia="宋体" w:cs="Times New Roman"/>
          <w:sz w:val="24"/>
        </w:rPr>
        <w:t>s</w:t>
      </w:r>
      <w:r>
        <w:rPr>
          <w:rFonts w:hint="eastAsia" w:ascii="Times New Roman" w:hAnsi="Times New Roman" w:eastAsia="宋体" w:cs="Times New Roman"/>
          <w:sz w:val="24"/>
        </w:rPr>
        <w:t xml:space="preserve"> under different treatments</w:t>
      </w:r>
      <w:r>
        <w:rPr>
          <w:rFonts w:ascii="Times New Roman" w:hAnsi="Times New Roman" w:eastAsia="宋体" w:cs="Times New Roman"/>
          <w:sz w:val="24"/>
        </w:rPr>
        <w:t>. CK group: without the rotation of green manure and peanut; HV group: peanut-hairy vetch rotation; RG group: peanut-ryegrass rotation; RD group: peanut-radish rotation.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17"/>
        <w:gridCol w:w="1201"/>
        <w:gridCol w:w="1201"/>
        <w:gridCol w:w="1201"/>
        <w:gridCol w:w="12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hint="eastAsia" w:ascii="Times New Roman" w:hAnsi="Times New Roman"/>
                <w:b/>
                <w:bCs/>
              </w:rPr>
              <w:t>Topological characteristics</w:t>
            </w:r>
          </w:p>
        </w:tc>
        <w:tc>
          <w:tcPr>
            <w:tcW w:w="120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hint="eastAsia" w:ascii="Times New Roman" w:hAnsi="Times New Roman"/>
                <w:b/>
                <w:bCs/>
              </w:rPr>
              <w:t>CK</w:t>
            </w:r>
          </w:p>
        </w:tc>
        <w:tc>
          <w:tcPr>
            <w:tcW w:w="120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hint="eastAsia" w:ascii="Times New Roman" w:hAnsi="Times New Roman"/>
                <w:b/>
                <w:bCs/>
              </w:rPr>
              <w:t>HV</w:t>
            </w:r>
          </w:p>
        </w:tc>
        <w:tc>
          <w:tcPr>
            <w:tcW w:w="120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hint="eastAsia" w:ascii="Times New Roman" w:hAnsi="Times New Roman"/>
                <w:b/>
                <w:bCs/>
              </w:rPr>
              <w:t>RG</w:t>
            </w:r>
          </w:p>
        </w:tc>
        <w:tc>
          <w:tcPr>
            <w:tcW w:w="1202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pStyle w:val="8"/>
              <w:widowControl/>
              <w:spacing w:beforeAutospacing="0" w:afterAutospacing="0" w:line="48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hint="eastAsia" w:ascii="Times New Roman" w:hAnsi="Times New Roman"/>
                <w:b/>
                <w:bCs/>
              </w:rPr>
              <w:t>RD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Nodes</w:t>
            </w:r>
          </w:p>
        </w:tc>
        <w:tc>
          <w:tcPr>
            <w:tcW w:w="1201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361</w:t>
            </w:r>
          </w:p>
        </w:tc>
        <w:tc>
          <w:tcPr>
            <w:tcW w:w="1201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412</w:t>
            </w:r>
          </w:p>
        </w:tc>
        <w:tc>
          <w:tcPr>
            <w:tcW w:w="1201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388</w:t>
            </w:r>
          </w:p>
        </w:tc>
        <w:tc>
          <w:tcPr>
            <w:tcW w:w="1202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386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Edges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3793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4797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3743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4882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Density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0.061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0.057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0.050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0.066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Modularity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0.722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0.744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0.808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0.825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Degree (Average)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22.01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23.29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19.29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25.30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Network diameter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12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11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12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Clustering coefficient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0.869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0.844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0.845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0.879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Path length (Average)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2.283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2.367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2.169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1.723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Closeness centrality (Average)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0.681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0.608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0.641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0.739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Betweenness centrality (Average)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26.14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34.27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22.35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13.71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17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Eigenvector centrality (Average)</w:t>
            </w:r>
          </w:p>
        </w:tc>
        <w:tc>
          <w:tcPr>
            <w:tcW w:w="1201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0.239</w:t>
            </w:r>
          </w:p>
        </w:tc>
        <w:tc>
          <w:tcPr>
            <w:tcW w:w="1201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0.259</w:t>
            </w:r>
          </w:p>
        </w:tc>
        <w:tc>
          <w:tcPr>
            <w:tcW w:w="1201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0.268</w:t>
            </w:r>
          </w:p>
        </w:tc>
        <w:tc>
          <w:tcPr>
            <w:tcW w:w="1202" w:type="dxa"/>
            <w:tcBorders>
              <w:bottom w:val="single" w:color="auto" w:sz="12" w:space="0"/>
            </w:tcBorders>
            <w:vAlign w:val="center"/>
          </w:tcPr>
          <w:p>
            <w:pPr>
              <w:pStyle w:val="8"/>
              <w:spacing w:beforeAutospacing="0" w:afterAutospacing="0"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0.435</w:t>
            </w:r>
          </w:p>
        </w:tc>
      </w:tr>
    </w:tbl>
    <w:p>
      <w:pPr>
        <w:spacing w:line="480" w:lineRule="auto"/>
        <w:rPr>
          <w:rFonts w:ascii="Times New Roman" w:hAnsi="Times New Roman" w:eastAsia="宋体" w:cs="Times New Roman"/>
          <w:sz w:val="2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>
      <w:pPr>
        <w:spacing w:line="480" w:lineRule="auto"/>
        <w:rPr>
          <w:rFonts w:ascii="Times New Roman" w:hAnsi="Times New Roman" w:eastAsia="宋体" w:cs="Times New Roman"/>
          <w:sz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drawing>
          <wp:inline distT="0" distB="0" distL="114300" distR="114300">
            <wp:extent cx="4906010" cy="3366135"/>
            <wp:effectExtent l="0" t="0" r="8890" b="12065"/>
            <wp:docPr id="5" name="图片 5" descr="D:\Desktop\11.7号提交\Fig.S1.tifFig.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:\Desktop\11.7号提交\Fig.S1.tifFig.S1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6010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0" w:lineRule="auto"/>
        <w:rPr>
          <w:rFonts w:ascii="Times New Roman" w:hAnsi="Times New Roman" w:eastAsia="宋体"/>
          <w:sz w:val="2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宋体"/>
          <w:b/>
          <w:bCs/>
          <w:sz w:val="24"/>
        </w:rPr>
        <w:t>Figure S1.</w:t>
      </w:r>
      <w:r>
        <w:rPr>
          <w:rFonts w:hint="eastAsia" w:ascii="Times New Roman" w:hAnsi="Times New Roman" w:eastAsia="宋体"/>
          <w:sz w:val="24"/>
        </w:rPr>
        <w:t xml:space="preserve"> The biomass of green manure from 2022 to 2024. </w:t>
      </w:r>
      <w:r>
        <w:rPr>
          <w:rFonts w:ascii="Times New Roman" w:hAnsi="Times New Roman" w:eastAsia="宋体"/>
          <w:sz w:val="24"/>
        </w:rPr>
        <w:t>Letters represent significant differences from one-way ANOVA with Tukey's HSD comparisons (</w:t>
      </w:r>
      <w:r>
        <w:rPr>
          <w:rFonts w:ascii="Times New Roman" w:hAnsi="Times New Roman" w:eastAsia="宋体"/>
          <w:i/>
          <w:sz w:val="24"/>
        </w:rPr>
        <w:t>P</w:t>
      </w:r>
      <w:r>
        <w:rPr>
          <w:rFonts w:ascii="Times New Roman" w:hAnsi="Times New Roman" w:eastAsia="宋体"/>
          <w:sz w:val="24"/>
        </w:rPr>
        <w:t xml:space="preserve"> &lt; 0.05)</w:t>
      </w:r>
      <w:r>
        <w:rPr>
          <w:rFonts w:hint="eastAsia" w:ascii="Times New Roman" w:hAnsi="Times New Roman" w:eastAsia="宋体"/>
          <w:sz w:val="24"/>
        </w:rPr>
        <w:t xml:space="preserve">. </w:t>
      </w:r>
      <w:r>
        <w:rPr>
          <w:rFonts w:ascii="Times New Roman" w:hAnsi="Times New Roman" w:eastAsia="宋体"/>
          <w:sz w:val="24"/>
        </w:rPr>
        <w:t>HV group: peanut-hairy vetch rotation; RG group: peanut-ryegrass rotation; RD group: peanut-radish rotation</w:t>
      </w:r>
      <w:r>
        <w:rPr>
          <w:rFonts w:hint="eastAsia" w:ascii="Times New Roman" w:hAnsi="Times New Roman" w:eastAsia="宋体"/>
          <w:sz w:val="24"/>
        </w:rPr>
        <w:t>.</w:t>
      </w:r>
    </w:p>
    <w:p>
      <w:pPr>
        <w:spacing w:line="480" w:lineRule="auto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drawing>
          <wp:inline distT="0" distB="0" distL="114300" distR="114300">
            <wp:extent cx="5262880" cy="3820160"/>
            <wp:effectExtent l="0" t="0" r="7620" b="2540"/>
            <wp:docPr id="2" name="图片 2" descr="Fig.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.S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0" w:lineRule="auto"/>
        <w:rPr>
          <w:rFonts w:ascii="Times New Roman" w:hAnsi="Times New Roman" w:eastAsia="宋体"/>
          <w:sz w:val="2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ascii="Times New Roman" w:hAnsi="Times New Roman" w:eastAsia="宋体"/>
          <w:b/>
          <w:bCs/>
          <w:sz w:val="24"/>
        </w:rPr>
        <w:t>Figure S2</w:t>
      </w:r>
      <w:r>
        <w:rPr>
          <w:rFonts w:hint="eastAsia" w:ascii="Times New Roman" w:hAnsi="Times New Roman" w:eastAsia="宋体"/>
          <w:b/>
          <w:bCs/>
          <w:sz w:val="24"/>
        </w:rPr>
        <w:t>.</w:t>
      </w:r>
      <w:r>
        <w:rPr>
          <w:rFonts w:ascii="Times New Roman" w:hAnsi="Times New Roman" w:eastAsia="宋体"/>
          <w:sz w:val="24"/>
        </w:rPr>
        <w:t xml:space="preserve"> Effects of green manure on soil properties. Letters represent significant differences from one-way ANOVA with Tukey's HSD comparisons (</w:t>
      </w:r>
      <w:r>
        <w:rPr>
          <w:rFonts w:ascii="Times New Roman" w:hAnsi="Times New Roman" w:eastAsia="宋体"/>
          <w:i/>
          <w:sz w:val="24"/>
        </w:rPr>
        <w:t>P</w:t>
      </w:r>
      <w:r>
        <w:rPr>
          <w:rFonts w:ascii="Times New Roman" w:hAnsi="Times New Roman" w:eastAsia="宋体"/>
          <w:sz w:val="24"/>
        </w:rPr>
        <w:t xml:space="preserve"> &lt; 0.05)</w:t>
      </w:r>
      <w:r>
        <w:rPr>
          <w:rFonts w:hint="eastAsia" w:ascii="Times New Roman" w:hAnsi="Times New Roman" w:eastAsia="宋体"/>
          <w:sz w:val="24"/>
        </w:rPr>
        <w:t>.</w:t>
      </w:r>
      <w:r>
        <w:rPr>
          <w:rFonts w:ascii="Times New Roman" w:hAnsi="Times New Roman" w:eastAsia="宋体"/>
          <w:sz w:val="24"/>
        </w:rPr>
        <w:t xml:space="preserve"> CK group: without the rotation of green manure and peanut; HV group: peanut-hairy vetch rotation; RG group: peanut-ryegrass rotation; RD group: peanut-radish rotation</w:t>
      </w:r>
      <w:r>
        <w:rPr>
          <w:rFonts w:hint="eastAsia" w:ascii="Times New Roman" w:hAnsi="Times New Roman" w:eastAsia="宋体"/>
          <w:sz w:val="24"/>
        </w:rPr>
        <w:t>.</w:t>
      </w:r>
    </w:p>
    <w:p>
      <w:pPr>
        <w:spacing w:line="480" w:lineRule="auto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drawing>
          <wp:inline distT="0" distB="0" distL="114300" distR="114300">
            <wp:extent cx="5266055" cy="6880225"/>
            <wp:effectExtent l="0" t="0" r="4445" b="3175"/>
            <wp:docPr id="3" name="图片 3" descr="Fig.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.S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688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0" w:lineRule="auto"/>
        <w:rPr>
          <w:rFonts w:ascii="Times New Roman" w:hAnsi="Times New Roman" w:cs="Times New Roman"/>
          <w:sz w:val="32"/>
        </w:rPr>
      </w:pPr>
      <w:r>
        <w:rPr>
          <w:rFonts w:hint="eastAsia" w:ascii="Times New Roman" w:hAnsi="Times New Roman" w:eastAsia="宋体"/>
          <w:b/>
          <w:bCs/>
          <w:sz w:val="24"/>
        </w:rPr>
        <w:t>Figure S3.</w:t>
      </w:r>
      <w:r>
        <w:rPr>
          <w:rFonts w:hint="eastAsia" w:ascii="Times New Roman" w:hAnsi="Times New Roman" w:eastAsia="宋体"/>
          <w:sz w:val="24"/>
        </w:rPr>
        <w:t xml:space="preserve"> Relative abundance of dominant fungal phyla in different treatments. </w:t>
      </w:r>
      <w:r>
        <w:rPr>
          <w:rFonts w:ascii="Times New Roman" w:hAnsi="Times New Roman" w:eastAsia="宋体"/>
          <w:sz w:val="24"/>
        </w:rPr>
        <w:t>Letters represent significant differences from one-way ANOVA with Tukey's HSD comparisons (</w:t>
      </w:r>
      <w:r>
        <w:rPr>
          <w:rFonts w:ascii="Times New Roman" w:hAnsi="Times New Roman" w:eastAsia="宋体"/>
          <w:i/>
          <w:sz w:val="24"/>
        </w:rPr>
        <w:t>P</w:t>
      </w:r>
      <w:r>
        <w:rPr>
          <w:rFonts w:ascii="Times New Roman" w:hAnsi="Times New Roman" w:eastAsia="宋体"/>
          <w:sz w:val="24"/>
        </w:rPr>
        <w:t xml:space="preserve"> &lt; 0.05)</w:t>
      </w:r>
      <w:r>
        <w:rPr>
          <w:rFonts w:hint="eastAsia" w:ascii="Times New Roman" w:hAnsi="Times New Roman" w:eastAsia="宋体"/>
          <w:sz w:val="24"/>
        </w:rPr>
        <w:t xml:space="preserve">. </w:t>
      </w:r>
      <w:r>
        <w:rPr>
          <w:rFonts w:ascii="Times New Roman" w:hAnsi="Times New Roman" w:eastAsia="宋体"/>
          <w:sz w:val="24"/>
        </w:rPr>
        <w:t>CK group: without the rotation of green manure and peanut; HV group: peanut-hairy vetch rotation; RG group: peanut-ryegrass rotation; RD group: peanut-radish rotation.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1" w:restart="continuous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NJWO7QAAAABQEAAA8AAAAAAAAAAQAgAAAAIgAA&#10;AGRycy9kb3ducmV2LnhtbFBLAQIUABQAAAAIAIdO4kBhlWFeEAIAAAcEAAAOAAAAAAAAAAEAIAAA&#10;AB8BAABkcnMvZTJvRG9jLnhtbFBLBQYAAAAABgAGAFkBAACh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9942A2"/>
    <w:rsid w:val="00512EB1"/>
    <w:rsid w:val="00707D75"/>
    <w:rsid w:val="007C365B"/>
    <w:rsid w:val="00AE3B3C"/>
    <w:rsid w:val="00B66962"/>
    <w:rsid w:val="00B771CC"/>
    <w:rsid w:val="00C26CCE"/>
    <w:rsid w:val="06216172"/>
    <w:rsid w:val="07795D90"/>
    <w:rsid w:val="0D453308"/>
    <w:rsid w:val="0EA03A46"/>
    <w:rsid w:val="1EEE6730"/>
    <w:rsid w:val="1F506DF8"/>
    <w:rsid w:val="202D6613"/>
    <w:rsid w:val="21566EBD"/>
    <w:rsid w:val="2A1E7D65"/>
    <w:rsid w:val="34B95AB0"/>
    <w:rsid w:val="38F37166"/>
    <w:rsid w:val="3A9942A2"/>
    <w:rsid w:val="3AC06D7A"/>
    <w:rsid w:val="4104701E"/>
    <w:rsid w:val="48522A8C"/>
    <w:rsid w:val="49372CB8"/>
    <w:rsid w:val="63EF7832"/>
    <w:rsid w:val="651119BD"/>
    <w:rsid w:val="6E1C07EF"/>
    <w:rsid w:val="7292018F"/>
    <w:rsid w:val="74C4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outlineLvl w:val="0"/>
    </w:pPr>
    <w:rPr>
      <w:rFonts w:ascii="Times New Roman" w:hAnsi="Times New Roman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ascii="Times New Roman" w:hAnsi="Times New Roman" w:eastAsia="黑体"/>
      <w:b/>
      <w:sz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qFormat/>
    <w:uiPriority w:val="0"/>
    <w:pPr>
      <w:jc w:val="left"/>
    </w:pPr>
  </w:style>
  <w:style w:type="paragraph" w:styleId="5">
    <w:name w:val="Balloon Text"/>
    <w:basedOn w:val="1"/>
    <w:link w:val="19"/>
    <w:qFormat/>
    <w:uiPriority w:val="0"/>
    <w:rPr>
      <w:sz w:val="18"/>
      <w:szCs w:val="18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annotation subject"/>
    <w:basedOn w:val="4"/>
    <w:next w:val="4"/>
    <w:link w:val="18"/>
    <w:qFormat/>
    <w:uiPriority w:val="0"/>
    <w:rPr>
      <w:b/>
      <w:bCs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qFormat/>
    <w:uiPriority w:val="0"/>
    <w:rPr>
      <w:rFonts w:ascii="Times New Roman" w:hAnsi="Times New Roman" w:eastAsia="宋体"/>
      <w:color w:val="2245DE"/>
      <w:sz w:val="24"/>
      <w:szCs w:val="24"/>
      <w:u w:val="none"/>
    </w:rPr>
  </w:style>
  <w:style w:type="character" w:styleId="14">
    <w:name w:val="line number"/>
    <w:basedOn w:val="12"/>
    <w:qFormat/>
    <w:uiPriority w:val="0"/>
  </w:style>
  <w:style w:type="character" w:styleId="15">
    <w:name w:val="Hyperlink"/>
    <w:basedOn w:val="12"/>
    <w:qFormat/>
    <w:uiPriority w:val="0"/>
    <w:rPr>
      <w:color w:val="0000FF"/>
      <w:u w:val="single"/>
    </w:rPr>
  </w:style>
  <w:style w:type="character" w:styleId="16">
    <w:name w:val="annotation reference"/>
    <w:basedOn w:val="12"/>
    <w:qFormat/>
    <w:uiPriority w:val="0"/>
    <w:rPr>
      <w:sz w:val="21"/>
      <w:szCs w:val="21"/>
    </w:rPr>
  </w:style>
  <w:style w:type="character" w:customStyle="1" w:styleId="17">
    <w:name w:val="批注文字 字符"/>
    <w:basedOn w:val="12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8">
    <w:name w:val="批注主题 字符"/>
    <w:basedOn w:val="17"/>
    <w:link w:val="9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9">
    <w:name w:val="批注框文本 字符"/>
    <w:basedOn w:val="12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tiff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3.tiff"/><Relationship Id="rId10" Type="http://schemas.openxmlformats.org/officeDocument/2006/relationships/image" Target="media/image2.tif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11</Pages>
  <Words>981</Words>
  <Characters>5907</Characters>
  <Lines>50</Lines>
  <Paragraphs>14</Paragraphs>
  <TotalTime>776</TotalTime>
  <ScaleCrop>false</ScaleCrop>
  <LinksUpToDate>false</LinksUpToDate>
  <CharactersWithSpaces>6548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2025-07-30T08:29:00Z</dcterms:created>
  <dc:creator>虚拟</dc:creator>
  <cp:lastModifiedBy>Zhang</cp:lastModifiedBy>
  <dcterms:modified xsi:type="dcterms:W3CDTF">2025-11-06T01:05:03Z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