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05118" w14:textId="77777777" w:rsidR="00334349" w:rsidRDefault="00334349" w:rsidP="00334349">
      <w:pPr>
        <w:keepNext/>
        <w:widowControl/>
        <w:rPr>
          <w:rFonts w:ascii="Times New Roman" w:eastAsia="宋体" w:hAnsi="Times New Roman" w:cs="Times New Roman"/>
          <w:b/>
          <w:bCs/>
          <w:szCs w:val="21"/>
          <w14:ligatures w14:val="none"/>
        </w:rPr>
      </w:pPr>
      <w:r>
        <w:rPr>
          <w:rFonts w:ascii="Times New Roman" w:eastAsia="宋体" w:hAnsi="Times New Roman" w:cs="Times New Roman"/>
          <w:b/>
          <w:bCs/>
          <w:szCs w:val="21"/>
          <w14:ligatures w14:val="none"/>
        </w:rPr>
        <w:t xml:space="preserve">Table </w:t>
      </w:r>
      <w:r>
        <w:rPr>
          <w:rFonts w:ascii="Times New Roman" w:eastAsia="宋体" w:hAnsi="Times New Roman" w:cs="Times New Roman" w:hint="eastAsia"/>
          <w:b/>
          <w:bCs/>
          <w:szCs w:val="21"/>
          <w14:ligatures w14:val="none"/>
        </w:rPr>
        <w:t>S1</w:t>
      </w:r>
      <w:r>
        <w:rPr>
          <w:rFonts w:ascii="Times New Roman" w:eastAsia="宋体" w:hAnsi="Times New Roman" w:cs="Times New Roman"/>
          <w:b/>
          <w:bCs/>
          <w:szCs w:val="21"/>
          <w14:ligatures w14:val="none"/>
        </w:rPr>
        <w:t xml:space="preserve"> </w:t>
      </w:r>
    </w:p>
    <w:p w14:paraId="2173DBD0" w14:textId="77777777" w:rsidR="00334349" w:rsidRPr="003F41BD" w:rsidRDefault="00334349" w:rsidP="00334349">
      <w:pPr>
        <w:keepNext/>
        <w:widowControl/>
        <w:jc w:val="left"/>
        <w:rPr>
          <w:rFonts w:ascii="Times New Roman" w:eastAsia="等线" w:hAnsi="Times New Roman" w:cs="Times New Roman"/>
          <w:sz w:val="20"/>
          <w:szCs w:val="20"/>
          <w14:ligatures w14:val="none"/>
        </w:rPr>
      </w:pPr>
      <w:r w:rsidRPr="003F41BD">
        <w:rPr>
          <w:rFonts w:ascii="Times New Roman" w:eastAsia="宋体" w:hAnsi="Times New Roman" w:cs="Times New Roman" w:hint="eastAsia"/>
          <w:szCs w:val="21"/>
          <w14:ligatures w14:val="none"/>
        </w:rPr>
        <w:t xml:space="preserve">Effects of soil sterilization and nitrogen fertilization on concentrations of </w:t>
      </w:r>
      <w:r w:rsidRPr="00286FCA">
        <w:rPr>
          <w:rFonts w:ascii="Times New Roman" w:eastAsia="等线" w:hAnsi="Times New Roman" w:cs="Times New Roman"/>
          <w:sz w:val="20"/>
          <w:szCs w:val="20"/>
          <w14:ligatures w14:val="none"/>
        </w:rPr>
        <w:t>NH₄⁺-N</w:t>
      </w:r>
      <w:r>
        <w:rPr>
          <w:rFonts w:ascii="Times New Roman" w:eastAsia="等线" w:hAnsi="Times New Roman" w:cs="Times New Roman" w:hint="eastAsia"/>
          <w:sz w:val="20"/>
          <w:szCs w:val="20"/>
          <w14:ligatures w14:val="none"/>
        </w:rPr>
        <w:t xml:space="preserve"> and</w:t>
      </w:r>
      <w:r w:rsidRPr="003F41BD">
        <w:rPr>
          <w:rFonts w:ascii="Times New Roman" w:eastAsia="等线" w:hAnsi="Times New Roman" w:cs="Times New Roman"/>
          <w:sz w:val="20"/>
          <w:szCs w:val="20"/>
          <w14:ligatures w14:val="none"/>
        </w:rPr>
        <w:t xml:space="preserve"> </w:t>
      </w:r>
      <w:r w:rsidRPr="00286FCA">
        <w:rPr>
          <w:rFonts w:ascii="Times New Roman" w:eastAsia="等线" w:hAnsi="Times New Roman" w:cs="Times New Roman"/>
          <w:sz w:val="20"/>
          <w:szCs w:val="20"/>
          <w14:ligatures w14:val="none"/>
        </w:rPr>
        <w:t>NO₃⁻-N</w:t>
      </w:r>
      <w:r w:rsidRPr="003F41BD">
        <w:rPr>
          <w:rFonts w:ascii="Times New Roman" w:eastAsia="宋体" w:hAnsi="Times New Roman" w:cs="Times New Roman" w:hint="eastAsia"/>
          <w:szCs w:val="21"/>
          <w14:ligatures w14:val="none"/>
        </w:rPr>
        <w:t xml:space="preserve"> in rhizosphere soils of two rice cultivars (HHZ and MXZ)</w:t>
      </w:r>
      <w:r>
        <w:rPr>
          <w:rFonts w:ascii="Times New Roman" w:eastAsia="等线" w:hAnsi="Times New Roman" w:cs="Times New Roman" w:hint="eastAsia"/>
          <w:sz w:val="20"/>
          <w:szCs w:val="20"/>
          <w14:ligatures w14:val="none"/>
        </w:rPr>
        <w:t xml:space="preserve">. </w:t>
      </w:r>
      <w:r w:rsidRPr="003F41BD">
        <w:rPr>
          <w:rFonts w:ascii="Times New Roman" w:eastAsia="宋体" w:hAnsi="Times New Roman" w:cs="Times New Roman" w:hint="eastAsia"/>
          <w:szCs w:val="21"/>
          <w14:ligatures w14:val="none"/>
        </w:rPr>
        <w:t>Data represents as mean</w:t>
      </w:r>
      <w:r>
        <w:rPr>
          <w:rFonts w:ascii="Times New Roman" w:eastAsia="宋体" w:hAnsi="Times New Roman" w:cs="Times New Roman" w:hint="eastAsia"/>
          <w:szCs w:val="21"/>
          <w14:ligatures w14:val="none"/>
        </w:rPr>
        <w:t xml:space="preserve"> </w:t>
      </w:r>
      <w:r w:rsidRPr="003F41BD">
        <w:rPr>
          <w:rFonts w:ascii="Times New Roman" w:eastAsia="宋体" w:hAnsi="Times New Roman" w:cs="Times New Roman" w:hint="eastAsia"/>
          <w:szCs w:val="21"/>
          <w14:ligatures w14:val="none"/>
        </w:rPr>
        <w:t>±</w:t>
      </w:r>
      <w:r w:rsidRPr="003F41BD">
        <w:rPr>
          <w:rFonts w:ascii="Times New Roman" w:eastAsia="宋体" w:hAnsi="Times New Roman" w:cs="Times New Roman" w:hint="eastAsia"/>
          <w:szCs w:val="21"/>
          <w14:ligatures w14:val="none"/>
        </w:rPr>
        <w:t xml:space="preserve"> standard error (n = </w:t>
      </w:r>
      <w:r>
        <w:rPr>
          <w:rFonts w:ascii="Times New Roman" w:eastAsia="宋体" w:hAnsi="Times New Roman" w:cs="Times New Roman" w:hint="eastAsia"/>
          <w:szCs w:val="21"/>
          <w14:ligatures w14:val="none"/>
        </w:rPr>
        <w:t>4</w:t>
      </w:r>
      <w:r w:rsidRPr="003F41BD">
        <w:rPr>
          <w:rFonts w:ascii="Times New Roman" w:eastAsia="宋体" w:hAnsi="Times New Roman" w:cs="Times New Roman" w:hint="eastAsia"/>
          <w:szCs w:val="21"/>
          <w14:ligatures w14:val="none"/>
        </w:rPr>
        <w:t xml:space="preserve">). Significant differences among treatments (P &lt; 0.05) were indicated with different letters. </w:t>
      </w:r>
      <w:r w:rsidRPr="006712C8">
        <w:rPr>
          <w:rFonts w:ascii="Times New Roman" w:eastAsia="宋体" w:hAnsi="Times New Roman" w:cs="Times New Roman"/>
          <w:szCs w:val="21"/>
          <w14:ligatures w14:val="none"/>
        </w:rPr>
        <w:t>C_N and S_N represent unsterilized and sterilized soil under four nitrogen addition levels (0, 50, 100, and 200 mg N kg⁻¹), respectively.</w:t>
      </w:r>
    </w:p>
    <w:tbl>
      <w:tblPr>
        <w:tblW w:w="11199" w:type="dxa"/>
        <w:jc w:val="center"/>
        <w:tblBorders>
          <w:top w:val="single" w:sz="12" w:space="0" w:color="000000"/>
          <w:bottom w:val="single" w:sz="12" w:space="0" w:color="000000"/>
        </w:tblBorders>
        <w:tblLayout w:type="fixed"/>
        <w:tblLook w:val="04A0" w:firstRow="1" w:lastRow="0" w:firstColumn="1" w:lastColumn="0" w:noHBand="0" w:noVBand="1"/>
      </w:tblPr>
      <w:tblGrid>
        <w:gridCol w:w="1134"/>
        <w:gridCol w:w="993"/>
        <w:gridCol w:w="993"/>
        <w:gridCol w:w="992"/>
        <w:gridCol w:w="1134"/>
        <w:gridCol w:w="1134"/>
        <w:gridCol w:w="1134"/>
        <w:gridCol w:w="1275"/>
        <w:gridCol w:w="1276"/>
        <w:gridCol w:w="1134"/>
      </w:tblGrid>
      <w:tr w:rsidR="00334349" w14:paraId="115D53F5" w14:textId="77777777" w:rsidTr="00D33B65">
        <w:trPr>
          <w:trHeight w:val="280"/>
          <w:jc w:val="center"/>
        </w:trPr>
        <w:tc>
          <w:tcPr>
            <w:tcW w:w="1134" w:type="dxa"/>
            <w:tcBorders>
              <w:top w:val="single" w:sz="12" w:space="0" w:color="000000"/>
              <w:bottom w:val="single" w:sz="8" w:space="0" w:color="000000"/>
            </w:tcBorders>
            <w:noWrap/>
          </w:tcPr>
          <w:p w14:paraId="74C4891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Treatments</w:t>
            </w:r>
          </w:p>
        </w:tc>
        <w:tc>
          <w:tcPr>
            <w:tcW w:w="993" w:type="dxa"/>
            <w:tcBorders>
              <w:top w:val="single" w:sz="12" w:space="0" w:color="000000"/>
              <w:bottom w:val="single" w:sz="8" w:space="0" w:color="000000"/>
            </w:tcBorders>
          </w:tcPr>
          <w:p w14:paraId="32CBF89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宋体" w:hAnsi="Times New Roman" w:cs="Times New Roman" w:hint="eastAsia"/>
                <w:szCs w:val="21"/>
                <w14:ligatures w14:val="none"/>
              </w:rPr>
              <w:t>C</w:t>
            </w:r>
            <w:r w:rsidRPr="00FF6FC9">
              <w:rPr>
                <w:rFonts w:ascii="Times New Roman" w:eastAsia="宋体" w:hAnsi="Times New Roman" w:cs="Times New Roman"/>
                <w:szCs w:val="21"/>
                <w14:ligatures w14:val="none"/>
              </w:rPr>
              <w:t>ultivar</w:t>
            </w:r>
          </w:p>
        </w:tc>
        <w:tc>
          <w:tcPr>
            <w:tcW w:w="993" w:type="dxa"/>
            <w:tcBorders>
              <w:top w:val="single" w:sz="12" w:space="0" w:color="000000"/>
              <w:bottom w:val="single" w:sz="8" w:space="0" w:color="000000"/>
            </w:tcBorders>
            <w:noWrap/>
          </w:tcPr>
          <w:p w14:paraId="560DA75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C_N0</w:t>
            </w:r>
          </w:p>
        </w:tc>
        <w:tc>
          <w:tcPr>
            <w:tcW w:w="992" w:type="dxa"/>
            <w:tcBorders>
              <w:top w:val="single" w:sz="12" w:space="0" w:color="000000"/>
              <w:bottom w:val="single" w:sz="8" w:space="0" w:color="000000"/>
            </w:tcBorders>
            <w:noWrap/>
          </w:tcPr>
          <w:p w14:paraId="64D92AD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C_N50</w:t>
            </w:r>
          </w:p>
        </w:tc>
        <w:tc>
          <w:tcPr>
            <w:tcW w:w="1134" w:type="dxa"/>
            <w:tcBorders>
              <w:top w:val="single" w:sz="12" w:space="0" w:color="000000"/>
              <w:bottom w:val="single" w:sz="8" w:space="0" w:color="000000"/>
            </w:tcBorders>
            <w:noWrap/>
          </w:tcPr>
          <w:p w14:paraId="7A4E48F5"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C_N100</w:t>
            </w:r>
          </w:p>
        </w:tc>
        <w:tc>
          <w:tcPr>
            <w:tcW w:w="1134" w:type="dxa"/>
            <w:tcBorders>
              <w:top w:val="single" w:sz="12" w:space="0" w:color="000000"/>
              <w:bottom w:val="single" w:sz="8" w:space="0" w:color="000000"/>
            </w:tcBorders>
            <w:noWrap/>
          </w:tcPr>
          <w:p w14:paraId="2851D5B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w:t>
            </w:r>
            <w:r>
              <w:rPr>
                <w:rFonts w:ascii="Times New Roman" w:eastAsia="等线" w:hAnsi="Times New Roman" w:cs="Times New Roman" w:hint="eastAsia"/>
                <w:sz w:val="20"/>
                <w:szCs w:val="20"/>
                <w14:ligatures w14:val="none"/>
              </w:rPr>
              <w:t>_</w:t>
            </w:r>
            <w:r>
              <w:rPr>
                <w:rFonts w:ascii="Times New Roman" w:eastAsia="等线" w:hAnsi="Times New Roman" w:cs="Times New Roman"/>
                <w:sz w:val="20"/>
                <w:szCs w:val="20"/>
                <w14:ligatures w14:val="none"/>
              </w:rPr>
              <w:t>N200</w:t>
            </w:r>
          </w:p>
        </w:tc>
        <w:tc>
          <w:tcPr>
            <w:tcW w:w="1134" w:type="dxa"/>
            <w:tcBorders>
              <w:top w:val="single" w:sz="12" w:space="0" w:color="000000"/>
              <w:bottom w:val="single" w:sz="8" w:space="0" w:color="000000"/>
            </w:tcBorders>
            <w:noWrap/>
          </w:tcPr>
          <w:p w14:paraId="667FB65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S_N0</w:t>
            </w:r>
          </w:p>
        </w:tc>
        <w:tc>
          <w:tcPr>
            <w:tcW w:w="1275" w:type="dxa"/>
            <w:tcBorders>
              <w:top w:val="single" w:sz="12" w:space="0" w:color="000000"/>
              <w:bottom w:val="single" w:sz="8" w:space="0" w:color="000000"/>
            </w:tcBorders>
            <w:noWrap/>
          </w:tcPr>
          <w:p w14:paraId="4C83665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S_N50</w:t>
            </w:r>
          </w:p>
        </w:tc>
        <w:tc>
          <w:tcPr>
            <w:tcW w:w="1276" w:type="dxa"/>
            <w:tcBorders>
              <w:top w:val="single" w:sz="12" w:space="0" w:color="000000"/>
              <w:bottom w:val="single" w:sz="8" w:space="0" w:color="000000"/>
            </w:tcBorders>
            <w:noWrap/>
          </w:tcPr>
          <w:p w14:paraId="67FB35E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S_N100</w:t>
            </w:r>
          </w:p>
        </w:tc>
        <w:tc>
          <w:tcPr>
            <w:tcW w:w="1134" w:type="dxa"/>
            <w:tcBorders>
              <w:top w:val="single" w:sz="12" w:space="0" w:color="000000"/>
              <w:bottom w:val="single" w:sz="8" w:space="0" w:color="000000"/>
            </w:tcBorders>
            <w:noWrap/>
          </w:tcPr>
          <w:p w14:paraId="2B4F041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S_N200</w:t>
            </w:r>
          </w:p>
        </w:tc>
      </w:tr>
      <w:tr w:rsidR="00334349" w:rsidRPr="004961F8" w14:paraId="01EDCBDF" w14:textId="77777777" w:rsidTr="00D33B65">
        <w:trPr>
          <w:trHeight w:val="280"/>
          <w:jc w:val="center"/>
        </w:trPr>
        <w:tc>
          <w:tcPr>
            <w:tcW w:w="1134" w:type="dxa"/>
            <w:tcBorders>
              <w:top w:val="single" w:sz="8" w:space="0" w:color="000000"/>
            </w:tcBorders>
            <w:noWrap/>
          </w:tcPr>
          <w:p w14:paraId="446A90CE" w14:textId="77777777" w:rsidR="00334349" w:rsidRPr="00286FCA" w:rsidRDefault="00334349" w:rsidP="00D33B65">
            <w:pPr>
              <w:keepNext/>
              <w:widowControl/>
              <w:jc w:val="center"/>
              <w:rPr>
                <w:rFonts w:ascii="Times New Roman" w:eastAsia="等线" w:hAnsi="Times New Roman" w:cs="Times New Roman"/>
                <w:sz w:val="20"/>
                <w:szCs w:val="20"/>
                <w14:ligatures w14:val="none"/>
              </w:rPr>
            </w:pPr>
            <w:r w:rsidRPr="00286FCA">
              <w:rPr>
                <w:rFonts w:ascii="Times New Roman" w:eastAsia="等线" w:hAnsi="Times New Roman" w:cs="Times New Roman"/>
                <w:sz w:val="20"/>
                <w:szCs w:val="20"/>
                <w14:ligatures w14:val="none"/>
              </w:rPr>
              <w:t>NH₄⁺-N</w:t>
            </w:r>
          </w:p>
          <w:p w14:paraId="47420E85"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w:t>
            </w:r>
            <w:r w:rsidRPr="00286FCA">
              <w:rPr>
                <w:rFonts w:ascii="Times New Roman" w:eastAsia="等线" w:hAnsi="Times New Roman" w:cs="Times New Roman"/>
                <w:sz w:val="20"/>
                <w:szCs w:val="20"/>
                <w14:ligatures w14:val="none"/>
              </w:rPr>
              <w:t>mg/kg</w:t>
            </w:r>
            <w:r>
              <w:rPr>
                <w:rFonts w:ascii="Times New Roman" w:eastAsia="等线" w:hAnsi="Times New Roman" w:cs="Times New Roman" w:hint="eastAsia"/>
                <w:sz w:val="20"/>
                <w:szCs w:val="20"/>
                <w14:ligatures w14:val="none"/>
              </w:rPr>
              <w:t>)</w:t>
            </w:r>
          </w:p>
        </w:tc>
        <w:tc>
          <w:tcPr>
            <w:tcW w:w="993" w:type="dxa"/>
            <w:vMerge w:val="restart"/>
            <w:tcBorders>
              <w:top w:val="single" w:sz="8" w:space="0" w:color="000000"/>
            </w:tcBorders>
            <w:vAlign w:val="center"/>
          </w:tcPr>
          <w:p w14:paraId="4C33DC6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HHZ</w:t>
            </w:r>
          </w:p>
        </w:tc>
        <w:tc>
          <w:tcPr>
            <w:tcW w:w="993" w:type="dxa"/>
            <w:tcBorders>
              <w:top w:val="single" w:sz="8" w:space="0" w:color="000000"/>
            </w:tcBorders>
            <w:noWrap/>
            <w:vAlign w:val="center"/>
          </w:tcPr>
          <w:p w14:paraId="7C9C592D"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24.7± 6.1</w:t>
            </w:r>
            <w:r w:rsidRPr="004961F8">
              <w:rPr>
                <w:rFonts w:ascii="Times New Roman" w:hAnsi="Times New Roman" w:cs="Times New Roman" w:hint="eastAsia"/>
                <w:color w:val="000000"/>
                <w:sz w:val="18"/>
                <w:szCs w:val="18"/>
                <w:vertAlign w:val="superscript"/>
              </w:rPr>
              <w:t>a</w:t>
            </w:r>
          </w:p>
        </w:tc>
        <w:tc>
          <w:tcPr>
            <w:tcW w:w="992" w:type="dxa"/>
            <w:tcBorders>
              <w:top w:val="single" w:sz="8" w:space="0" w:color="000000"/>
            </w:tcBorders>
            <w:noWrap/>
            <w:vAlign w:val="center"/>
          </w:tcPr>
          <w:p w14:paraId="1515FECC"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20.1± 3.2</w:t>
            </w:r>
            <w:r w:rsidRPr="004961F8">
              <w:rPr>
                <w:rFonts w:ascii="Times New Roman" w:hAnsi="Times New Roman" w:cs="Times New Roman" w:hint="eastAsia"/>
                <w:color w:val="000000"/>
                <w:sz w:val="18"/>
                <w:szCs w:val="18"/>
                <w:vertAlign w:val="superscript"/>
              </w:rPr>
              <w:t>a</w:t>
            </w:r>
          </w:p>
        </w:tc>
        <w:tc>
          <w:tcPr>
            <w:tcW w:w="1134" w:type="dxa"/>
            <w:tcBorders>
              <w:top w:val="single" w:sz="8" w:space="0" w:color="000000"/>
            </w:tcBorders>
            <w:noWrap/>
            <w:vAlign w:val="center"/>
          </w:tcPr>
          <w:p w14:paraId="07DC9DDF"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63.4±</w:t>
            </w:r>
            <w:r w:rsidRPr="004961F8">
              <w:rPr>
                <w:rFonts w:ascii="Times New Roman" w:hAnsi="Times New Roman" w:cs="Times New Roman" w:hint="eastAsia"/>
                <w:color w:val="000000"/>
                <w:sz w:val="18"/>
                <w:szCs w:val="18"/>
              </w:rPr>
              <w:t xml:space="preserve"> </w:t>
            </w:r>
            <w:r w:rsidRPr="004961F8">
              <w:rPr>
                <w:rFonts w:ascii="Times New Roman" w:hAnsi="Times New Roman" w:cs="Times New Roman"/>
                <w:color w:val="000000"/>
                <w:sz w:val="18"/>
                <w:szCs w:val="18"/>
              </w:rPr>
              <w:t>21.6</w:t>
            </w:r>
            <w:r w:rsidRPr="004961F8">
              <w:rPr>
                <w:rFonts w:ascii="Times New Roman" w:hAnsi="Times New Roman" w:cs="Times New Roman" w:hint="eastAsia"/>
                <w:color w:val="000000"/>
                <w:sz w:val="18"/>
                <w:szCs w:val="18"/>
                <w:vertAlign w:val="superscript"/>
              </w:rPr>
              <w:t>ab</w:t>
            </w:r>
          </w:p>
        </w:tc>
        <w:tc>
          <w:tcPr>
            <w:tcW w:w="1134" w:type="dxa"/>
            <w:tcBorders>
              <w:top w:val="single" w:sz="8" w:space="0" w:color="000000"/>
            </w:tcBorders>
            <w:noWrap/>
            <w:vAlign w:val="center"/>
          </w:tcPr>
          <w:p w14:paraId="35A12B9C"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73.2 ± 12.3</w:t>
            </w:r>
            <w:r w:rsidRPr="004961F8">
              <w:rPr>
                <w:rFonts w:ascii="Times New Roman" w:hAnsi="Times New Roman" w:cs="Times New Roman" w:hint="eastAsia"/>
                <w:color w:val="000000"/>
                <w:sz w:val="18"/>
                <w:szCs w:val="18"/>
                <w:vertAlign w:val="superscript"/>
              </w:rPr>
              <w:t>ab</w:t>
            </w:r>
          </w:p>
        </w:tc>
        <w:tc>
          <w:tcPr>
            <w:tcW w:w="1134" w:type="dxa"/>
            <w:tcBorders>
              <w:top w:val="single" w:sz="8" w:space="0" w:color="000000"/>
            </w:tcBorders>
            <w:noWrap/>
            <w:vAlign w:val="center"/>
          </w:tcPr>
          <w:p w14:paraId="0312D0F9"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44.7 ± 15.5</w:t>
            </w:r>
            <w:r w:rsidRPr="004961F8">
              <w:rPr>
                <w:rFonts w:ascii="Times New Roman" w:hAnsi="Times New Roman" w:cs="Times New Roman" w:hint="eastAsia"/>
                <w:color w:val="000000"/>
                <w:sz w:val="18"/>
                <w:szCs w:val="18"/>
                <w:vertAlign w:val="superscript"/>
              </w:rPr>
              <w:t>ab</w:t>
            </w:r>
          </w:p>
        </w:tc>
        <w:tc>
          <w:tcPr>
            <w:tcW w:w="1275" w:type="dxa"/>
            <w:tcBorders>
              <w:top w:val="single" w:sz="8" w:space="0" w:color="000000"/>
            </w:tcBorders>
            <w:noWrap/>
            <w:vAlign w:val="center"/>
          </w:tcPr>
          <w:p w14:paraId="03E79702" w14:textId="77777777" w:rsidR="00334349" w:rsidRPr="004961F8" w:rsidRDefault="00334349" w:rsidP="00D33B65">
            <w:pPr>
              <w:widowControl/>
              <w:rPr>
                <w:rFonts w:ascii="Times New Roman" w:eastAsia="等线" w:hAnsi="Times New Roman" w:cs="Times New Roman"/>
                <w:sz w:val="18"/>
                <w:szCs w:val="18"/>
                <w14:ligatures w14:val="none"/>
              </w:rPr>
            </w:pPr>
            <w:r w:rsidRPr="004961F8">
              <w:rPr>
                <w:rFonts w:ascii="Times New Roman" w:hAnsi="Times New Roman" w:cs="Times New Roman"/>
                <w:color w:val="000000"/>
                <w:sz w:val="18"/>
                <w:szCs w:val="18"/>
              </w:rPr>
              <w:t>61.3±</w:t>
            </w:r>
            <w:r w:rsidRPr="004961F8">
              <w:rPr>
                <w:rFonts w:ascii="Times New Roman" w:hAnsi="Times New Roman" w:cs="Times New Roman" w:hint="eastAsia"/>
                <w:color w:val="000000"/>
                <w:sz w:val="18"/>
                <w:szCs w:val="18"/>
              </w:rPr>
              <w:t xml:space="preserve"> </w:t>
            </w:r>
            <w:r w:rsidRPr="004961F8">
              <w:rPr>
                <w:rFonts w:ascii="Times New Roman" w:hAnsi="Times New Roman" w:cs="Times New Roman"/>
                <w:color w:val="000000"/>
                <w:sz w:val="18"/>
                <w:szCs w:val="18"/>
              </w:rPr>
              <w:t>20.0</w:t>
            </w:r>
            <w:r w:rsidRPr="004961F8">
              <w:rPr>
                <w:rFonts w:ascii="Times New Roman" w:hAnsi="Times New Roman" w:cs="Times New Roman" w:hint="eastAsia"/>
                <w:color w:val="000000"/>
                <w:sz w:val="18"/>
                <w:szCs w:val="18"/>
                <w:vertAlign w:val="superscript"/>
              </w:rPr>
              <w:t>ab</w:t>
            </w:r>
          </w:p>
        </w:tc>
        <w:tc>
          <w:tcPr>
            <w:tcW w:w="1276" w:type="dxa"/>
            <w:tcBorders>
              <w:top w:val="single" w:sz="8" w:space="0" w:color="000000"/>
            </w:tcBorders>
            <w:noWrap/>
            <w:vAlign w:val="center"/>
          </w:tcPr>
          <w:p w14:paraId="6698E432"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128.0± 47.6</w:t>
            </w:r>
            <w:r w:rsidRPr="004961F8">
              <w:rPr>
                <w:rFonts w:ascii="Times New Roman" w:hAnsi="Times New Roman" w:cs="Times New Roman" w:hint="eastAsia"/>
                <w:color w:val="000000"/>
                <w:sz w:val="18"/>
                <w:szCs w:val="18"/>
                <w:vertAlign w:val="superscript"/>
              </w:rPr>
              <w:t>ab</w:t>
            </w:r>
          </w:p>
        </w:tc>
        <w:tc>
          <w:tcPr>
            <w:tcW w:w="1134" w:type="dxa"/>
            <w:tcBorders>
              <w:top w:val="single" w:sz="8" w:space="0" w:color="000000"/>
            </w:tcBorders>
            <w:noWrap/>
            <w:vAlign w:val="center"/>
          </w:tcPr>
          <w:p w14:paraId="1277330A" w14:textId="77777777" w:rsidR="00334349" w:rsidRPr="004961F8"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139.0± 29.8</w:t>
            </w:r>
            <w:r w:rsidRPr="004961F8">
              <w:rPr>
                <w:rFonts w:ascii="Times New Roman" w:hAnsi="Times New Roman" w:cs="Times New Roman" w:hint="eastAsia"/>
                <w:color w:val="000000"/>
                <w:sz w:val="18"/>
                <w:szCs w:val="18"/>
                <w:vertAlign w:val="superscript"/>
              </w:rPr>
              <w:t>b</w:t>
            </w:r>
          </w:p>
        </w:tc>
      </w:tr>
      <w:tr w:rsidR="00334349" w:rsidRPr="004961F8" w14:paraId="40E35507" w14:textId="77777777" w:rsidTr="00D33B65">
        <w:trPr>
          <w:trHeight w:val="280"/>
          <w:jc w:val="center"/>
        </w:trPr>
        <w:tc>
          <w:tcPr>
            <w:tcW w:w="1134" w:type="dxa"/>
            <w:noWrap/>
          </w:tcPr>
          <w:p w14:paraId="1AB2D732" w14:textId="77777777" w:rsidR="00334349" w:rsidRPr="00286FCA" w:rsidRDefault="00334349" w:rsidP="00D33B65">
            <w:pPr>
              <w:keepNext/>
              <w:widowControl/>
              <w:jc w:val="center"/>
              <w:rPr>
                <w:rFonts w:ascii="Times New Roman" w:eastAsia="等线" w:hAnsi="Times New Roman" w:cs="Times New Roman"/>
                <w:sz w:val="20"/>
                <w:szCs w:val="20"/>
                <w14:ligatures w14:val="none"/>
              </w:rPr>
            </w:pPr>
            <w:r w:rsidRPr="00286FCA">
              <w:rPr>
                <w:rFonts w:ascii="Times New Roman" w:eastAsia="等线" w:hAnsi="Times New Roman" w:cs="Times New Roman"/>
                <w:sz w:val="20"/>
                <w:szCs w:val="20"/>
                <w14:ligatures w14:val="none"/>
              </w:rPr>
              <w:t>NO₃⁻-N</w:t>
            </w:r>
          </w:p>
          <w:p w14:paraId="59F660F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w:t>
            </w:r>
            <w:r w:rsidRPr="00286FCA">
              <w:rPr>
                <w:rFonts w:ascii="Times New Roman" w:eastAsia="等线" w:hAnsi="Times New Roman" w:cs="Times New Roman"/>
                <w:sz w:val="20"/>
                <w:szCs w:val="20"/>
                <w14:ligatures w14:val="none"/>
              </w:rPr>
              <w:t>mg/kg</w:t>
            </w:r>
            <w:r>
              <w:rPr>
                <w:rFonts w:ascii="Times New Roman" w:eastAsia="等线" w:hAnsi="Times New Roman" w:cs="Times New Roman" w:hint="eastAsia"/>
                <w:sz w:val="20"/>
                <w:szCs w:val="20"/>
                <w14:ligatures w14:val="none"/>
              </w:rPr>
              <w:t>)</w:t>
            </w:r>
          </w:p>
        </w:tc>
        <w:tc>
          <w:tcPr>
            <w:tcW w:w="993" w:type="dxa"/>
            <w:vMerge/>
          </w:tcPr>
          <w:p w14:paraId="5BF21534" w14:textId="77777777" w:rsidR="00334349" w:rsidRDefault="00334349" w:rsidP="00D33B65">
            <w:pPr>
              <w:keepNext/>
              <w:widowControl/>
              <w:jc w:val="center"/>
              <w:rPr>
                <w:rFonts w:ascii="Times New Roman" w:eastAsia="等线" w:hAnsi="Times New Roman" w:cs="Times New Roman"/>
                <w:sz w:val="20"/>
                <w:szCs w:val="20"/>
                <w14:ligatures w14:val="none"/>
              </w:rPr>
            </w:pPr>
          </w:p>
        </w:tc>
        <w:tc>
          <w:tcPr>
            <w:tcW w:w="993" w:type="dxa"/>
            <w:noWrap/>
            <w:vAlign w:val="center"/>
          </w:tcPr>
          <w:p w14:paraId="71245E4E"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5.8± 2.8</w:t>
            </w:r>
            <w:r w:rsidRPr="003F41BD">
              <w:rPr>
                <w:rFonts w:ascii="Times New Roman" w:hAnsi="Times New Roman" w:cs="Times New Roman" w:hint="eastAsia"/>
                <w:color w:val="000000"/>
                <w:sz w:val="18"/>
                <w:szCs w:val="18"/>
                <w:vertAlign w:val="superscript"/>
              </w:rPr>
              <w:t>a</w:t>
            </w:r>
          </w:p>
        </w:tc>
        <w:tc>
          <w:tcPr>
            <w:tcW w:w="992" w:type="dxa"/>
            <w:noWrap/>
            <w:vAlign w:val="center"/>
          </w:tcPr>
          <w:p w14:paraId="1B42BE30"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0.9± 0.2</w:t>
            </w:r>
            <w:r w:rsidRPr="003F41BD">
              <w:rPr>
                <w:rFonts w:ascii="Times New Roman" w:hAnsi="Times New Roman" w:cs="Times New Roman" w:hint="eastAsia"/>
                <w:color w:val="000000"/>
                <w:sz w:val="18"/>
                <w:szCs w:val="18"/>
                <w:vertAlign w:val="superscript"/>
              </w:rPr>
              <w:t>b</w:t>
            </w:r>
          </w:p>
        </w:tc>
        <w:tc>
          <w:tcPr>
            <w:tcW w:w="1134" w:type="dxa"/>
            <w:noWrap/>
            <w:vAlign w:val="center"/>
          </w:tcPr>
          <w:p w14:paraId="6A8707FC"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1.3± 0.4</w:t>
            </w:r>
            <w:r w:rsidRPr="003F41BD">
              <w:rPr>
                <w:rFonts w:ascii="Times New Roman" w:hAnsi="Times New Roman" w:cs="Times New Roman" w:hint="eastAsia"/>
                <w:color w:val="000000"/>
                <w:sz w:val="18"/>
                <w:szCs w:val="18"/>
                <w:vertAlign w:val="superscript"/>
              </w:rPr>
              <w:t>ab</w:t>
            </w:r>
          </w:p>
        </w:tc>
        <w:tc>
          <w:tcPr>
            <w:tcW w:w="1134" w:type="dxa"/>
            <w:noWrap/>
            <w:vAlign w:val="center"/>
          </w:tcPr>
          <w:p w14:paraId="594A3280"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1.3± 0.7</w:t>
            </w:r>
            <w:r w:rsidRPr="003F41BD">
              <w:rPr>
                <w:rFonts w:ascii="Times New Roman" w:hAnsi="Times New Roman" w:cs="Times New Roman" w:hint="eastAsia"/>
                <w:color w:val="000000"/>
                <w:sz w:val="18"/>
                <w:szCs w:val="18"/>
                <w:vertAlign w:val="superscript"/>
              </w:rPr>
              <w:t>ab</w:t>
            </w:r>
          </w:p>
        </w:tc>
        <w:tc>
          <w:tcPr>
            <w:tcW w:w="1134" w:type="dxa"/>
            <w:noWrap/>
            <w:vAlign w:val="center"/>
          </w:tcPr>
          <w:p w14:paraId="0E803E2E"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1.0± 0.1</w:t>
            </w:r>
            <w:r w:rsidRPr="003F41BD">
              <w:rPr>
                <w:rFonts w:ascii="Times New Roman" w:hAnsi="Times New Roman" w:cs="Times New Roman" w:hint="eastAsia"/>
                <w:color w:val="000000"/>
                <w:sz w:val="18"/>
                <w:szCs w:val="18"/>
                <w:vertAlign w:val="superscript"/>
              </w:rPr>
              <w:t>b</w:t>
            </w:r>
          </w:p>
        </w:tc>
        <w:tc>
          <w:tcPr>
            <w:tcW w:w="1275" w:type="dxa"/>
            <w:noWrap/>
            <w:vAlign w:val="center"/>
          </w:tcPr>
          <w:p w14:paraId="68DE30D7"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0.8± 0.1</w:t>
            </w:r>
            <w:r w:rsidRPr="003F41BD">
              <w:rPr>
                <w:rFonts w:ascii="Times New Roman" w:hAnsi="Times New Roman" w:cs="Times New Roman" w:hint="eastAsia"/>
                <w:color w:val="000000"/>
                <w:sz w:val="18"/>
                <w:szCs w:val="18"/>
                <w:vertAlign w:val="superscript"/>
              </w:rPr>
              <w:t>b</w:t>
            </w:r>
          </w:p>
        </w:tc>
        <w:tc>
          <w:tcPr>
            <w:tcW w:w="1276" w:type="dxa"/>
            <w:noWrap/>
            <w:vAlign w:val="center"/>
          </w:tcPr>
          <w:p w14:paraId="2F04A8E9"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1.1± 0.3</w:t>
            </w:r>
            <w:r w:rsidRPr="003F41BD">
              <w:rPr>
                <w:rFonts w:ascii="Times New Roman" w:hAnsi="Times New Roman" w:cs="Times New Roman" w:hint="eastAsia"/>
                <w:color w:val="000000"/>
                <w:sz w:val="18"/>
                <w:szCs w:val="18"/>
                <w:vertAlign w:val="superscript"/>
              </w:rPr>
              <w:t>ab</w:t>
            </w:r>
          </w:p>
        </w:tc>
        <w:tc>
          <w:tcPr>
            <w:tcW w:w="1134" w:type="dxa"/>
            <w:noWrap/>
            <w:vAlign w:val="center"/>
          </w:tcPr>
          <w:p w14:paraId="60D0AF56"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color w:val="000000"/>
                <w:sz w:val="18"/>
                <w:szCs w:val="18"/>
              </w:rPr>
              <w:t>1.2± 0.5</w:t>
            </w:r>
            <w:r w:rsidRPr="003F41BD">
              <w:rPr>
                <w:rFonts w:ascii="Times New Roman" w:hAnsi="Times New Roman" w:cs="Times New Roman" w:hint="eastAsia"/>
                <w:color w:val="000000"/>
                <w:sz w:val="18"/>
                <w:szCs w:val="18"/>
                <w:vertAlign w:val="superscript"/>
              </w:rPr>
              <w:t>ab</w:t>
            </w:r>
          </w:p>
        </w:tc>
      </w:tr>
      <w:tr w:rsidR="00334349" w:rsidRPr="004961F8" w14:paraId="7310B964" w14:textId="77777777" w:rsidTr="00D33B65">
        <w:trPr>
          <w:trHeight w:val="280"/>
          <w:jc w:val="center"/>
        </w:trPr>
        <w:tc>
          <w:tcPr>
            <w:tcW w:w="1134" w:type="dxa"/>
            <w:noWrap/>
          </w:tcPr>
          <w:p w14:paraId="6C41BEC3" w14:textId="77777777" w:rsidR="00334349" w:rsidRPr="00286FCA" w:rsidRDefault="00334349" w:rsidP="00D33B65">
            <w:pPr>
              <w:keepNext/>
              <w:widowControl/>
              <w:jc w:val="center"/>
              <w:rPr>
                <w:rFonts w:ascii="Times New Roman" w:eastAsia="等线" w:hAnsi="Times New Roman" w:cs="Times New Roman"/>
                <w:sz w:val="20"/>
                <w:szCs w:val="20"/>
                <w14:ligatures w14:val="none"/>
              </w:rPr>
            </w:pPr>
            <w:r w:rsidRPr="00286FCA">
              <w:rPr>
                <w:rFonts w:ascii="Times New Roman" w:eastAsia="等线" w:hAnsi="Times New Roman" w:cs="Times New Roman"/>
                <w:sz w:val="20"/>
                <w:szCs w:val="20"/>
                <w14:ligatures w14:val="none"/>
              </w:rPr>
              <w:t>NH₄⁺-N</w:t>
            </w:r>
          </w:p>
          <w:p w14:paraId="31403B2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w:t>
            </w:r>
            <w:r w:rsidRPr="00286FCA">
              <w:rPr>
                <w:rFonts w:ascii="Times New Roman" w:eastAsia="等线" w:hAnsi="Times New Roman" w:cs="Times New Roman"/>
                <w:sz w:val="20"/>
                <w:szCs w:val="20"/>
                <w14:ligatures w14:val="none"/>
              </w:rPr>
              <w:t>mg/kg</w:t>
            </w:r>
            <w:r>
              <w:rPr>
                <w:rFonts w:ascii="Times New Roman" w:eastAsia="等线" w:hAnsi="Times New Roman" w:cs="Times New Roman" w:hint="eastAsia"/>
                <w:sz w:val="20"/>
                <w:szCs w:val="20"/>
                <w14:ligatures w14:val="none"/>
              </w:rPr>
              <w:t>)</w:t>
            </w:r>
          </w:p>
        </w:tc>
        <w:tc>
          <w:tcPr>
            <w:tcW w:w="993" w:type="dxa"/>
            <w:vMerge w:val="restart"/>
            <w:vAlign w:val="center"/>
          </w:tcPr>
          <w:p w14:paraId="0829E17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MXZ</w:t>
            </w:r>
          </w:p>
        </w:tc>
        <w:tc>
          <w:tcPr>
            <w:tcW w:w="993" w:type="dxa"/>
            <w:noWrap/>
            <w:vAlign w:val="center"/>
          </w:tcPr>
          <w:p w14:paraId="49BB8911"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24.</w:t>
            </w:r>
            <w:r>
              <w:rPr>
                <w:rFonts w:ascii="Times New Roman" w:hAnsi="Times New Roman" w:cs="Times New Roman" w:hint="eastAsia"/>
                <w:color w:val="000000"/>
                <w:sz w:val="18"/>
                <w:szCs w:val="18"/>
              </w:rPr>
              <w:t>4</w:t>
            </w:r>
            <w:r w:rsidRPr="004961F8">
              <w:rPr>
                <w:rFonts w:ascii="Times New Roman" w:hAnsi="Times New Roman" w:cs="Times New Roman"/>
                <w:color w:val="000000"/>
                <w:sz w:val="18"/>
                <w:szCs w:val="18"/>
              </w:rPr>
              <w:t>± 5.</w:t>
            </w:r>
            <w:r>
              <w:rPr>
                <w:rFonts w:ascii="Times New Roman" w:hAnsi="Times New Roman" w:cs="Times New Roman" w:hint="eastAsia"/>
                <w:color w:val="000000"/>
                <w:sz w:val="18"/>
                <w:szCs w:val="18"/>
              </w:rPr>
              <w:t>4</w:t>
            </w:r>
            <w:r w:rsidRPr="004961F8">
              <w:rPr>
                <w:rFonts w:ascii="Times New Roman" w:hAnsi="Times New Roman" w:cs="Times New Roman" w:hint="eastAsia"/>
                <w:color w:val="000000"/>
                <w:sz w:val="18"/>
                <w:szCs w:val="18"/>
                <w:vertAlign w:val="superscript"/>
              </w:rPr>
              <w:t>a</w:t>
            </w:r>
          </w:p>
        </w:tc>
        <w:tc>
          <w:tcPr>
            <w:tcW w:w="992" w:type="dxa"/>
            <w:noWrap/>
            <w:vAlign w:val="center"/>
          </w:tcPr>
          <w:p w14:paraId="3A862E2A"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39.1± 9.</w:t>
            </w:r>
            <w:r>
              <w:rPr>
                <w:rFonts w:ascii="Times New Roman" w:hAnsi="Times New Roman" w:cs="Times New Roman" w:hint="eastAsia"/>
                <w:color w:val="000000"/>
                <w:sz w:val="18"/>
                <w:szCs w:val="18"/>
              </w:rPr>
              <w:t>6</w:t>
            </w:r>
            <w:r w:rsidRPr="004961F8">
              <w:rPr>
                <w:rFonts w:ascii="Times New Roman" w:hAnsi="Times New Roman" w:cs="Times New Roman" w:hint="eastAsia"/>
                <w:color w:val="000000"/>
                <w:sz w:val="18"/>
                <w:szCs w:val="18"/>
                <w:vertAlign w:val="superscript"/>
              </w:rPr>
              <w:t>a</w:t>
            </w:r>
          </w:p>
        </w:tc>
        <w:tc>
          <w:tcPr>
            <w:tcW w:w="1134" w:type="dxa"/>
            <w:noWrap/>
            <w:vAlign w:val="center"/>
          </w:tcPr>
          <w:p w14:paraId="48A5C4B1"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4</w:t>
            </w:r>
            <w:r>
              <w:rPr>
                <w:rFonts w:ascii="Times New Roman" w:hAnsi="Times New Roman" w:cs="Times New Roman" w:hint="eastAsia"/>
                <w:color w:val="000000"/>
                <w:sz w:val="18"/>
                <w:szCs w:val="18"/>
              </w:rPr>
              <w:t>1.0</w:t>
            </w:r>
            <w:r w:rsidRPr="004961F8">
              <w:rPr>
                <w:rFonts w:ascii="Times New Roman" w:hAnsi="Times New Roman" w:cs="Times New Roman"/>
                <w:color w:val="000000"/>
                <w:sz w:val="18"/>
                <w:szCs w:val="18"/>
              </w:rPr>
              <w:t>± 14.</w:t>
            </w:r>
            <w:r>
              <w:rPr>
                <w:rFonts w:ascii="Times New Roman" w:hAnsi="Times New Roman" w:cs="Times New Roman" w:hint="eastAsia"/>
                <w:color w:val="000000"/>
                <w:sz w:val="18"/>
                <w:szCs w:val="18"/>
              </w:rPr>
              <w:t>5</w:t>
            </w:r>
            <w:r w:rsidRPr="004961F8">
              <w:rPr>
                <w:rFonts w:ascii="Times New Roman" w:hAnsi="Times New Roman" w:cs="Times New Roman" w:hint="eastAsia"/>
                <w:color w:val="000000"/>
                <w:sz w:val="18"/>
                <w:szCs w:val="18"/>
                <w:vertAlign w:val="superscript"/>
              </w:rPr>
              <w:t>a</w:t>
            </w:r>
          </w:p>
        </w:tc>
        <w:tc>
          <w:tcPr>
            <w:tcW w:w="1134" w:type="dxa"/>
            <w:noWrap/>
            <w:vAlign w:val="center"/>
          </w:tcPr>
          <w:p w14:paraId="1A77A66D"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54.2± 12.</w:t>
            </w:r>
            <w:r>
              <w:rPr>
                <w:rFonts w:ascii="Times New Roman" w:hAnsi="Times New Roman" w:cs="Times New Roman" w:hint="eastAsia"/>
                <w:color w:val="000000"/>
                <w:sz w:val="18"/>
                <w:szCs w:val="18"/>
              </w:rPr>
              <w:t>0</w:t>
            </w:r>
            <w:r w:rsidRPr="004961F8">
              <w:rPr>
                <w:rFonts w:ascii="Times New Roman" w:hAnsi="Times New Roman" w:cs="Times New Roman" w:hint="eastAsia"/>
                <w:color w:val="000000"/>
                <w:sz w:val="18"/>
                <w:szCs w:val="18"/>
                <w:vertAlign w:val="superscript"/>
              </w:rPr>
              <w:t>a</w:t>
            </w:r>
          </w:p>
        </w:tc>
        <w:tc>
          <w:tcPr>
            <w:tcW w:w="1134" w:type="dxa"/>
            <w:noWrap/>
            <w:vAlign w:val="center"/>
          </w:tcPr>
          <w:p w14:paraId="7B385B31"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60.8± 4.</w:t>
            </w:r>
            <w:r>
              <w:rPr>
                <w:rFonts w:ascii="Times New Roman" w:hAnsi="Times New Roman" w:cs="Times New Roman" w:hint="eastAsia"/>
                <w:color w:val="000000"/>
                <w:sz w:val="18"/>
                <w:szCs w:val="18"/>
              </w:rPr>
              <w:t>6</w:t>
            </w:r>
            <w:r w:rsidRPr="004961F8">
              <w:rPr>
                <w:rFonts w:ascii="Times New Roman" w:hAnsi="Times New Roman" w:cs="Times New Roman" w:hint="eastAsia"/>
                <w:color w:val="000000"/>
                <w:sz w:val="18"/>
                <w:szCs w:val="18"/>
                <w:vertAlign w:val="superscript"/>
              </w:rPr>
              <w:t>a</w:t>
            </w:r>
          </w:p>
        </w:tc>
        <w:tc>
          <w:tcPr>
            <w:tcW w:w="1275" w:type="dxa"/>
            <w:noWrap/>
            <w:vAlign w:val="center"/>
          </w:tcPr>
          <w:p w14:paraId="3C0F5E76"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118.</w:t>
            </w:r>
            <w:r>
              <w:rPr>
                <w:rFonts w:ascii="Times New Roman" w:hAnsi="Times New Roman" w:cs="Times New Roman" w:hint="eastAsia"/>
                <w:color w:val="000000"/>
                <w:sz w:val="18"/>
                <w:szCs w:val="18"/>
              </w:rPr>
              <w:t>2</w:t>
            </w:r>
            <w:r w:rsidRPr="004961F8">
              <w:rPr>
                <w:rFonts w:ascii="Times New Roman" w:hAnsi="Times New Roman" w:cs="Times New Roman"/>
                <w:color w:val="000000"/>
                <w:sz w:val="18"/>
                <w:szCs w:val="18"/>
              </w:rPr>
              <w:t>± 38.6</w:t>
            </w:r>
            <w:r w:rsidRPr="004961F8">
              <w:rPr>
                <w:rFonts w:ascii="Times New Roman" w:hAnsi="Times New Roman" w:cs="Times New Roman" w:hint="eastAsia"/>
                <w:color w:val="000000"/>
                <w:sz w:val="18"/>
                <w:szCs w:val="18"/>
                <w:vertAlign w:val="superscript"/>
              </w:rPr>
              <w:t>ab</w:t>
            </w:r>
          </w:p>
        </w:tc>
        <w:tc>
          <w:tcPr>
            <w:tcW w:w="1276" w:type="dxa"/>
            <w:noWrap/>
            <w:vAlign w:val="center"/>
          </w:tcPr>
          <w:p w14:paraId="34A7B1DB"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78.</w:t>
            </w:r>
            <w:r>
              <w:rPr>
                <w:rFonts w:ascii="Times New Roman" w:hAnsi="Times New Roman" w:cs="Times New Roman" w:hint="eastAsia"/>
                <w:color w:val="000000"/>
                <w:sz w:val="18"/>
                <w:szCs w:val="18"/>
              </w:rPr>
              <w:t>4</w:t>
            </w:r>
            <w:r w:rsidRPr="004961F8">
              <w:rPr>
                <w:rFonts w:ascii="Times New Roman" w:hAnsi="Times New Roman" w:cs="Times New Roman"/>
                <w:color w:val="000000"/>
                <w:sz w:val="18"/>
                <w:szCs w:val="18"/>
              </w:rPr>
              <w:t>± 17.</w:t>
            </w:r>
            <w:r>
              <w:rPr>
                <w:rFonts w:ascii="Times New Roman" w:hAnsi="Times New Roman" w:cs="Times New Roman" w:hint="eastAsia"/>
                <w:color w:val="000000"/>
                <w:sz w:val="18"/>
                <w:szCs w:val="18"/>
              </w:rPr>
              <w:t>2</w:t>
            </w:r>
            <w:r w:rsidRPr="004961F8">
              <w:rPr>
                <w:rFonts w:ascii="Times New Roman" w:hAnsi="Times New Roman" w:cs="Times New Roman" w:hint="eastAsia"/>
                <w:color w:val="000000"/>
                <w:sz w:val="18"/>
                <w:szCs w:val="18"/>
                <w:vertAlign w:val="superscript"/>
              </w:rPr>
              <w:t>ab</w:t>
            </w:r>
          </w:p>
        </w:tc>
        <w:tc>
          <w:tcPr>
            <w:tcW w:w="1134" w:type="dxa"/>
            <w:noWrap/>
            <w:vAlign w:val="center"/>
          </w:tcPr>
          <w:p w14:paraId="205EE1FF" w14:textId="77777777" w:rsidR="00334349" w:rsidRPr="003F41BD" w:rsidRDefault="00334349" w:rsidP="00D33B65">
            <w:pPr>
              <w:widowControl/>
              <w:rPr>
                <w:rFonts w:ascii="Times New Roman" w:eastAsia="宋体" w:hAnsi="Times New Roman" w:cs="Times New Roman"/>
                <w:color w:val="000000"/>
                <w:kern w:val="0"/>
                <w:sz w:val="18"/>
                <w:szCs w:val="18"/>
                <w14:ligatures w14:val="none"/>
              </w:rPr>
            </w:pPr>
            <w:r w:rsidRPr="004961F8">
              <w:rPr>
                <w:rFonts w:ascii="Times New Roman" w:hAnsi="Times New Roman" w:cs="Times New Roman"/>
                <w:color w:val="000000"/>
                <w:sz w:val="18"/>
                <w:szCs w:val="18"/>
              </w:rPr>
              <w:t>16</w:t>
            </w:r>
            <w:r>
              <w:rPr>
                <w:rFonts w:ascii="Times New Roman" w:hAnsi="Times New Roman" w:cs="Times New Roman" w:hint="eastAsia"/>
                <w:color w:val="000000"/>
                <w:sz w:val="18"/>
                <w:szCs w:val="18"/>
              </w:rPr>
              <w:t>1.0</w:t>
            </w:r>
            <w:r w:rsidRPr="004961F8">
              <w:rPr>
                <w:rFonts w:ascii="Times New Roman" w:hAnsi="Times New Roman" w:cs="Times New Roman"/>
                <w:color w:val="000000"/>
                <w:sz w:val="18"/>
                <w:szCs w:val="18"/>
              </w:rPr>
              <w:t>± 23.6</w:t>
            </w:r>
            <w:r w:rsidRPr="004961F8">
              <w:rPr>
                <w:rFonts w:ascii="Times New Roman" w:hAnsi="Times New Roman" w:cs="Times New Roman" w:hint="eastAsia"/>
                <w:color w:val="000000"/>
                <w:sz w:val="18"/>
                <w:szCs w:val="18"/>
                <w:vertAlign w:val="superscript"/>
              </w:rPr>
              <w:t>b</w:t>
            </w:r>
          </w:p>
        </w:tc>
      </w:tr>
      <w:tr w:rsidR="00334349" w:rsidRPr="004961F8" w14:paraId="38835E57" w14:textId="77777777" w:rsidTr="00D33B65">
        <w:trPr>
          <w:trHeight w:val="280"/>
          <w:jc w:val="center"/>
        </w:trPr>
        <w:tc>
          <w:tcPr>
            <w:tcW w:w="1134" w:type="dxa"/>
            <w:noWrap/>
          </w:tcPr>
          <w:p w14:paraId="63A535A6" w14:textId="77777777" w:rsidR="00334349" w:rsidRPr="00286FCA" w:rsidRDefault="00334349" w:rsidP="00D33B65">
            <w:pPr>
              <w:keepNext/>
              <w:widowControl/>
              <w:jc w:val="center"/>
              <w:rPr>
                <w:rFonts w:ascii="Times New Roman" w:eastAsia="等线" w:hAnsi="Times New Roman" w:cs="Times New Roman"/>
                <w:sz w:val="20"/>
                <w:szCs w:val="20"/>
                <w14:ligatures w14:val="none"/>
              </w:rPr>
            </w:pPr>
            <w:r w:rsidRPr="00286FCA">
              <w:rPr>
                <w:rFonts w:ascii="Times New Roman" w:eastAsia="等线" w:hAnsi="Times New Roman" w:cs="Times New Roman"/>
                <w:sz w:val="20"/>
                <w:szCs w:val="20"/>
                <w14:ligatures w14:val="none"/>
              </w:rPr>
              <w:t>NO₃⁻-N</w:t>
            </w:r>
          </w:p>
          <w:p w14:paraId="5408191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hint="eastAsia"/>
                <w:sz w:val="20"/>
                <w:szCs w:val="20"/>
                <w14:ligatures w14:val="none"/>
              </w:rPr>
              <w:t>(</w:t>
            </w:r>
            <w:r w:rsidRPr="00286FCA">
              <w:rPr>
                <w:rFonts w:ascii="Times New Roman" w:eastAsia="等线" w:hAnsi="Times New Roman" w:cs="Times New Roman"/>
                <w:sz w:val="20"/>
                <w:szCs w:val="20"/>
                <w14:ligatures w14:val="none"/>
              </w:rPr>
              <w:t>mg/kg</w:t>
            </w:r>
            <w:r>
              <w:rPr>
                <w:rFonts w:ascii="Times New Roman" w:eastAsia="等线" w:hAnsi="Times New Roman" w:cs="Times New Roman" w:hint="eastAsia"/>
                <w:sz w:val="20"/>
                <w:szCs w:val="20"/>
                <w14:ligatures w14:val="none"/>
              </w:rPr>
              <w:t>)</w:t>
            </w:r>
          </w:p>
        </w:tc>
        <w:tc>
          <w:tcPr>
            <w:tcW w:w="993" w:type="dxa"/>
            <w:vMerge/>
          </w:tcPr>
          <w:p w14:paraId="55B85862" w14:textId="77777777" w:rsidR="00334349" w:rsidRDefault="00334349" w:rsidP="00D33B65">
            <w:pPr>
              <w:keepNext/>
              <w:widowControl/>
              <w:jc w:val="center"/>
              <w:rPr>
                <w:rFonts w:ascii="Times New Roman" w:eastAsia="等线" w:hAnsi="Times New Roman" w:cs="Times New Roman"/>
                <w:sz w:val="20"/>
                <w:szCs w:val="20"/>
                <w14:ligatures w14:val="none"/>
              </w:rPr>
            </w:pPr>
          </w:p>
        </w:tc>
        <w:tc>
          <w:tcPr>
            <w:tcW w:w="993" w:type="dxa"/>
            <w:noWrap/>
            <w:vAlign w:val="center"/>
          </w:tcPr>
          <w:p w14:paraId="1C238231"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1.0± 0.1</w:t>
            </w:r>
            <w:r w:rsidRPr="003F41BD">
              <w:rPr>
                <w:rFonts w:ascii="Times New Roman" w:hAnsi="Times New Roman" w:cs="Times New Roman" w:hint="eastAsia"/>
                <w:sz w:val="18"/>
                <w:szCs w:val="18"/>
                <w:vertAlign w:val="superscript"/>
              </w:rPr>
              <w:t>a</w:t>
            </w:r>
          </w:p>
        </w:tc>
        <w:tc>
          <w:tcPr>
            <w:tcW w:w="992" w:type="dxa"/>
            <w:noWrap/>
            <w:vAlign w:val="center"/>
          </w:tcPr>
          <w:p w14:paraId="19465C6F"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0.9 ± 0.2</w:t>
            </w:r>
            <w:r w:rsidRPr="003F41BD">
              <w:rPr>
                <w:rFonts w:ascii="Times New Roman" w:hAnsi="Times New Roman" w:cs="Times New Roman" w:hint="eastAsia"/>
                <w:sz w:val="18"/>
                <w:szCs w:val="18"/>
                <w:vertAlign w:val="superscript"/>
              </w:rPr>
              <w:t>a</w:t>
            </w:r>
          </w:p>
        </w:tc>
        <w:tc>
          <w:tcPr>
            <w:tcW w:w="1134" w:type="dxa"/>
            <w:noWrap/>
            <w:vAlign w:val="center"/>
          </w:tcPr>
          <w:p w14:paraId="3B54BE81"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3.2 ± 1.0</w:t>
            </w:r>
            <w:r w:rsidRPr="003F41BD">
              <w:rPr>
                <w:rFonts w:ascii="Times New Roman" w:hAnsi="Times New Roman" w:cs="Times New Roman" w:hint="eastAsia"/>
                <w:sz w:val="18"/>
                <w:szCs w:val="18"/>
                <w:vertAlign w:val="superscript"/>
              </w:rPr>
              <w:t>a</w:t>
            </w:r>
          </w:p>
        </w:tc>
        <w:tc>
          <w:tcPr>
            <w:tcW w:w="1134" w:type="dxa"/>
            <w:noWrap/>
            <w:vAlign w:val="center"/>
          </w:tcPr>
          <w:p w14:paraId="3D1D2CD6"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0.7 ± 0.3</w:t>
            </w:r>
            <w:r w:rsidRPr="003F41BD">
              <w:rPr>
                <w:rFonts w:ascii="Times New Roman" w:hAnsi="Times New Roman" w:cs="Times New Roman" w:hint="eastAsia"/>
                <w:sz w:val="18"/>
                <w:szCs w:val="18"/>
                <w:vertAlign w:val="superscript"/>
              </w:rPr>
              <w:t>a</w:t>
            </w:r>
          </w:p>
        </w:tc>
        <w:tc>
          <w:tcPr>
            <w:tcW w:w="1134" w:type="dxa"/>
            <w:noWrap/>
            <w:vAlign w:val="center"/>
          </w:tcPr>
          <w:p w14:paraId="234DDCA5"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1.3 ± 0.3</w:t>
            </w:r>
            <w:r w:rsidRPr="003F41BD">
              <w:rPr>
                <w:rFonts w:ascii="Times New Roman" w:hAnsi="Times New Roman" w:cs="Times New Roman" w:hint="eastAsia"/>
                <w:sz w:val="18"/>
                <w:szCs w:val="18"/>
                <w:vertAlign w:val="superscript"/>
              </w:rPr>
              <w:t>a</w:t>
            </w:r>
          </w:p>
        </w:tc>
        <w:tc>
          <w:tcPr>
            <w:tcW w:w="1275" w:type="dxa"/>
            <w:noWrap/>
            <w:vAlign w:val="center"/>
          </w:tcPr>
          <w:p w14:paraId="7D1663AE"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3.0 ± 2.7</w:t>
            </w:r>
            <w:r w:rsidRPr="003F41BD">
              <w:rPr>
                <w:rFonts w:ascii="Times New Roman" w:hAnsi="Times New Roman" w:cs="Times New Roman" w:hint="eastAsia"/>
                <w:sz w:val="18"/>
                <w:szCs w:val="18"/>
                <w:vertAlign w:val="superscript"/>
              </w:rPr>
              <w:t>a</w:t>
            </w:r>
          </w:p>
        </w:tc>
        <w:tc>
          <w:tcPr>
            <w:tcW w:w="1276" w:type="dxa"/>
            <w:noWrap/>
            <w:vAlign w:val="center"/>
          </w:tcPr>
          <w:p w14:paraId="5EFAFDD3"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1.4 ± 0.9</w:t>
            </w:r>
            <w:r w:rsidRPr="003F41BD">
              <w:rPr>
                <w:rFonts w:ascii="Times New Roman" w:hAnsi="Times New Roman" w:cs="Times New Roman" w:hint="eastAsia"/>
                <w:sz w:val="18"/>
                <w:szCs w:val="18"/>
                <w:vertAlign w:val="superscript"/>
              </w:rPr>
              <w:t>a</w:t>
            </w:r>
          </w:p>
        </w:tc>
        <w:tc>
          <w:tcPr>
            <w:tcW w:w="1134" w:type="dxa"/>
            <w:noWrap/>
            <w:vAlign w:val="center"/>
          </w:tcPr>
          <w:p w14:paraId="5DE86BFB" w14:textId="77777777" w:rsidR="00334349" w:rsidRPr="003F41BD" w:rsidRDefault="00334349" w:rsidP="00D33B65">
            <w:pPr>
              <w:keepNext/>
              <w:widowControl/>
              <w:jc w:val="center"/>
              <w:rPr>
                <w:rFonts w:ascii="Times New Roman" w:eastAsia="等线" w:hAnsi="Times New Roman" w:cs="Times New Roman"/>
                <w:sz w:val="18"/>
                <w:szCs w:val="18"/>
                <w14:ligatures w14:val="none"/>
              </w:rPr>
            </w:pPr>
            <w:r w:rsidRPr="003F41BD">
              <w:rPr>
                <w:rFonts w:ascii="Times New Roman" w:hAnsi="Times New Roman" w:cs="Times New Roman"/>
                <w:sz w:val="18"/>
                <w:szCs w:val="18"/>
              </w:rPr>
              <w:t>0.5 ± 0.2</w:t>
            </w:r>
            <w:r w:rsidRPr="003F41BD">
              <w:rPr>
                <w:rFonts w:ascii="Times New Roman" w:hAnsi="Times New Roman" w:cs="Times New Roman" w:hint="eastAsia"/>
                <w:sz w:val="18"/>
                <w:szCs w:val="18"/>
                <w:vertAlign w:val="superscript"/>
              </w:rPr>
              <w:t>a</w:t>
            </w:r>
          </w:p>
        </w:tc>
      </w:tr>
    </w:tbl>
    <w:p w14:paraId="22C70780" w14:textId="77777777" w:rsidR="00334349" w:rsidRDefault="00334349" w:rsidP="00334349">
      <w:pPr>
        <w:pStyle w:val="21"/>
        <w:rPr>
          <w:rFonts w:ascii="Times New Roman" w:eastAsia="等线" w:hAnsi="Times New Roman" w:cs="Times New Roman"/>
          <w:b/>
          <w:bCs/>
          <w:lang w:bidi="ar"/>
        </w:rPr>
      </w:pPr>
    </w:p>
    <w:p w14:paraId="48776F73" w14:textId="77777777" w:rsidR="00334349" w:rsidRDefault="00334349" w:rsidP="00334349">
      <w:pPr>
        <w:keepNext/>
        <w:widowControl/>
        <w:rPr>
          <w:rFonts w:ascii="Times New Roman" w:eastAsia="宋体" w:hAnsi="Times New Roman" w:cs="Times New Roman"/>
          <w:b/>
          <w:bCs/>
          <w:szCs w:val="21"/>
          <w14:ligatures w14:val="none"/>
        </w:rPr>
      </w:pPr>
      <w:r>
        <w:rPr>
          <w:rFonts w:ascii="Times New Roman" w:eastAsia="宋体" w:hAnsi="Times New Roman" w:cs="Times New Roman"/>
          <w:b/>
          <w:bCs/>
          <w:szCs w:val="21"/>
          <w14:ligatures w14:val="none"/>
        </w:rPr>
        <w:t xml:space="preserve">Table </w:t>
      </w:r>
      <w:r>
        <w:rPr>
          <w:rFonts w:ascii="Times New Roman" w:eastAsia="宋体" w:hAnsi="Times New Roman" w:cs="Times New Roman" w:hint="eastAsia"/>
          <w:b/>
          <w:bCs/>
          <w:szCs w:val="21"/>
          <w14:ligatures w14:val="none"/>
        </w:rPr>
        <w:t>S2</w:t>
      </w:r>
      <w:r>
        <w:rPr>
          <w:rFonts w:ascii="Times New Roman" w:eastAsia="宋体" w:hAnsi="Times New Roman" w:cs="Times New Roman"/>
          <w:b/>
          <w:bCs/>
          <w:szCs w:val="21"/>
          <w14:ligatures w14:val="none"/>
        </w:rPr>
        <w:t xml:space="preserve"> </w:t>
      </w:r>
    </w:p>
    <w:p w14:paraId="28FB603A" w14:textId="77777777" w:rsidR="00334349" w:rsidRPr="007B4051" w:rsidRDefault="00334349" w:rsidP="00334349">
      <w:pPr>
        <w:keepNext/>
        <w:widowControl/>
        <w:rPr>
          <w:rFonts w:ascii="Times New Roman" w:eastAsia="宋体" w:hAnsi="Times New Roman" w:cs="Times New Roman"/>
          <w:szCs w:val="21"/>
          <w14:ligatures w14:val="none"/>
        </w:rPr>
      </w:pPr>
      <w:r w:rsidRPr="007B4051">
        <w:rPr>
          <w:rFonts w:ascii="Times New Roman" w:eastAsia="宋体" w:hAnsi="Times New Roman" w:cs="Times New Roman"/>
          <w:szCs w:val="21"/>
          <w14:ligatures w14:val="none"/>
        </w:rPr>
        <w:t>Properties of bacterial co-occurrence networks</w:t>
      </w:r>
      <w:r>
        <w:rPr>
          <w:rFonts w:ascii="Times New Roman" w:eastAsia="宋体" w:hAnsi="Times New Roman" w:cs="Times New Roman" w:hint="eastAsia"/>
          <w:szCs w:val="21"/>
          <w14:ligatures w14:val="none"/>
        </w:rPr>
        <w:t xml:space="preserve"> </w:t>
      </w:r>
      <w:r w:rsidRPr="00FF6FC9">
        <w:rPr>
          <w:rFonts w:ascii="Times New Roman" w:eastAsia="宋体" w:hAnsi="Times New Roman" w:cs="Times New Roman"/>
          <w:szCs w:val="21"/>
          <w14:ligatures w14:val="none"/>
        </w:rPr>
        <w:t>from both cultivars</w:t>
      </w:r>
      <w:r w:rsidRPr="00FF6FC9">
        <w:rPr>
          <w:rFonts w:ascii="Times New Roman" w:eastAsia="宋体" w:hAnsi="Times New Roman" w:cs="Times New Roman" w:hint="eastAsia"/>
          <w:szCs w:val="21"/>
          <w14:ligatures w14:val="none"/>
        </w:rPr>
        <w:t xml:space="preserve"> (n = 6)</w:t>
      </w:r>
      <w:r>
        <w:rPr>
          <w:rFonts w:ascii="Times New Roman" w:eastAsia="宋体" w:hAnsi="Times New Roman" w:cs="Times New Roman"/>
          <w:szCs w:val="21"/>
          <w14:ligatures w14:val="none"/>
        </w:rPr>
        <w:t xml:space="preserve">. </w:t>
      </w:r>
      <w:r w:rsidRPr="007B4051">
        <w:rPr>
          <w:rFonts w:ascii="Times New Roman" w:eastAsia="宋体" w:hAnsi="Times New Roman" w:cs="Times New Roman"/>
          <w:szCs w:val="21"/>
          <w14:ligatures w14:val="none"/>
        </w:rPr>
        <w:t>Network parameters include the number of nodes, number of links (edges), number of positive and negative links, network diameter, modularity, average clustering coefficient, average path length, average degree, and network density.</w:t>
      </w:r>
      <w:r>
        <w:rPr>
          <w:rFonts w:ascii="Times New Roman" w:eastAsia="宋体" w:hAnsi="Times New Roman" w:cs="Times New Roman"/>
          <w:szCs w:val="21"/>
          <w14:ligatures w14:val="none"/>
        </w:rPr>
        <w:t xml:space="preserve"> </w:t>
      </w:r>
      <w:r w:rsidRPr="007B4051">
        <w:rPr>
          <w:rFonts w:ascii="Times New Roman" w:eastAsia="宋体" w:hAnsi="Times New Roman" w:cs="Times New Roman"/>
          <w:szCs w:val="21"/>
          <w14:ligatures w14:val="none"/>
        </w:rPr>
        <w:t>C_N and S_N represent unsterilized and sterilized soil under four nitrogen addition levels (0, 50, 100, and 200</w:t>
      </w:r>
      <w:r w:rsidRPr="007B4051">
        <w:t xml:space="preserve"> </w:t>
      </w:r>
      <w:r w:rsidRPr="007B4051">
        <w:rPr>
          <w:rFonts w:ascii="Times New Roman" w:eastAsia="宋体" w:hAnsi="Times New Roman" w:cs="Times New Roman"/>
          <w:szCs w:val="21"/>
          <w14:ligatures w14:val="none"/>
        </w:rPr>
        <w:t>mg N kg⁻¹), respectively.</w:t>
      </w:r>
    </w:p>
    <w:tbl>
      <w:tblPr>
        <w:tblW w:w="9222" w:type="dxa"/>
        <w:tblBorders>
          <w:top w:val="single" w:sz="12" w:space="0" w:color="000000"/>
          <w:bottom w:val="single" w:sz="12" w:space="0" w:color="000000"/>
        </w:tblBorders>
        <w:tblLayout w:type="fixed"/>
        <w:tblLook w:val="04A0" w:firstRow="1" w:lastRow="0" w:firstColumn="1" w:lastColumn="0" w:noHBand="0" w:noVBand="1"/>
      </w:tblPr>
      <w:tblGrid>
        <w:gridCol w:w="1980"/>
        <w:gridCol w:w="905"/>
        <w:gridCol w:w="905"/>
        <w:gridCol w:w="905"/>
        <w:gridCol w:w="906"/>
        <w:gridCol w:w="905"/>
        <w:gridCol w:w="905"/>
        <w:gridCol w:w="905"/>
        <w:gridCol w:w="906"/>
      </w:tblGrid>
      <w:tr w:rsidR="00334349" w14:paraId="3CB48D28" w14:textId="77777777" w:rsidTr="00D33B65">
        <w:trPr>
          <w:trHeight w:val="280"/>
        </w:trPr>
        <w:tc>
          <w:tcPr>
            <w:tcW w:w="1980" w:type="dxa"/>
            <w:tcBorders>
              <w:top w:val="single" w:sz="12" w:space="0" w:color="000000"/>
              <w:bottom w:val="single" w:sz="8" w:space="0" w:color="000000"/>
            </w:tcBorders>
            <w:noWrap/>
          </w:tcPr>
          <w:p w14:paraId="4EA7558E" w14:textId="77777777" w:rsidR="00334349" w:rsidRDefault="00334349" w:rsidP="00D33B65">
            <w:pPr>
              <w:keepNext/>
              <w:widowControl/>
              <w:jc w:val="center"/>
              <w:rPr>
                <w:rFonts w:ascii="Times New Roman" w:eastAsia="等线" w:hAnsi="Times New Roman" w:cs="Times New Roman"/>
                <w:sz w:val="20"/>
                <w:szCs w:val="20"/>
                <w14:ligatures w14:val="none"/>
              </w:rPr>
            </w:pPr>
            <w:bookmarkStart w:id="0" w:name="_Hlk194325261"/>
            <w:r>
              <w:rPr>
                <w:rFonts w:ascii="Times New Roman" w:eastAsia="等线" w:hAnsi="Times New Roman" w:cs="Times New Roman"/>
                <w:sz w:val="20"/>
                <w:szCs w:val="20"/>
                <w14:ligatures w14:val="none"/>
              </w:rPr>
              <w:t>Group</w:t>
            </w:r>
            <w:bookmarkEnd w:id="0"/>
          </w:p>
        </w:tc>
        <w:tc>
          <w:tcPr>
            <w:tcW w:w="905" w:type="dxa"/>
            <w:tcBorders>
              <w:top w:val="single" w:sz="12" w:space="0" w:color="000000"/>
              <w:bottom w:val="single" w:sz="8" w:space="0" w:color="000000"/>
            </w:tcBorders>
            <w:noWrap/>
          </w:tcPr>
          <w:p w14:paraId="048A032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C_N0</w:t>
            </w:r>
          </w:p>
        </w:tc>
        <w:tc>
          <w:tcPr>
            <w:tcW w:w="905" w:type="dxa"/>
            <w:tcBorders>
              <w:top w:val="single" w:sz="12" w:space="0" w:color="000000"/>
              <w:bottom w:val="single" w:sz="8" w:space="0" w:color="000000"/>
            </w:tcBorders>
            <w:noWrap/>
          </w:tcPr>
          <w:p w14:paraId="3DA89FF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C_N50</w:t>
            </w:r>
          </w:p>
        </w:tc>
        <w:tc>
          <w:tcPr>
            <w:tcW w:w="905" w:type="dxa"/>
            <w:tcBorders>
              <w:top w:val="single" w:sz="12" w:space="0" w:color="000000"/>
              <w:bottom w:val="single" w:sz="8" w:space="0" w:color="000000"/>
            </w:tcBorders>
            <w:noWrap/>
          </w:tcPr>
          <w:p w14:paraId="090E105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C_N100</w:t>
            </w:r>
          </w:p>
        </w:tc>
        <w:tc>
          <w:tcPr>
            <w:tcW w:w="906" w:type="dxa"/>
            <w:tcBorders>
              <w:top w:val="single" w:sz="12" w:space="0" w:color="000000"/>
              <w:bottom w:val="single" w:sz="8" w:space="0" w:color="000000"/>
            </w:tcBorders>
            <w:noWrap/>
          </w:tcPr>
          <w:p w14:paraId="7B9691C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C_N200</w:t>
            </w:r>
          </w:p>
        </w:tc>
        <w:tc>
          <w:tcPr>
            <w:tcW w:w="905" w:type="dxa"/>
            <w:tcBorders>
              <w:top w:val="single" w:sz="12" w:space="0" w:color="000000"/>
              <w:bottom w:val="single" w:sz="8" w:space="0" w:color="000000"/>
            </w:tcBorders>
            <w:noWrap/>
          </w:tcPr>
          <w:p w14:paraId="5A628E60"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S_N0</w:t>
            </w:r>
          </w:p>
        </w:tc>
        <w:tc>
          <w:tcPr>
            <w:tcW w:w="905" w:type="dxa"/>
            <w:tcBorders>
              <w:top w:val="single" w:sz="12" w:space="0" w:color="000000"/>
              <w:bottom w:val="single" w:sz="8" w:space="0" w:color="000000"/>
            </w:tcBorders>
            <w:noWrap/>
          </w:tcPr>
          <w:p w14:paraId="11FCDD0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S_N50</w:t>
            </w:r>
          </w:p>
        </w:tc>
        <w:tc>
          <w:tcPr>
            <w:tcW w:w="905" w:type="dxa"/>
            <w:tcBorders>
              <w:top w:val="single" w:sz="12" w:space="0" w:color="000000"/>
              <w:bottom w:val="single" w:sz="8" w:space="0" w:color="000000"/>
            </w:tcBorders>
            <w:noWrap/>
          </w:tcPr>
          <w:p w14:paraId="2CB9364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S_N100</w:t>
            </w:r>
          </w:p>
        </w:tc>
        <w:tc>
          <w:tcPr>
            <w:tcW w:w="906" w:type="dxa"/>
            <w:tcBorders>
              <w:top w:val="single" w:sz="12" w:space="0" w:color="000000"/>
              <w:bottom w:val="single" w:sz="8" w:space="0" w:color="000000"/>
            </w:tcBorders>
            <w:noWrap/>
          </w:tcPr>
          <w:p w14:paraId="58652E7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S_N200</w:t>
            </w:r>
          </w:p>
        </w:tc>
      </w:tr>
      <w:tr w:rsidR="00334349" w14:paraId="62FD34B0" w14:textId="77777777" w:rsidTr="00D33B65">
        <w:trPr>
          <w:trHeight w:val="280"/>
        </w:trPr>
        <w:tc>
          <w:tcPr>
            <w:tcW w:w="1980" w:type="dxa"/>
            <w:tcBorders>
              <w:top w:val="single" w:sz="8" w:space="0" w:color="000000"/>
            </w:tcBorders>
            <w:noWrap/>
          </w:tcPr>
          <w:p w14:paraId="75981005"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Nodes</w:t>
            </w:r>
          </w:p>
        </w:tc>
        <w:tc>
          <w:tcPr>
            <w:tcW w:w="905" w:type="dxa"/>
            <w:tcBorders>
              <w:top w:val="single" w:sz="8" w:space="0" w:color="000000"/>
            </w:tcBorders>
            <w:noWrap/>
          </w:tcPr>
          <w:p w14:paraId="65AB7D8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466</w:t>
            </w:r>
          </w:p>
        </w:tc>
        <w:tc>
          <w:tcPr>
            <w:tcW w:w="905" w:type="dxa"/>
            <w:tcBorders>
              <w:top w:val="single" w:sz="8" w:space="0" w:color="000000"/>
            </w:tcBorders>
            <w:noWrap/>
          </w:tcPr>
          <w:p w14:paraId="7EFAE16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432</w:t>
            </w:r>
          </w:p>
        </w:tc>
        <w:tc>
          <w:tcPr>
            <w:tcW w:w="905" w:type="dxa"/>
            <w:tcBorders>
              <w:top w:val="single" w:sz="8" w:space="0" w:color="000000"/>
            </w:tcBorders>
            <w:noWrap/>
          </w:tcPr>
          <w:p w14:paraId="79A726C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479</w:t>
            </w:r>
          </w:p>
        </w:tc>
        <w:tc>
          <w:tcPr>
            <w:tcW w:w="906" w:type="dxa"/>
            <w:tcBorders>
              <w:top w:val="single" w:sz="8" w:space="0" w:color="000000"/>
            </w:tcBorders>
            <w:noWrap/>
          </w:tcPr>
          <w:p w14:paraId="1C8891C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425</w:t>
            </w:r>
          </w:p>
        </w:tc>
        <w:tc>
          <w:tcPr>
            <w:tcW w:w="905" w:type="dxa"/>
            <w:tcBorders>
              <w:top w:val="single" w:sz="8" w:space="0" w:color="000000"/>
            </w:tcBorders>
            <w:noWrap/>
          </w:tcPr>
          <w:p w14:paraId="3E4CD97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419</w:t>
            </w:r>
          </w:p>
        </w:tc>
        <w:tc>
          <w:tcPr>
            <w:tcW w:w="905" w:type="dxa"/>
            <w:tcBorders>
              <w:top w:val="single" w:sz="8" w:space="0" w:color="000000"/>
            </w:tcBorders>
            <w:noWrap/>
          </w:tcPr>
          <w:p w14:paraId="253F1B6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415</w:t>
            </w:r>
          </w:p>
        </w:tc>
        <w:tc>
          <w:tcPr>
            <w:tcW w:w="905" w:type="dxa"/>
            <w:tcBorders>
              <w:top w:val="single" w:sz="8" w:space="0" w:color="000000"/>
            </w:tcBorders>
            <w:noWrap/>
          </w:tcPr>
          <w:p w14:paraId="010ACCE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391</w:t>
            </w:r>
          </w:p>
        </w:tc>
        <w:tc>
          <w:tcPr>
            <w:tcW w:w="906" w:type="dxa"/>
            <w:tcBorders>
              <w:top w:val="single" w:sz="8" w:space="0" w:color="000000"/>
            </w:tcBorders>
            <w:noWrap/>
          </w:tcPr>
          <w:p w14:paraId="1662AFC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417</w:t>
            </w:r>
          </w:p>
        </w:tc>
      </w:tr>
      <w:tr w:rsidR="00334349" w14:paraId="45EA83C3" w14:textId="77777777" w:rsidTr="00D33B65">
        <w:trPr>
          <w:trHeight w:val="280"/>
        </w:trPr>
        <w:tc>
          <w:tcPr>
            <w:tcW w:w="1980" w:type="dxa"/>
            <w:noWrap/>
          </w:tcPr>
          <w:p w14:paraId="26DB246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Links</w:t>
            </w:r>
          </w:p>
        </w:tc>
        <w:tc>
          <w:tcPr>
            <w:tcW w:w="905" w:type="dxa"/>
            <w:noWrap/>
          </w:tcPr>
          <w:p w14:paraId="4010917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2362</w:t>
            </w:r>
          </w:p>
        </w:tc>
        <w:tc>
          <w:tcPr>
            <w:tcW w:w="905" w:type="dxa"/>
            <w:noWrap/>
          </w:tcPr>
          <w:p w14:paraId="56AA048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2251</w:t>
            </w:r>
          </w:p>
        </w:tc>
        <w:tc>
          <w:tcPr>
            <w:tcW w:w="905" w:type="dxa"/>
            <w:noWrap/>
          </w:tcPr>
          <w:p w14:paraId="537BCD7C"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2359</w:t>
            </w:r>
          </w:p>
        </w:tc>
        <w:tc>
          <w:tcPr>
            <w:tcW w:w="906" w:type="dxa"/>
            <w:noWrap/>
          </w:tcPr>
          <w:p w14:paraId="4F86FB3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1720</w:t>
            </w:r>
          </w:p>
        </w:tc>
        <w:tc>
          <w:tcPr>
            <w:tcW w:w="905" w:type="dxa"/>
            <w:noWrap/>
          </w:tcPr>
          <w:p w14:paraId="08605FC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1981</w:t>
            </w:r>
          </w:p>
        </w:tc>
        <w:tc>
          <w:tcPr>
            <w:tcW w:w="905" w:type="dxa"/>
            <w:noWrap/>
          </w:tcPr>
          <w:p w14:paraId="7446ECE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1622</w:t>
            </w:r>
          </w:p>
        </w:tc>
        <w:tc>
          <w:tcPr>
            <w:tcW w:w="905" w:type="dxa"/>
            <w:noWrap/>
          </w:tcPr>
          <w:p w14:paraId="5FFAEF5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1486</w:t>
            </w:r>
          </w:p>
        </w:tc>
        <w:tc>
          <w:tcPr>
            <w:tcW w:w="906" w:type="dxa"/>
            <w:noWrap/>
          </w:tcPr>
          <w:p w14:paraId="38BD0160"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1798</w:t>
            </w:r>
          </w:p>
        </w:tc>
      </w:tr>
      <w:tr w:rsidR="00334349" w14:paraId="3BBBD090" w14:textId="77777777" w:rsidTr="00D33B65">
        <w:trPr>
          <w:trHeight w:val="280"/>
        </w:trPr>
        <w:tc>
          <w:tcPr>
            <w:tcW w:w="1980" w:type="dxa"/>
            <w:noWrap/>
          </w:tcPr>
          <w:p w14:paraId="50CD990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Positive links</w:t>
            </w:r>
          </w:p>
        </w:tc>
        <w:tc>
          <w:tcPr>
            <w:tcW w:w="905" w:type="dxa"/>
            <w:noWrap/>
          </w:tcPr>
          <w:p w14:paraId="7A75269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1419</w:t>
            </w:r>
          </w:p>
        </w:tc>
        <w:tc>
          <w:tcPr>
            <w:tcW w:w="905" w:type="dxa"/>
            <w:noWrap/>
          </w:tcPr>
          <w:p w14:paraId="7B5668C3"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1217</w:t>
            </w:r>
          </w:p>
        </w:tc>
        <w:tc>
          <w:tcPr>
            <w:tcW w:w="905" w:type="dxa"/>
            <w:noWrap/>
          </w:tcPr>
          <w:p w14:paraId="3CFDEF0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1285</w:t>
            </w:r>
          </w:p>
        </w:tc>
        <w:tc>
          <w:tcPr>
            <w:tcW w:w="906" w:type="dxa"/>
            <w:noWrap/>
          </w:tcPr>
          <w:p w14:paraId="74C8F3C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1044</w:t>
            </w:r>
          </w:p>
        </w:tc>
        <w:tc>
          <w:tcPr>
            <w:tcW w:w="905" w:type="dxa"/>
            <w:noWrap/>
          </w:tcPr>
          <w:p w14:paraId="5C3D179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1532</w:t>
            </w:r>
          </w:p>
        </w:tc>
        <w:tc>
          <w:tcPr>
            <w:tcW w:w="905" w:type="dxa"/>
            <w:noWrap/>
          </w:tcPr>
          <w:p w14:paraId="2EC0123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1002</w:t>
            </w:r>
          </w:p>
        </w:tc>
        <w:tc>
          <w:tcPr>
            <w:tcW w:w="905" w:type="dxa"/>
            <w:noWrap/>
          </w:tcPr>
          <w:p w14:paraId="1986BD1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1086</w:t>
            </w:r>
          </w:p>
        </w:tc>
        <w:tc>
          <w:tcPr>
            <w:tcW w:w="906" w:type="dxa"/>
            <w:noWrap/>
          </w:tcPr>
          <w:p w14:paraId="610FF1C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1082</w:t>
            </w:r>
          </w:p>
        </w:tc>
      </w:tr>
      <w:tr w:rsidR="00334349" w14:paraId="4CD78090" w14:textId="77777777" w:rsidTr="00D33B65">
        <w:trPr>
          <w:trHeight w:val="280"/>
        </w:trPr>
        <w:tc>
          <w:tcPr>
            <w:tcW w:w="1980" w:type="dxa"/>
            <w:noWrap/>
          </w:tcPr>
          <w:p w14:paraId="2F3CF9A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Negative links</w:t>
            </w:r>
          </w:p>
        </w:tc>
        <w:tc>
          <w:tcPr>
            <w:tcW w:w="905" w:type="dxa"/>
            <w:noWrap/>
          </w:tcPr>
          <w:p w14:paraId="5142779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943</w:t>
            </w:r>
          </w:p>
        </w:tc>
        <w:tc>
          <w:tcPr>
            <w:tcW w:w="905" w:type="dxa"/>
            <w:noWrap/>
          </w:tcPr>
          <w:p w14:paraId="7DF3130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1034</w:t>
            </w:r>
          </w:p>
        </w:tc>
        <w:tc>
          <w:tcPr>
            <w:tcW w:w="905" w:type="dxa"/>
            <w:noWrap/>
          </w:tcPr>
          <w:p w14:paraId="712EDE3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1074</w:t>
            </w:r>
          </w:p>
        </w:tc>
        <w:tc>
          <w:tcPr>
            <w:tcW w:w="906" w:type="dxa"/>
            <w:noWrap/>
          </w:tcPr>
          <w:p w14:paraId="2E0F036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676</w:t>
            </w:r>
          </w:p>
        </w:tc>
        <w:tc>
          <w:tcPr>
            <w:tcW w:w="905" w:type="dxa"/>
            <w:noWrap/>
          </w:tcPr>
          <w:p w14:paraId="110234C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449</w:t>
            </w:r>
          </w:p>
        </w:tc>
        <w:tc>
          <w:tcPr>
            <w:tcW w:w="905" w:type="dxa"/>
            <w:noWrap/>
          </w:tcPr>
          <w:p w14:paraId="1CB060A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620</w:t>
            </w:r>
          </w:p>
        </w:tc>
        <w:tc>
          <w:tcPr>
            <w:tcW w:w="905" w:type="dxa"/>
            <w:noWrap/>
          </w:tcPr>
          <w:p w14:paraId="3578F21C"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400</w:t>
            </w:r>
          </w:p>
        </w:tc>
        <w:tc>
          <w:tcPr>
            <w:tcW w:w="906" w:type="dxa"/>
            <w:noWrap/>
          </w:tcPr>
          <w:p w14:paraId="7BECF74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716</w:t>
            </w:r>
          </w:p>
        </w:tc>
      </w:tr>
      <w:tr w:rsidR="00334349" w14:paraId="43542F67" w14:textId="77777777" w:rsidTr="00D33B65">
        <w:trPr>
          <w:trHeight w:val="280"/>
        </w:trPr>
        <w:tc>
          <w:tcPr>
            <w:tcW w:w="1980" w:type="dxa"/>
            <w:noWrap/>
          </w:tcPr>
          <w:p w14:paraId="026BF473"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Network diameter</w:t>
            </w:r>
          </w:p>
        </w:tc>
        <w:tc>
          <w:tcPr>
            <w:tcW w:w="905" w:type="dxa"/>
            <w:noWrap/>
          </w:tcPr>
          <w:p w14:paraId="028D94F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13.082</w:t>
            </w:r>
          </w:p>
        </w:tc>
        <w:tc>
          <w:tcPr>
            <w:tcW w:w="905" w:type="dxa"/>
            <w:noWrap/>
          </w:tcPr>
          <w:p w14:paraId="0C99135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13.072</w:t>
            </w:r>
          </w:p>
        </w:tc>
        <w:tc>
          <w:tcPr>
            <w:tcW w:w="905" w:type="dxa"/>
            <w:noWrap/>
          </w:tcPr>
          <w:p w14:paraId="6786C26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13.183</w:t>
            </w:r>
          </w:p>
        </w:tc>
        <w:tc>
          <w:tcPr>
            <w:tcW w:w="906" w:type="dxa"/>
            <w:noWrap/>
          </w:tcPr>
          <w:p w14:paraId="37DC62D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13.165</w:t>
            </w:r>
          </w:p>
        </w:tc>
        <w:tc>
          <w:tcPr>
            <w:tcW w:w="905" w:type="dxa"/>
            <w:noWrap/>
          </w:tcPr>
          <w:p w14:paraId="1CC8CB0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12.196</w:t>
            </w:r>
          </w:p>
        </w:tc>
        <w:tc>
          <w:tcPr>
            <w:tcW w:w="905" w:type="dxa"/>
            <w:noWrap/>
          </w:tcPr>
          <w:p w14:paraId="5E221EE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13.126</w:t>
            </w:r>
          </w:p>
        </w:tc>
        <w:tc>
          <w:tcPr>
            <w:tcW w:w="905" w:type="dxa"/>
            <w:noWrap/>
          </w:tcPr>
          <w:p w14:paraId="5E08E081"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14.925</w:t>
            </w:r>
          </w:p>
        </w:tc>
        <w:tc>
          <w:tcPr>
            <w:tcW w:w="906" w:type="dxa"/>
            <w:noWrap/>
          </w:tcPr>
          <w:p w14:paraId="1599AB7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12.172</w:t>
            </w:r>
          </w:p>
        </w:tc>
      </w:tr>
      <w:tr w:rsidR="00334349" w14:paraId="2F7B6091" w14:textId="77777777" w:rsidTr="00D33B65">
        <w:trPr>
          <w:trHeight w:val="280"/>
        </w:trPr>
        <w:tc>
          <w:tcPr>
            <w:tcW w:w="1980" w:type="dxa"/>
            <w:noWrap/>
          </w:tcPr>
          <w:p w14:paraId="0FAB523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Modularity</w:t>
            </w:r>
          </w:p>
        </w:tc>
        <w:tc>
          <w:tcPr>
            <w:tcW w:w="905" w:type="dxa"/>
            <w:noWrap/>
          </w:tcPr>
          <w:p w14:paraId="3A7DF2FB"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0.645</w:t>
            </w:r>
          </w:p>
        </w:tc>
        <w:tc>
          <w:tcPr>
            <w:tcW w:w="905" w:type="dxa"/>
            <w:noWrap/>
          </w:tcPr>
          <w:p w14:paraId="0CDF495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0.647</w:t>
            </w:r>
          </w:p>
        </w:tc>
        <w:tc>
          <w:tcPr>
            <w:tcW w:w="905" w:type="dxa"/>
            <w:noWrap/>
          </w:tcPr>
          <w:p w14:paraId="6D0D9DB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0.667</w:t>
            </w:r>
          </w:p>
        </w:tc>
        <w:tc>
          <w:tcPr>
            <w:tcW w:w="906" w:type="dxa"/>
            <w:noWrap/>
          </w:tcPr>
          <w:p w14:paraId="3E687323"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0.696</w:t>
            </w:r>
          </w:p>
        </w:tc>
        <w:tc>
          <w:tcPr>
            <w:tcW w:w="905" w:type="dxa"/>
            <w:noWrap/>
          </w:tcPr>
          <w:p w14:paraId="4815D0B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0.607</w:t>
            </w:r>
          </w:p>
        </w:tc>
        <w:tc>
          <w:tcPr>
            <w:tcW w:w="905" w:type="dxa"/>
            <w:noWrap/>
          </w:tcPr>
          <w:p w14:paraId="07F4F5D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0.699</w:t>
            </w:r>
          </w:p>
        </w:tc>
        <w:tc>
          <w:tcPr>
            <w:tcW w:w="905" w:type="dxa"/>
            <w:noWrap/>
          </w:tcPr>
          <w:p w14:paraId="5B890303"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0.659</w:t>
            </w:r>
          </w:p>
        </w:tc>
        <w:tc>
          <w:tcPr>
            <w:tcW w:w="906" w:type="dxa"/>
            <w:noWrap/>
          </w:tcPr>
          <w:p w14:paraId="3245813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0.669</w:t>
            </w:r>
          </w:p>
        </w:tc>
      </w:tr>
      <w:tr w:rsidR="00334349" w14:paraId="01F944C9" w14:textId="77777777" w:rsidTr="00D33B65">
        <w:trPr>
          <w:trHeight w:val="280"/>
        </w:trPr>
        <w:tc>
          <w:tcPr>
            <w:tcW w:w="1980" w:type="dxa"/>
            <w:noWrap/>
          </w:tcPr>
          <w:p w14:paraId="2B3473F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Average clustering coefficient</w:t>
            </w:r>
          </w:p>
        </w:tc>
        <w:tc>
          <w:tcPr>
            <w:tcW w:w="905" w:type="dxa"/>
            <w:noWrap/>
          </w:tcPr>
          <w:p w14:paraId="16529E8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0.364</w:t>
            </w:r>
          </w:p>
        </w:tc>
        <w:tc>
          <w:tcPr>
            <w:tcW w:w="905" w:type="dxa"/>
            <w:noWrap/>
          </w:tcPr>
          <w:p w14:paraId="7A98974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0.359</w:t>
            </w:r>
          </w:p>
        </w:tc>
        <w:tc>
          <w:tcPr>
            <w:tcW w:w="905" w:type="dxa"/>
            <w:noWrap/>
          </w:tcPr>
          <w:p w14:paraId="4AF070C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0.382</w:t>
            </w:r>
          </w:p>
        </w:tc>
        <w:tc>
          <w:tcPr>
            <w:tcW w:w="906" w:type="dxa"/>
            <w:noWrap/>
          </w:tcPr>
          <w:p w14:paraId="0522A6F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0.359</w:t>
            </w:r>
          </w:p>
        </w:tc>
        <w:tc>
          <w:tcPr>
            <w:tcW w:w="905" w:type="dxa"/>
            <w:noWrap/>
          </w:tcPr>
          <w:p w14:paraId="1D6BCEBC"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0.350</w:t>
            </w:r>
          </w:p>
        </w:tc>
        <w:tc>
          <w:tcPr>
            <w:tcW w:w="905" w:type="dxa"/>
            <w:noWrap/>
          </w:tcPr>
          <w:p w14:paraId="4BE6D1F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0.379</w:t>
            </w:r>
          </w:p>
        </w:tc>
        <w:tc>
          <w:tcPr>
            <w:tcW w:w="905" w:type="dxa"/>
            <w:noWrap/>
          </w:tcPr>
          <w:p w14:paraId="71110DF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0.355</w:t>
            </w:r>
          </w:p>
        </w:tc>
        <w:tc>
          <w:tcPr>
            <w:tcW w:w="906" w:type="dxa"/>
            <w:noWrap/>
          </w:tcPr>
          <w:p w14:paraId="3651FA3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0.331</w:t>
            </w:r>
          </w:p>
        </w:tc>
      </w:tr>
      <w:tr w:rsidR="00334349" w14:paraId="4DA9FCD1" w14:textId="77777777" w:rsidTr="00D33B65">
        <w:trPr>
          <w:trHeight w:val="280"/>
        </w:trPr>
        <w:tc>
          <w:tcPr>
            <w:tcW w:w="1980" w:type="dxa"/>
            <w:noWrap/>
          </w:tcPr>
          <w:p w14:paraId="52D091F5"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Average path length</w:t>
            </w:r>
          </w:p>
        </w:tc>
        <w:tc>
          <w:tcPr>
            <w:tcW w:w="905" w:type="dxa"/>
            <w:noWrap/>
          </w:tcPr>
          <w:p w14:paraId="267C540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4.896</w:t>
            </w:r>
          </w:p>
        </w:tc>
        <w:tc>
          <w:tcPr>
            <w:tcW w:w="905" w:type="dxa"/>
            <w:noWrap/>
          </w:tcPr>
          <w:p w14:paraId="0AB049D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4.713</w:t>
            </w:r>
          </w:p>
        </w:tc>
        <w:tc>
          <w:tcPr>
            <w:tcW w:w="905" w:type="dxa"/>
            <w:noWrap/>
          </w:tcPr>
          <w:p w14:paraId="280E7B6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4.865</w:t>
            </w:r>
          </w:p>
        </w:tc>
        <w:tc>
          <w:tcPr>
            <w:tcW w:w="906" w:type="dxa"/>
            <w:noWrap/>
          </w:tcPr>
          <w:p w14:paraId="4EA0E945"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5.312</w:t>
            </w:r>
          </w:p>
        </w:tc>
        <w:tc>
          <w:tcPr>
            <w:tcW w:w="905" w:type="dxa"/>
            <w:noWrap/>
          </w:tcPr>
          <w:p w14:paraId="0E21E78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5.107</w:t>
            </w:r>
          </w:p>
        </w:tc>
        <w:tc>
          <w:tcPr>
            <w:tcW w:w="905" w:type="dxa"/>
            <w:noWrap/>
          </w:tcPr>
          <w:p w14:paraId="45BB7890"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5.097</w:t>
            </w:r>
          </w:p>
        </w:tc>
        <w:tc>
          <w:tcPr>
            <w:tcW w:w="905" w:type="dxa"/>
            <w:noWrap/>
          </w:tcPr>
          <w:p w14:paraId="440CFC56"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5.437</w:t>
            </w:r>
          </w:p>
        </w:tc>
        <w:tc>
          <w:tcPr>
            <w:tcW w:w="906" w:type="dxa"/>
            <w:noWrap/>
          </w:tcPr>
          <w:p w14:paraId="413948C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4.967</w:t>
            </w:r>
          </w:p>
        </w:tc>
      </w:tr>
      <w:tr w:rsidR="00334349" w14:paraId="648DE2EE" w14:textId="77777777" w:rsidTr="00D33B65">
        <w:trPr>
          <w:trHeight w:val="280"/>
        </w:trPr>
        <w:tc>
          <w:tcPr>
            <w:tcW w:w="1980" w:type="dxa"/>
            <w:noWrap/>
          </w:tcPr>
          <w:p w14:paraId="0D54C7C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Average degree</w:t>
            </w:r>
          </w:p>
        </w:tc>
        <w:tc>
          <w:tcPr>
            <w:tcW w:w="905" w:type="dxa"/>
            <w:noWrap/>
          </w:tcPr>
          <w:p w14:paraId="0881D03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10.137</w:t>
            </w:r>
          </w:p>
        </w:tc>
        <w:tc>
          <w:tcPr>
            <w:tcW w:w="905" w:type="dxa"/>
            <w:noWrap/>
          </w:tcPr>
          <w:p w14:paraId="771D0E5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10.421</w:t>
            </w:r>
          </w:p>
        </w:tc>
        <w:tc>
          <w:tcPr>
            <w:tcW w:w="905" w:type="dxa"/>
            <w:noWrap/>
          </w:tcPr>
          <w:p w14:paraId="30BCFDD2"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9.850</w:t>
            </w:r>
          </w:p>
        </w:tc>
        <w:tc>
          <w:tcPr>
            <w:tcW w:w="906" w:type="dxa"/>
            <w:noWrap/>
          </w:tcPr>
          <w:p w14:paraId="5D623AD4"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8.094</w:t>
            </w:r>
          </w:p>
        </w:tc>
        <w:tc>
          <w:tcPr>
            <w:tcW w:w="905" w:type="dxa"/>
            <w:noWrap/>
          </w:tcPr>
          <w:p w14:paraId="1C77B32E"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9.456</w:t>
            </w:r>
          </w:p>
        </w:tc>
        <w:tc>
          <w:tcPr>
            <w:tcW w:w="905" w:type="dxa"/>
            <w:noWrap/>
          </w:tcPr>
          <w:p w14:paraId="3721AF39"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7.817</w:t>
            </w:r>
          </w:p>
        </w:tc>
        <w:tc>
          <w:tcPr>
            <w:tcW w:w="905" w:type="dxa"/>
            <w:noWrap/>
          </w:tcPr>
          <w:p w14:paraId="224BEA70"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7.601</w:t>
            </w:r>
          </w:p>
        </w:tc>
        <w:tc>
          <w:tcPr>
            <w:tcW w:w="906" w:type="dxa"/>
            <w:noWrap/>
          </w:tcPr>
          <w:p w14:paraId="556D7E2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8.624</w:t>
            </w:r>
          </w:p>
        </w:tc>
      </w:tr>
      <w:tr w:rsidR="00334349" w14:paraId="4CAD4433" w14:textId="77777777" w:rsidTr="00D33B65">
        <w:trPr>
          <w:trHeight w:val="280"/>
        </w:trPr>
        <w:tc>
          <w:tcPr>
            <w:tcW w:w="1980" w:type="dxa"/>
            <w:noWrap/>
          </w:tcPr>
          <w:p w14:paraId="32479DDA"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Density</w:t>
            </w:r>
          </w:p>
        </w:tc>
        <w:tc>
          <w:tcPr>
            <w:tcW w:w="905" w:type="dxa"/>
            <w:noWrap/>
          </w:tcPr>
          <w:p w14:paraId="007F826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0.022</w:t>
            </w:r>
          </w:p>
        </w:tc>
        <w:tc>
          <w:tcPr>
            <w:tcW w:w="905" w:type="dxa"/>
            <w:noWrap/>
          </w:tcPr>
          <w:p w14:paraId="36BB34FD"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0.024</w:t>
            </w:r>
          </w:p>
        </w:tc>
        <w:tc>
          <w:tcPr>
            <w:tcW w:w="905" w:type="dxa"/>
            <w:noWrap/>
          </w:tcPr>
          <w:p w14:paraId="46EC99E3"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0.021</w:t>
            </w:r>
          </w:p>
        </w:tc>
        <w:tc>
          <w:tcPr>
            <w:tcW w:w="906" w:type="dxa"/>
            <w:noWrap/>
          </w:tcPr>
          <w:p w14:paraId="7DD885C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0.019</w:t>
            </w:r>
          </w:p>
        </w:tc>
        <w:tc>
          <w:tcPr>
            <w:tcW w:w="905" w:type="dxa"/>
            <w:noWrap/>
          </w:tcPr>
          <w:p w14:paraId="76924910"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0.023</w:t>
            </w:r>
          </w:p>
        </w:tc>
        <w:tc>
          <w:tcPr>
            <w:tcW w:w="905" w:type="dxa"/>
            <w:noWrap/>
          </w:tcPr>
          <w:p w14:paraId="6509D62F"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0.019</w:t>
            </w:r>
          </w:p>
        </w:tc>
        <w:tc>
          <w:tcPr>
            <w:tcW w:w="905" w:type="dxa"/>
            <w:noWrap/>
          </w:tcPr>
          <w:p w14:paraId="456AAE27"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0.019</w:t>
            </w:r>
          </w:p>
        </w:tc>
        <w:tc>
          <w:tcPr>
            <w:tcW w:w="906" w:type="dxa"/>
            <w:noWrap/>
          </w:tcPr>
          <w:p w14:paraId="28A7E948" w14:textId="77777777" w:rsidR="00334349" w:rsidRDefault="00334349" w:rsidP="00D33B65">
            <w:pPr>
              <w:keepNext/>
              <w:widowControl/>
              <w:jc w:val="center"/>
              <w:rPr>
                <w:rFonts w:ascii="Times New Roman" w:eastAsia="等线" w:hAnsi="Times New Roman" w:cs="Times New Roman"/>
                <w:sz w:val="20"/>
                <w:szCs w:val="20"/>
                <w14:ligatures w14:val="none"/>
              </w:rPr>
            </w:pPr>
            <w:r>
              <w:rPr>
                <w:rFonts w:ascii="Times New Roman" w:eastAsia="等线" w:hAnsi="Times New Roman" w:cs="Times New Roman"/>
                <w:sz w:val="20"/>
                <w:szCs w:val="20"/>
                <w14:ligatures w14:val="none"/>
              </w:rPr>
              <w:t>0.021</w:t>
            </w:r>
          </w:p>
        </w:tc>
      </w:tr>
    </w:tbl>
    <w:p w14:paraId="2E1E3896" w14:textId="77777777" w:rsidR="00334349" w:rsidRDefault="00334349" w:rsidP="00334349">
      <w:pPr>
        <w:rPr>
          <w:rFonts w:ascii="Times New Roman" w:eastAsia="等线" w:hAnsi="Times New Roman" w:cs="Times New Roman"/>
          <w:szCs w:val="21"/>
          <w14:ligatures w14:val="none"/>
        </w:rPr>
      </w:pPr>
      <w:r>
        <w:rPr>
          <w:rFonts w:ascii="Times New Roman" w:eastAsia="等线" w:hAnsi="Times New Roman" w:cs="Times New Roman"/>
          <w:szCs w:val="21"/>
          <w14:ligatures w14:val="none"/>
        </w:rPr>
        <w:t xml:space="preserve"> </w:t>
      </w:r>
    </w:p>
    <w:p w14:paraId="586DA716" w14:textId="77777777" w:rsidR="00334349" w:rsidRDefault="00334349" w:rsidP="00334349">
      <w:pPr>
        <w:keepNext/>
        <w:keepLines/>
        <w:widowControl/>
        <w:jc w:val="left"/>
        <w:rPr>
          <w:rFonts w:ascii="Times New Roman" w:eastAsia="等线" w:hAnsi="Times New Roman" w:cs="Times New Roman"/>
          <w:b/>
          <w:bCs/>
          <w:szCs w:val="21"/>
          <w14:ligatures w14:val="none"/>
        </w:rPr>
      </w:pPr>
      <w:r>
        <w:rPr>
          <w:rFonts w:ascii="Times New Roman" w:eastAsia="等线" w:hAnsi="Times New Roman" w:cs="Times New Roman"/>
          <w:b/>
          <w:bCs/>
          <w:szCs w:val="21"/>
          <w14:ligatures w14:val="none"/>
        </w:rPr>
        <w:t xml:space="preserve">Table </w:t>
      </w:r>
      <w:r>
        <w:rPr>
          <w:rFonts w:ascii="Times New Roman" w:eastAsia="等线" w:hAnsi="Times New Roman" w:cs="Times New Roman" w:hint="eastAsia"/>
          <w:b/>
          <w:bCs/>
          <w:szCs w:val="21"/>
          <w14:ligatures w14:val="none"/>
        </w:rPr>
        <w:t>S3</w:t>
      </w:r>
      <w:r>
        <w:rPr>
          <w:rFonts w:ascii="Times New Roman" w:eastAsia="等线" w:hAnsi="Times New Roman" w:cs="Times New Roman"/>
          <w:b/>
          <w:bCs/>
          <w:szCs w:val="21"/>
          <w14:ligatures w14:val="none"/>
        </w:rPr>
        <w:t xml:space="preserve"> </w:t>
      </w:r>
    </w:p>
    <w:p w14:paraId="01AFD39C" w14:textId="77777777" w:rsidR="00334349" w:rsidRPr="0003318B" w:rsidRDefault="00334349" w:rsidP="00334349">
      <w:pPr>
        <w:keepNext/>
        <w:widowControl/>
        <w:rPr>
          <w:rFonts w:ascii="Times New Roman" w:eastAsia="宋体" w:hAnsi="Times New Roman" w:cs="Times New Roman"/>
          <w:szCs w:val="21"/>
          <w14:ligatures w14:val="none"/>
        </w:rPr>
      </w:pPr>
      <w:r w:rsidRPr="0003318B">
        <w:rPr>
          <w:rFonts w:ascii="Times New Roman" w:eastAsia="等线" w:hAnsi="Times New Roman" w:cs="Times New Roman"/>
          <w:szCs w:val="21"/>
          <w14:ligatures w14:val="none"/>
        </w:rPr>
        <w:t>Properties of fungal co-occurrence networks</w:t>
      </w:r>
      <w:r w:rsidRPr="00FF6FC9">
        <w:rPr>
          <w:rFonts w:ascii="Times New Roman" w:eastAsia="宋体" w:hAnsi="Times New Roman" w:cs="Times New Roman"/>
          <w:color w:val="7030A0"/>
          <w:sz w:val="24"/>
          <w:szCs w:val="24"/>
        </w:rPr>
        <w:t xml:space="preserve"> </w:t>
      </w:r>
      <w:r w:rsidRPr="00FF6FC9">
        <w:rPr>
          <w:rFonts w:ascii="Times New Roman" w:eastAsia="等线" w:hAnsi="Times New Roman" w:cs="Times New Roman"/>
          <w:szCs w:val="21"/>
          <w14:ligatures w14:val="none"/>
        </w:rPr>
        <w:t>from both cultivars</w:t>
      </w:r>
      <w:r w:rsidRPr="00FF6FC9">
        <w:rPr>
          <w:rFonts w:ascii="Times New Roman" w:eastAsia="等线" w:hAnsi="Times New Roman" w:cs="Times New Roman" w:hint="eastAsia"/>
          <w:szCs w:val="21"/>
          <w14:ligatures w14:val="none"/>
        </w:rPr>
        <w:t xml:space="preserve"> (n = 6)</w:t>
      </w:r>
      <w:r w:rsidRPr="0003318B">
        <w:rPr>
          <w:rFonts w:ascii="Times New Roman" w:eastAsia="等线" w:hAnsi="Times New Roman" w:cs="Times New Roman"/>
          <w:szCs w:val="21"/>
          <w14:ligatures w14:val="none"/>
        </w:rPr>
        <w:t xml:space="preserve">. </w:t>
      </w:r>
      <w:r w:rsidRPr="0003318B">
        <w:rPr>
          <w:rFonts w:ascii="Times New Roman" w:eastAsia="宋体" w:hAnsi="Times New Roman" w:cs="Times New Roman"/>
          <w:szCs w:val="21"/>
          <w14:ligatures w14:val="none"/>
        </w:rPr>
        <w:t>Network parameters include the number of nodes, number of links (edges), number of positive and negative links, network diameter, modularity, average clustering coefficient, average path length, average degree, and network density. C_N and S_N represent unsterilized and sterilized soil under four nitrogen addition levels (0, 50, 100, and 200</w:t>
      </w:r>
      <w:r w:rsidRPr="0003318B">
        <w:t xml:space="preserve"> </w:t>
      </w:r>
      <w:r w:rsidRPr="0003318B">
        <w:rPr>
          <w:rFonts w:ascii="Times New Roman" w:eastAsia="宋体" w:hAnsi="Times New Roman" w:cs="Times New Roman"/>
          <w:szCs w:val="21"/>
          <w14:ligatures w14:val="none"/>
        </w:rPr>
        <w:t>mg N kg⁻¹), respectively.</w:t>
      </w:r>
    </w:p>
    <w:tbl>
      <w:tblPr>
        <w:tblW w:w="9432" w:type="dxa"/>
        <w:tblBorders>
          <w:top w:val="single" w:sz="12" w:space="0" w:color="auto"/>
          <w:bottom w:val="single" w:sz="12" w:space="0" w:color="auto"/>
        </w:tblBorders>
        <w:tblLook w:val="04A0" w:firstRow="1" w:lastRow="0" w:firstColumn="1" w:lastColumn="0" w:noHBand="0" w:noVBand="1"/>
      </w:tblPr>
      <w:tblGrid>
        <w:gridCol w:w="1985"/>
        <w:gridCol w:w="850"/>
        <w:gridCol w:w="993"/>
        <w:gridCol w:w="928"/>
        <w:gridCol w:w="992"/>
        <w:gridCol w:w="851"/>
        <w:gridCol w:w="992"/>
        <w:gridCol w:w="905"/>
        <w:gridCol w:w="936"/>
      </w:tblGrid>
      <w:tr w:rsidR="00334349" w14:paraId="60AA5DD1" w14:textId="77777777" w:rsidTr="00D33B65">
        <w:trPr>
          <w:trHeight w:val="221"/>
        </w:trPr>
        <w:tc>
          <w:tcPr>
            <w:tcW w:w="1985" w:type="dxa"/>
            <w:tcBorders>
              <w:top w:val="single" w:sz="12" w:space="0" w:color="auto"/>
              <w:bottom w:val="single" w:sz="8" w:space="0" w:color="auto"/>
            </w:tcBorders>
            <w:noWrap/>
            <w:vAlign w:val="center"/>
          </w:tcPr>
          <w:p w14:paraId="5155A84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Group</w:t>
            </w:r>
          </w:p>
        </w:tc>
        <w:tc>
          <w:tcPr>
            <w:tcW w:w="850" w:type="dxa"/>
            <w:tcBorders>
              <w:top w:val="single" w:sz="12" w:space="0" w:color="auto"/>
              <w:bottom w:val="single" w:sz="8" w:space="0" w:color="auto"/>
            </w:tcBorders>
            <w:noWrap/>
            <w:vAlign w:val="center"/>
          </w:tcPr>
          <w:p w14:paraId="5E25131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C_N0</w:t>
            </w:r>
          </w:p>
        </w:tc>
        <w:tc>
          <w:tcPr>
            <w:tcW w:w="993" w:type="dxa"/>
            <w:tcBorders>
              <w:top w:val="single" w:sz="12" w:space="0" w:color="auto"/>
              <w:bottom w:val="single" w:sz="8" w:space="0" w:color="auto"/>
            </w:tcBorders>
            <w:noWrap/>
            <w:vAlign w:val="center"/>
          </w:tcPr>
          <w:p w14:paraId="4F59664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C_N50</w:t>
            </w:r>
          </w:p>
        </w:tc>
        <w:tc>
          <w:tcPr>
            <w:tcW w:w="928" w:type="dxa"/>
            <w:tcBorders>
              <w:top w:val="single" w:sz="12" w:space="0" w:color="auto"/>
              <w:bottom w:val="single" w:sz="8" w:space="0" w:color="auto"/>
            </w:tcBorders>
            <w:noWrap/>
            <w:vAlign w:val="center"/>
          </w:tcPr>
          <w:p w14:paraId="33B5188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C_N100</w:t>
            </w:r>
          </w:p>
        </w:tc>
        <w:tc>
          <w:tcPr>
            <w:tcW w:w="992" w:type="dxa"/>
            <w:tcBorders>
              <w:top w:val="single" w:sz="12" w:space="0" w:color="auto"/>
              <w:bottom w:val="single" w:sz="8" w:space="0" w:color="auto"/>
            </w:tcBorders>
            <w:noWrap/>
            <w:vAlign w:val="center"/>
          </w:tcPr>
          <w:p w14:paraId="457B5E2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C_N200</w:t>
            </w:r>
          </w:p>
        </w:tc>
        <w:tc>
          <w:tcPr>
            <w:tcW w:w="851" w:type="dxa"/>
            <w:tcBorders>
              <w:top w:val="single" w:sz="12" w:space="0" w:color="auto"/>
              <w:bottom w:val="single" w:sz="8" w:space="0" w:color="auto"/>
            </w:tcBorders>
            <w:noWrap/>
            <w:vAlign w:val="center"/>
          </w:tcPr>
          <w:p w14:paraId="28D87103"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S_N0</w:t>
            </w:r>
          </w:p>
        </w:tc>
        <w:tc>
          <w:tcPr>
            <w:tcW w:w="992" w:type="dxa"/>
            <w:tcBorders>
              <w:top w:val="single" w:sz="12" w:space="0" w:color="auto"/>
              <w:bottom w:val="single" w:sz="8" w:space="0" w:color="auto"/>
            </w:tcBorders>
            <w:noWrap/>
            <w:vAlign w:val="center"/>
          </w:tcPr>
          <w:p w14:paraId="12744E5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S_N50</w:t>
            </w:r>
          </w:p>
        </w:tc>
        <w:tc>
          <w:tcPr>
            <w:tcW w:w="905" w:type="dxa"/>
            <w:tcBorders>
              <w:top w:val="single" w:sz="12" w:space="0" w:color="auto"/>
              <w:bottom w:val="single" w:sz="8" w:space="0" w:color="auto"/>
            </w:tcBorders>
            <w:noWrap/>
            <w:vAlign w:val="center"/>
          </w:tcPr>
          <w:p w14:paraId="12ED452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S_N100</w:t>
            </w:r>
          </w:p>
        </w:tc>
        <w:tc>
          <w:tcPr>
            <w:tcW w:w="936" w:type="dxa"/>
            <w:tcBorders>
              <w:top w:val="single" w:sz="12" w:space="0" w:color="auto"/>
              <w:bottom w:val="single" w:sz="8" w:space="0" w:color="auto"/>
            </w:tcBorders>
            <w:noWrap/>
            <w:vAlign w:val="center"/>
          </w:tcPr>
          <w:p w14:paraId="3383C1B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S_N200</w:t>
            </w:r>
          </w:p>
        </w:tc>
      </w:tr>
      <w:tr w:rsidR="00334349" w14:paraId="78C4E573" w14:textId="77777777" w:rsidTr="00D33B65">
        <w:trPr>
          <w:trHeight w:val="213"/>
        </w:trPr>
        <w:tc>
          <w:tcPr>
            <w:tcW w:w="1985" w:type="dxa"/>
            <w:tcBorders>
              <w:top w:val="single" w:sz="8" w:space="0" w:color="auto"/>
            </w:tcBorders>
            <w:noWrap/>
            <w:vAlign w:val="center"/>
          </w:tcPr>
          <w:p w14:paraId="02DE15D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Nodes</w:t>
            </w:r>
          </w:p>
        </w:tc>
        <w:tc>
          <w:tcPr>
            <w:tcW w:w="850" w:type="dxa"/>
            <w:tcBorders>
              <w:top w:val="single" w:sz="8" w:space="0" w:color="auto"/>
            </w:tcBorders>
            <w:noWrap/>
            <w:vAlign w:val="center"/>
          </w:tcPr>
          <w:p w14:paraId="1CF77BD8"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73</w:t>
            </w:r>
          </w:p>
        </w:tc>
        <w:tc>
          <w:tcPr>
            <w:tcW w:w="993" w:type="dxa"/>
            <w:tcBorders>
              <w:top w:val="single" w:sz="8" w:space="0" w:color="auto"/>
            </w:tcBorders>
            <w:noWrap/>
            <w:vAlign w:val="center"/>
          </w:tcPr>
          <w:p w14:paraId="5D56D88C"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71</w:t>
            </w:r>
          </w:p>
        </w:tc>
        <w:tc>
          <w:tcPr>
            <w:tcW w:w="928" w:type="dxa"/>
            <w:tcBorders>
              <w:top w:val="single" w:sz="8" w:space="0" w:color="auto"/>
            </w:tcBorders>
            <w:noWrap/>
            <w:vAlign w:val="center"/>
          </w:tcPr>
          <w:p w14:paraId="67BE63D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85</w:t>
            </w:r>
          </w:p>
        </w:tc>
        <w:tc>
          <w:tcPr>
            <w:tcW w:w="992" w:type="dxa"/>
            <w:tcBorders>
              <w:top w:val="single" w:sz="8" w:space="0" w:color="auto"/>
            </w:tcBorders>
            <w:noWrap/>
            <w:vAlign w:val="center"/>
          </w:tcPr>
          <w:p w14:paraId="0E0978B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71</w:t>
            </w:r>
          </w:p>
        </w:tc>
        <w:tc>
          <w:tcPr>
            <w:tcW w:w="851" w:type="dxa"/>
            <w:tcBorders>
              <w:top w:val="single" w:sz="8" w:space="0" w:color="auto"/>
            </w:tcBorders>
            <w:noWrap/>
            <w:vAlign w:val="center"/>
          </w:tcPr>
          <w:p w14:paraId="1C69BCA2"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41</w:t>
            </w:r>
          </w:p>
        </w:tc>
        <w:tc>
          <w:tcPr>
            <w:tcW w:w="992" w:type="dxa"/>
            <w:tcBorders>
              <w:top w:val="single" w:sz="8" w:space="0" w:color="auto"/>
            </w:tcBorders>
            <w:noWrap/>
            <w:vAlign w:val="center"/>
          </w:tcPr>
          <w:p w14:paraId="1F7661C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43</w:t>
            </w:r>
          </w:p>
        </w:tc>
        <w:tc>
          <w:tcPr>
            <w:tcW w:w="905" w:type="dxa"/>
            <w:tcBorders>
              <w:top w:val="single" w:sz="8" w:space="0" w:color="auto"/>
            </w:tcBorders>
            <w:noWrap/>
            <w:vAlign w:val="center"/>
          </w:tcPr>
          <w:p w14:paraId="1B90E6D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37</w:t>
            </w:r>
          </w:p>
        </w:tc>
        <w:tc>
          <w:tcPr>
            <w:tcW w:w="936" w:type="dxa"/>
            <w:tcBorders>
              <w:top w:val="single" w:sz="8" w:space="0" w:color="auto"/>
            </w:tcBorders>
            <w:noWrap/>
            <w:vAlign w:val="center"/>
          </w:tcPr>
          <w:p w14:paraId="20F52CD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30</w:t>
            </w:r>
          </w:p>
        </w:tc>
      </w:tr>
      <w:tr w:rsidR="00334349" w14:paraId="59C629CB" w14:textId="77777777" w:rsidTr="00D33B65">
        <w:trPr>
          <w:trHeight w:val="213"/>
        </w:trPr>
        <w:tc>
          <w:tcPr>
            <w:tcW w:w="1985" w:type="dxa"/>
            <w:noWrap/>
            <w:vAlign w:val="center"/>
          </w:tcPr>
          <w:p w14:paraId="34A36E5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lastRenderedPageBreak/>
              <w:t>Links</w:t>
            </w:r>
          </w:p>
        </w:tc>
        <w:tc>
          <w:tcPr>
            <w:tcW w:w="850" w:type="dxa"/>
            <w:noWrap/>
            <w:vAlign w:val="center"/>
          </w:tcPr>
          <w:p w14:paraId="7CCC689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66</w:t>
            </w:r>
          </w:p>
        </w:tc>
        <w:tc>
          <w:tcPr>
            <w:tcW w:w="993" w:type="dxa"/>
            <w:noWrap/>
            <w:vAlign w:val="center"/>
          </w:tcPr>
          <w:p w14:paraId="48D5BEDA"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69</w:t>
            </w:r>
          </w:p>
        </w:tc>
        <w:tc>
          <w:tcPr>
            <w:tcW w:w="928" w:type="dxa"/>
            <w:noWrap/>
            <w:vAlign w:val="center"/>
          </w:tcPr>
          <w:p w14:paraId="4B07820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88</w:t>
            </w:r>
          </w:p>
        </w:tc>
        <w:tc>
          <w:tcPr>
            <w:tcW w:w="992" w:type="dxa"/>
            <w:noWrap/>
            <w:vAlign w:val="center"/>
          </w:tcPr>
          <w:p w14:paraId="7A14B975"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72</w:t>
            </w:r>
          </w:p>
        </w:tc>
        <w:tc>
          <w:tcPr>
            <w:tcW w:w="851" w:type="dxa"/>
            <w:noWrap/>
            <w:vAlign w:val="center"/>
          </w:tcPr>
          <w:p w14:paraId="081BB91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29</w:t>
            </w:r>
          </w:p>
        </w:tc>
        <w:tc>
          <w:tcPr>
            <w:tcW w:w="992" w:type="dxa"/>
            <w:noWrap/>
            <w:vAlign w:val="center"/>
          </w:tcPr>
          <w:p w14:paraId="2A976285"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29</w:t>
            </w:r>
          </w:p>
        </w:tc>
        <w:tc>
          <w:tcPr>
            <w:tcW w:w="905" w:type="dxa"/>
            <w:noWrap/>
            <w:vAlign w:val="center"/>
          </w:tcPr>
          <w:p w14:paraId="0CAB5BA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24</w:t>
            </w:r>
          </w:p>
        </w:tc>
        <w:tc>
          <w:tcPr>
            <w:tcW w:w="936" w:type="dxa"/>
            <w:noWrap/>
            <w:vAlign w:val="center"/>
          </w:tcPr>
          <w:p w14:paraId="24E75575"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23</w:t>
            </w:r>
          </w:p>
        </w:tc>
      </w:tr>
      <w:tr w:rsidR="00334349" w14:paraId="0DBBE2D7" w14:textId="77777777" w:rsidTr="00D33B65">
        <w:trPr>
          <w:trHeight w:val="213"/>
        </w:trPr>
        <w:tc>
          <w:tcPr>
            <w:tcW w:w="1985" w:type="dxa"/>
            <w:noWrap/>
            <w:vAlign w:val="center"/>
          </w:tcPr>
          <w:p w14:paraId="223E24B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Positive links</w:t>
            </w:r>
          </w:p>
        </w:tc>
        <w:tc>
          <w:tcPr>
            <w:tcW w:w="850" w:type="dxa"/>
            <w:noWrap/>
            <w:vAlign w:val="center"/>
          </w:tcPr>
          <w:p w14:paraId="4514584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44</w:t>
            </w:r>
          </w:p>
        </w:tc>
        <w:tc>
          <w:tcPr>
            <w:tcW w:w="993" w:type="dxa"/>
            <w:noWrap/>
            <w:vAlign w:val="center"/>
          </w:tcPr>
          <w:p w14:paraId="388A772D"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51</w:t>
            </w:r>
          </w:p>
        </w:tc>
        <w:tc>
          <w:tcPr>
            <w:tcW w:w="928" w:type="dxa"/>
            <w:noWrap/>
            <w:vAlign w:val="center"/>
          </w:tcPr>
          <w:p w14:paraId="330AD0B7"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56</w:t>
            </w:r>
          </w:p>
        </w:tc>
        <w:tc>
          <w:tcPr>
            <w:tcW w:w="992" w:type="dxa"/>
            <w:noWrap/>
            <w:vAlign w:val="center"/>
          </w:tcPr>
          <w:p w14:paraId="40F5CE6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41</w:t>
            </w:r>
          </w:p>
        </w:tc>
        <w:tc>
          <w:tcPr>
            <w:tcW w:w="851" w:type="dxa"/>
            <w:noWrap/>
            <w:vAlign w:val="center"/>
          </w:tcPr>
          <w:p w14:paraId="30FB272C"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15</w:t>
            </w:r>
          </w:p>
        </w:tc>
        <w:tc>
          <w:tcPr>
            <w:tcW w:w="992" w:type="dxa"/>
            <w:noWrap/>
            <w:vAlign w:val="center"/>
          </w:tcPr>
          <w:p w14:paraId="2E1A84D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20</w:t>
            </w:r>
          </w:p>
        </w:tc>
        <w:tc>
          <w:tcPr>
            <w:tcW w:w="905" w:type="dxa"/>
            <w:noWrap/>
            <w:vAlign w:val="center"/>
          </w:tcPr>
          <w:p w14:paraId="4A6745B5"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18</w:t>
            </w:r>
          </w:p>
        </w:tc>
        <w:tc>
          <w:tcPr>
            <w:tcW w:w="936" w:type="dxa"/>
            <w:noWrap/>
            <w:vAlign w:val="center"/>
          </w:tcPr>
          <w:p w14:paraId="76EA1887"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16</w:t>
            </w:r>
          </w:p>
        </w:tc>
      </w:tr>
      <w:tr w:rsidR="00334349" w14:paraId="6A39122D" w14:textId="77777777" w:rsidTr="00D33B65">
        <w:trPr>
          <w:trHeight w:val="213"/>
        </w:trPr>
        <w:tc>
          <w:tcPr>
            <w:tcW w:w="1985" w:type="dxa"/>
            <w:noWrap/>
            <w:vAlign w:val="center"/>
          </w:tcPr>
          <w:p w14:paraId="7BFA05E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Negative links</w:t>
            </w:r>
          </w:p>
        </w:tc>
        <w:tc>
          <w:tcPr>
            <w:tcW w:w="850" w:type="dxa"/>
            <w:noWrap/>
            <w:vAlign w:val="center"/>
          </w:tcPr>
          <w:p w14:paraId="41C0764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22</w:t>
            </w:r>
          </w:p>
        </w:tc>
        <w:tc>
          <w:tcPr>
            <w:tcW w:w="993" w:type="dxa"/>
            <w:noWrap/>
            <w:vAlign w:val="center"/>
          </w:tcPr>
          <w:p w14:paraId="0F86979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18</w:t>
            </w:r>
          </w:p>
        </w:tc>
        <w:tc>
          <w:tcPr>
            <w:tcW w:w="928" w:type="dxa"/>
            <w:noWrap/>
            <w:vAlign w:val="center"/>
          </w:tcPr>
          <w:p w14:paraId="3971C01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32</w:t>
            </w:r>
          </w:p>
        </w:tc>
        <w:tc>
          <w:tcPr>
            <w:tcW w:w="992" w:type="dxa"/>
            <w:noWrap/>
            <w:vAlign w:val="center"/>
          </w:tcPr>
          <w:p w14:paraId="5BE2019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31</w:t>
            </w:r>
          </w:p>
        </w:tc>
        <w:tc>
          <w:tcPr>
            <w:tcW w:w="851" w:type="dxa"/>
            <w:noWrap/>
            <w:vAlign w:val="center"/>
          </w:tcPr>
          <w:p w14:paraId="086437F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14</w:t>
            </w:r>
          </w:p>
        </w:tc>
        <w:tc>
          <w:tcPr>
            <w:tcW w:w="992" w:type="dxa"/>
            <w:noWrap/>
            <w:vAlign w:val="center"/>
          </w:tcPr>
          <w:p w14:paraId="07C45328"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9</w:t>
            </w:r>
          </w:p>
        </w:tc>
        <w:tc>
          <w:tcPr>
            <w:tcW w:w="905" w:type="dxa"/>
            <w:noWrap/>
            <w:vAlign w:val="center"/>
          </w:tcPr>
          <w:p w14:paraId="11B6D723"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6</w:t>
            </w:r>
          </w:p>
        </w:tc>
        <w:tc>
          <w:tcPr>
            <w:tcW w:w="936" w:type="dxa"/>
            <w:noWrap/>
            <w:vAlign w:val="center"/>
          </w:tcPr>
          <w:p w14:paraId="2E6816A2"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w:t>
            </w:r>
          </w:p>
        </w:tc>
      </w:tr>
      <w:tr w:rsidR="00334349" w14:paraId="53CBD468" w14:textId="77777777" w:rsidTr="00D33B65">
        <w:trPr>
          <w:trHeight w:val="213"/>
        </w:trPr>
        <w:tc>
          <w:tcPr>
            <w:tcW w:w="1985" w:type="dxa"/>
            <w:noWrap/>
            <w:vAlign w:val="center"/>
          </w:tcPr>
          <w:p w14:paraId="2A7B3392"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Network diameter</w:t>
            </w:r>
          </w:p>
        </w:tc>
        <w:tc>
          <w:tcPr>
            <w:tcW w:w="850" w:type="dxa"/>
            <w:noWrap/>
            <w:vAlign w:val="center"/>
          </w:tcPr>
          <w:p w14:paraId="53763F1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5.574</w:t>
            </w:r>
          </w:p>
        </w:tc>
        <w:tc>
          <w:tcPr>
            <w:tcW w:w="993" w:type="dxa"/>
            <w:noWrap/>
            <w:vAlign w:val="center"/>
          </w:tcPr>
          <w:p w14:paraId="7A5FCB3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7.523</w:t>
            </w:r>
          </w:p>
        </w:tc>
        <w:tc>
          <w:tcPr>
            <w:tcW w:w="928" w:type="dxa"/>
            <w:noWrap/>
            <w:vAlign w:val="center"/>
          </w:tcPr>
          <w:p w14:paraId="4803159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5.607</w:t>
            </w:r>
          </w:p>
        </w:tc>
        <w:tc>
          <w:tcPr>
            <w:tcW w:w="992" w:type="dxa"/>
            <w:noWrap/>
            <w:vAlign w:val="center"/>
          </w:tcPr>
          <w:p w14:paraId="395FB57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7.502</w:t>
            </w:r>
          </w:p>
        </w:tc>
        <w:tc>
          <w:tcPr>
            <w:tcW w:w="851" w:type="dxa"/>
            <w:noWrap/>
            <w:vAlign w:val="center"/>
          </w:tcPr>
          <w:p w14:paraId="27C27DBD"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2.779</w:t>
            </w:r>
          </w:p>
        </w:tc>
        <w:tc>
          <w:tcPr>
            <w:tcW w:w="992" w:type="dxa"/>
            <w:noWrap/>
            <w:vAlign w:val="center"/>
          </w:tcPr>
          <w:p w14:paraId="6B5E82C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2.793</w:t>
            </w:r>
          </w:p>
        </w:tc>
        <w:tc>
          <w:tcPr>
            <w:tcW w:w="905" w:type="dxa"/>
            <w:noWrap/>
            <w:vAlign w:val="center"/>
          </w:tcPr>
          <w:p w14:paraId="23CB818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2.819</w:t>
            </w:r>
          </w:p>
        </w:tc>
        <w:tc>
          <w:tcPr>
            <w:tcW w:w="936" w:type="dxa"/>
            <w:noWrap/>
            <w:vAlign w:val="center"/>
          </w:tcPr>
          <w:p w14:paraId="513405B5"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4.775</w:t>
            </w:r>
          </w:p>
        </w:tc>
      </w:tr>
      <w:tr w:rsidR="00334349" w14:paraId="45735D34" w14:textId="77777777" w:rsidTr="00D33B65">
        <w:trPr>
          <w:trHeight w:val="213"/>
        </w:trPr>
        <w:tc>
          <w:tcPr>
            <w:tcW w:w="1985" w:type="dxa"/>
            <w:noWrap/>
            <w:vAlign w:val="center"/>
          </w:tcPr>
          <w:p w14:paraId="4DA089F3"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Modularity</w:t>
            </w:r>
          </w:p>
        </w:tc>
        <w:tc>
          <w:tcPr>
            <w:tcW w:w="850" w:type="dxa"/>
            <w:noWrap/>
            <w:vAlign w:val="center"/>
          </w:tcPr>
          <w:p w14:paraId="22D905E6"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0.886</w:t>
            </w:r>
          </w:p>
        </w:tc>
        <w:tc>
          <w:tcPr>
            <w:tcW w:w="993" w:type="dxa"/>
            <w:noWrap/>
            <w:vAlign w:val="center"/>
          </w:tcPr>
          <w:p w14:paraId="7AC3FB2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0.903</w:t>
            </w:r>
          </w:p>
        </w:tc>
        <w:tc>
          <w:tcPr>
            <w:tcW w:w="928" w:type="dxa"/>
            <w:noWrap/>
            <w:vAlign w:val="center"/>
          </w:tcPr>
          <w:p w14:paraId="4B86122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0.877</w:t>
            </w:r>
          </w:p>
        </w:tc>
        <w:tc>
          <w:tcPr>
            <w:tcW w:w="992" w:type="dxa"/>
            <w:noWrap/>
            <w:vAlign w:val="center"/>
          </w:tcPr>
          <w:p w14:paraId="7172609D"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0.872</w:t>
            </w:r>
          </w:p>
        </w:tc>
        <w:tc>
          <w:tcPr>
            <w:tcW w:w="851" w:type="dxa"/>
            <w:noWrap/>
            <w:vAlign w:val="center"/>
          </w:tcPr>
          <w:p w14:paraId="4BF1651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0.901</w:t>
            </w:r>
          </w:p>
        </w:tc>
        <w:tc>
          <w:tcPr>
            <w:tcW w:w="992" w:type="dxa"/>
            <w:noWrap/>
            <w:vAlign w:val="center"/>
          </w:tcPr>
          <w:p w14:paraId="06BF04BC"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0.918</w:t>
            </w:r>
          </w:p>
        </w:tc>
        <w:tc>
          <w:tcPr>
            <w:tcW w:w="905" w:type="dxa"/>
            <w:noWrap/>
            <w:vAlign w:val="center"/>
          </w:tcPr>
          <w:p w14:paraId="692565A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0.889</w:t>
            </w:r>
          </w:p>
        </w:tc>
        <w:tc>
          <w:tcPr>
            <w:tcW w:w="936" w:type="dxa"/>
            <w:noWrap/>
            <w:vAlign w:val="center"/>
          </w:tcPr>
          <w:p w14:paraId="5ABAA5B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0.839</w:t>
            </w:r>
          </w:p>
        </w:tc>
      </w:tr>
      <w:tr w:rsidR="00334349" w14:paraId="69B94366" w14:textId="77777777" w:rsidTr="00D33B65">
        <w:trPr>
          <w:trHeight w:val="213"/>
        </w:trPr>
        <w:tc>
          <w:tcPr>
            <w:tcW w:w="1985" w:type="dxa"/>
            <w:noWrap/>
            <w:vAlign w:val="center"/>
          </w:tcPr>
          <w:p w14:paraId="75CB6EED"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Average clustering coefficient</w:t>
            </w:r>
          </w:p>
        </w:tc>
        <w:tc>
          <w:tcPr>
            <w:tcW w:w="850" w:type="dxa"/>
            <w:noWrap/>
            <w:vAlign w:val="center"/>
          </w:tcPr>
          <w:p w14:paraId="186B6E8A"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0.132</w:t>
            </w:r>
          </w:p>
        </w:tc>
        <w:tc>
          <w:tcPr>
            <w:tcW w:w="993" w:type="dxa"/>
            <w:noWrap/>
            <w:vAlign w:val="center"/>
          </w:tcPr>
          <w:p w14:paraId="6C7C621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0.516</w:t>
            </w:r>
          </w:p>
        </w:tc>
        <w:tc>
          <w:tcPr>
            <w:tcW w:w="928" w:type="dxa"/>
            <w:noWrap/>
            <w:vAlign w:val="center"/>
          </w:tcPr>
          <w:p w14:paraId="7ACC3B3C"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0.404</w:t>
            </w:r>
          </w:p>
        </w:tc>
        <w:tc>
          <w:tcPr>
            <w:tcW w:w="992" w:type="dxa"/>
            <w:noWrap/>
            <w:vAlign w:val="center"/>
          </w:tcPr>
          <w:p w14:paraId="08096B3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0.406</w:t>
            </w:r>
          </w:p>
        </w:tc>
        <w:tc>
          <w:tcPr>
            <w:tcW w:w="851" w:type="dxa"/>
            <w:noWrap/>
            <w:vAlign w:val="center"/>
          </w:tcPr>
          <w:p w14:paraId="6C626DD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0.346</w:t>
            </w:r>
          </w:p>
        </w:tc>
        <w:tc>
          <w:tcPr>
            <w:tcW w:w="992" w:type="dxa"/>
            <w:noWrap/>
            <w:vAlign w:val="center"/>
          </w:tcPr>
          <w:p w14:paraId="171D145F"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0.231</w:t>
            </w:r>
          </w:p>
        </w:tc>
        <w:tc>
          <w:tcPr>
            <w:tcW w:w="905" w:type="dxa"/>
            <w:noWrap/>
            <w:vAlign w:val="center"/>
          </w:tcPr>
          <w:p w14:paraId="51A341C6"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0.208</w:t>
            </w:r>
          </w:p>
        </w:tc>
        <w:tc>
          <w:tcPr>
            <w:tcW w:w="936" w:type="dxa"/>
            <w:noWrap/>
            <w:vAlign w:val="center"/>
          </w:tcPr>
          <w:p w14:paraId="7F1F2AC8"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0.156</w:t>
            </w:r>
          </w:p>
        </w:tc>
      </w:tr>
      <w:tr w:rsidR="00334349" w14:paraId="4A1B1C49" w14:textId="77777777" w:rsidTr="00D33B65">
        <w:trPr>
          <w:trHeight w:val="213"/>
        </w:trPr>
        <w:tc>
          <w:tcPr>
            <w:tcW w:w="1985" w:type="dxa"/>
            <w:noWrap/>
            <w:vAlign w:val="center"/>
          </w:tcPr>
          <w:p w14:paraId="035B8CE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Average path length</w:t>
            </w:r>
          </w:p>
        </w:tc>
        <w:tc>
          <w:tcPr>
            <w:tcW w:w="850" w:type="dxa"/>
            <w:noWrap/>
            <w:vAlign w:val="center"/>
          </w:tcPr>
          <w:p w14:paraId="6A3A3703"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1.834</w:t>
            </w:r>
          </w:p>
        </w:tc>
        <w:tc>
          <w:tcPr>
            <w:tcW w:w="993" w:type="dxa"/>
            <w:noWrap/>
            <w:vAlign w:val="center"/>
          </w:tcPr>
          <w:p w14:paraId="565D62E7"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2.069</w:t>
            </w:r>
          </w:p>
        </w:tc>
        <w:tc>
          <w:tcPr>
            <w:tcW w:w="928" w:type="dxa"/>
            <w:noWrap/>
            <w:vAlign w:val="center"/>
          </w:tcPr>
          <w:p w14:paraId="57A81893"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1.907</w:t>
            </w:r>
          </w:p>
        </w:tc>
        <w:tc>
          <w:tcPr>
            <w:tcW w:w="992" w:type="dxa"/>
            <w:noWrap/>
            <w:vAlign w:val="center"/>
          </w:tcPr>
          <w:p w14:paraId="66C3A56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2.506</w:t>
            </w:r>
          </w:p>
        </w:tc>
        <w:tc>
          <w:tcPr>
            <w:tcW w:w="851" w:type="dxa"/>
            <w:noWrap/>
            <w:vAlign w:val="center"/>
          </w:tcPr>
          <w:p w14:paraId="7AAC5C3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1.329</w:t>
            </w:r>
          </w:p>
        </w:tc>
        <w:tc>
          <w:tcPr>
            <w:tcW w:w="992" w:type="dxa"/>
            <w:noWrap/>
            <w:vAlign w:val="center"/>
          </w:tcPr>
          <w:p w14:paraId="415BA6D7"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1.235</w:t>
            </w:r>
          </w:p>
        </w:tc>
        <w:tc>
          <w:tcPr>
            <w:tcW w:w="905" w:type="dxa"/>
            <w:noWrap/>
            <w:vAlign w:val="center"/>
          </w:tcPr>
          <w:p w14:paraId="741C6AB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1.393</w:t>
            </w:r>
          </w:p>
        </w:tc>
        <w:tc>
          <w:tcPr>
            <w:tcW w:w="936" w:type="dxa"/>
            <w:noWrap/>
            <w:vAlign w:val="center"/>
          </w:tcPr>
          <w:p w14:paraId="013785F8"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1.731</w:t>
            </w:r>
          </w:p>
        </w:tc>
      </w:tr>
      <w:tr w:rsidR="00334349" w14:paraId="4CE353A8" w14:textId="77777777" w:rsidTr="00D33B65">
        <w:trPr>
          <w:trHeight w:val="213"/>
        </w:trPr>
        <w:tc>
          <w:tcPr>
            <w:tcW w:w="1985" w:type="dxa"/>
            <w:noWrap/>
            <w:vAlign w:val="center"/>
          </w:tcPr>
          <w:p w14:paraId="0D190845"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Average degree</w:t>
            </w:r>
          </w:p>
        </w:tc>
        <w:tc>
          <w:tcPr>
            <w:tcW w:w="850" w:type="dxa"/>
            <w:noWrap/>
            <w:vAlign w:val="center"/>
          </w:tcPr>
          <w:p w14:paraId="145F05A7"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1.808</w:t>
            </w:r>
          </w:p>
        </w:tc>
        <w:tc>
          <w:tcPr>
            <w:tcW w:w="993" w:type="dxa"/>
            <w:noWrap/>
            <w:vAlign w:val="center"/>
          </w:tcPr>
          <w:p w14:paraId="1C688F31"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1.944</w:t>
            </w:r>
          </w:p>
        </w:tc>
        <w:tc>
          <w:tcPr>
            <w:tcW w:w="928" w:type="dxa"/>
            <w:noWrap/>
            <w:vAlign w:val="center"/>
          </w:tcPr>
          <w:p w14:paraId="724A1520"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2.071</w:t>
            </w:r>
          </w:p>
        </w:tc>
        <w:tc>
          <w:tcPr>
            <w:tcW w:w="992" w:type="dxa"/>
            <w:noWrap/>
            <w:vAlign w:val="center"/>
          </w:tcPr>
          <w:p w14:paraId="1F197406"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2.028</w:t>
            </w:r>
          </w:p>
        </w:tc>
        <w:tc>
          <w:tcPr>
            <w:tcW w:w="851" w:type="dxa"/>
            <w:noWrap/>
            <w:vAlign w:val="center"/>
          </w:tcPr>
          <w:p w14:paraId="2E84C65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1.415</w:t>
            </w:r>
          </w:p>
        </w:tc>
        <w:tc>
          <w:tcPr>
            <w:tcW w:w="992" w:type="dxa"/>
            <w:noWrap/>
            <w:vAlign w:val="center"/>
          </w:tcPr>
          <w:p w14:paraId="36BA18B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1.348</w:t>
            </w:r>
          </w:p>
        </w:tc>
        <w:tc>
          <w:tcPr>
            <w:tcW w:w="905" w:type="dxa"/>
            <w:noWrap/>
            <w:vAlign w:val="center"/>
          </w:tcPr>
          <w:p w14:paraId="1C527919"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1.297</w:t>
            </w:r>
          </w:p>
        </w:tc>
        <w:tc>
          <w:tcPr>
            <w:tcW w:w="936" w:type="dxa"/>
            <w:noWrap/>
            <w:vAlign w:val="center"/>
          </w:tcPr>
          <w:p w14:paraId="22FC8768"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1.533</w:t>
            </w:r>
          </w:p>
        </w:tc>
      </w:tr>
      <w:tr w:rsidR="00334349" w14:paraId="230CA6E2" w14:textId="77777777" w:rsidTr="00D33B65">
        <w:trPr>
          <w:trHeight w:val="213"/>
        </w:trPr>
        <w:tc>
          <w:tcPr>
            <w:tcW w:w="1985" w:type="dxa"/>
            <w:noWrap/>
            <w:vAlign w:val="center"/>
          </w:tcPr>
          <w:p w14:paraId="480D3AAF"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Density</w:t>
            </w:r>
          </w:p>
        </w:tc>
        <w:tc>
          <w:tcPr>
            <w:tcW w:w="850" w:type="dxa"/>
            <w:noWrap/>
            <w:vAlign w:val="center"/>
          </w:tcPr>
          <w:p w14:paraId="3E911F92"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0.025</w:t>
            </w:r>
          </w:p>
        </w:tc>
        <w:tc>
          <w:tcPr>
            <w:tcW w:w="993" w:type="dxa"/>
            <w:noWrap/>
            <w:vAlign w:val="center"/>
          </w:tcPr>
          <w:p w14:paraId="6074EF4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0.028</w:t>
            </w:r>
          </w:p>
        </w:tc>
        <w:tc>
          <w:tcPr>
            <w:tcW w:w="928" w:type="dxa"/>
            <w:noWrap/>
            <w:vAlign w:val="center"/>
          </w:tcPr>
          <w:p w14:paraId="010BEBA2"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0.025</w:t>
            </w:r>
          </w:p>
        </w:tc>
        <w:tc>
          <w:tcPr>
            <w:tcW w:w="992" w:type="dxa"/>
            <w:noWrap/>
            <w:vAlign w:val="center"/>
          </w:tcPr>
          <w:p w14:paraId="415B56DB"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0.029</w:t>
            </w:r>
          </w:p>
        </w:tc>
        <w:tc>
          <w:tcPr>
            <w:tcW w:w="851" w:type="dxa"/>
            <w:noWrap/>
            <w:vAlign w:val="center"/>
          </w:tcPr>
          <w:p w14:paraId="681FE17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0.035</w:t>
            </w:r>
          </w:p>
        </w:tc>
        <w:tc>
          <w:tcPr>
            <w:tcW w:w="992" w:type="dxa"/>
            <w:noWrap/>
            <w:vAlign w:val="center"/>
          </w:tcPr>
          <w:p w14:paraId="2A1918E7"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0.032</w:t>
            </w:r>
          </w:p>
        </w:tc>
        <w:tc>
          <w:tcPr>
            <w:tcW w:w="905" w:type="dxa"/>
            <w:noWrap/>
            <w:vAlign w:val="center"/>
          </w:tcPr>
          <w:p w14:paraId="1FDD0FC4"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0.036</w:t>
            </w:r>
          </w:p>
        </w:tc>
        <w:tc>
          <w:tcPr>
            <w:tcW w:w="936" w:type="dxa"/>
            <w:noWrap/>
            <w:vAlign w:val="center"/>
          </w:tcPr>
          <w:p w14:paraId="7EB28E5E" w14:textId="77777777" w:rsidR="00334349" w:rsidRDefault="00334349" w:rsidP="00D33B65">
            <w:pPr>
              <w:keepLines/>
              <w:widowControl/>
              <w:jc w:val="center"/>
              <w:rPr>
                <w:rFonts w:ascii="Times New Roman" w:eastAsia="等线" w:hAnsi="Times New Roman" w:cs="Times New Roman"/>
                <w:color w:val="000000"/>
                <w:kern w:val="0"/>
                <w:szCs w:val="21"/>
                <w14:ligatures w14:val="none"/>
              </w:rPr>
            </w:pPr>
            <w:r>
              <w:rPr>
                <w:rFonts w:ascii="Times New Roman" w:eastAsia="等线" w:hAnsi="Times New Roman" w:cs="Times New Roman"/>
                <w:color w:val="000000"/>
                <w:kern w:val="0"/>
                <w:szCs w:val="21"/>
                <w14:ligatures w14:val="none"/>
              </w:rPr>
              <w:t>0.053</w:t>
            </w:r>
          </w:p>
        </w:tc>
      </w:tr>
    </w:tbl>
    <w:p w14:paraId="376AF3F5" w14:textId="77777777" w:rsidR="00334349" w:rsidRDefault="00334349" w:rsidP="00334349">
      <w:pPr>
        <w:spacing w:after="160" w:line="360" w:lineRule="auto"/>
        <w:rPr>
          <w:rFonts w:ascii="Times New Roman" w:eastAsia="等线" w:hAnsi="Times New Roman" w:cs="Times New Roman"/>
          <w:b/>
          <w:bCs/>
          <w:lang w:bidi="ar"/>
        </w:rPr>
      </w:pPr>
    </w:p>
    <w:p w14:paraId="1D1DDF43" w14:textId="77777777" w:rsidR="00334349" w:rsidRPr="0003318B" w:rsidRDefault="00334349" w:rsidP="00334349">
      <w:pPr>
        <w:keepNext/>
        <w:keepLines/>
        <w:widowControl/>
        <w:jc w:val="left"/>
        <w:rPr>
          <w:rFonts w:ascii="Times New Roman" w:eastAsia="等线" w:hAnsi="Times New Roman" w:cs="Times New Roman"/>
          <w:b/>
          <w:bCs/>
          <w:szCs w:val="21"/>
          <w14:ligatures w14:val="none"/>
        </w:rPr>
      </w:pPr>
      <w:r w:rsidRPr="0003318B">
        <w:rPr>
          <w:rFonts w:ascii="Times New Roman" w:eastAsia="等线" w:hAnsi="Times New Roman" w:cs="Times New Roman"/>
          <w:b/>
          <w:bCs/>
          <w:szCs w:val="21"/>
          <w14:ligatures w14:val="none"/>
        </w:rPr>
        <w:t>Table</w:t>
      </w:r>
      <w:r>
        <w:rPr>
          <w:rFonts w:ascii="Times New Roman" w:eastAsia="等线" w:hAnsi="Times New Roman" w:cs="Times New Roman"/>
          <w:b/>
          <w:bCs/>
          <w:szCs w:val="21"/>
          <w14:ligatures w14:val="none"/>
        </w:rPr>
        <w:t xml:space="preserve"> </w:t>
      </w:r>
      <w:r w:rsidRPr="0003318B">
        <w:rPr>
          <w:rFonts w:ascii="Times New Roman" w:eastAsia="等线" w:hAnsi="Times New Roman" w:cs="Times New Roman"/>
          <w:b/>
          <w:bCs/>
          <w:szCs w:val="21"/>
          <w14:ligatures w14:val="none"/>
        </w:rPr>
        <w:t>S</w:t>
      </w:r>
      <w:r>
        <w:rPr>
          <w:rFonts w:ascii="Times New Roman" w:eastAsia="等线" w:hAnsi="Times New Roman" w:cs="Times New Roman" w:hint="eastAsia"/>
          <w:b/>
          <w:bCs/>
          <w:szCs w:val="21"/>
          <w14:ligatures w14:val="none"/>
        </w:rPr>
        <w:t>4</w:t>
      </w:r>
      <w:r w:rsidRPr="0003318B">
        <w:rPr>
          <w:rFonts w:ascii="Times New Roman" w:eastAsia="等线" w:hAnsi="Times New Roman" w:cs="Times New Roman"/>
          <w:b/>
          <w:bCs/>
          <w:szCs w:val="21"/>
          <w14:ligatures w14:val="none"/>
        </w:rPr>
        <w:t xml:space="preserve"> </w:t>
      </w:r>
    </w:p>
    <w:p w14:paraId="1E0ADE57" w14:textId="77777777" w:rsidR="00334349" w:rsidRPr="0003318B" w:rsidRDefault="00334349" w:rsidP="00334349">
      <w:pPr>
        <w:keepNext/>
        <w:keepLines/>
        <w:widowControl/>
        <w:jc w:val="left"/>
        <w:rPr>
          <w:rFonts w:ascii="Times New Roman" w:eastAsia="等线" w:hAnsi="Times New Roman" w:cs="Times New Roman"/>
          <w:szCs w:val="21"/>
          <w14:ligatures w14:val="none"/>
        </w:rPr>
      </w:pPr>
      <w:r w:rsidRPr="0003318B">
        <w:rPr>
          <w:rFonts w:ascii="Times New Roman" w:eastAsia="等线" w:hAnsi="Times New Roman" w:cs="Times New Roman"/>
          <w:szCs w:val="21"/>
          <w14:ligatures w14:val="none"/>
        </w:rPr>
        <w:t>The function of plant growth-promoting rhizobacteria (PGPR)</w:t>
      </w:r>
      <w:r>
        <w:rPr>
          <w:rFonts w:ascii="Times New Roman" w:eastAsia="等线" w:hAnsi="Times New Roman" w:cs="Times New Roman"/>
          <w:szCs w:val="21"/>
          <w14:ligatures w14:val="none"/>
        </w:rPr>
        <w:t xml:space="preserve">. </w:t>
      </w:r>
      <w:r w:rsidRPr="0003318B">
        <w:rPr>
          <w:rFonts w:ascii="Times New Roman" w:eastAsia="等线" w:hAnsi="Times New Roman" w:cs="Times New Roman"/>
          <w:szCs w:val="21"/>
          <w14:ligatures w14:val="none"/>
        </w:rPr>
        <w:t>This table summarizes representative genera of plant growth-promoting rhizobacteria (PGPR) and their associated functional traits, including nitrogen fixation, phosphate solubilization, organic matter decomposition, and biocontrol activity, as reported in previous studies.</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3969"/>
        <w:gridCol w:w="2484"/>
      </w:tblGrid>
      <w:tr w:rsidR="00334349" w14:paraId="48DB47B6" w14:textId="77777777" w:rsidTr="00D33B65">
        <w:trPr>
          <w:cantSplit/>
          <w:trHeight w:hRule="exact" w:val="454"/>
        </w:trPr>
        <w:tc>
          <w:tcPr>
            <w:tcW w:w="1843" w:type="dxa"/>
            <w:tcBorders>
              <w:top w:val="single" w:sz="12" w:space="0" w:color="auto"/>
              <w:bottom w:val="single" w:sz="8" w:space="0" w:color="auto"/>
            </w:tcBorders>
            <w:vAlign w:val="center"/>
          </w:tcPr>
          <w:p w14:paraId="220070A5" w14:textId="77777777" w:rsidR="00334349" w:rsidRDefault="00334349" w:rsidP="00D33B65">
            <w:pPr>
              <w:spacing w:after="160" w:line="360" w:lineRule="auto"/>
              <w:jc w:val="center"/>
              <w:rPr>
                <w:rFonts w:eastAsia="等线"/>
                <w:b/>
                <w:bCs/>
                <w:sz w:val="20"/>
                <w:szCs w:val="20"/>
                <w:lang w:bidi="ar"/>
              </w:rPr>
            </w:pPr>
            <w:r>
              <w:rPr>
                <w:rFonts w:eastAsia="等线"/>
                <w:b/>
                <w:bCs/>
                <w:color w:val="000000"/>
                <w:sz w:val="20"/>
                <w:szCs w:val="20"/>
              </w:rPr>
              <w:t>PGPR Genus</w:t>
            </w:r>
          </w:p>
        </w:tc>
        <w:tc>
          <w:tcPr>
            <w:tcW w:w="3969" w:type="dxa"/>
            <w:tcBorders>
              <w:top w:val="single" w:sz="12" w:space="0" w:color="auto"/>
              <w:bottom w:val="single" w:sz="8" w:space="0" w:color="auto"/>
            </w:tcBorders>
            <w:vAlign w:val="center"/>
          </w:tcPr>
          <w:p w14:paraId="05EE36E6" w14:textId="77777777" w:rsidR="00334349" w:rsidRDefault="00334349" w:rsidP="00D33B65">
            <w:pPr>
              <w:spacing w:after="160" w:line="360" w:lineRule="auto"/>
              <w:jc w:val="center"/>
              <w:rPr>
                <w:rFonts w:eastAsia="等线"/>
                <w:b/>
                <w:bCs/>
                <w:sz w:val="20"/>
                <w:szCs w:val="20"/>
                <w:lang w:bidi="ar"/>
              </w:rPr>
            </w:pPr>
            <w:r>
              <w:rPr>
                <w:rFonts w:eastAsia="等线"/>
                <w:b/>
                <w:bCs/>
                <w:color w:val="000000"/>
                <w:sz w:val="20"/>
                <w:szCs w:val="20"/>
              </w:rPr>
              <w:t>Plant Growth Promoting Traits</w:t>
            </w:r>
          </w:p>
        </w:tc>
        <w:tc>
          <w:tcPr>
            <w:tcW w:w="2484" w:type="dxa"/>
            <w:tcBorders>
              <w:top w:val="single" w:sz="12" w:space="0" w:color="auto"/>
              <w:bottom w:val="single" w:sz="8" w:space="0" w:color="auto"/>
            </w:tcBorders>
            <w:vAlign w:val="center"/>
          </w:tcPr>
          <w:p w14:paraId="1EBCB793" w14:textId="77777777" w:rsidR="00334349" w:rsidRDefault="00334349" w:rsidP="00D33B65">
            <w:pPr>
              <w:spacing w:after="160" w:line="360" w:lineRule="auto"/>
              <w:jc w:val="center"/>
              <w:rPr>
                <w:rFonts w:eastAsia="等线"/>
                <w:b/>
                <w:bCs/>
                <w:sz w:val="20"/>
                <w:szCs w:val="20"/>
                <w:lang w:bidi="ar"/>
              </w:rPr>
            </w:pPr>
            <w:r>
              <w:rPr>
                <w:rFonts w:eastAsia="等线"/>
                <w:b/>
                <w:bCs/>
                <w:color w:val="000000"/>
                <w:sz w:val="20"/>
                <w:szCs w:val="20"/>
              </w:rPr>
              <w:t>Reference(s)</w:t>
            </w:r>
          </w:p>
        </w:tc>
      </w:tr>
      <w:tr w:rsidR="00334349" w14:paraId="5AE405C7" w14:textId="77777777" w:rsidTr="00D33B65">
        <w:trPr>
          <w:cantSplit/>
          <w:trHeight w:hRule="exact" w:val="907"/>
        </w:trPr>
        <w:tc>
          <w:tcPr>
            <w:tcW w:w="1843" w:type="dxa"/>
            <w:tcBorders>
              <w:top w:val="single" w:sz="8" w:space="0" w:color="auto"/>
            </w:tcBorders>
            <w:vAlign w:val="center"/>
          </w:tcPr>
          <w:p w14:paraId="1F5AEBA2"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Azospirillum</w:t>
            </w:r>
          </w:p>
        </w:tc>
        <w:tc>
          <w:tcPr>
            <w:tcW w:w="3969" w:type="dxa"/>
            <w:tcBorders>
              <w:top w:val="single" w:sz="8" w:space="0" w:color="auto"/>
            </w:tcBorders>
            <w:vAlign w:val="center"/>
          </w:tcPr>
          <w:p w14:paraId="7E0E6982"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Nitrogen fixation; Phosphate solubilization</w:t>
            </w:r>
          </w:p>
        </w:tc>
        <w:tc>
          <w:tcPr>
            <w:tcW w:w="2484" w:type="dxa"/>
            <w:tcBorders>
              <w:top w:val="single" w:sz="8" w:space="0" w:color="auto"/>
            </w:tcBorders>
            <w:vAlign w:val="center"/>
          </w:tcPr>
          <w:p w14:paraId="09F2A142" w14:textId="77777777" w:rsidR="00334349" w:rsidRDefault="00334349" w:rsidP="00D33B65">
            <w:pPr>
              <w:spacing w:after="160" w:line="360" w:lineRule="auto"/>
              <w:jc w:val="center"/>
              <w:rPr>
                <w:rFonts w:eastAsia="等线"/>
                <w:b/>
                <w:bCs/>
                <w:lang w:bidi="ar"/>
              </w:rPr>
            </w:pPr>
            <w:r>
              <w:rPr>
                <w:rFonts w:eastAsia="等线"/>
                <w:b/>
                <w:bCs/>
                <w:lang w:bidi="ar"/>
              </w:rPr>
              <w:fldChar w:fldCharType="begin"/>
            </w:r>
            <w:r>
              <w:rPr>
                <w:rFonts w:eastAsia="等线"/>
                <w:b/>
                <w:bCs/>
                <w:lang w:bidi="ar"/>
              </w:rPr>
              <w:instrText xml:space="preserve"> ADDIN ZOTERO_ITEM CSL_CITATION {"citationID":"lS2NqbOV","properties":{"formattedCitation":"(de Santi Ferrara et al., 2012; Holguin et al., 1999)","plainCitation":"(de Santi Ferrara et al., 2012; Holguin et al., 1999)","dontUpdate":true,"noteIndex":0},"citationItems":[{"id":"fECW2OBY/es6z9Fnq","uris":["http://zotero.org/users/12476655/items/BXFWWJUK"],"itemData":{"id":1484,"type":"article-journal","abstract":"Genetic manipulation of Azospirillum spp. has facilitated a better understanding of the mode of action of this plant-growth promoting bacterium and should help to improve its ability to stimulate plant growth and development. This review considers and discusses Agospirillum plasmids, promoter sequences, the isolation of Azospirillum mutants, the genetic transformation of Azospirillum, the transfer of foreign genes into Azospirillum by conjugation and the Azospirillum genes that have been isolated and characterized. The Azospirillum genes that are discussed include genes involved in nitrogen fixation, plant root attachment, phytohormone biosynthesis, tryptophan biosynthesis, carbon metabolism and a few other less well characterized processes.","container-title":"Biology and Fertility of Soils","DOI":"10.1007/s003740050519","ISSN":"0178-2762, 1432-0789</w:instrText>
            </w:r>
            <w:r>
              <w:rPr>
                <w:rFonts w:eastAsia="等线" w:hint="eastAsia"/>
                <w:b/>
                <w:bCs/>
                <w:lang w:bidi="ar"/>
              </w:rPr>
              <w:instrText>","issue":"1","journalAbbreviation":"Biology and Fertility of Soils","language":"en","license":"http://www.springer.com/tdm","note":"JCR</w:instrText>
            </w:r>
            <w:r>
              <w:rPr>
                <w:rFonts w:eastAsia="等线" w:hint="eastAsia"/>
                <w:b/>
                <w:bCs/>
                <w:lang w:bidi="ar"/>
              </w:rPr>
              <w:instrText>分区</w:instrText>
            </w:r>
            <w:r>
              <w:rPr>
                <w:rFonts w:eastAsia="等线" w:hint="eastAsia"/>
                <w:b/>
                <w:bCs/>
                <w:lang w:bidi="ar"/>
              </w:rPr>
              <w:instrText>: Q1\n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农林科学</w:instrText>
            </w:r>
            <w:r>
              <w:rPr>
                <w:rFonts w:eastAsia="等线" w:hint="eastAsia"/>
                <w:b/>
                <w:bCs/>
                <w:lang w:bidi="ar"/>
              </w:rPr>
              <w:instrText>2</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5.1\n5</w:instrText>
            </w:r>
            <w:r>
              <w:rPr>
                <w:rFonts w:eastAsia="等线" w:hint="eastAsia"/>
                <w:b/>
                <w:bCs/>
                <w:lang w:bidi="ar"/>
              </w:rPr>
              <w:instrText>年影响因子</w:instrText>
            </w:r>
            <w:r>
              <w:rPr>
                <w:rFonts w:eastAsia="等线" w:hint="eastAsia"/>
                <w:b/>
                <w:bCs/>
                <w:lang w:bidi="ar"/>
              </w:rPr>
              <w:instrText>: 6.2\n</w:instrText>
            </w:r>
            <w:r>
              <w:rPr>
                <w:rFonts w:eastAsia="等线" w:hint="eastAsia"/>
                <w:b/>
                <w:bCs/>
                <w:lang w:bidi="ar"/>
              </w:rPr>
              <w:instrText>南农高质量</w:instrText>
            </w:r>
            <w:r>
              <w:rPr>
                <w:rFonts w:eastAsia="等线" w:hint="eastAsia"/>
                <w:b/>
                <w:bCs/>
                <w:lang w:bidi="ar"/>
              </w:rPr>
              <w:instrText>: A","page":"10-23","source":"DOI.org (Crossref)","title":"Genet</w:instrText>
            </w:r>
            <w:r>
              <w:rPr>
                <w:rFonts w:eastAsia="等线"/>
                <w:b/>
                <w:bCs/>
                <w:lang w:bidi="ar"/>
              </w:rPr>
              <w:instrText>ics and molecular biology of azospirillum","volume":"29","author":[{"family":"Holguin","given":"G."},{"family":"Patten","given":"C. L."},{"family":"Glick","given":"B. R."}],"issued":{"date-parts":[["1999",4,7]]}}},{"id":"fECW2OBY/Xxv8ysfF","uris":["http://zotero.org/users/12476655/items/DZUWAGAF"],"itemData":{"id":1511,"type":"article-journal","abstract":"Endophytic and rhizospheric environments differ in many respects, leading to the presence of different bacterial communities at each site. However, microorganisms such as enterobacteria can be found both within plants and in the surrounding soil. Bacteria must present differences in the traits that affect such environments in order to successfully colonise them. The present study compared the plant growth-promoting potential of diazotrophic enterobacteria isolated from the rhizosphere and from within surface-disinfected plants.","container-title":"Plant and Soil","DOI":"10.1007/s11104-011-1042-1","ISSN":"1573-5036","issue":"1","journalAbbreviation":"Plan</w:instrText>
            </w:r>
            <w:r>
              <w:rPr>
                <w:rFonts w:eastAsia="等线" w:hint="eastAsia"/>
                <w:b/>
                <w:bCs/>
                <w:lang w:bidi="ar"/>
              </w:rPr>
              <w:instrText>t Soil","language":"en","note":"JCR</w:instrText>
            </w:r>
            <w:r>
              <w:rPr>
                <w:rFonts w:eastAsia="等线" w:hint="eastAsia"/>
                <w:b/>
                <w:bCs/>
                <w:lang w:bidi="ar"/>
              </w:rPr>
              <w:instrText>分区</w:instrText>
            </w:r>
            <w:r>
              <w:rPr>
                <w:rFonts w:eastAsia="等线" w:hint="eastAsia"/>
                <w:b/>
                <w:bCs/>
                <w:lang w:bidi="ar"/>
              </w:rPr>
              <w:instrText>: Q1\n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农林科学</w:instrText>
            </w:r>
            <w:r>
              <w:rPr>
                <w:rFonts w:eastAsia="等线" w:hint="eastAsia"/>
                <w:b/>
                <w:bCs/>
                <w:lang w:bidi="ar"/>
              </w:rPr>
              <w:instrText>2</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3.9\n5</w:instrText>
            </w:r>
            <w:r>
              <w:rPr>
                <w:rFonts w:eastAsia="等线" w:hint="eastAsia"/>
                <w:b/>
                <w:bCs/>
                <w:lang w:bidi="ar"/>
              </w:rPr>
              <w:instrText>年影响因子</w:instrText>
            </w:r>
            <w:r>
              <w:rPr>
                <w:rFonts w:eastAsia="等线" w:hint="eastAsia"/>
                <w:b/>
                <w:bCs/>
                <w:lang w:bidi="ar"/>
              </w:rPr>
              <w:instrText>: 4.6\n</w:instrText>
            </w:r>
            <w:r>
              <w:rPr>
                <w:rFonts w:eastAsia="等线" w:hint="eastAsia"/>
                <w:b/>
                <w:bCs/>
                <w:lang w:bidi="ar"/>
              </w:rPr>
              <w:instrText>南农高质量</w:instrText>
            </w:r>
            <w:r>
              <w:rPr>
                <w:rFonts w:eastAsia="等线" w:hint="eastAsia"/>
                <w:b/>
                <w:bCs/>
                <w:lang w:bidi="ar"/>
              </w:rPr>
              <w:instrText>: A","page":"409-417","source":"Springer Link","title":"Endophytic and rhizospheric enterobacteria isolated from sugar cane have different potentials for producing p</w:instrText>
            </w:r>
            <w:r>
              <w:rPr>
                <w:rFonts w:eastAsia="等线"/>
                <w:b/>
                <w:bCs/>
                <w:lang w:bidi="ar"/>
              </w:rPr>
              <w:instrText xml:space="preserve">lant growth-promoting substances","volume":"353","author":[{"family":"Santi Ferrara","given":"Felipe Ibañez","non-dropping-particle":"de"},{"family":"Oliveira","given":"Zilda Machado"},{"family":"Gonzales","given":"Hebert Hernan Soto"},{"family":"Floh","given":"Eny Iochevet Segal"},{"family":"Barbosa","given":"Heloiza Ramos"}],"issued":{"date-parts":[["2012",4,1]]}}}],"schema":"https://github.com/citation-style-language/schema/raw/master/csl-citation.json"} </w:instrText>
            </w:r>
            <w:r>
              <w:rPr>
                <w:rFonts w:eastAsia="等线"/>
                <w:b/>
                <w:bCs/>
                <w:lang w:bidi="ar"/>
              </w:rPr>
              <w:fldChar w:fldCharType="separate"/>
            </w:r>
            <w:r>
              <w:rPr>
                <w:rFonts w:hint="eastAsia"/>
              </w:rPr>
              <w:t>D</w:t>
            </w:r>
            <w:r>
              <w:t>e Santi Ferrara et al., 2012; Holguin et al., 1999</w:t>
            </w:r>
            <w:r>
              <w:rPr>
                <w:rFonts w:eastAsia="等线"/>
                <w:b/>
                <w:bCs/>
                <w:lang w:bidi="ar"/>
              </w:rPr>
              <w:fldChar w:fldCharType="end"/>
            </w:r>
          </w:p>
          <w:p w14:paraId="3C210C5C" w14:textId="77777777" w:rsidR="00334349" w:rsidRDefault="00334349" w:rsidP="00D33B65">
            <w:pPr>
              <w:spacing w:after="160" w:line="360" w:lineRule="auto"/>
              <w:jc w:val="center"/>
              <w:rPr>
                <w:rFonts w:eastAsia="等线"/>
                <w:b/>
                <w:bCs/>
                <w:sz w:val="20"/>
                <w:szCs w:val="20"/>
                <w:lang w:bidi="ar"/>
              </w:rPr>
            </w:pPr>
          </w:p>
        </w:tc>
      </w:tr>
      <w:tr w:rsidR="00334349" w14:paraId="0F2F36E5" w14:textId="77777777" w:rsidTr="00D33B65">
        <w:trPr>
          <w:cantSplit/>
          <w:trHeight w:hRule="exact" w:val="907"/>
        </w:trPr>
        <w:tc>
          <w:tcPr>
            <w:tcW w:w="1843" w:type="dxa"/>
            <w:vAlign w:val="center"/>
          </w:tcPr>
          <w:p w14:paraId="78BE93C2"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Enterobacter</w:t>
            </w:r>
          </w:p>
        </w:tc>
        <w:tc>
          <w:tcPr>
            <w:tcW w:w="3969" w:type="dxa"/>
            <w:vAlign w:val="center"/>
          </w:tcPr>
          <w:p w14:paraId="42376BF8"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Nitrogen fixation; Phosphate solubilization</w:t>
            </w:r>
          </w:p>
        </w:tc>
        <w:tc>
          <w:tcPr>
            <w:tcW w:w="2484" w:type="dxa"/>
            <w:vAlign w:val="center"/>
          </w:tcPr>
          <w:p w14:paraId="6335D18C" w14:textId="77777777" w:rsidR="00334349" w:rsidRDefault="00334349" w:rsidP="00D33B65">
            <w:pPr>
              <w:spacing w:after="160" w:line="360" w:lineRule="auto"/>
              <w:jc w:val="center"/>
              <w:rPr>
                <w:rFonts w:eastAsia="等线"/>
                <w:b/>
                <w:bCs/>
                <w:lang w:bidi="ar"/>
              </w:rPr>
            </w:pPr>
            <w:r>
              <w:rPr>
                <w:rFonts w:eastAsia="等线"/>
                <w:b/>
                <w:bCs/>
                <w:lang w:bidi="ar"/>
              </w:rPr>
              <w:fldChar w:fldCharType="begin"/>
            </w:r>
            <w:r>
              <w:rPr>
                <w:rFonts w:eastAsia="等线"/>
                <w:b/>
                <w:bCs/>
                <w:lang w:bidi="ar"/>
              </w:rPr>
              <w:instrText xml:space="preserve"> ADDIN ZOTERO_ITEM CSL_CITATION {"citationID":"sJkgchYH","properties":{"unsorted":true,"formattedCitation":"(de Santi Ferrara et al., 2012; Lin et al., 2012)","plainCitation":"(de Santi Ferrara et al., 2012; Lin et al., 2012)","dontUpdate":true,"noteIndex":0},"citationItems":[{"id":"fECW2OBY/Xxv8ysfF","uris":["http://zotero.org/users/12476655/items/DZUWAGAF"],"itemData":{"id":1511,"type":"article-journal","abstract":"Endophytic and rhizospheric environments differ in many respects, leading to the presence of different bacterial communities at each site. However, microorganisms such as enterobacteria can be found both within plants and in the surrounding soil. Bacteria must present differences in the traits that affect such environments in order to successfully colonise them. The present study compared the plant growth-promoting potential of diazotrophic enterobacteria isolated from the rhizosphere and from within surface-disinfected plants.","container-title":"Plant and Soil","DOI":"10.1007/s11104-011-104</w:instrText>
            </w:r>
            <w:r>
              <w:rPr>
                <w:rFonts w:eastAsia="等线" w:hint="eastAsia"/>
                <w:b/>
                <w:bCs/>
                <w:lang w:bidi="ar"/>
              </w:rPr>
              <w:instrText>2-1","ISSN":"1573-5036","issue":"1","journalAbbreviation":"Plant Soil","language":"en","note":"JCR</w:instrText>
            </w:r>
            <w:r>
              <w:rPr>
                <w:rFonts w:eastAsia="等线" w:hint="eastAsia"/>
                <w:b/>
                <w:bCs/>
                <w:lang w:bidi="ar"/>
              </w:rPr>
              <w:instrText>分区</w:instrText>
            </w:r>
            <w:r>
              <w:rPr>
                <w:rFonts w:eastAsia="等线" w:hint="eastAsia"/>
                <w:b/>
                <w:bCs/>
                <w:lang w:bidi="ar"/>
              </w:rPr>
              <w:instrText>: Q1\n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农林科学</w:instrText>
            </w:r>
            <w:r>
              <w:rPr>
                <w:rFonts w:eastAsia="等线" w:hint="eastAsia"/>
                <w:b/>
                <w:bCs/>
                <w:lang w:bidi="ar"/>
              </w:rPr>
              <w:instrText>2</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3.9\n5</w:instrText>
            </w:r>
            <w:r>
              <w:rPr>
                <w:rFonts w:eastAsia="等线" w:hint="eastAsia"/>
                <w:b/>
                <w:bCs/>
                <w:lang w:bidi="ar"/>
              </w:rPr>
              <w:instrText>年影响因子</w:instrText>
            </w:r>
            <w:r>
              <w:rPr>
                <w:rFonts w:eastAsia="等线" w:hint="eastAsia"/>
                <w:b/>
                <w:bCs/>
                <w:lang w:bidi="ar"/>
              </w:rPr>
              <w:instrText>: 4.6\n</w:instrText>
            </w:r>
            <w:r>
              <w:rPr>
                <w:rFonts w:eastAsia="等线" w:hint="eastAsia"/>
                <w:b/>
                <w:bCs/>
                <w:lang w:bidi="ar"/>
              </w:rPr>
              <w:instrText>南农高质量</w:instrText>
            </w:r>
            <w:r>
              <w:rPr>
                <w:rFonts w:eastAsia="等线" w:hint="eastAsia"/>
                <w:b/>
                <w:bCs/>
                <w:lang w:bidi="ar"/>
              </w:rPr>
              <w:instrText>: A","page":"409-417","source":"Springer Link","title":"Endophytic and rhizospheric enterobacteria iso</w:instrText>
            </w:r>
            <w:r>
              <w:rPr>
                <w:rFonts w:eastAsia="等线"/>
                <w:b/>
                <w:bCs/>
                <w:lang w:bidi="ar"/>
              </w:rPr>
              <w:instrText>lated from sugar cane have different potentials for producing plant growth-promoting substances","volume":"353","author":[{"family":"Santi Ferrara","given":"Felipe Ibañez","non-dropping-particle":"de"},{"family":"Oliveira","given":"Zilda Machado"},{"family":"Gonzales","given":"Hebert Hernan Soto"},{"family":"Floh","given":"Eny Iochevet Segal"},{"family":"Barbosa","given":"Heloiza Ramos"}],"issued":{"date-parts":[["2012",4,1]]}}},{"id":"fECW2OBY/e3OWt53B","uris":["http://zotero.org/users/12476655/items/4K5N8BAF"],"itemData":{"id":1498,"type":"article-journal","abstract":"The current nitrogen fertilization for sugarcane production in Guangxi, the major sugarcane-producing area in China, is very high. We aim to reduce nitrogen fertilization and improve sugarcane production in Guangxi with the help of indigenous sugarcane-associated nitrogen-fixing bacteria. We initially obtained 196 fast-growing bacterial isolates associated with the main sugarcane cultivar ROC22 plants in fields using a nitrogen-deficient minimal medium and screened out 43 nitrogen-fixing isolates. Analysis of 16S rRNA gene sequences revealed that 42 of the 43 nitrogen-fixing isolates were affiliated with the genera Enterobacter and Klebsiella. Most of the nitrogen-fixing enterobacteria possessed two other plant growth-promoting activities of IAA production, siderophore production and phosphate solubilization. Two Enterobacter spp. strains of NN145S and NN143E isolated from rhizosphere soil and surface-sterilized roots, respectively, of the same ROC22 plant were used to inoculate micropropagated sugarcane plantlets. Both strains increased the biomass and nitrogen content of the sugarcane seedlings grown with nitrogen fertilization equivalent to 180 kg urea ha−1, the recommended nitrogen fertilization for ROC22 cane crops at the seedling stage. 15N isotope dilution assays demonstrated that biological nitrogen fixation contributed to plant growth promotion. These results suggested that indigenous nitrogen-fixing enterobacteria have the potential to fix N2 associated with sugarcane plants grown in fields in Guangxi and to improve sugarcane production.","container-title":"Microbes and Environments","DOI":"10.1264/jsme2.ME11275","ISSN":"1342-6311","issue":"4","journalAbbreviation":"Microbes Envi</w:instrText>
            </w:r>
            <w:r>
              <w:rPr>
                <w:rFonts w:eastAsia="等线" w:hint="eastAsia"/>
                <w:b/>
                <w:bCs/>
                <w:lang w:bidi="ar"/>
              </w:rPr>
              <w:instrText>ron","note":"PMID: 22510648\nPMCID: PMC4103546\nJCR</w:instrText>
            </w:r>
            <w:r>
              <w:rPr>
                <w:rFonts w:eastAsia="等线" w:hint="eastAsia"/>
                <w:b/>
                <w:bCs/>
                <w:lang w:bidi="ar"/>
              </w:rPr>
              <w:instrText>分区</w:instrText>
            </w:r>
            <w:r>
              <w:rPr>
                <w:rFonts w:eastAsia="等线" w:hint="eastAsia"/>
                <w:b/>
                <w:bCs/>
                <w:lang w:bidi="ar"/>
              </w:rPr>
              <w:instrText>: Q3\n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环境科学与生态学</w:instrText>
            </w:r>
            <w:r>
              <w:rPr>
                <w:rFonts w:eastAsia="等线" w:hint="eastAsia"/>
                <w:b/>
                <w:bCs/>
                <w:lang w:bidi="ar"/>
              </w:rPr>
              <w:instrText>4</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2.1\n5</w:instrText>
            </w:r>
            <w:r>
              <w:rPr>
                <w:rFonts w:eastAsia="等线" w:hint="eastAsia"/>
                <w:b/>
                <w:bCs/>
                <w:lang w:bidi="ar"/>
              </w:rPr>
              <w:instrText>年影响因子</w:instrText>
            </w:r>
            <w:r>
              <w:rPr>
                <w:rFonts w:eastAsia="等线" w:hint="eastAsia"/>
                <w:b/>
                <w:bCs/>
                <w:lang w:bidi="ar"/>
              </w:rPr>
              <w:instrText>: 2.6\n</w:instrText>
            </w:r>
            <w:r>
              <w:rPr>
                <w:rFonts w:eastAsia="等线" w:hint="eastAsia"/>
                <w:b/>
                <w:bCs/>
                <w:lang w:bidi="ar"/>
              </w:rPr>
              <w:instrText>南农高质量</w:instrText>
            </w:r>
            <w:r>
              <w:rPr>
                <w:rFonts w:eastAsia="等线" w:hint="eastAsia"/>
                <w:b/>
                <w:bCs/>
                <w:lang w:bidi="ar"/>
              </w:rPr>
              <w:instrText xml:space="preserve">: D","page":"391-398","source":"PubMed Central","title":"Plant growth-promoting nitrogen-fixing enterobacteria are in association with sugarcane </w:instrText>
            </w:r>
            <w:r>
              <w:rPr>
                <w:rFonts w:eastAsia="等线"/>
                <w:b/>
                <w:bCs/>
                <w:lang w:bidi="ar"/>
              </w:rPr>
              <w:instrText xml:space="preserve">plants growing in guangxi, China","volume":"27","author":[{"family":"Lin","given":"Li"},{"family":"Li","given":"Zhengyi"},{"family":"Hu","given":"Chunjin"},{"family":"Zhang","given":"Xincheng"},{"family":"Chang","given":"Siping"},{"family":"Yang","given":"Litao"},{"family":"Li","given":"Yangrui"},{"family":"An","given":"Qianli"}],"issued":{"date-parts":[["2012",12]]}}}],"schema":"https://github.com/citation-style-language/schema/raw/master/csl-citation.json"} </w:instrText>
            </w:r>
            <w:r>
              <w:rPr>
                <w:rFonts w:eastAsia="等线"/>
                <w:b/>
                <w:bCs/>
                <w:lang w:bidi="ar"/>
              </w:rPr>
              <w:fldChar w:fldCharType="separate"/>
            </w:r>
            <w:r>
              <w:t>de Santi Ferrara et al., 2012; Lin et al., 2012</w:t>
            </w:r>
            <w:r>
              <w:rPr>
                <w:rFonts w:eastAsia="等线"/>
                <w:b/>
                <w:bCs/>
                <w:lang w:bidi="ar"/>
              </w:rPr>
              <w:fldChar w:fldCharType="end"/>
            </w:r>
          </w:p>
          <w:p w14:paraId="22B4DA80" w14:textId="77777777" w:rsidR="00334349" w:rsidRDefault="00334349" w:rsidP="00D33B65">
            <w:pPr>
              <w:spacing w:after="160" w:line="360" w:lineRule="auto"/>
              <w:jc w:val="center"/>
              <w:rPr>
                <w:rFonts w:eastAsia="等线"/>
                <w:b/>
                <w:bCs/>
                <w:sz w:val="20"/>
                <w:szCs w:val="20"/>
                <w:lang w:bidi="ar"/>
              </w:rPr>
            </w:pPr>
          </w:p>
        </w:tc>
      </w:tr>
      <w:tr w:rsidR="00334349" w14:paraId="56AED5DA" w14:textId="77777777" w:rsidTr="00D33B65">
        <w:trPr>
          <w:cantSplit/>
          <w:trHeight w:hRule="exact" w:val="907"/>
        </w:trPr>
        <w:tc>
          <w:tcPr>
            <w:tcW w:w="1843" w:type="dxa"/>
            <w:vAlign w:val="center"/>
          </w:tcPr>
          <w:p w14:paraId="2159B33A"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Klebsiella</w:t>
            </w:r>
          </w:p>
        </w:tc>
        <w:tc>
          <w:tcPr>
            <w:tcW w:w="3969" w:type="dxa"/>
            <w:vAlign w:val="center"/>
          </w:tcPr>
          <w:p w14:paraId="093D8F37"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Nitrogen fixation; Phosphate solubilization</w:t>
            </w:r>
          </w:p>
        </w:tc>
        <w:tc>
          <w:tcPr>
            <w:tcW w:w="2484" w:type="dxa"/>
            <w:vAlign w:val="center"/>
          </w:tcPr>
          <w:p w14:paraId="19ABEDFA" w14:textId="77777777" w:rsidR="00334349" w:rsidRDefault="00334349" w:rsidP="00D33B65">
            <w:pPr>
              <w:spacing w:after="160" w:line="360" w:lineRule="auto"/>
              <w:jc w:val="center"/>
              <w:rPr>
                <w:rFonts w:eastAsia="等线"/>
                <w:b/>
                <w:bCs/>
                <w:lang w:bidi="ar"/>
              </w:rPr>
            </w:pPr>
            <w:r>
              <w:rPr>
                <w:rFonts w:eastAsia="等线"/>
                <w:b/>
                <w:bCs/>
                <w:lang w:bidi="ar"/>
              </w:rPr>
              <w:fldChar w:fldCharType="begin"/>
            </w:r>
            <w:r>
              <w:rPr>
                <w:rFonts w:eastAsia="等线"/>
                <w:b/>
                <w:bCs/>
                <w:lang w:bidi="ar"/>
              </w:rPr>
              <w:instrText xml:space="preserve"> ADDIN ZOTERO_ITEM CSL_CITATION {"citationID":"JW7oH24N","properties":{"formattedCitation":"(Farina et al., 2012; Govindarajan et al., 2007)","plainCitation":"(Farina et al., 2012; Govindarajan et al., 2007)","dontUpdate":true,"noteIndex":0},"citationItems":[{"id":"fECW2OBY/xgu4kB15","uris":["http://zotero.org/users/12476655/items/T5LKFBID"],"itemData":{"id":1517,"type":"article-journal","abstract":"Plant growth-promoting rhizobacteria (PGPR) stimulate the growth of their host plant and the presence of the plant clearly has a significant effect on rhizospheric bacterial community structure. In this study, cultivable bacteria associated with soil, rhizosphere and the roots of canola (Brassica napus) were isolated and identified by amplifying the V6–V8 region on the 16S rDNA sequence, in order to verify if possible changes in the microbial communities were associated with some stages of crop rotation and canola growth. Several PGP activities of all isolates were also evaluated. The bacterial richness associated to the rhizospheric soil of canola at the rosette stage was more than 20% larger than the other stages indicating that the microbial community structure was influenced by seasonal variation. There was also a relationship between bacterial diversity and monthly rainfall. Agrobacterium, Burkholderia, Enterobacter, and Pseudomonas were the most abundant among all the bacterial genera identified. Several of those bacteria could produce indolic compounds and siderophores, to solubilize phosphate, and some could also fix nitrogen. Some of the isolates tested for growth-promoting effects of bacterial treatment in canola were able to promote plant growth. The presence of specific PGP traits suggests that these particular organisms can promote plant growth by more than one mechanism and that some of these strains should be tested in further field inoculation experiments.","container-title":"Applied Soil Ecology","DOI":"10.1016/j.apsoil.2011.12.011","ISSN":"0929-1393","journalAbbreviation":"Applied Soil Ecolog</w:instrText>
            </w:r>
            <w:r>
              <w:rPr>
                <w:rFonts w:eastAsia="等线" w:hint="eastAsia"/>
                <w:b/>
                <w:bCs/>
                <w:lang w:bidi="ar"/>
              </w:rPr>
              <w:instrText>y","note":"JCR</w:instrText>
            </w:r>
            <w:r>
              <w:rPr>
                <w:rFonts w:eastAsia="等线" w:hint="eastAsia"/>
                <w:b/>
                <w:bCs/>
                <w:lang w:bidi="ar"/>
              </w:rPr>
              <w:instrText>分区</w:instrText>
            </w:r>
            <w:r>
              <w:rPr>
                <w:rFonts w:eastAsia="等线" w:hint="eastAsia"/>
                <w:b/>
                <w:bCs/>
                <w:lang w:bidi="ar"/>
              </w:rPr>
              <w:instrText>: Q1\n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农林科学</w:instrText>
            </w:r>
            <w:r>
              <w:rPr>
                <w:rFonts w:eastAsia="等线" w:hint="eastAsia"/>
                <w:b/>
                <w:bCs/>
                <w:lang w:bidi="ar"/>
              </w:rPr>
              <w:instrText>2</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4.8\n5</w:instrText>
            </w:r>
            <w:r>
              <w:rPr>
                <w:rFonts w:eastAsia="等线" w:hint="eastAsia"/>
                <w:b/>
                <w:bCs/>
                <w:lang w:bidi="ar"/>
              </w:rPr>
              <w:instrText>年影响因子</w:instrText>
            </w:r>
            <w:r>
              <w:rPr>
                <w:rFonts w:eastAsia="等线" w:hint="eastAsia"/>
                <w:b/>
                <w:bCs/>
                <w:lang w:bidi="ar"/>
              </w:rPr>
              <w:instrText>: 4.9\n</w:instrText>
            </w:r>
            <w:r>
              <w:rPr>
                <w:rFonts w:eastAsia="等线" w:hint="eastAsia"/>
                <w:b/>
                <w:bCs/>
                <w:lang w:bidi="ar"/>
              </w:rPr>
              <w:instrText>南农高质量</w:instrText>
            </w:r>
            <w:r>
              <w:rPr>
                <w:rFonts w:eastAsia="等线" w:hint="eastAsia"/>
                <w:b/>
                <w:bCs/>
                <w:lang w:bidi="ar"/>
              </w:rPr>
              <w:instrText>: B","page":"44-52","source":"ScienceDirect","title":"Diversity of plant growth-promoting rhizobacteria communities associated with the stages of canola growth","volume":"55","author":[{</w:instrText>
            </w:r>
            <w:r>
              <w:rPr>
                <w:rFonts w:eastAsia="等线"/>
                <w:b/>
                <w:bCs/>
                <w:lang w:bidi="ar"/>
              </w:rPr>
              <w:instrText>"family":"Farina","given":"Roberto"},{"family":"Beneduzi","given":"Anelise"},{"family":"Ambrosini","given":"Adriana"},{"family":"Campos","given":"Samanta B.","non-dropping-particle":"de"},{"family":"Lisboa","given":"Bruno Brito"},{"family":"Wendisch","given":"Volker"},{"family":"Vargas","given":"Luciano K."},{"family":"Passaglia","given":"Luciane M. P."}],"issued":{"date-parts":[["2012",4,1]]}}},{"id":"fECW2OBY/QwDHmv1x","uris":["http://zotero.org/users/12476655/items/PM9G829W"],"itemData":{"id":1515,"type":"article-journal","abstract":"A group of endophytic diazotrophs were isolated from surface-sterilized roots and stems of different sugarcane varieties in the Tamilnadu region of India. From these, four isolates were selected, based on the highest acetylene reduction activity. Gene-specific PCR amplification confirmed the presence of nif-D genes in those isolates. The 16S rRNA sequence of isolates GR4 and GR7 had a 99.5% sequence similarity to the Pseudomonas sp. pDL01 (AF125317) and 16S rDNA sequence of isolate GR3 had a 100% similarity to that of Burkholderia vietnamiensis (AY973820). The 16S rDNA sequence of isolate GR9 was 99.79% similar to that of the Klebsiella pneumoniae type strain (KPY17657). Colonization by the isolates was confirmed using micropropagated sugarcane and sterile rice seedlings. Isolate GR9, identified as Klebsiella pneumoniae, was consistently more active in reducing acetylene as compared with the other isolates. The effects of GR9 and the sugarcane diazotroph Gluconacetobacter diazotrophicus were compared in inoculated micropropagated sugarcane plantlets. The effects of K. pneumoniae GR9, and four other diazotrophs, G. diazotrophicus, Herbaspirillum seropedicae, Azospirillum lipoferum 4B, and Burkholderia vietnamiensis in inoculated rice seedlings were compared. GR9 alone or in combination with the other diazotrophs performed best under pot conditions. The combined effects of nitrogen fixation and endophytic colonization of this diazotroph may be useful for the development of b</w:instrText>
            </w:r>
            <w:r>
              <w:rPr>
                <w:rFonts w:eastAsia="等线" w:hint="eastAsia"/>
                <w:b/>
                <w:bCs/>
                <w:lang w:bidi="ar"/>
              </w:rPr>
              <w:instrText>io-inoculants.","container-title":"World Journal of Microbiology and Biotechnology","DOI":"10.1007/s11274-006-9326-y","ISSN":"1573-0972","issue":"7","journalAbbreviation":"World J Microbiol Biotechnol","language":"en","note":"JCR</w:instrText>
            </w:r>
            <w:r>
              <w:rPr>
                <w:rFonts w:eastAsia="等线" w:hint="eastAsia"/>
                <w:b/>
                <w:bCs/>
                <w:lang w:bidi="ar"/>
              </w:rPr>
              <w:instrText>分区</w:instrText>
            </w:r>
            <w:r>
              <w:rPr>
                <w:rFonts w:eastAsia="等线" w:hint="eastAsia"/>
                <w:b/>
                <w:bCs/>
                <w:lang w:bidi="ar"/>
              </w:rPr>
              <w:instrText>: Q2\n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生物学</w:instrText>
            </w:r>
            <w:r>
              <w:rPr>
                <w:rFonts w:eastAsia="等线" w:hint="eastAsia"/>
                <w:b/>
                <w:bCs/>
                <w:lang w:bidi="ar"/>
              </w:rPr>
              <w:instrText>3</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4.0\n5</w:instrText>
            </w:r>
            <w:r>
              <w:rPr>
                <w:rFonts w:eastAsia="等线" w:hint="eastAsia"/>
                <w:b/>
                <w:bCs/>
                <w:lang w:bidi="ar"/>
              </w:rPr>
              <w:instrText>年影响因子</w:instrText>
            </w:r>
            <w:r>
              <w:rPr>
                <w:rFonts w:eastAsia="等线" w:hint="eastAsia"/>
                <w:b/>
                <w:bCs/>
                <w:lang w:bidi="ar"/>
              </w:rPr>
              <w:instrText xml:space="preserve">: 4.3\nEI: </w:instrText>
            </w:r>
            <w:r>
              <w:rPr>
                <w:rFonts w:eastAsia="等线" w:hint="eastAsia"/>
                <w:b/>
                <w:bCs/>
                <w:lang w:bidi="ar"/>
              </w:rPr>
              <w:instrText>是</w:instrText>
            </w:r>
            <w:r>
              <w:rPr>
                <w:rFonts w:eastAsia="等线" w:hint="eastAsia"/>
                <w:b/>
                <w:bCs/>
                <w:lang w:bidi="ar"/>
              </w:rPr>
              <w:instrText>","page":"997-1006","source":"Springer Link","title":"Isolation, molecular characterization and growth-promoting activities of endophytic sugarcane diazotroph klebsiella sp. GR9","volume":"23","author":[{"family":"Govindarajan"</w:instrText>
            </w:r>
            <w:r>
              <w:rPr>
                <w:rFonts w:eastAsia="等线"/>
                <w:b/>
                <w:bCs/>
                <w:lang w:bidi="ar"/>
              </w:rPr>
              <w:instrText xml:space="preserve">,"given":"Munusamy"},{"family":"Kwon","given":"Soon-Wo"},{"family":"Weon","given":"Hang-Yeon"}],"issued":{"date-parts":[["2007",7,1]]}}}],"schema":"https://github.com/citation-style-language/schema/raw/master/csl-citation.json"} </w:instrText>
            </w:r>
            <w:r>
              <w:rPr>
                <w:rFonts w:eastAsia="等线"/>
                <w:b/>
                <w:bCs/>
                <w:lang w:bidi="ar"/>
              </w:rPr>
              <w:fldChar w:fldCharType="separate"/>
            </w:r>
            <w:r>
              <w:t>Farina et al., 2012; Govindarajan et al., 2007</w:t>
            </w:r>
            <w:r>
              <w:rPr>
                <w:rFonts w:eastAsia="等线"/>
                <w:b/>
                <w:bCs/>
                <w:lang w:bidi="ar"/>
              </w:rPr>
              <w:fldChar w:fldCharType="end"/>
            </w:r>
          </w:p>
          <w:p w14:paraId="73D53DC0" w14:textId="77777777" w:rsidR="00334349" w:rsidRDefault="00334349" w:rsidP="00D33B65">
            <w:pPr>
              <w:spacing w:after="160" w:line="360" w:lineRule="auto"/>
              <w:jc w:val="center"/>
              <w:rPr>
                <w:rFonts w:eastAsia="等线"/>
                <w:b/>
                <w:bCs/>
                <w:sz w:val="20"/>
                <w:szCs w:val="20"/>
                <w:lang w:bidi="ar"/>
              </w:rPr>
            </w:pPr>
          </w:p>
        </w:tc>
      </w:tr>
      <w:tr w:rsidR="00334349" w14:paraId="534FBB49" w14:textId="77777777" w:rsidTr="00D33B65">
        <w:trPr>
          <w:cantSplit/>
          <w:trHeight w:hRule="exact" w:val="907"/>
        </w:trPr>
        <w:tc>
          <w:tcPr>
            <w:tcW w:w="1843" w:type="dxa"/>
            <w:vAlign w:val="center"/>
          </w:tcPr>
          <w:p w14:paraId="0C4EE3A4"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Azoarcus</w:t>
            </w:r>
          </w:p>
        </w:tc>
        <w:tc>
          <w:tcPr>
            <w:tcW w:w="3969" w:type="dxa"/>
            <w:vAlign w:val="center"/>
          </w:tcPr>
          <w:p w14:paraId="497FBD14"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Nitrogen fixation</w:t>
            </w:r>
          </w:p>
        </w:tc>
        <w:tc>
          <w:tcPr>
            <w:tcW w:w="2484" w:type="dxa"/>
            <w:vAlign w:val="center"/>
          </w:tcPr>
          <w:p w14:paraId="44859270" w14:textId="77777777" w:rsidR="00334349" w:rsidRDefault="00334349" w:rsidP="00D33B65">
            <w:pPr>
              <w:spacing w:after="160" w:line="360" w:lineRule="auto"/>
              <w:jc w:val="center"/>
              <w:rPr>
                <w:rFonts w:eastAsia="等线"/>
                <w:b/>
                <w:bCs/>
                <w:lang w:bidi="ar"/>
              </w:rPr>
            </w:pPr>
            <w:r>
              <w:rPr>
                <w:rFonts w:eastAsia="等线"/>
                <w:b/>
                <w:bCs/>
                <w:lang w:bidi="ar"/>
              </w:rPr>
              <w:fldChar w:fldCharType="begin"/>
            </w:r>
            <w:r>
              <w:rPr>
                <w:rFonts w:eastAsia="等线"/>
                <w:b/>
                <w:bCs/>
                <w:lang w:bidi="ar"/>
              </w:rPr>
              <w:instrText xml:space="preserve"> ADDIN ZOTERO_ITEM CSL_CITATION {"citationID":"GZT0nb9C","properties":{"formattedCitation":"(Reinhold-Hurek and Hurek, 1998)","plainCitation":"(Reinhold-Hurek and Hurek, 1998)","dontUpdate":true,"noteIndex":0},"citationItems":[{"id":"fECW2OBY/9LTwlPtP","uris":["http://zotero.org/users/12476655/items/3L4W2UXT"],"itemData":{"id":1519,"type":"article-journal","abstract":"N2-fixing bacteria such as Azoarcus spp., Herbaspirillum spp. and Acetobacter diazotrophicus can infect the interior of gramineous plants without causing symptoms of plant disease but do not survive in soil. Like phytopathogens, they can penetrate into central tissues and spread systemically. There is no evidence for an endosymbiosis in living plant cells; however, the bacteria are physiolog</w:instrText>
            </w:r>
            <w:r>
              <w:rPr>
                <w:rFonts w:eastAsia="等线" w:hint="eastAsia"/>
                <w:b/>
                <w:bCs/>
                <w:lang w:bidi="ar"/>
              </w:rPr>
              <w:instrText>ically active in the plant apoplast.","container-title":"Trends in Microbiology","DOI":"10.1016/S0966-842X(98)01229-3","ISSN":"0966-842X","issue":"4","journalAbbreviation":"Trends in Microbiology","note":"JCR</w:instrText>
            </w:r>
            <w:r>
              <w:rPr>
                <w:rFonts w:eastAsia="等线" w:hint="eastAsia"/>
                <w:b/>
                <w:bCs/>
                <w:lang w:bidi="ar"/>
              </w:rPr>
              <w:instrText>分区</w:instrText>
            </w:r>
            <w:r>
              <w:rPr>
                <w:rFonts w:eastAsia="等线" w:hint="eastAsia"/>
                <w:b/>
                <w:bCs/>
                <w:lang w:bidi="ar"/>
              </w:rPr>
              <w:instrText>: Q1\n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生物学</w:instrText>
            </w:r>
            <w:r>
              <w:rPr>
                <w:rFonts w:eastAsia="等线" w:hint="eastAsia"/>
                <w:b/>
                <w:bCs/>
                <w:lang w:bidi="ar"/>
              </w:rPr>
              <w:instrText>1</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14.0\n5</w:instrText>
            </w:r>
            <w:r>
              <w:rPr>
                <w:rFonts w:eastAsia="等线" w:hint="eastAsia"/>
                <w:b/>
                <w:bCs/>
                <w:lang w:bidi="ar"/>
              </w:rPr>
              <w:instrText>年影响因子</w:instrText>
            </w:r>
            <w:r>
              <w:rPr>
                <w:rFonts w:eastAsia="等线" w:hint="eastAsia"/>
                <w:b/>
                <w:bCs/>
                <w:lang w:bidi="ar"/>
              </w:rPr>
              <w:instrText>: 17.0\n</w:instrText>
            </w:r>
            <w:r>
              <w:rPr>
                <w:rFonts w:eastAsia="等线" w:hint="eastAsia"/>
                <w:b/>
                <w:bCs/>
                <w:lang w:bidi="ar"/>
              </w:rPr>
              <w:instrText>中科院升级版</w:instrText>
            </w:r>
            <w:r>
              <w:rPr>
                <w:rFonts w:eastAsia="等线" w:hint="eastAsia"/>
                <w:b/>
                <w:bCs/>
                <w:lang w:bidi="ar"/>
              </w:rPr>
              <w:instrText>Top</w:instrText>
            </w:r>
            <w:r>
              <w:rPr>
                <w:rFonts w:eastAsia="等线" w:hint="eastAsia"/>
                <w:b/>
                <w:bCs/>
                <w:lang w:bidi="ar"/>
              </w:rPr>
              <w:instrText>分区</w:instrText>
            </w:r>
            <w:r>
              <w:rPr>
                <w:rFonts w:eastAsia="等线" w:hint="eastAsia"/>
                <w:b/>
                <w:bCs/>
                <w:lang w:bidi="ar"/>
              </w:rPr>
              <w:instrText xml:space="preserve">: </w:instrText>
            </w:r>
            <w:r>
              <w:rPr>
                <w:rFonts w:eastAsia="等线" w:hint="eastAsia"/>
                <w:b/>
                <w:bCs/>
                <w:lang w:bidi="ar"/>
              </w:rPr>
              <w:instrText>生物学</w:instrText>
            </w:r>
            <w:r>
              <w:rPr>
                <w:rFonts w:eastAsia="等线" w:hint="eastAsia"/>
                <w:b/>
                <w:bCs/>
                <w:lang w:bidi="ar"/>
              </w:rPr>
              <w:instrText>TOP\n</w:instrText>
            </w:r>
            <w:r>
              <w:rPr>
                <w:rFonts w:eastAsia="等线" w:hint="eastAsia"/>
                <w:b/>
                <w:bCs/>
                <w:lang w:bidi="ar"/>
              </w:rPr>
              <w:instrText>南农高质量</w:instrText>
            </w:r>
            <w:r>
              <w:rPr>
                <w:rFonts w:eastAsia="等线" w:hint="eastAsia"/>
                <w:b/>
                <w:bCs/>
                <w:lang w:bidi="ar"/>
              </w:rPr>
              <w:instrText>: A","page":"139-144","source":"ScienceDirect","title":"Life in grasses: Diazotrophic endophytes","title-short":"Life in grasses","volume":"6","author":[{"family":"Reinhold-Hurek","given":"Barbara"},{"family":"Hurek","given":</w:instrText>
            </w:r>
            <w:r>
              <w:rPr>
                <w:rFonts w:eastAsia="等线"/>
                <w:b/>
                <w:bCs/>
                <w:lang w:bidi="ar"/>
              </w:rPr>
              <w:instrText xml:space="preserve">"Thomas"}],"issued":{"date-parts":[["1998",4,1]]}}}],"schema":"https://github.com/citation-style-language/schema/raw/master/csl-citation.json"} </w:instrText>
            </w:r>
            <w:r>
              <w:rPr>
                <w:rFonts w:eastAsia="等线"/>
                <w:b/>
                <w:bCs/>
                <w:lang w:bidi="ar"/>
              </w:rPr>
              <w:fldChar w:fldCharType="separate"/>
            </w:r>
            <w:r>
              <w:t>Reinhold-Hurek and Hurek, 1998</w:t>
            </w:r>
            <w:r>
              <w:rPr>
                <w:rFonts w:eastAsia="等线"/>
                <w:b/>
                <w:bCs/>
                <w:lang w:bidi="ar"/>
              </w:rPr>
              <w:fldChar w:fldCharType="end"/>
            </w:r>
          </w:p>
        </w:tc>
      </w:tr>
      <w:tr w:rsidR="00334349" w14:paraId="48F0359B" w14:textId="77777777" w:rsidTr="00D33B65">
        <w:trPr>
          <w:cantSplit/>
          <w:trHeight w:hRule="exact" w:val="907"/>
        </w:trPr>
        <w:tc>
          <w:tcPr>
            <w:tcW w:w="1843" w:type="dxa"/>
            <w:vAlign w:val="center"/>
          </w:tcPr>
          <w:p w14:paraId="34D0CF3D"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Paenibacillus</w:t>
            </w:r>
          </w:p>
        </w:tc>
        <w:tc>
          <w:tcPr>
            <w:tcW w:w="3969" w:type="dxa"/>
            <w:vAlign w:val="center"/>
          </w:tcPr>
          <w:p w14:paraId="49AB2A55"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Nitrogen fixation</w:t>
            </w:r>
          </w:p>
        </w:tc>
        <w:tc>
          <w:tcPr>
            <w:tcW w:w="2484" w:type="dxa"/>
            <w:vAlign w:val="center"/>
          </w:tcPr>
          <w:p w14:paraId="4683CA2F" w14:textId="77777777" w:rsidR="00334349" w:rsidRDefault="00334349" w:rsidP="00D33B65">
            <w:pPr>
              <w:spacing w:after="160" w:line="360" w:lineRule="auto"/>
              <w:jc w:val="center"/>
              <w:rPr>
                <w:rFonts w:eastAsia="等线"/>
                <w:b/>
                <w:bCs/>
                <w:lang w:bidi="ar"/>
              </w:rPr>
            </w:pPr>
            <w:r>
              <w:rPr>
                <w:rFonts w:eastAsia="等线"/>
                <w:b/>
                <w:bCs/>
                <w:lang w:bidi="ar"/>
              </w:rPr>
              <w:fldChar w:fldCharType="begin"/>
            </w:r>
            <w:r>
              <w:rPr>
                <w:rFonts w:eastAsia="等线"/>
                <w:b/>
                <w:bCs/>
                <w:lang w:bidi="ar"/>
              </w:rPr>
              <w:instrText xml:space="preserve"> ADDIN ZOTERO_ITEM CSL_CITATION {"citationID":"9TcWELZj","properties":{"formattedCitation":"(Beneduzi et al., 2008)","plainCitation":"(Beneduzi et al., 2008)","dontUpdate":true,"noteIndex":0},"citationItems":[{"id":"fECW2OBY/iQ9a1m9p","uris":["http://zotero.org/users/12476655/items/GZWMXPTC"],"itemData":{"id":1525,"type":"article-journal","abstract":"Several strains of bacilli, mainly species of the genera Bacillus and Paenibacillus, displaying important plant growth promoting (PGP) characteristics were isolated from seven distinct rice production zones of the Rio Grande do Sul State, Brazil. Of 296 isolates, 155 were from rhizospheric soil and 141 from bulk soil. In order to evaluate the diversity among the isolates of each bacterial population the Shannon index was used on a 70% similarity basis. Diversity indices varying from 2.27 to 5.51 were obtained. Using principal coordinate analysis (PCA) to correlate bacterial diversity with soil parameters, it was found that soil pH was the characteristic most closely related to bacilli diversity. The bacilli isolated were also analyzed for some PGP activities. Of those 296 isolates, 94 and 148 produced between 0.1 and 30μg of indole-3-acetic acid (IAA)ml−1 in vitro after 72 and 144h of incubation, respectively. Twenty-two isolates were able to solubilize phosphate and 32 isolates produced siderophores. Paenibacillus and Bacillus genera were the most prominent groups in the rhizosphere and soil populations analyzed. Paenibacillus borealis was the most frequent species in both locations. The isolate SVPR30, identified by 16S rRNA gene sequence analysis as a strain of Bacillus sp., was chosen for in vivo greenhouse experiments and proved to be very efficient in promoting a significant increase in the roots and shoot parts of rice plants. The identification and isolation of PGP bacilli from temperate and subtropical soils, which combine the ability to fix nitrogen with the production of substances capable to promote the plant growth, could significantly increase p</w:instrText>
            </w:r>
            <w:r>
              <w:rPr>
                <w:rFonts w:eastAsia="等线" w:hint="eastAsia"/>
                <w:b/>
                <w:bCs/>
                <w:lang w:bidi="ar"/>
              </w:rPr>
              <w:instrText>roductivity of grain crops in Brazil.","container-title":"Applied Soil Ecology","DOI":"10.1016/j.apsoil.2008.01.006","ISSN":"0929-1393","issue":"3","journalAbbreviation":"Applied Soil Ecology","language":"en-US","note":"JCR</w:instrText>
            </w:r>
            <w:r>
              <w:rPr>
                <w:rFonts w:eastAsia="等线" w:hint="eastAsia"/>
                <w:b/>
                <w:bCs/>
                <w:lang w:bidi="ar"/>
              </w:rPr>
              <w:instrText>分区</w:instrText>
            </w:r>
            <w:r>
              <w:rPr>
                <w:rFonts w:eastAsia="等线" w:hint="eastAsia"/>
                <w:b/>
                <w:bCs/>
                <w:lang w:bidi="ar"/>
              </w:rPr>
              <w:instrText>: Q1\n</w:instrText>
            </w:r>
            <w:r>
              <w:rPr>
                <w:rFonts w:eastAsia="等线" w:hint="eastAsia"/>
                <w:b/>
                <w:bCs/>
                <w:lang w:bidi="ar"/>
              </w:rPr>
              <w:instrText>中科院分区升级版</w:instrText>
            </w:r>
            <w:r>
              <w:rPr>
                <w:rFonts w:eastAsia="等线" w:hint="eastAsia"/>
                <w:b/>
                <w:bCs/>
                <w:lang w:bidi="ar"/>
              </w:rPr>
              <w:instrText xml:space="preserve">: </w:instrText>
            </w:r>
            <w:r>
              <w:rPr>
                <w:rFonts w:eastAsia="等线" w:hint="eastAsia"/>
                <w:b/>
                <w:bCs/>
                <w:lang w:bidi="ar"/>
              </w:rPr>
              <w:instrText>农林科学</w:instrText>
            </w:r>
            <w:r>
              <w:rPr>
                <w:rFonts w:eastAsia="等线" w:hint="eastAsia"/>
                <w:b/>
                <w:bCs/>
                <w:lang w:bidi="ar"/>
              </w:rPr>
              <w:instrText>2</w:instrText>
            </w:r>
            <w:r>
              <w:rPr>
                <w:rFonts w:eastAsia="等线" w:hint="eastAsia"/>
                <w:b/>
                <w:bCs/>
                <w:lang w:bidi="ar"/>
              </w:rPr>
              <w:instrText>区</w:instrText>
            </w:r>
            <w:r>
              <w:rPr>
                <w:rFonts w:eastAsia="等线" w:hint="eastAsia"/>
                <w:b/>
                <w:bCs/>
                <w:lang w:bidi="ar"/>
              </w:rPr>
              <w:instrText>\n</w:instrText>
            </w:r>
            <w:r>
              <w:rPr>
                <w:rFonts w:eastAsia="等线" w:hint="eastAsia"/>
                <w:b/>
                <w:bCs/>
                <w:lang w:bidi="ar"/>
              </w:rPr>
              <w:instrText>影响因子</w:instrText>
            </w:r>
            <w:r>
              <w:rPr>
                <w:rFonts w:eastAsia="等线" w:hint="eastAsia"/>
                <w:b/>
                <w:bCs/>
                <w:lang w:bidi="ar"/>
              </w:rPr>
              <w:instrText>: 4.8\n5</w:instrText>
            </w:r>
            <w:r>
              <w:rPr>
                <w:rFonts w:eastAsia="等线" w:hint="eastAsia"/>
                <w:b/>
                <w:bCs/>
                <w:lang w:bidi="ar"/>
              </w:rPr>
              <w:instrText>年影响因子</w:instrText>
            </w:r>
            <w:r>
              <w:rPr>
                <w:rFonts w:eastAsia="等线" w:hint="eastAsia"/>
                <w:b/>
                <w:bCs/>
                <w:lang w:bidi="ar"/>
              </w:rPr>
              <w:instrText>: 4.9\n</w:instrText>
            </w:r>
            <w:r>
              <w:rPr>
                <w:rFonts w:eastAsia="等线" w:hint="eastAsia"/>
                <w:b/>
                <w:bCs/>
                <w:lang w:bidi="ar"/>
              </w:rPr>
              <w:instrText>南农高质量</w:instrText>
            </w:r>
            <w:r>
              <w:rPr>
                <w:rFonts w:eastAsia="等线" w:hint="eastAsia"/>
                <w:b/>
                <w:bCs/>
                <w:lang w:bidi="ar"/>
              </w:rPr>
              <w:instrText>: B","page":"311-320","source":"ScienceDirect","title":"Evaluation of genetic diversity and plant growth promoting activities of nitrogen-fixing bacilli isolated from rice fields in south brazil","volume":"39","author":[{"family":"B</w:instrText>
            </w:r>
            <w:r>
              <w:rPr>
                <w:rFonts w:eastAsia="等线"/>
                <w:b/>
                <w:bCs/>
                <w:lang w:bidi="ar"/>
              </w:rPr>
              <w:instrText xml:space="preserve">eneduzi","given":"Anelise"},{"family":"Peres","given":"Daiane"},{"family":"Vargas","given":"Luciano K."},{"family":"Bodanese-Zanettini","given":"Maria Helena"},{"family":"Passaglia","given":"Luciane Maria P."}],"issued":{"date-parts":[["2008",7,1]]}}}],"schema":"https://github.com/citation-style-language/schema/raw/master/csl-citation.json"} </w:instrText>
            </w:r>
            <w:r>
              <w:rPr>
                <w:rFonts w:eastAsia="等线"/>
                <w:b/>
                <w:bCs/>
                <w:lang w:bidi="ar"/>
              </w:rPr>
              <w:fldChar w:fldCharType="separate"/>
            </w:r>
            <w:r>
              <w:t>Beneduzi et al., 2008</w:t>
            </w:r>
            <w:r>
              <w:rPr>
                <w:rFonts w:eastAsia="等线"/>
                <w:b/>
                <w:bCs/>
                <w:lang w:bidi="ar"/>
              </w:rPr>
              <w:fldChar w:fldCharType="end"/>
            </w:r>
          </w:p>
        </w:tc>
      </w:tr>
      <w:tr w:rsidR="00334349" w14:paraId="20240393" w14:textId="77777777" w:rsidTr="00D33B65">
        <w:trPr>
          <w:cantSplit/>
          <w:trHeight w:hRule="exact" w:val="907"/>
        </w:trPr>
        <w:tc>
          <w:tcPr>
            <w:tcW w:w="1843" w:type="dxa"/>
            <w:vAlign w:val="center"/>
          </w:tcPr>
          <w:p w14:paraId="42454E8E"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Pseudomonas</w:t>
            </w:r>
          </w:p>
        </w:tc>
        <w:tc>
          <w:tcPr>
            <w:tcW w:w="3969" w:type="dxa"/>
            <w:vAlign w:val="center"/>
          </w:tcPr>
          <w:p w14:paraId="77E36FDB"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Phosphate solubilization; Organic matter decomposition; Biocontrol activity</w:t>
            </w:r>
          </w:p>
        </w:tc>
        <w:tc>
          <w:tcPr>
            <w:tcW w:w="2484" w:type="dxa"/>
            <w:vAlign w:val="center"/>
          </w:tcPr>
          <w:p w14:paraId="6B470F54" w14:textId="77777777" w:rsidR="00334349" w:rsidRDefault="00334349" w:rsidP="00D33B65">
            <w:pPr>
              <w:spacing w:after="160" w:line="360" w:lineRule="auto"/>
              <w:jc w:val="center"/>
              <w:rPr>
                <w:rFonts w:eastAsia="等线"/>
                <w:b/>
                <w:bCs/>
                <w:sz w:val="20"/>
                <w:szCs w:val="20"/>
                <w:lang w:bidi="ar"/>
              </w:rPr>
            </w:pPr>
            <w:r>
              <w:t>de Santi Ferrara et al., 2012; Nayaka et al., 2019; Ryan et al., 2009</w:t>
            </w:r>
          </w:p>
        </w:tc>
      </w:tr>
      <w:tr w:rsidR="00334349" w14:paraId="147099DD" w14:textId="77777777" w:rsidTr="00D33B65">
        <w:trPr>
          <w:cantSplit/>
          <w:trHeight w:hRule="exact" w:val="907"/>
        </w:trPr>
        <w:tc>
          <w:tcPr>
            <w:tcW w:w="1843" w:type="dxa"/>
            <w:vAlign w:val="center"/>
          </w:tcPr>
          <w:p w14:paraId="20A9F433"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Bacillus</w:t>
            </w:r>
          </w:p>
        </w:tc>
        <w:tc>
          <w:tcPr>
            <w:tcW w:w="3969" w:type="dxa"/>
            <w:vAlign w:val="center"/>
          </w:tcPr>
          <w:p w14:paraId="3309FB2E"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Phosphate solubilization; Biocontrol activity</w:t>
            </w:r>
          </w:p>
        </w:tc>
        <w:tc>
          <w:tcPr>
            <w:tcW w:w="2484" w:type="dxa"/>
            <w:vAlign w:val="center"/>
          </w:tcPr>
          <w:p w14:paraId="20F5E576" w14:textId="77777777" w:rsidR="00334349" w:rsidRDefault="00334349" w:rsidP="00D33B65">
            <w:pPr>
              <w:spacing w:after="160" w:line="360" w:lineRule="auto"/>
              <w:jc w:val="center"/>
              <w:rPr>
                <w:rFonts w:eastAsia="等线"/>
                <w:b/>
                <w:bCs/>
                <w:sz w:val="20"/>
                <w:szCs w:val="20"/>
                <w:lang w:bidi="ar"/>
              </w:rPr>
            </w:pPr>
            <w:r>
              <w:t>Ahmad et al., 2008</w:t>
            </w:r>
          </w:p>
        </w:tc>
      </w:tr>
      <w:tr w:rsidR="00334349" w14:paraId="332E32A5" w14:textId="77777777" w:rsidTr="00D33B65">
        <w:trPr>
          <w:cantSplit/>
          <w:trHeight w:hRule="exact" w:val="907"/>
        </w:trPr>
        <w:tc>
          <w:tcPr>
            <w:tcW w:w="1843" w:type="dxa"/>
            <w:vAlign w:val="center"/>
          </w:tcPr>
          <w:p w14:paraId="3ECB7D64"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Caulobacter</w:t>
            </w:r>
          </w:p>
        </w:tc>
        <w:tc>
          <w:tcPr>
            <w:tcW w:w="3969" w:type="dxa"/>
            <w:vAlign w:val="center"/>
          </w:tcPr>
          <w:p w14:paraId="1F963175"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Organic matter decomposition</w:t>
            </w:r>
          </w:p>
        </w:tc>
        <w:tc>
          <w:tcPr>
            <w:tcW w:w="2484" w:type="dxa"/>
            <w:vAlign w:val="center"/>
          </w:tcPr>
          <w:p w14:paraId="5FF41DF5" w14:textId="77777777" w:rsidR="00334349" w:rsidRDefault="00334349" w:rsidP="00D33B65">
            <w:pPr>
              <w:spacing w:after="160" w:line="360" w:lineRule="auto"/>
              <w:jc w:val="center"/>
              <w:rPr>
                <w:rFonts w:eastAsia="等线"/>
                <w:b/>
                <w:bCs/>
                <w:sz w:val="20"/>
                <w:szCs w:val="20"/>
                <w:lang w:bidi="ar"/>
              </w:rPr>
            </w:pPr>
            <w:r>
              <w:t>Berrios, 2021</w:t>
            </w:r>
          </w:p>
        </w:tc>
      </w:tr>
      <w:tr w:rsidR="00334349" w14:paraId="6E53C72D" w14:textId="77777777" w:rsidTr="00D33B65">
        <w:trPr>
          <w:cantSplit/>
          <w:trHeight w:hRule="exact" w:val="907"/>
        </w:trPr>
        <w:tc>
          <w:tcPr>
            <w:tcW w:w="1843" w:type="dxa"/>
            <w:vAlign w:val="center"/>
          </w:tcPr>
          <w:p w14:paraId="0E59BA56"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lastRenderedPageBreak/>
              <w:t>Ralstonia</w:t>
            </w:r>
          </w:p>
        </w:tc>
        <w:tc>
          <w:tcPr>
            <w:tcW w:w="3969" w:type="dxa"/>
            <w:vAlign w:val="center"/>
          </w:tcPr>
          <w:p w14:paraId="234E3947"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Organic matter decomposition</w:t>
            </w:r>
          </w:p>
        </w:tc>
        <w:tc>
          <w:tcPr>
            <w:tcW w:w="2484" w:type="dxa"/>
            <w:vAlign w:val="center"/>
          </w:tcPr>
          <w:p w14:paraId="0AF82FF0" w14:textId="77777777" w:rsidR="00334349" w:rsidRDefault="00334349" w:rsidP="00D33B65">
            <w:pPr>
              <w:spacing w:after="160" w:line="360" w:lineRule="auto"/>
              <w:jc w:val="center"/>
              <w:rPr>
                <w:rFonts w:eastAsia="等线"/>
                <w:b/>
                <w:bCs/>
                <w:sz w:val="20"/>
                <w:szCs w:val="20"/>
                <w:lang w:bidi="ar"/>
              </w:rPr>
            </w:pPr>
            <w:r>
              <w:rPr>
                <w:rFonts w:eastAsia="等线"/>
                <w:b/>
                <w:bCs/>
                <w:sz w:val="20"/>
                <w:szCs w:val="20"/>
                <w:lang w:bidi="ar"/>
              </w:rPr>
              <w:fldChar w:fldCharType="begin"/>
            </w:r>
            <w:r>
              <w:rPr>
                <w:rFonts w:eastAsia="等线"/>
                <w:b/>
                <w:bCs/>
                <w:sz w:val="20"/>
                <w:szCs w:val="20"/>
                <w:lang w:bidi="ar"/>
              </w:rPr>
              <w:instrText xml:space="preserve"> ADDIN ZOTERO_ITEM CSL_CITATION {"citationID":"QbWCSSNU","properties":{"formattedCitation":"(Schneider et al., 2000)","plainCitation":"(Schneider et al., 2000)","noteIndex":0},"citationItems":[{"id":"fECW2OBY/CZp1GZB7","uris":["http://zotero.org/users/12476655/items/RRKVJ6XD"],"itemData":{"id":1572,"type":"article-journal","abstract":"The use of microorganisms for bioremediation of contaminated soils may be enhanced with an understanding of the pathways involved in their degradation of hazardous compounds. Ralstonia sp. strain RJGII.123 was isolated from soil located at a former coal gasification plant, based on its ability to mineralize carbazole, a three-ring N-heterocyclic pollutant. Experiments were carried out with strain RJGHII.123 and 14C-carbazole (2 mg/L and 500 mg/L) as the sole organic carbon source. At 15 days, 80% of the 2 mg/L carbazole was recovered as CO2, and &lt;1% remained as undegraded carbazole, while 24% of the 500 mg/L carbazole was recovered as CO2 and approximately 70% remained as undegraded carbazole. Several stable intermediates were formed during this time. These intermediates were separated by high performance liquid chromatography (HPLC) and were characterized using high resolution mass spectroscopy (HR-MS) and gas chromatography - mass spectroscopy (GC-MS). At least 10 ring cleavage products of carbazole degradation were identified; four of these were confirmed as anthranilic acid, indole-2-carboxylic acid, indole-3-carboxylic acid, and (1H)-4-quinolinone by comparison with standards. These data indicate that strain RJGII.123 shares aspects of carbazole degradation with previously described Pseudomonas spp., and may be useful in facilitating the bioremediation of NHA from contaminated soils.","container-title":"Canadian Journal</w:instrText>
            </w:r>
            <w:r>
              <w:rPr>
                <w:rFonts w:eastAsia="等线" w:hint="eastAsia"/>
                <w:b/>
                <w:bCs/>
                <w:sz w:val="20"/>
                <w:szCs w:val="20"/>
                <w:lang w:bidi="ar"/>
              </w:rPr>
              <w:instrText xml:space="preserve"> of Microbiology","DOI":"10.1139/w99-131","ISSN":"0008-4166","issue":"3","journalAbbreviation":"Can J Microbiol","language":"eng","note":"PMID: 10749540\nJCR</w:instrText>
            </w:r>
            <w:r>
              <w:rPr>
                <w:rFonts w:eastAsia="等线" w:hint="eastAsia"/>
                <w:b/>
                <w:bCs/>
                <w:sz w:val="20"/>
                <w:szCs w:val="20"/>
                <w:lang w:bidi="ar"/>
              </w:rPr>
              <w:instrText>分区</w:instrText>
            </w:r>
            <w:r>
              <w:rPr>
                <w:rFonts w:eastAsia="等线" w:hint="eastAsia"/>
                <w:b/>
                <w:bCs/>
                <w:sz w:val="20"/>
                <w:szCs w:val="20"/>
                <w:lang w:bidi="ar"/>
              </w:rPr>
              <w:instrText>: Q4\n</w:instrText>
            </w:r>
            <w:r>
              <w:rPr>
                <w:rFonts w:eastAsia="等线" w:hint="eastAsia"/>
                <w:b/>
                <w:bCs/>
                <w:sz w:val="20"/>
                <w:szCs w:val="20"/>
                <w:lang w:bidi="ar"/>
              </w:rPr>
              <w:instrText>中科院分区升级版</w:instrText>
            </w:r>
            <w:r>
              <w:rPr>
                <w:rFonts w:eastAsia="等线" w:hint="eastAsia"/>
                <w:b/>
                <w:bCs/>
                <w:sz w:val="20"/>
                <w:szCs w:val="20"/>
                <w:lang w:bidi="ar"/>
              </w:rPr>
              <w:instrText xml:space="preserve">: </w:instrText>
            </w:r>
            <w:r>
              <w:rPr>
                <w:rFonts w:eastAsia="等线" w:hint="eastAsia"/>
                <w:b/>
                <w:bCs/>
                <w:sz w:val="20"/>
                <w:szCs w:val="20"/>
                <w:lang w:bidi="ar"/>
              </w:rPr>
              <w:instrText>生物学</w:instrText>
            </w:r>
            <w:r>
              <w:rPr>
                <w:rFonts w:eastAsia="等线" w:hint="eastAsia"/>
                <w:b/>
                <w:bCs/>
                <w:sz w:val="20"/>
                <w:szCs w:val="20"/>
                <w:lang w:bidi="ar"/>
              </w:rPr>
              <w:instrText>4</w:instrText>
            </w:r>
            <w:r>
              <w:rPr>
                <w:rFonts w:eastAsia="等线" w:hint="eastAsia"/>
                <w:b/>
                <w:bCs/>
                <w:sz w:val="20"/>
                <w:szCs w:val="20"/>
                <w:lang w:bidi="ar"/>
              </w:rPr>
              <w:instrText>区</w:instrText>
            </w:r>
            <w:r>
              <w:rPr>
                <w:rFonts w:eastAsia="等线" w:hint="eastAsia"/>
                <w:b/>
                <w:bCs/>
                <w:sz w:val="20"/>
                <w:szCs w:val="20"/>
                <w:lang w:bidi="ar"/>
              </w:rPr>
              <w:instrText>\n</w:instrText>
            </w:r>
            <w:r>
              <w:rPr>
                <w:rFonts w:eastAsia="等线" w:hint="eastAsia"/>
                <w:b/>
                <w:bCs/>
                <w:sz w:val="20"/>
                <w:szCs w:val="20"/>
                <w:lang w:bidi="ar"/>
              </w:rPr>
              <w:instrText>影响因子</w:instrText>
            </w:r>
            <w:r>
              <w:rPr>
                <w:rFonts w:eastAsia="等线" w:hint="eastAsia"/>
                <w:b/>
                <w:bCs/>
                <w:sz w:val="20"/>
                <w:szCs w:val="20"/>
                <w:lang w:bidi="ar"/>
              </w:rPr>
              <w:instrText>: 1.8\n5</w:instrText>
            </w:r>
            <w:r>
              <w:rPr>
                <w:rFonts w:eastAsia="等线" w:hint="eastAsia"/>
                <w:b/>
                <w:bCs/>
                <w:sz w:val="20"/>
                <w:szCs w:val="20"/>
                <w:lang w:bidi="ar"/>
              </w:rPr>
              <w:instrText>年影响因子</w:instrText>
            </w:r>
            <w:r>
              <w:rPr>
                <w:rFonts w:eastAsia="等线" w:hint="eastAsia"/>
                <w:b/>
                <w:bCs/>
                <w:sz w:val="20"/>
                <w:szCs w:val="20"/>
                <w:lang w:bidi="ar"/>
              </w:rPr>
              <w:instrText>: 2.6\n</w:instrText>
            </w:r>
            <w:r>
              <w:rPr>
                <w:rFonts w:eastAsia="等线" w:hint="eastAsia"/>
                <w:b/>
                <w:bCs/>
                <w:sz w:val="20"/>
                <w:szCs w:val="20"/>
                <w:lang w:bidi="ar"/>
              </w:rPr>
              <w:instrText>南农高质量</w:instrText>
            </w:r>
            <w:r>
              <w:rPr>
                <w:rFonts w:eastAsia="等线" w:hint="eastAsia"/>
                <w:b/>
                <w:bCs/>
                <w:sz w:val="20"/>
                <w:szCs w:val="20"/>
                <w:lang w:bidi="ar"/>
              </w:rPr>
              <w:instrText>: C","page":"269-277","source":"PubMed","tit</w:instrText>
            </w:r>
            <w:r>
              <w:rPr>
                <w:rFonts w:eastAsia="等线"/>
                <w:b/>
                <w:bCs/>
                <w:sz w:val="20"/>
                <w:szCs w:val="20"/>
                <w:lang w:bidi="ar"/>
              </w:rPr>
              <w:instrText xml:space="preserve">le":"Biodegradation of carbazole by ralstonia sp. RJGII.123 isolated from a hydrocarbon contaminated soil","volume":"46","author":[{"family":"Schneider","given":"J."},{"family":"Grosser","given":"R. J."},{"family":"Jayasimhulu","given":"K."},{"family":"Xue","given":"W."},{"family":"Kinkle","given":"B."},{"family":"Warshawsky","given":"D."}],"issued":{"date-parts":[["2000",3]]}}}],"schema":"https://github.com/citation-style-language/schema/raw/master/csl-citation.json"} </w:instrText>
            </w:r>
            <w:r>
              <w:rPr>
                <w:rFonts w:eastAsia="等线"/>
                <w:b/>
                <w:bCs/>
                <w:sz w:val="20"/>
                <w:szCs w:val="20"/>
                <w:lang w:bidi="ar"/>
              </w:rPr>
              <w:fldChar w:fldCharType="separate"/>
            </w:r>
            <w:r w:rsidRPr="009A7EDA">
              <w:rPr>
                <w:rFonts w:hint="eastAsia"/>
                <w:sz w:val="20"/>
              </w:rPr>
              <w:t>Schneider et al., 2000)</w:t>
            </w:r>
            <w:r>
              <w:rPr>
                <w:rFonts w:eastAsia="等线"/>
                <w:b/>
                <w:bCs/>
                <w:sz w:val="20"/>
                <w:szCs w:val="20"/>
                <w:lang w:bidi="ar"/>
              </w:rPr>
              <w:fldChar w:fldCharType="end"/>
            </w:r>
          </w:p>
        </w:tc>
      </w:tr>
      <w:tr w:rsidR="00334349" w14:paraId="1652CE3E" w14:textId="77777777" w:rsidTr="00D33B65">
        <w:trPr>
          <w:cantSplit/>
          <w:trHeight w:hRule="exact" w:val="907"/>
        </w:trPr>
        <w:tc>
          <w:tcPr>
            <w:tcW w:w="1843" w:type="dxa"/>
            <w:vAlign w:val="center"/>
          </w:tcPr>
          <w:p w14:paraId="1F0D0402"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Acidovorax</w:t>
            </w:r>
          </w:p>
        </w:tc>
        <w:tc>
          <w:tcPr>
            <w:tcW w:w="3969" w:type="dxa"/>
            <w:vAlign w:val="center"/>
          </w:tcPr>
          <w:p w14:paraId="515F818A"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Organic matter decomposition</w:t>
            </w:r>
          </w:p>
        </w:tc>
        <w:tc>
          <w:tcPr>
            <w:tcW w:w="2484" w:type="dxa"/>
            <w:vAlign w:val="center"/>
          </w:tcPr>
          <w:p w14:paraId="57F9698B" w14:textId="77777777" w:rsidR="00334349" w:rsidRDefault="00334349" w:rsidP="00D33B65">
            <w:pPr>
              <w:spacing w:after="160" w:line="360" w:lineRule="auto"/>
              <w:jc w:val="center"/>
              <w:rPr>
                <w:rFonts w:eastAsia="等线"/>
                <w:b/>
                <w:bCs/>
                <w:sz w:val="20"/>
                <w:szCs w:val="20"/>
                <w:lang w:bidi="ar"/>
              </w:rPr>
            </w:pPr>
            <w:r>
              <w:t>Holguin et al., 1999</w:t>
            </w:r>
          </w:p>
        </w:tc>
      </w:tr>
      <w:tr w:rsidR="00334349" w14:paraId="100153D3" w14:textId="77777777" w:rsidTr="00D33B65">
        <w:trPr>
          <w:cantSplit/>
          <w:trHeight w:hRule="exact" w:val="907"/>
        </w:trPr>
        <w:tc>
          <w:tcPr>
            <w:tcW w:w="1843" w:type="dxa"/>
            <w:vAlign w:val="center"/>
          </w:tcPr>
          <w:p w14:paraId="01BEE4B6" w14:textId="77777777" w:rsidR="00334349" w:rsidRDefault="00334349" w:rsidP="00D33B65">
            <w:pPr>
              <w:spacing w:after="160" w:line="360" w:lineRule="auto"/>
              <w:jc w:val="center"/>
              <w:rPr>
                <w:rFonts w:eastAsia="等线"/>
                <w:b/>
                <w:bCs/>
                <w:sz w:val="20"/>
                <w:szCs w:val="20"/>
                <w:lang w:bidi="ar"/>
              </w:rPr>
            </w:pPr>
            <w:r>
              <w:rPr>
                <w:rFonts w:eastAsia="等线"/>
                <w:i/>
                <w:iCs/>
                <w:color w:val="000000"/>
                <w:sz w:val="20"/>
                <w:szCs w:val="20"/>
              </w:rPr>
              <w:t>Stenotrophomonas</w:t>
            </w:r>
          </w:p>
        </w:tc>
        <w:tc>
          <w:tcPr>
            <w:tcW w:w="3969" w:type="dxa"/>
            <w:vAlign w:val="center"/>
          </w:tcPr>
          <w:p w14:paraId="1358D8D6" w14:textId="77777777" w:rsidR="00334349" w:rsidRDefault="00334349" w:rsidP="00D33B65">
            <w:pPr>
              <w:spacing w:after="160" w:line="360" w:lineRule="auto"/>
              <w:jc w:val="center"/>
              <w:rPr>
                <w:rFonts w:eastAsia="等线"/>
                <w:b/>
                <w:bCs/>
                <w:sz w:val="20"/>
                <w:szCs w:val="20"/>
                <w:lang w:bidi="ar"/>
              </w:rPr>
            </w:pPr>
            <w:r>
              <w:rPr>
                <w:rFonts w:eastAsia="等线"/>
                <w:color w:val="000000"/>
                <w:sz w:val="20"/>
                <w:szCs w:val="20"/>
              </w:rPr>
              <w:t>Organic matter decomposition; Biocontrol activity</w:t>
            </w:r>
          </w:p>
        </w:tc>
        <w:tc>
          <w:tcPr>
            <w:tcW w:w="2484" w:type="dxa"/>
            <w:vAlign w:val="center"/>
          </w:tcPr>
          <w:p w14:paraId="52833E7E" w14:textId="77777777" w:rsidR="00334349" w:rsidRDefault="00334349" w:rsidP="00D33B65">
            <w:pPr>
              <w:spacing w:after="160" w:line="360" w:lineRule="auto"/>
              <w:jc w:val="center"/>
              <w:rPr>
                <w:rFonts w:eastAsia="等线"/>
                <w:b/>
                <w:bCs/>
                <w:sz w:val="20"/>
                <w:szCs w:val="20"/>
                <w:lang w:bidi="ar"/>
              </w:rPr>
            </w:pPr>
            <w:r>
              <w:t>Ryan et al., 2009</w:t>
            </w:r>
          </w:p>
        </w:tc>
      </w:tr>
    </w:tbl>
    <w:p w14:paraId="1DF97649" w14:textId="77777777" w:rsidR="00334349" w:rsidRDefault="00334349" w:rsidP="00334349">
      <w:pPr>
        <w:pStyle w:val="21"/>
        <w:rPr>
          <w:rFonts w:ascii="Times New Roman" w:eastAsia="等线" w:hAnsi="Times New Roman" w:cs="Times New Roman"/>
          <w:b/>
          <w:bCs/>
          <w:lang w:bidi="ar"/>
        </w:rPr>
      </w:pPr>
    </w:p>
    <w:p w14:paraId="063B7D94" w14:textId="77777777" w:rsidR="00334349" w:rsidRDefault="00334349" w:rsidP="00334349">
      <w:pPr>
        <w:pStyle w:val="21"/>
        <w:rPr>
          <w:rFonts w:ascii="Times New Roman" w:eastAsia="等线" w:hAnsi="Times New Roman" w:cs="Times New Roman"/>
          <w:b/>
          <w:bCs/>
          <w:lang w:bidi="ar"/>
        </w:rPr>
      </w:pPr>
    </w:p>
    <w:p w14:paraId="334D4CF1" w14:textId="77777777" w:rsidR="00334349" w:rsidRDefault="00334349" w:rsidP="00334349">
      <w:pPr>
        <w:pStyle w:val="21"/>
        <w:rPr>
          <w:rFonts w:ascii="Times New Roman" w:eastAsia="等线" w:hAnsi="Times New Roman" w:cs="Times New Roman"/>
          <w:b/>
          <w:bCs/>
          <w:lang w:bidi="ar"/>
        </w:rPr>
      </w:pPr>
    </w:p>
    <w:p w14:paraId="378D798A" w14:textId="77777777" w:rsidR="00334349" w:rsidRPr="009A7EDA" w:rsidRDefault="00334349" w:rsidP="00334349">
      <w:pPr>
        <w:pStyle w:val="af3"/>
        <w:rPr>
          <w:rFonts w:ascii="Times New Roman" w:hAnsi="Times New Roman" w:cs="Times New Roman"/>
        </w:rPr>
      </w:pPr>
      <w:r>
        <w:rPr>
          <w:rFonts w:eastAsia="等线"/>
          <w:b/>
          <w:bCs/>
          <w:lang w:bidi="ar"/>
        </w:rPr>
        <w:fldChar w:fldCharType="begin"/>
      </w:r>
      <w:r>
        <w:rPr>
          <w:rFonts w:eastAsia="等线"/>
          <w:b/>
          <w:bCs/>
          <w:lang w:bidi="ar"/>
        </w:rPr>
        <w:instrText xml:space="preserve"> ADDIN ZOTERO_BIBL {"uncited":[],"omitted":[],"custom":[]} CSL_BIBLIOGRAPHY </w:instrText>
      </w:r>
      <w:r>
        <w:rPr>
          <w:rFonts w:eastAsia="等线"/>
          <w:b/>
          <w:bCs/>
          <w:lang w:bidi="ar"/>
        </w:rPr>
        <w:fldChar w:fldCharType="separate"/>
      </w:r>
      <w:r w:rsidRPr="009A7EDA">
        <w:rPr>
          <w:rFonts w:ascii="Times New Roman" w:hAnsi="Times New Roman" w:cs="Times New Roman"/>
        </w:rPr>
        <w:t>Beneduzi, A., Peres, D., Vargas, L.K., Bodanese-Zanettini, M.H., Passaglia, L.M.P., 2008. Evaluation of genetic diversity and plant growth promoting activities of nitrogen-fixing bacilli isolated from rice fields in south brazil. Applied Soil Ecology 39, 311–320.</w:t>
      </w:r>
    </w:p>
    <w:p w14:paraId="497C819E" w14:textId="77777777" w:rsidR="00334349" w:rsidRPr="009A7EDA" w:rsidRDefault="00334349" w:rsidP="00334349">
      <w:pPr>
        <w:pStyle w:val="af3"/>
        <w:rPr>
          <w:rFonts w:ascii="Times New Roman" w:hAnsi="Times New Roman" w:cs="Times New Roman"/>
        </w:rPr>
      </w:pPr>
      <w:r>
        <w:rPr>
          <w:rFonts w:ascii="Times New Roman" w:hAnsi="Times New Roman" w:cs="Times New Roman" w:hint="eastAsia"/>
        </w:rPr>
        <w:t>D</w:t>
      </w:r>
      <w:r w:rsidRPr="009A7EDA">
        <w:rPr>
          <w:rFonts w:ascii="Times New Roman" w:hAnsi="Times New Roman" w:cs="Times New Roman"/>
        </w:rPr>
        <w:t>e Santi Ferrara, F.I., Oliveira, Z.M., Gonzales, H.H.S., Floh, E.I.S., Barbosa, H.R., 2012. Endophytic and rhizospheric enterobacteria isolated from sugar cane have different potentials for producing plant growth-promoting substances. Plant and Soil 353, 409–417.</w:t>
      </w:r>
    </w:p>
    <w:p w14:paraId="4885661C" w14:textId="77777777" w:rsidR="00334349" w:rsidRPr="009A7EDA" w:rsidRDefault="00334349" w:rsidP="00334349">
      <w:pPr>
        <w:pStyle w:val="af3"/>
        <w:rPr>
          <w:rFonts w:ascii="Times New Roman" w:hAnsi="Times New Roman" w:cs="Times New Roman"/>
        </w:rPr>
      </w:pPr>
      <w:r w:rsidRPr="009A7EDA">
        <w:rPr>
          <w:rFonts w:ascii="Times New Roman" w:hAnsi="Times New Roman" w:cs="Times New Roman"/>
        </w:rPr>
        <w:t>Farina, R., Beneduzi, A., Ambrosini, A., de Campos, S.B., Lisboa, B.B., Wendisch, V., Vargas, L.K., Passaglia, L.M.P., 2012. Diversity of plant growth-promoting rhizobacteria communities associated with the stages of canola growth. Applied Soil Ecology 55, 44–52.</w:t>
      </w:r>
    </w:p>
    <w:p w14:paraId="40AB2699" w14:textId="77777777" w:rsidR="00334349" w:rsidRPr="009A7EDA" w:rsidRDefault="00334349" w:rsidP="00334349">
      <w:pPr>
        <w:pStyle w:val="af3"/>
        <w:rPr>
          <w:rFonts w:ascii="Times New Roman" w:hAnsi="Times New Roman" w:cs="Times New Roman"/>
        </w:rPr>
      </w:pPr>
      <w:r w:rsidRPr="009A7EDA">
        <w:rPr>
          <w:rFonts w:ascii="Times New Roman" w:hAnsi="Times New Roman" w:cs="Times New Roman"/>
        </w:rPr>
        <w:t>Govindarajan, M., Kwon, S.-W., Weon, H.-Y., 2007. Isolation, molecular characterization and growth-promoting activities of endophytic sugarcane diazotroph klebsiella sp. GR9. World Journal of Microbiology and Biotechnology 23, 997–1006.</w:t>
      </w:r>
    </w:p>
    <w:p w14:paraId="00F4A10A" w14:textId="77777777" w:rsidR="00334349" w:rsidRPr="009A7EDA" w:rsidRDefault="00334349" w:rsidP="00334349">
      <w:pPr>
        <w:pStyle w:val="af3"/>
        <w:rPr>
          <w:rFonts w:ascii="Times New Roman" w:hAnsi="Times New Roman" w:cs="Times New Roman"/>
        </w:rPr>
      </w:pPr>
      <w:r w:rsidRPr="009A7EDA">
        <w:rPr>
          <w:rFonts w:ascii="Times New Roman" w:hAnsi="Times New Roman" w:cs="Times New Roman"/>
        </w:rPr>
        <w:t>Holguin, G., Patten, C.L., Glick, B.R., 1999. Genetics and molecular biology of azospirillum. Biology and Fertility of Soils 29, 10–23.</w:t>
      </w:r>
    </w:p>
    <w:p w14:paraId="43D2ADDC" w14:textId="77777777" w:rsidR="00334349" w:rsidRPr="009A7EDA" w:rsidRDefault="00334349" w:rsidP="00334349">
      <w:pPr>
        <w:pStyle w:val="af3"/>
        <w:rPr>
          <w:rFonts w:ascii="Times New Roman" w:hAnsi="Times New Roman" w:cs="Times New Roman"/>
        </w:rPr>
      </w:pPr>
      <w:r w:rsidRPr="009A7EDA">
        <w:rPr>
          <w:rFonts w:ascii="Times New Roman" w:hAnsi="Times New Roman" w:cs="Times New Roman"/>
        </w:rPr>
        <w:t>Lin, L., Li, Z., Hu, C., Zhang, X., Chang, S., Yang, L., Li, Y., An, Q., 2012. Plant growth-promoting nitrogen-fixing enterobacteria are in association with sugarcane plants growing in guangxi, China. Microbes and Environments 27, 391–398.</w:t>
      </w:r>
    </w:p>
    <w:p w14:paraId="0464B7BB" w14:textId="77777777" w:rsidR="00334349" w:rsidRPr="009A7EDA" w:rsidRDefault="00334349" w:rsidP="00334349">
      <w:pPr>
        <w:pStyle w:val="af3"/>
        <w:rPr>
          <w:rFonts w:ascii="Times New Roman" w:hAnsi="Times New Roman" w:cs="Times New Roman"/>
        </w:rPr>
      </w:pPr>
      <w:r w:rsidRPr="009A7EDA">
        <w:rPr>
          <w:rFonts w:ascii="Times New Roman" w:hAnsi="Times New Roman" w:cs="Times New Roman"/>
        </w:rPr>
        <w:t>Reinhold-Hurek, B., Hurek, T., 1998. Life in grasses: Diazotrophic endophytes. Trends in Microbiology 6, 139–144.</w:t>
      </w:r>
    </w:p>
    <w:p w14:paraId="26E9219B" w14:textId="77777777" w:rsidR="00334349" w:rsidRPr="009A7EDA" w:rsidRDefault="00334349" w:rsidP="00334349">
      <w:pPr>
        <w:pStyle w:val="af3"/>
        <w:rPr>
          <w:rFonts w:ascii="Times New Roman" w:hAnsi="Times New Roman" w:cs="Times New Roman"/>
        </w:rPr>
      </w:pPr>
      <w:r w:rsidRPr="009A7EDA">
        <w:rPr>
          <w:rFonts w:ascii="Times New Roman" w:hAnsi="Times New Roman" w:cs="Times New Roman"/>
        </w:rPr>
        <w:t>Schneider, J., Grosser, R.J., Jayasimhulu, K., Xue, W., Kinkle, B., Warshawsky, D., 2000. Biodegradation of carbazole by ralstonia sp. RJGII.123 isolated from a hydrocarbon contaminated soil. Canadian Journal of Microbiology 46, 269–277.</w:t>
      </w:r>
    </w:p>
    <w:p w14:paraId="58BAF247" w14:textId="77777777" w:rsidR="00334349" w:rsidRDefault="00334349" w:rsidP="00334349">
      <w:pPr>
        <w:spacing w:after="160" w:line="360" w:lineRule="auto"/>
        <w:rPr>
          <w:rFonts w:ascii="Times New Roman" w:eastAsia="等线" w:hAnsi="Times New Roman" w:cs="Times New Roman"/>
          <w:b/>
          <w:bCs/>
          <w:lang w:bidi="ar"/>
        </w:rPr>
      </w:pPr>
      <w:r>
        <w:rPr>
          <w:rFonts w:ascii="Times New Roman" w:eastAsia="等线" w:hAnsi="Times New Roman" w:cs="Times New Roman"/>
          <w:b/>
          <w:bCs/>
          <w:lang w:bidi="ar"/>
        </w:rPr>
        <w:fldChar w:fldCharType="end"/>
      </w:r>
    </w:p>
    <w:p w14:paraId="14BB62FA" w14:textId="77777777" w:rsidR="00334349" w:rsidRPr="0008509F" w:rsidRDefault="00334349" w:rsidP="00334349">
      <w:pPr>
        <w:rPr>
          <w:rFonts w:ascii="Times New Roman" w:hAnsi="Times New Roman" w:cs="Times New Roman"/>
        </w:rPr>
      </w:pPr>
      <w:r w:rsidRPr="0008509F">
        <w:rPr>
          <w:rFonts w:ascii="Times New Roman" w:hAnsi="Times New Roman" w:cs="Times New Roman"/>
        </w:rPr>
        <w:t>Supplementary figures</w:t>
      </w:r>
    </w:p>
    <w:p w14:paraId="73D0BFDF" w14:textId="2E022AE7" w:rsidR="00334349" w:rsidRDefault="005D5F99" w:rsidP="00334349">
      <w:pPr>
        <w:rPr>
          <w:rFonts w:hint="eastAsia"/>
        </w:rPr>
      </w:pPr>
      <w:r>
        <w:rPr>
          <w:rFonts w:hint="eastAsia"/>
        </w:rPr>
        <w:object w:dxaOrig="15566" w:dyaOrig="10623" w14:anchorId="5B594A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453.5pt;height:309pt;mso-position-horizontal:absolute;mso-position-horizontal-relative:text;mso-position-vertical:absolute;mso-position-vertical-relative:text" o:ole="" filled="t">
            <v:imagedata r:id="rId6" o:title=""/>
          </v:shape>
          <o:OLEObject Type="Embed" ProgID="Prism10.Document" ShapeID="_x0000_i1028" DrawAspect="Content" ObjectID="_1819479747" r:id="rId7"/>
        </w:object>
      </w:r>
    </w:p>
    <w:p w14:paraId="2A5DD0EA" w14:textId="4E37377B" w:rsidR="00334349" w:rsidRDefault="00334349" w:rsidP="00334349">
      <w:pPr>
        <w:widowControl/>
        <w:jc w:val="left"/>
        <w:rPr>
          <w:rFonts w:ascii="Times New Roman" w:hAnsi="Times New Roman" w:cs="Times New Roman"/>
        </w:rPr>
      </w:pPr>
      <w:r>
        <w:rPr>
          <w:rFonts w:ascii="Times New Roman" w:hAnsi="Times New Roman" w:cs="Times New Roman"/>
          <w:b/>
          <w:bCs/>
        </w:rPr>
        <w:t>Fig</w:t>
      </w:r>
      <w:r>
        <w:rPr>
          <w:rFonts w:ascii="Times New Roman" w:hAnsi="Times New Roman" w:cs="Times New Roman" w:hint="eastAsia"/>
          <w:b/>
          <w:bCs/>
        </w:rPr>
        <w:t>.</w:t>
      </w:r>
      <w:r>
        <w:rPr>
          <w:rFonts w:ascii="Times New Roman" w:hAnsi="Times New Roman" w:cs="Times New Roman"/>
          <w:b/>
          <w:bCs/>
        </w:rPr>
        <w:t xml:space="preserve"> S1</w:t>
      </w:r>
      <w:r>
        <w:rPr>
          <w:rFonts w:ascii="Times New Roman" w:hAnsi="Times New Roman" w:cs="Times New Roman" w:hint="eastAsia"/>
          <w:b/>
          <w:bCs/>
        </w:rPr>
        <w:t xml:space="preserve"> </w:t>
      </w:r>
      <w:r>
        <w:rPr>
          <w:rFonts w:ascii="Times New Roman" w:eastAsia="等线" w:hAnsi="Times New Roman" w:cs="Times New Roman"/>
          <w:lang w:bidi="ar"/>
        </w:rPr>
        <w:t>Relative abundance of bacterial communities</w:t>
      </w:r>
      <w:r w:rsidR="005D5F99" w:rsidRPr="005D5F99">
        <w:rPr>
          <w:rFonts w:ascii="Times New Roman" w:eastAsia="等线" w:hAnsi="Times New Roman" w:cs="Times New Roman"/>
          <w:lang w:bidi="ar"/>
        </w:rPr>
        <w:t xml:space="preserve"> </w:t>
      </w:r>
      <w:r w:rsidR="005D5F99">
        <w:rPr>
          <w:rFonts w:ascii="Times New Roman" w:eastAsia="等线" w:hAnsi="Times New Roman" w:cs="Times New Roman"/>
          <w:lang w:bidi="ar"/>
        </w:rPr>
        <w:t>in HHZ</w:t>
      </w:r>
      <w:r w:rsidR="005D5F99">
        <w:rPr>
          <w:rFonts w:ascii="Times New Roman" w:eastAsia="等线" w:hAnsi="Times New Roman" w:cs="Times New Roman" w:hint="eastAsia"/>
          <w:lang w:bidi="ar"/>
        </w:rPr>
        <w:t xml:space="preserve"> (A)</w:t>
      </w:r>
      <w:r w:rsidR="005D5F99">
        <w:rPr>
          <w:rFonts w:ascii="Times New Roman" w:eastAsia="等线" w:hAnsi="Times New Roman" w:cs="Times New Roman"/>
          <w:lang w:bidi="ar"/>
        </w:rPr>
        <w:t xml:space="preserve"> and MXZ</w:t>
      </w:r>
      <w:r w:rsidR="005D5F99">
        <w:rPr>
          <w:rFonts w:ascii="Times New Roman" w:eastAsia="等线" w:hAnsi="Times New Roman" w:cs="Times New Roman" w:hint="eastAsia"/>
          <w:lang w:bidi="ar"/>
        </w:rPr>
        <w:t xml:space="preserve"> (B)</w:t>
      </w:r>
      <w:r>
        <w:rPr>
          <w:rFonts w:ascii="Times New Roman" w:eastAsia="等线" w:hAnsi="Times New Roman" w:cs="Times New Roman"/>
          <w:lang w:bidi="ar"/>
        </w:rPr>
        <w:t xml:space="preserve"> at the </w:t>
      </w:r>
      <w:r>
        <w:rPr>
          <w:rFonts w:ascii="Times New Roman" w:eastAsia="等线" w:hAnsi="Times New Roman" w:cs="Times New Roman" w:hint="eastAsia"/>
          <w:lang w:bidi="ar"/>
        </w:rPr>
        <w:t>phylum</w:t>
      </w:r>
      <w:r>
        <w:rPr>
          <w:rFonts w:ascii="Times New Roman" w:eastAsia="等线" w:hAnsi="Times New Roman" w:cs="Times New Roman"/>
          <w:lang w:bidi="ar"/>
        </w:rPr>
        <w:t xml:space="preserve"> level under different nitrogen levels (N0, N50, N100, N200) and under control and sterilized (</w:t>
      </w:r>
      <w:r w:rsidR="005D5F99">
        <w:rPr>
          <w:rFonts w:ascii="Times New Roman" w:eastAsia="等线" w:hAnsi="Times New Roman" w:cs="Times New Roman" w:hint="eastAsia"/>
          <w:lang w:bidi="ar"/>
        </w:rPr>
        <w:t xml:space="preserve">C and </w:t>
      </w:r>
      <w:r>
        <w:rPr>
          <w:rFonts w:ascii="Times New Roman" w:eastAsia="等线" w:hAnsi="Times New Roman" w:cs="Times New Roman"/>
          <w:lang w:bidi="ar"/>
        </w:rPr>
        <w:t xml:space="preserve">S) treatments. </w:t>
      </w:r>
    </w:p>
    <w:p w14:paraId="6C246112" w14:textId="77777777" w:rsidR="00334349" w:rsidRDefault="00334349" w:rsidP="00334349">
      <w:pPr>
        <w:widowControl/>
        <w:jc w:val="left"/>
        <w:rPr>
          <w:rFonts w:ascii="Times New Roman" w:hAnsi="Times New Roman" w:cs="Times New Roman"/>
          <w:b/>
          <w:bCs/>
        </w:rPr>
      </w:pPr>
      <w:r>
        <w:rPr>
          <w:rFonts w:ascii="Times New Roman" w:hAnsi="Times New Roman" w:cs="Times New Roman"/>
          <w:b/>
          <w:bCs/>
        </w:rPr>
        <w:br w:type="page"/>
      </w:r>
    </w:p>
    <w:p w14:paraId="4AACD4FE" w14:textId="500145B4" w:rsidR="00334349" w:rsidRDefault="005D5F99" w:rsidP="00334349">
      <w:pPr>
        <w:rPr>
          <w:rFonts w:hint="eastAsia"/>
        </w:rPr>
      </w:pPr>
      <w:r>
        <w:rPr>
          <w:rFonts w:hint="eastAsia"/>
        </w:rPr>
        <w:object w:dxaOrig="15566" w:dyaOrig="10623" w14:anchorId="0B7EA638">
          <v:shape id="_x0000_i1031" type="#_x0000_t75" alt="" style="width:453.5pt;height:309pt;mso-position-horizontal:absolute;mso-position-horizontal-relative:text;mso-position-vertical:absolute;mso-position-vertical-relative:text" o:ole="" filled="t">
            <v:imagedata r:id="rId8" o:title=""/>
          </v:shape>
          <o:OLEObject Type="Embed" ProgID="Prism10.Document" ShapeID="_x0000_i1031" DrawAspect="Content" ObjectID="_1819479748" r:id="rId9"/>
        </w:object>
      </w:r>
    </w:p>
    <w:p w14:paraId="6373EC03" w14:textId="617775F4" w:rsidR="00334349" w:rsidRDefault="00334349" w:rsidP="00334349">
      <w:pPr>
        <w:spacing w:after="160" w:line="360" w:lineRule="auto"/>
        <w:rPr>
          <w:rFonts w:ascii="Times New Roman" w:eastAsia="等线" w:hAnsi="Times New Roman" w:cs="Times New Roman"/>
          <w:b/>
          <w:bCs/>
          <w:lang w:bidi="ar"/>
        </w:rPr>
      </w:pPr>
      <w:r>
        <w:rPr>
          <w:rFonts w:ascii="Times New Roman" w:hAnsi="Times New Roman" w:cs="Times New Roman"/>
          <w:b/>
          <w:bCs/>
        </w:rPr>
        <w:t>Fig</w:t>
      </w:r>
      <w:r>
        <w:rPr>
          <w:rFonts w:ascii="Times New Roman" w:hAnsi="Times New Roman" w:cs="Times New Roman" w:hint="eastAsia"/>
          <w:b/>
          <w:bCs/>
        </w:rPr>
        <w:t>.</w:t>
      </w:r>
      <w:r>
        <w:rPr>
          <w:rFonts w:ascii="Times New Roman" w:hAnsi="Times New Roman" w:cs="Times New Roman"/>
          <w:b/>
          <w:bCs/>
        </w:rPr>
        <w:t xml:space="preserve"> S</w:t>
      </w:r>
      <w:r>
        <w:rPr>
          <w:rFonts w:ascii="Times New Roman" w:hAnsi="Times New Roman" w:cs="Times New Roman" w:hint="eastAsia"/>
          <w:b/>
          <w:bCs/>
        </w:rPr>
        <w:t xml:space="preserve">2 </w:t>
      </w:r>
      <w:r>
        <w:rPr>
          <w:rFonts w:ascii="Times New Roman" w:eastAsia="等线" w:hAnsi="Times New Roman" w:cs="Times New Roman"/>
          <w:lang w:bidi="ar"/>
        </w:rPr>
        <w:t xml:space="preserve">Relative abundance of fungal communities </w:t>
      </w:r>
      <w:r w:rsidR="005D5F99">
        <w:rPr>
          <w:rFonts w:ascii="Times New Roman" w:eastAsia="等线" w:hAnsi="Times New Roman" w:cs="Times New Roman"/>
          <w:lang w:bidi="ar"/>
        </w:rPr>
        <w:t>in HHZ</w:t>
      </w:r>
      <w:r w:rsidR="005D5F99">
        <w:rPr>
          <w:rFonts w:ascii="Times New Roman" w:eastAsia="等线" w:hAnsi="Times New Roman" w:cs="Times New Roman" w:hint="eastAsia"/>
          <w:lang w:bidi="ar"/>
        </w:rPr>
        <w:t xml:space="preserve"> (A)</w:t>
      </w:r>
      <w:r w:rsidR="005D5F99">
        <w:rPr>
          <w:rFonts w:ascii="Times New Roman" w:eastAsia="等线" w:hAnsi="Times New Roman" w:cs="Times New Roman"/>
          <w:lang w:bidi="ar"/>
        </w:rPr>
        <w:t xml:space="preserve"> and MXZ</w:t>
      </w:r>
      <w:r w:rsidR="005D5F99">
        <w:rPr>
          <w:rFonts w:ascii="Times New Roman" w:eastAsia="等线" w:hAnsi="Times New Roman" w:cs="Times New Roman" w:hint="eastAsia"/>
          <w:lang w:bidi="ar"/>
        </w:rPr>
        <w:t xml:space="preserve"> (B)</w:t>
      </w:r>
      <w:r w:rsidR="005D5F99">
        <w:rPr>
          <w:rFonts w:ascii="Times New Roman" w:eastAsia="等线" w:hAnsi="Times New Roman" w:cs="Times New Roman"/>
          <w:lang w:bidi="ar"/>
        </w:rPr>
        <w:t xml:space="preserve"> at the </w:t>
      </w:r>
      <w:r w:rsidR="005D5F99">
        <w:rPr>
          <w:rFonts w:ascii="Times New Roman" w:eastAsia="等线" w:hAnsi="Times New Roman" w:cs="Times New Roman" w:hint="eastAsia"/>
          <w:lang w:bidi="ar"/>
        </w:rPr>
        <w:t>phylum</w:t>
      </w:r>
      <w:r w:rsidR="005D5F99">
        <w:rPr>
          <w:rFonts w:ascii="Times New Roman" w:eastAsia="等线" w:hAnsi="Times New Roman" w:cs="Times New Roman"/>
          <w:lang w:bidi="ar"/>
        </w:rPr>
        <w:t xml:space="preserve"> level under different nitrogen levels (N0, N50, N100, N200) and under control and sterilized (</w:t>
      </w:r>
      <w:r w:rsidR="005D5F99">
        <w:rPr>
          <w:rFonts w:ascii="Times New Roman" w:eastAsia="等线" w:hAnsi="Times New Roman" w:cs="Times New Roman" w:hint="eastAsia"/>
          <w:lang w:bidi="ar"/>
        </w:rPr>
        <w:t xml:space="preserve">C and </w:t>
      </w:r>
      <w:r w:rsidR="005D5F99">
        <w:rPr>
          <w:rFonts w:ascii="Times New Roman" w:eastAsia="等线" w:hAnsi="Times New Roman" w:cs="Times New Roman"/>
          <w:lang w:bidi="ar"/>
        </w:rPr>
        <w:t>S) treatments.</w:t>
      </w:r>
      <w:r>
        <w:rPr>
          <w:rFonts w:ascii="Times New Roman" w:eastAsia="等线" w:hAnsi="Times New Roman" w:cs="Times New Roman"/>
          <w:lang w:bidi="ar"/>
        </w:rPr>
        <w:t xml:space="preserve"> </w:t>
      </w:r>
    </w:p>
    <w:p w14:paraId="713223D3" w14:textId="77777777" w:rsidR="00334349" w:rsidRDefault="00334349" w:rsidP="00334349">
      <w:pPr>
        <w:rPr>
          <w:rFonts w:hint="eastAsia"/>
        </w:rPr>
      </w:pPr>
    </w:p>
    <w:p w14:paraId="5BCE14C6" w14:textId="77777777" w:rsidR="00487C34" w:rsidRPr="00334349" w:rsidRDefault="00487C34">
      <w:pPr>
        <w:rPr>
          <w:rFonts w:hint="eastAsia"/>
        </w:rPr>
      </w:pPr>
    </w:p>
    <w:sectPr w:rsidR="00487C34" w:rsidRPr="00334349" w:rsidSect="003343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1886A" w14:textId="77777777" w:rsidR="00AA297A" w:rsidRDefault="00AA297A" w:rsidP="00334349">
      <w:pPr>
        <w:rPr>
          <w:rFonts w:hint="eastAsia"/>
        </w:rPr>
      </w:pPr>
      <w:r>
        <w:separator/>
      </w:r>
    </w:p>
  </w:endnote>
  <w:endnote w:type="continuationSeparator" w:id="0">
    <w:p w14:paraId="21A5B133" w14:textId="77777777" w:rsidR="00AA297A" w:rsidRDefault="00AA297A" w:rsidP="0033434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52737" w14:textId="77777777" w:rsidR="00AA297A" w:rsidRDefault="00AA297A" w:rsidP="00334349">
      <w:pPr>
        <w:rPr>
          <w:rFonts w:hint="eastAsia"/>
        </w:rPr>
      </w:pPr>
      <w:r>
        <w:separator/>
      </w:r>
    </w:p>
  </w:footnote>
  <w:footnote w:type="continuationSeparator" w:id="0">
    <w:p w14:paraId="74B4C8D2" w14:textId="77777777" w:rsidR="00AA297A" w:rsidRDefault="00AA297A" w:rsidP="0033434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8E"/>
    <w:rsid w:val="00334349"/>
    <w:rsid w:val="00487C34"/>
    <w:rsid w:val="005D5F99"/>
    <w:rsid w:val="0073396D"/>
    <w:rsid w:val="007F3635"/>
    <w:rsid w:val="00A82B0A"/>
    <w:rsid w:val="00AA297A"/>
    <w:rsid w:val="00AC50E9"/>
    <w:rsid w:val="00E03053"/>
    <w:rsid w:val="00FF73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942478F"/>
  <w15:chartTrackingRefBased/>
  <w15:docId w15:val="{268F1AE4-C3D5-4503-8CF7-82B1C207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4349"/>
    <w:pPr>
      <w:widowControl w:val="0"/>
      <w:spacing w:after="0" w:line="240" w:lineRule="auto"/>
      <w:jc w:val="both"/>
    </w:pPr>
    <w:rPr>
      <w:sz w:val="21"/>
      <w:szCs w:val="22"/>
      <w:lang w:eastAsia="zh-CN"/>
    </w:rPr>
  </w:style>
  <w:style w:type="paragraph" w:styleId="1">
    <w:name w:val="heading 1"/>
    <w:basedOn w:val="a"/>
    <w:next w:val="a"/>
    <w:link w:val="10"/>
    <w:uiPriority w:val="9"/>
    <w:qFormat/>
    <w:rsid w:val="00FF738E"/>
    <w:pPr>
      <w:keepNext/>
      <w:keepLines/>
      <w:spacing w:before="280" w:after="80" w:line="259" w:lineRule="auto"/>
      <w:jc w:val="left"/>
      <w:outlineLvl w:val="0"/>
    </w:pPr>
    <w:rPr>
      <w:rFonts w:asciiTheme="majorHAnsi" w:eastAsiaTheme="majorEastAsia" w:hAnsiTheme="majorHAnsi" w:cstheme="majorBidi"/>
      <w:color w:val="000000" w:themeColor="text1"/>
      <w:sz w:val="32"/>
      <w:szCs w:val="32"/>
      <w:lang w:eastAsia="ja-JP"/>
    </w:rPr>
  </w:style>
  <w:style w:type="paragraph" w:styleId="2">
    <w:name w:val="heading 2"/>
    <w:basedOn w:val="a"/>
    <w:next w:val="a"/>
    <w:link w:val="20"/>
    <w:uiPriority w:val="9"/>
    <w:semiHidden/>
    <w:unhideWhenUsed/>
    <w:qFormat/>
    <w:rsid w:val="00FF738E"/>
    <w:pPr>
      <w:keepNext/>
      <w:keepLines/>
      <w:spacing w:before="160" w:after="80" w:line="259" w:lineRule="auto"/>
      <w:jc w:val="left"/>
      <w:outlineLvl w:val="1"/>
    </w:pPr>
    <w:rPr>
      <w:rFonts w:asciiTheme="majorHAnsi" w:eastAsiaTheme="majorEastAsia" w:hAnsiTheme="majorHAnsi" w:cstheme="majorBidi"/>
      <w:color w:val="000000" w:themeColor="text1"/>
      <w:sz w:val="28"/>
      <w:szCs w:val="28"/>
      <w:lang w:eastAsia="ja-JP"/>
    </w:rPr>
  </w:style>
  <w:style w:type="paragraph" w:styleId="3">
    <w:name w:val="heading 3"/>
    <w:basedOn w:val="a"/>
    <w:next w:val="a"/>
    <w:link w:val="30"/>
    <w:uiPriority w:val="9"/>
    <w:semiHidden/>
    <w:unhideWhenUsed/>
    <w:qFormat/>
    <w:rsid w:val="00FF738E"/>
    <w:pPr>
      <w:keepNext/>
      <w:keepLines/>
      <w:spacing w:before="160" w:after="80" w:line="259" w:lineRule="auto"/>
      <w:jc w:val="left"/>
      <w:outlineLvl w:val="2"/>
    </w:pPr>
    <w:rPr>
      <w:rFonts w:asciiTheme="majorHAnsi" w:eastAsiaTheme="majorEastAsia" w:hAnsiTheme="majorHAnsi" w:cstheme="majorBidi"/>
      <w:color w:val="000000" w:themeColor="text1"/>
      <w:sz w:val="24"/>
      <w:szCs w:val="24"/>
      <w:lang w:eastAsia="ja-JP"/>
    </w:rPr>
  </w:style>
  <w:style w:type="paragraph" w:styleId="4">
    <w:name w:val="heading 4"/>
    <w:basedOn w:val="a"/>
    <w:next w:val="a"/>
    <w:link w:val="40"/>
    <w:uiPriority w:val="9"/>
    <w:semiHidden/>
    <w:unhideWhenUsed/>
    <w:qFormat/>
    <w:rsid w:val="00FF738E"/>
    <w:pPr>
      <w:keepNext/>
      <w:keepLines/>
      <w:spacing w:before="80" w:after="40" w:line="259" w:lineRule="auto"/>
      <w:jc w:val="left"/>
      <w:outlineLvl w:val="3"/>
    </w:pPr>
    <w:rPr>
      <w:rFonts w:asciiTheme="majorHAnsi" w:eastAsiaTheme="majorEastAsia" w:hAnsiTheme="majorHAnsi" w:cstheme="majorBidi"/>
      <w:color w:val="000000" w:themeColor="text1"/>
      <w:sz w:val="22"/>
      <w:szCs w:val="24"/>
      <w:lang w:eastAsia="ja-JP"/>
    </w:rPr>
  </w:style>
  <w:style w:type="paragraph" w:styleId="5">
    <w:name w:val="heading 5"/>
    <w:basedOn w:val="a"/>
    <w:next w:val="a"/>
    <w:link w:val="50"/>
    <w:uiPriority w:val="9"/>
    <w:semiHidden/>
    <w:unhideWhenUsed/>
    <w:qFormat/>
    <w:rsid w:val="00FF738E"/>
    <w:pPr>
      <w:keepNext/>
      <w:keepLines/>
      <w:spacing w:before="80" w:after="40" w:line="259" w:lineRule="auto"/>
      <w:ind w:leftChars="100" w:left="100"/>
      <w:jc w:val="left"/>
      <w:outlineLvl w:val="4"/>
    </w:pPr>
    <w:rPr>
      <w:rFonts w:asciiTheme="majorHAnsi" w:eastAsiaTheme="majorEastAsia" w:hAnsiTheme="majorHAnsi" w:cstheme="majorBidi"/>
      <w:color w:val="000000" w:themeColor="text1"/>
      <w:sz w:val="22"/>
      <w:szCs w:val="24"/>
      <w:lang w:eastAsia="ja-JP"/>
    </w:rPr>
  </w:style>
  <w:style w:type="paragraph" w:styleId="6">
    <w:name w:val="heading 6"/>
    <w:basedOn w:val="a"/>
    <w:next w:val="a"/>
    <w:link w:val="60"/>
    <w:uiPriority w:val="9"/>
    <w:semiHidden/>
    <w:unhideWhenUsed/>
    <w:qFormat/>
    <w:rsid w:val="00FF738E"/>
    <w:pPr>
      <w:keepNext/>
      <w:keepLines/>
      <w:spacing w:before="80" w:after="40" w:line="259" w:lineRule="auto"/>
      <w:ind w:leftChars="200" w:left="200"/>
      <w:jc w:val="left"/>
      <w:outlineLvl w:val="5"/>
    </w:pPr>
    <w:rPr>
      <w:rFonts w:asciiTheme="majorHAnsi" w:eastAsiaTheme="majorEastAsia" w:hAnsiTheme="majorHAnsi" w:cstheme="majorBidi"/>
      <w:color w:val="000000" w:themeColor="text1"/>
      <w:sz w:val="22"/>
      <w:szCs w:val="24"/>
      <w:lang w:eastAsia="ja-JP"/>
    </w:rPr>
  </w:style>
  <w:style w:type="paragraph" w:styleId="7">
    <w:name w:val="heading 7"/>
    <w:basedOn w:val="a"/>
    <w:next w:val="a"/>
    <w:link w:val="70"/>
    <w:uiPriority w:val="9"/>
    <w:semiHidden/>
    <w:unhideWhenUsed/>
    <w:qFormat/>
    <w:rsid w:val="00FF738E"/>
    <w:pPr>
      <w:keepNext/>
      <w:keepLines/>
      <w:spacing w:before="80" w:after="40" w:line="259" w:lineRule="auto"/>
      <w:ind w:leftChars="300" w:left="300"/>
      <w:jc w:val="left"/>
      <w:outlineLvl w:val="6"/>
    </w:pPr>
    <w:rPr>
      <w:rFonts w:asciiTheme="majorHAnsi" w:eastAsiaTheme="majorEastAsia" w:hAnsiTheme="majorHAnsi" w:cstheme="majorBidi"/>
      <w:color w:val="000000" w:themeColor="text1"/>
      <w:sz w:val="22"/>
      <w:szCs w:val="24"/>
      <w:lang w:eastAsia="ja-JP"/>
    </w:rPr>
  </w:style>
  <w:style w:type="paragraph" w:styleId="8">
    <w:name w:val="heading 8"/>
    <w:basedOn w:val="a"/>
    <w:next w:val="a"/>
    <w:link w:val="80"/>
    <w:uiPriority w:val="9"/>
    <w:semiHidden/>
    <w:unhideWhenUsed/>
    <w:qFormat/>
    <w:rsid w:val="00FF738E"/>
    <w:pPr>
      <w:keepNext/>
      <w:keepLines/>
      <w:spacing w:before="80" w:after="40" w:line="259" w:lineRule="auto"/>
      <w:ind w:leftChars="400" w:left="400"/>
      <w:jc w:val="left"/>
      <w:outlineLvl w:val="7"/>
    </w:pPr>
    <w:rPr>
      <w:rFonts w:asciiTheme="majorHAnsi" w:eastAsiaTheme="majorEastAsia" w:hAnsiTheme="majorHAnsi" w:cstheme="majorBidi"/>
      <w:color w:val="000000" w:themeColor="text1"/>
      <w:sz w:val="22"/>
      <w:szCs w:val="24"/>
      <w:lang w:eastAsia="ja-JP"/>
    </w:rPr>
  </w:style>
  <w:style w:type="paragraph" w:styleId="9">
    <w:name w:val="heading 9"/>
    <w:basedOn w:val="a"/>
    <w:next w:val="a"/>
    <w:link w:val="90"/>
    <w:uiPriority w:val="9"/>
    <w:semiHidden/>
    <w:unhideWhenUsed/>
    <w:qFormat/>
    <w:rsid w:val="00FF738E"/>
    <w:pPr>
      <w:keepNext/>
      <w:keepLines/>
      <w:spacing w:before="80" w:after="40" w:line="259" w:lineRule="auto"/>
      <w:ind w:leftChars="500" w:left="500"/>
      <w:jc w:val="left"/>
      <w:outlineLvl w:val="8"/>
    </w:pPr>
    <w:rPr>
      <w:rFonts w:asciiTheme="majorHAnsi" w:eastAsiaTheme="majorEastAsia" w:hAnsiTheme="majorHAnsi" w:cstheme="majorBidi"/>
      <w:color w:val="000000" w:themeColor="text1"/>
      <w:sz w:val="22"/>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F738E"/>
    <w:rPr>
      <w:rFonts w:asciiTheme="majorHAnsi" w:eastAsiaTheme="majorEastAsia" w:hAnsiTheme="majorHAnsi" w:cstheme="majorBidi"/>
      <w:color w:val="000000" w:themeColor="text1"/>
      <w:sz w:val="32"/>
      <w:szCs w:val="32"/>
    </w:rPr>
  </w:style>
  <w:style w:type="character" w:customStyle="1" w:styleId="20">
    <w:name w:val="标题 2 字符"/>
    <w:basedOn w:val="a0"/>
    <w:link w:val="2"/>
    <w:uiPriority w:val="9"/>
    <w:semiHidden/>
    <w:rsid w:val="00FF738E"/>
    <w:rPr>
      <w:rFonts w:asciiTheme="majorHAnsi" w:eastAsiaTheme="majorEastAsia" w:hAnsiTheme="majorHAnsi" w:cstheme="majorBidi"/>
      <w:color w:val="000000" w:themeColor="text1"/>
      <w:sz w:val="28"/>
      <w:szCs w:val="28"/>
    </w:rPr>
  </w:style>
  <w:style w:type="character" w:customStyle="1" w:styleId="30">
    <w:name w:val="标题 3 字符"/>
    <w:basedOn w:val="a0"/>
    <w:link w:val="3"/>
    <w:uiPriority w:val="9"/>
    <w:semiHidden/>
    <w:rsid w:val="00FF738E"/>
    <w:rPr>
      <w:rFonts w:asciiTheme="majorHAnsi" w:eastAsiaTheme="majorEastAsia" w:hAnsiTheme="majorHAnsi" w:cstheme="majorBidi"/>
      <w:color w:val="000000" w:themeColor="text1"/>
      <w:sz w:val="24"/>
    </w:rPr>
  </w:style>
  <w:style w:type="character" w:customStyle="1" w:styleId="40">
    <w:name w:val="标题 4 字符"/>
    <w:basedOn w:val="a0"/>
    <w:link w:val="4"/>
    <w:uiPriority w:val="9"/>
    <w:semiHidden/>
    <w:rsid w:val="00FF738E"/>
    <w:rPr>
      <w:rFonts w:asciiTheme="majorHAnsi" w:eastAsiaTheme="majorEastAsia" w:hAnsiTheme="majorHAnsi" w:cstheme="majorBidi"/>
      <w:color w:val="000000" w:themeColor="text1"/>
    </w:rPr>
  </w:style>
  <w:style w:type="character" w:customStyle="1" w:styleId="50">
    <w:name w:val="标题 5 字符"/>
    <w:basedOn w:val="a0"/>
    <w:link w:val="5"/>
    <w:uiPriority w:val="9"/>
    <w:semiHidden/>
    <w:rsid w:val="00FF738E"/>
    <w:rPr>
      <w:rFonts w:asciiTheme="majorHAnsi" w:eastAsiaTheme="majorEastAsia" w:hAnsiTheme="majorHAnsi" w:cstheme="majorBidi"/>
      <w:color w:val="000000" w:themeColor="text1"/>
    </w:rPr>
  </w:style>
  <w:style w:type="character" w:customStyle="1" w:styleId="60">
    <w:name w:val="标题 6 字符"/>
    <w:basedOn w:val="a0"/>
    <w:link w:val="6"/>
    <w:uiPriority w:val="9"/>
    <w:semiHidden/>
    <w:rsid w:val="00FF738E"/>
    <w:rPr>
      <w:rFonts w:asciiTheme="majorHAnsi" w:eastAsiaTheme="majorEastAsia" w:hAnsiTheme="majorHAnsi" w:cstheme="majorBidi"/>
      <w:color w:val="000000" w:themeColor="text1"/>
    </w:rPr>
  </w:style>
  <w:style w:type="character" w:customStyle="1" w:styleId="70">
    <w:name w:val="标题 7 字符"/>
    <w:basedOn w:val="a0"/>
    <w:link w:val="7"/>
    <w:uiPriority w:val="9"/>
    <w:semiHidden/>
    <w:rsid w:val="00FF738E"/>
    <w:rPr>
      <w:rFonts w:asciiTheme="majorHAnsi" w:eastAsiaTheme="majorEastAsia" w:hAnsiTheme="majorHAnsi" w:cstheme="majorBidi"/>
      <w:color w:val="000000" w:themeColor="text1"/>
    </w:rPr>
  </w:style>
  <w:style w:type="character" w:customStyle="1" w:styleId="80">
    <w:name w:val="标题 8 字符"/>
    <w:basedOn w:val="a0"/>
    <w:link w:val="8"/>
    <w:uiPriority w:val="9"/>
    <w:semiHidden/>
    <w:rsid w:val="00FF738E"/>
    <w:rPr>
      <w:rFonts w:asciiTheme="majorHAnsi" w:eastAsiaTheme="majorEastAsia" w:hAnsiTheme="majorHAnsi" w:cstheme="majorBidi"/>
      <w:color w:val="000000" w:themeColor="text1"/>
    </w:rPr>
  </w:style>
  <w:style w:type="character" w:customStyle="1" w:styleId="90">
    <w:name w:val="标题 9 字符"/>
    <w:basedOn w:val="a0"/>
    <w:link w:val="9"/>
    <w:uiPriority w:val="9"/>
    <w:semiHidden/>
    <w:rsid w:val="00FF738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F738E"/>
    <w:pPr>
      <w:spacing w:after="80"/>
      <w:contextualSpacing/>
      <w:jc w:val="center"/>
    </w:pPr>
    <w:rPr>
      <w:rFonts w:asciiTheme="majorHAnsi" w:eastAsiaTheme="majorEastAsia" w:hAnsiTheme="majorHAnsi" w:cstheme="majorBidi"/>
      <w:spacing w:val="-10"/>
      <w:kern w:val="28"/>
      <w:sz w:val="56"/>
      <w:szCs w:val="56"/>
      <w:lang w:eastAsia="ja-JP"/>
    </w:rPr>
  </w:style>
  <w:style w:type="character" w:customStyle="1" w:styleId="a4">
    <w:name w:val="标题 字符"/>
    <w:basedOn w:val="a0"/>
    <w:link w:val="a3"/>
    <w:uiPriority w:val="10"/>
    <w:rsid w:val="00FF738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F738E"/>
    <w:pPr>
      <w:numPr>
        <w:ilvl w:val="1"/>
      </w:numPr>
      <w:spacing w:after="160" w:line="259" w:lineRule="auto"/>
      <w:jc w:val="center"/>
    </w:pPr>
    <w:rPr>
      <w:rFonts w:asciiTheme="majorHAnsi" w:eastAsiaTheme="majorEastAsia" w:hAnsiTheme="majorHAnsi" w:cstheme="majorBidi"/>
      <w:color w:val="595959" w:themeColor="text1" w:themeTint="A6"/>
      <w:spacing w:val="15"/>
      <w:sz w:val="28"/>
      <w:szCs w:val="28"/>
      <w:lang w:eastAsia="ja-JP"/>
    </w:rPr>
  </w:style>
  <w:style w:type="character" w:customStyle="1" w:styleId="a6">
    <w:name w:val="副标题 字符"/>
    <w:basedOn w:val="a0"/>
    <w:link w:val="a5"/>
    <w:uiPriority w:val="11"/>
    <w:rsid w:val="00FF738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F738E"/>
    <w:pPr>
      <w:spacing w:before="160" w:after="160" w:line="259" w:lineRule="auto"/>
      <w:jc w:val="center"/>
    </w:pPr>
    <w:rPr>
      <w:i/>
      <w:iCs/>
      <w:color w:val="404040" w:themeColor="text1" w:themeTint="BF"/>
      <w:sz w:val="22"/>
      <w:szCs w:val="24"/>
      <w:lang w:eastAsia="ja-JP"/>
    </w:rPr>
  </w:style>
  <w:style w:type="character" w:customStyle="1" w:styleId="a8">
    <w:name w:val="引用 字符"/>
    <w:basedOn w:val="a0"/>
    <w:link w:val="a7"/>
    <w:uiPriority w:val="29"/>
    <w:rsid w:val="00FF738E"/>
    <w:rPr>
      <w:i/>
      <w:iCs/>
      <w:color w:val="404040" w:themeColor="text1" w:themeTint="BF"/>
    </w:rPr>
  </w:style>
  <w:style w:type="paragraph" w:styleId="a9">
    <w:name w:val="List Paragraph"/>
    <w:basedOn w:val="a"/>
    <w:uiPriority w:val="34"/>
    <w:qFormat/>
    <w:rsid w:val="00FF738E"/>
    <w:pPr>
      <w:spacing w:after="160" w:line="259" w:lineRule="auto"/>
      <w:ind w:left="720"/>
      <w:contextualSpacing/>
      <w:jc w:val="left"/>
    </w:pPr>
    <w:rPr>
      <w:sz w:val="22"/>
      <w:szCs w:val="24"/>
      <w:lang w:eastAsia="ja-JP"/>
    </w:rPr>
  </w:style>
  <w:style w:type="character" w:styleId="aa">
    <w:name w:val="Intense Emphasis"/>
    <w:basedOn w:val="a0"/>
    <w:uiPriority w:val="21"/>
    <w:qFormat/>
    <w:rsid w:val="00FF738E"/>
    <w:rPr>
      <w:i/>
      <w:iCs/>
      <w:color w:val="0F4761" w:themeColor="accent1" w:themeShade="BF"/>
    </w:rPr>
  </w:style>
  <w:style w:type="paragraph" w:styleId="ab">
    <w:name w:val="Intense Quote"/>
    <w:basedOn w:val="a"/>
    <w:next w:val="a"/>
    <w:link w:val="ac"/>
    <w:uiPriority w:val="30"/>
    <w:qFormat/>
    <w:rsid w:val="00FF738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4"/>
      <w:lang w:eastAsia="ja-JP"/>
    </w:rPr>
  </w:style>
  <w:style w:type="character" w:customStyle="1" w:styleId="ac">
    <w:name w:val="明显引用 字符"/>
    <w:basedOn w:val="a0"/>
    <w:link w:val="ab"/>
    <w:uiPriority w:val="30"/>
    <w:rsid w:val="00FF738E"/>
    <w:rPr>
      <w:i/>
      <w:iCs/>
      <w:color w:val="0F4761" w:themeColor="accent1" w:themeShade="BF"/>
    </w:rPr>
  </w:style>
  <w:style w:type="character" w:styleId="ad">
    <w:name w:val="Intense Reference"/>
    <w:basedOn w:val="a0"/>
    <w:uiPriority w:val="32"/>
    <w:qFormat/>
    <w:rsid w:val="00FF738E"/>
    <w:rPr>
      <w:b/>
      <w:bCs/>
      <w:smallCaps/>
      <w:color w:val="0F4761" w:themeColor="accent1" w:themeShade="BF"/>
      <w:spacing w:val="5"/>
    </w:rPr>
  </w:style>
  <w:style w:type="paragraph" w:styleId="ae">
    <w:name w:val="header"/>
    <w:basedOn w:val="a"/>
    <w:link w:val="af"/>
    <w:uiPriority w:val="99"/>
    <w:unhideWhenUsed/>
    <w:rsid w:val="00334349"/>
    <w:pPr>
      <w:tabs>
        <w:tab w:val="center" w:pos="4153"/>
        <w:tab w:val="right" w:pos="8306"/>
      </w:tabs>
      <w:snapToGrid w:val="0"/>
      <w:spacing w:after="160" w:line="259" w:lineRule="auto"/>
      <w:jc w:val="left"/>
    </w:pPr>
    <w:rPr>
      <w:sz w:val="22"/>
      <w:szCs w:val="24"/>
      <w:lang w:eastAsia="ja-JP"/>
    </w:rPr>
  </w:style>
  <w:style w:type="character" w:customStyle="1" w:styleId="af">
    <w:name w:val="页眉 字符"/>
    <w:basedOn w:val="a0"/>
    <w:link w:val="ae"/>
    <w:uiPriority w:val="99"/>
    <w:rsid w:val="00334349"/>
  </w:style>
  <w:style w:type="paragraph" w:styleId="af0">
    <w:name w:val="footer"/>
    <w:basedOn w:val="a"/>
    <w:link w:val="af1"/>
    <w:uiPriority w:val="99"/>
    <w:unhideWhenUsed/>
    <w:rsid w:val="00334349"/>
    <w:pPr>
      <w:tabs>
        <w:tab w:val="center" w:pos="4153"/>
        <w:tab w:val="right" w:pos="8306"/>
      </w:tabs>
      <w:snapToGrid w:val="0"/>
      <w:spacing w:after="160" w:line="259" w:lineRule="auto"/>
      <w:jc w:val="left"/>
    </w:pPr>
    <w:rPr>
      <w:sz w:val="22"/>
      <w:szCs w:val="24"/>
      <w:lang w:eastAsia="ja-JP"/>
    </w:rPr>
  </w:style>
  <w:style w:type="character" w:customStyle="1" w:styleId="af1">
    <w:name w:val="页脚 字符"/>
    <w:basedOn w:val="a0"/>
    <w:link w:val="af0"/>
    <w:uiPriority w:val="99"/>
    <w:rsid w:val="00334349"/>
  </w:style>
  <w:style w:type="table" w:styleId="af2">
    <w:name w:val="Table Grid"/>
    <w:basedOn w:val="a1"/>
    <w:uiPriority w:val="99"/>
    <w:qFormat/>
    <w:rsid w:val="00334349"/>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书目2"/>
    <w:basedOn w:val="a"/>
    <w:next w:val="a"/>
    <w:uiPriority w:val="37"/>
    <w:unhideWhenUsed/>
    <w:rsid w:val="00334349"/>
    <w:pPr>
      <w:ind w:left="720" w:hanging="720"/>
    </w:pPr>
  </w:style>
  <w:style w:type="paragraph" w:styleId="af3">
    <w:name w:val="Bibliography"/>
    <w:basedOn w:val="a"/>
    <w:next w:val="a"/>
    <w:uiPriority w:val="37"/>
    <w:unhideWhenUsed/>
    <w:rsid w:val="00334349"/>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oleObject" Target="embeddings/oleObject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3920</Words>
  <Characters>22344</Characters>
  <Application>Microsoft Office Word</Application>
  <DocSecurity>0</DocSecurity>
  <Lines>186</Lines>
  <Paragraphs>52</Paragraphs>
  <ScaleCrop>false</ScaleCrop>
  <Company/>
  <LinksUpToDate>false</LinksUpToDate>
  <CharactersWithSpaces>26212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sun.zheng.24h@st.kyoto-u.ac.jp</dc:creator>
  <cp:keywords/>
  <dc:description/>
  <cp:lastModifiedBy>sun.zheng.24h@st.kyoto-u.ac.jp</cp:lastModifiedBy>
  <cp:revision>4</cp:revision>
  <dcterms:created xsi:type="dcterms:W3CDTF">2025-09-15T13:10:00Z</dcterms:created>
  <dcterms:modified xsi:type="dcterms:W3CDTF">2025-09-15T13:16:00Z</dcterms:modified>
</cp:coreProperties>
</file>