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82C33" w14:textId="77777777" w:rsidR="00643BF6" w:rsidRPr="00A603F6" w:rsidRDefault="00643BF6" w:rsidP="00941ECE">
      <w:pPr>
        <w:spacing w:line="480" w:lineRule="auto"/>
        <w:jc w:val="left"/>
        <w:rPr>
          <w:rFonts w:ascii="Times New Roman" w:hAnsi="Times New Roman" w:cs="Times New Roman"/>
          <w:b/>
          <w:sz w:val="24"/>
          <w:szCs w:val="20"/>
        </w:rPr>
      </w:pPr>
      <w:bookmarkStart w:id="0" w:name="OLE_LINK3"/>
      <w:bookmarkStart w:id="1" w:name="OLE_LINK4"/>
      <w:r w:rsidRPr="00A603F6">
        <w:rPr>
          <w:rFonts w:ascii="Times New Roman" w:hAnsi="Times New Roman" w:cs="Times New Roman"/>
          <w:b/>
          <w:sz w:val="24"/>
          <w:szCs w:val="20"/>
        </w:rPr>
        <w:t>Supporting information</w:t>
      </w:r>
    </w:p>
    <w:p w14:paraId="20423FF0" w14:textId="7E4CBFE9" w:rsidR="004C3A37" w:rsidRPr="00A603F6" w:rsidRDefault="004E0D89" w:rsidP="00941ECE">
      <w:pPr>
        <w:spacing w:line="480" w:lineRule="auto"/>
        <w:jc w:val="left"/>
        <w:rPr>
          <w:rFonts w:ascii="Times New Roman" w:hAnsi="Times New Roman" w:cs="Times New Roman"/>
          <w:b/>
          <w:sz w:val="24"/>
          <w:szCs w:val="20"/>
        </w:rPr>
      </w:pPr>
      <w:r w:rsidRPr="00A603F6">
        <w:rPr>
          <w:rFonts w:ascii="Times New Roman" w:hAnsi="Times New Roman" w:cs="Times New Roman"/>
          <w:b/>
          <w:sz w:val="24"/>
          <w:szCs w:val="20"/>
        </w:rPr>
        <w:t>Persistent</w:t>
      </w:r>
      <w:r w:rsidR="004C3A37" w:rsidRPr="00A603F6">
        <w:rPr>
          <w:rFonts w:ascii="Times New Roman" w:hAnsi="Times New Roman" w:cs="Times New Roman"/>
          <w:b/>
          <w:sz w:val="24"/>
          <w:szCs w:val="20"/>
        </w:rPr>
        <w:t xml:space="preserve"> soil organic carbon</w:t>
      </w:r>
      <w:r w:rsidRPr="00A603F6">
        <w:rPr>
          <w:rFonts w:ascii="Times New Roman" w:hAnsi="Times New Roman" w:cs="Times New Roman"/>
          <w:b/>
          <w:sz w:val="24"/>
          <w:szCs w:val="20"/>
        </w:rPr>
        <w:t xml:space="preserve"> </w:t>
      </w:r>
      <w:r w:rsidR="004C3A37" w:rsidRPr="00A603F6">
        <w:rPr>
          <w:rFonts w:ascii="Times New Roman" w:hAnsi="Times New Roman" w:cs="Times New Roman"/>
          <w:b/>
          <w:sz w:val="24"/>
          <w:szCs w:val="20"/>
        </w:rPr>
        <w:t>is more susceptible to the priming effect</w:t>
      </w:r>
      <w:bookmarkEnd w:id="0"/>
      <w:bookmarkEnd w:id="1"/>
      <w:r w:rsidR="00DB0953" w:rsidRPr="00A603F6">
        <w:rPr>
          <w:rFonts w:ascii="Times New Roman" w:hAnsi="Times New Roman" w:cs="Times New Roman"/>
          <w:b/>
          <w:sz w:val="24"/>
          <w:szCs w:val="20"/>
        </w:rPr>
        <w:t xml:space="preserve"> than labile soil organic carbon</w:t>
      </w:r>
    </w:p>
    <w:p w14:paraId="289BA797" w14:textId="77777777" w:rsidR="004C3A37" w:rsidRPr="00A603F6" w:rsidRDefault="004C3A37" w:rsidP="00941ECE">
      <w:pPr>
        <w:spacing w:line="480" w:lineRule="auto"/>
        <w:jc w:val="left"/>
        <w:rPr>
          <w:rFonts w:ascii="Times New Roman" w:hAnsi="Times New Roman" w:cs="Times New Roman"/>
          <w:b/>
          <w:sz w:val="24"/>
          <w:szCs w:val="20"/>
        </w:rPr>
      </w:pPr>
    </w:p>
    <w:p w14:paraId="49A42F28" w14:textId="77777777" w:rsidR="00C128F6" w:rsidRPr="00A603F6" w:rsidRDefault="00C128F6" w:rsidP="00941ECE">
      <w:pPr>
        <w:spacing w:line="480" w:lineRule="auto"/>
        <w:jc w:val="left"/>
        <w:rPr>
          <w:rFonts w:ascii="Times New Roman" w:hAnsi="Times New Roman" w:cs="Times New Roman"/>
          <w:b/>
          <w:sz w:val="24"/>
          <w:szCs w:val="20"/>
        </w:rPr>
      </w:pPr>
    </w:p>
    <w:p w14:paraId="67BF96E8" w14:textId="2B6A4A2B" w:rsidR="00DE62E9" w:rsidRPr="00A603F6" w:rsidRDefault="00DE62E9" w:rsidP="004414B2">
      <w:pPr>
        <w:spacing w:line="480" w:lineRule="auto"/>
        <w:rPr>
          <w:rFonts w:ascii="Times New Roman" w:hAnsi="Times New Roman" w:cs="Times New Roman"/>
          <w:sz w:val="24"/>
          <w:szCs w:val="20"/>
        </w:rPr>
      </w:pPr>
      <w:r w:rsidRPr="00A603F6">
        <w:rPr>
          <w:rFonts w:ascii="Times New Roman" w:hAnsi="Times New Roman" w:cs="Times New Roman"/>
          <w:sz w:val="24"/>
          <w:szCs w:val="20"/>
        </w:rPr>
        <w:t xml:space="preserve">This supplementary material includes </w:t>
      </w:r>
      <w:r w:rsidR="00807E33">
        <w:rPr>
          <w:rFonts w:ascii="Times New Roman" w:hAnsi="Times New Roman" w:cs="Times New Roman" w:hint="eastAsia"/>
          <w:sz w:val="24"/>
          <w:szCs w:val="20"/>
        </w:rPr>
        <w:t>three</w:t>
      </w:r>
      <w:r w:rsidR="00807E33" w:rsidRPr="00A603F6">
        <w:rPr>
          <w:rFonts w:ascii="Times New Roman" w:hAnsi="Times New Roman" w:cs="Times New Roman"/>
          <w:sz w:val="24"/>
          <w:szCs w:val="20"/>
        </w:rPr>
        <w:t xml:space="preserve"> </w:t>
      </w:r>
      <w:r w:rsidR="00AF692F" w:rsidRPr="00A603F6">
        <w:rPr>
          <w:rFonts w:ascii="Times New Roman" w:hAnsi="Times New Roman" w:cs="Times New Roman"/>
          <w:sz w:val="24"/>
          <w:szCs w:val="20"/>
        </w:rPr>
        <w:t>tables, two figures and one note.</w:t>
      </w:r>
    </w:p>
    <w:p w14:paraId="119B3807" w14:textId="0EB57ED5" w:rsidR="00DE62E9" w:rsidRPr="00C128F6" w:rsidRDefault="00DE62E9" w:rsidP="004414B2">
      <w:pPr>
        <w:spacing w:line="480" w:lineRule="auto"/>
        <w:rPr>
          <w:rFonts w:ascii="Times New Roman" w:hAnsi="Times New Roman" w:cs="Times New Roman"/>
          <w:sz w:val="20"/>
          <w:szCs w:val="20"/>
        </w:rPr>
        <w:sectPr w:rsidR="00DE62E9" w:rsidRPr="00C128F6" w:rsidSect="00B7144C">
          <w:pgSz w:w="11906" w:h="16838"/>
          <w:pgMar w:top="1440" w:right="1800" w:bottom="1440" w:left="1800" w:header="851" w:footer="992" w:gutter="0"/>
          <w:lnNumType w:countBy="1" w:restart="continuous"/>
          <w:cols w:space="425"/>
          <w:docGrid w:type="lines" w:linePitch="312"/>
        </w:sectPr>
      </w:pPr>
    </w:p>
    <w:p w14:paraId="555AB165" w14:textId="18EB993D" w:rsidR="00E07101" w:rsidRPr="00C128F6" w:rsidRDefault="00E07101" w:rsidP="00552C1E">
      <w:pPr>
        <w:rPr>
          <w:rFonts w:ascii="Times New Roman" w:hAnsi="Times New Roman" w:cs="Times New Roman"/>
          <w:b/>
          <w:sz w:val="20"/>
          <w:szCs w:val="20"/>
        </w:rPr>
      </w:pPr>
      <w:r w:rsidRPr="00C128F6">
        <w:rPr>
          <w:rFonts w:ascii="Times New Roman" w:hAnsi="Times New Roman" w:cs="Times New Roman" w:hint="eastAsia"/>
          <w:b/>
          <w:sz w:val="20"/>
          <w:szCs w:val="20"/>
        </w:rPr>
        <w:lastRenderedPageBreak/>
        <w:t>T</w:t>
      </w:r>
      <w:r w:rsidR="006A6DA2" w:rsidRPr="00C128F6">
        <w:rPr>
          <w:rFonts w:ascii="Times New Roman" w:hAnsi="Times New Roman" w:cs="Times New Roman"/>
          <w:b/>
          <w:sz w:val="20"/>
          <w:szCs w:val="20"/>
        </w:rPr>
        <w:t xml:space="preserve">able </w:t>
      </w:r>
      <w:r w:rsidR="002F6DDC" w:rsidRPr="00C128F6">
        <w:rPr>
          <w:rFonts w:ascii="Times New Roman" w:hAnsi="Times New Roman" w:cs="Times New Roman"/>
          <w:b/>
          <w:sz w:val="20"/>
          <w:szCs w:val="20"/>
        </w:rPr>
        <w:t>S</w:t>
      </w:r>
      <w:r w:rsidR="00ED113C" w:rsidRPr="00C128F6">
        <w:rPr>
          <w:rFonts w:ascii="Times New Roman" w:hAnsi="Times New Roman" w:cs="Times New Roman" w:hint="eastAsia"/>
          <w:b/>
          <w:sz w:val="20"/>
          <w:szCs w:val="20"/>
        </w:rPr>
        <w:t>1</w:t>
      </w:r>
      <w:r w:rsidR="002F6DDC" w:rsidRPr="00C128F6">
        <w:rPr>
          <w:rFonts w:ascii="Times New Roman" w:hAnsi="Times New Roman" w:cs="Times New Roman" w:hint="eastAsia"/>
          <w:b/>
          <w:sz w:val="20"/>
          <w:szCs w:val="20"/>
        </w:rPr>
        <w:t xml:space="preserve"> </w:t>
      </w:r>
      <w:r w:rsidR="008848A5" w:rsidRPr="00C128F6">
        <w:rPr>
          <w:rFonts w:ascii="Times New Roman" w:hAnsi="Times New Roman" w:cs="Times New Roman"/>
          <w:sz w:val="20"/>
          <w:szCs w:val="20"/>
        </w:rPr>
        <w:t xml:space="preserve">Comparison of previous studies on </w:t>
      </w:r>
      <w:r w:rsidR="008848A5" w:rsidRPr="00C128F6">
        <w:rPr>
          <w:rFonts w:ascii="Times New Roman" w:hAnsi="Times New Roman" w:cs="Times New Roman" w:hint="eastAsia"/>
          <w:sz w:val="20"/>
          <w:szCs w:val="20"/>
        </w:rPr>
        <w:t>the priming effect on SOC pools</w:t>
      </w:r>
      <w:r w:rsidR="008848A5" w:rsidRPr="00C128F6">
        <w:rPr>
          <w:rFonts w:ascii="Times New Roman" w:hAnsi="Times New Roman" w:cs="Times New Roman"/>
          <w:sz w:val="20"/>
          <w:szCs w:val="20"/>
        </w:rPr>
        <w:t>.</w:t>
      </w:r>
    </w:p>
    <w:tbl>
      <w:tblPr>
        <w:tblW w:w="5000" w:type="pct"/>
        <w:tblCellMar>
          <w:left w:w="0" w:type="dxa"/>
          <w:right w:w="0" w:type="dxa"/>
        </w:tblCellMar>
        <w:tblLook w:val="0420" w:firstRow="1" w:lastRow="0" w:firstColumn="0" w:lastColumn="0" w:noHBand="0" w:noVBand="1"/>
      </w:tblPr>
      <w:tblGrid>
        <w:gridCol w:w="1774"/>
        <w:gridCol w:w="1961"/>
        <w:gridCol w:w="1961"/>
        <w:gridCol w:w="1961"/>
        <w:gridCol w:w="1555"/>
        <w:gridCol w:w="1555"/>
        <w:gridCol w:w="1555"/>
        <w:gridCol w:w="1636"/>
      </w:tblGrid>
      <w:tr w:rsidR="003F64CD" w:rsidRPr="00C128F6" w14:paraId="359CC5FC" w14:textId="77777777" w:rsidTr="00730955">
        <w:trPr>
          <w:trHeight w:val="172"/>
        </w:trPr>
        <w:tc>
          <w:tcPr>
            <w:tcW w:w="635" w:type="pct"/>
            <w:tcBorders>
              <w:top w:val="single" w:sz="8" w:space="0" w:color="000000"/>
              <w:left w:val="nil"/>
              <w:bottom w:val="single" w:sz="8" w:space="0" w:color="000000"/>
              <w:right w:val="nil"/>
            </w:tcBorders>
            <w:tcMar>
              <w:top w:w="72" w:type="dxa"/>
              <w:left w:w="144" w:type="dxa"/>
              <w:bottom w:w="72" w:type="dxa"/>
              <w:right w:w="144" w:type="dxa"/>
            </w:tcMar>
            <w:hideMark/>
          </w:tcPr>
          <w:p w14:paraId="13544796" w14:textId="77777777" w:rsidR="002067A6" w:rsidRPr="00A603F6" w:rsidRDefault="002067A6" w:rsidP="00552C1E">
            <w:pPr>
              <w:widowControl/>
              <w:jc w:val="center"/>
              <w:rPr>
                <w:rFonts w:ascii="Arial" w:eastAsia="宋体" w:hAnsi="Arial" w:cs="Arial"/>
                <w:b/>
                <w:kern w:val="0"/>
                <w:sz w:val="20"/>
                <w:szCs w:val="20"/>
              </w:rPr>
            </w:pPr>
            <w:r w:rsidRPr="00A603F6">
              <w:rPr>
                <w:rFonts w:ascii="Times New Roman" w:eastAsia="黑体" w:hAnsi="Times New Roman" w:cs="Times New Roman"/>
                <w:b/>
                <w:color w:val="000000"/>
                <w:kern w:val="24"/>
                <w:sz w:val="20"/>
                <w:szCs w:val="20"/>
              </w:rPr>
              <w:t>Reference</w:t>
            </w:r>
          </w:p>
        </w:tc>
        <w:tc>
          <w:tcPr>
            <w:tcW w:w="702" w:type="pct"/>
            <w:tcBorders>
              <w:top w:val="single" w:sz="8" w:space="0" w:color="000000"/>
              <w:left w:val="nil"/>
              <w:bottom w:val="single" w:sz="8" w:space="0" w:color="000000"/>
              <w:right w:val="nil"/>
            </w:tcBorders>
          </w:tcPr>
          <w:p w14:paraId="7805D474" w14:textId="0D91EBD6" w:rsidR="002067A6" w:rsidRPr="00A603F6" w:rsidRDefault="002067A6" w:rsidP="00552C1E">
            <w:pPr>
              <w:widowControl/>
              <w:jc w:val="center"/>
              <w:rPr>
                <w:rFonts w:ascii="Times New Roman" w:eastAsia="黑体" w:hAnsi="Times New Roman" w:cs="Times New Roman"/>
                <w:b/>
                <w:color w:val="000000"/>
                <w:kern w:val="24"/>
                <w:sz w:val="20"/>
                <w:szCs w:val="20"/>
              </w:rPr>
            </w:pPr>
            <w:r w:rsidRPr="00A603F6">
              <w:rPr>
                <w:rFonts w:ascii="Times New Roman" w:eastAsia="黑体" w:hAnsi="Times New Roman" w:cs="Times New Roman"/>
                <w:b/>
                <w:color w:val="000000"/>
                <w:kern w:val="24"/>
                <w:sz w:val="20"/>
                <w:szCs w:val="20"/>
              </w:rPr>
              <w:t>Ecosystem</w:t>
            </w:r>
          </w:p>
        </w:tc>
        <w:tc>
          <w:tcPr>
            <w:tcW w:w="702" w:type="pct"/>
            <w:tcBorders>
              <w:top w:val="single" w:sz="8" w:space="0" w:color="000000"/>
              <w:left w:val="nil"/>
              <w:bottom w:val="single" w:sz="8" w:space="0" w:color="000000"/>
              <w:right w:val="nil"/>
            </w:tcBorders>
          </w:tcPr>
          <w:p w14:paraId="0869815E" w14:textId="06C96A76" w:rsidR="002067A6" w:rsidRPr="00A603F6" w:rsidRDefault="002067A6" w:rsidP="00552C1E">
            <w:pPr>
              <w:widowControl/>
              <w:jc w:val="center"/>
              <w:rPr>
                <w:rFonts w:ascii="Times New Roman" w:eastAsia="黑体" w:hAnsi="Times New Roman" w:cs="Times New Roman"/>
                <w:b/>
                <w:color w:val="000000"/>
                <w:kern w:val="24"/>
                <w:sz w:val="20"/>
                <w:szCs w:val="20"/>
              </w:rPr>
            </w:pPr>
            <w:r w:rsidRPr="00A603F6">
              <w:rPr>
                <w:rFonts w:ascii="Times New Roman" w:eastAsia="黑体" w:hAnsi="Times New Roman" w:cs="Times New Roman"/>
                <w:b/>
                <w:color w:val="000000"/>
                <w:kern w:val="24"/>
                <w:sz w:val="20"/>
                <w:szCs w:val="20"/>
              </w:rPr>
              <w:t>Experimental design</w:t>
            </w:r>
          </w:p>
        </w:tc>
        <w:tc>
          <w:tcPr>
            <w:tcW w:w="702" w:type="pct"/>
            <w:tcBorders>
              <w:top w:val="single" w:sz="8" w:space="0" w:color="000000"/>
              <w:left w:val="nil"/>
              <w:bottom w:val="single" w:sz="8" w:space="0" w:color="000000"/>
              <w:right w:val="nil"/>
            </w:tcBorders>
            <w:tcMar>
              <w:top w:w="72" w:type="dxa"/>
              <w:left w:w="144" w:type="dxa"/>
              <w:bottom w:w="72" w:type="dxa"/>
              <w:right w:w="144" w:type="dxa"/>
            </w:tcMar>
            <w:hideMark/>
          </w:tcPr>
          <w:p w14:paraId="234AFB71" w14:textId="50A29636" w:rsidR="002067A6" w:rsidRPr="00A603F6" w:rsidRDefault="002067A6" w:rsidP="00552C1E">
            <w:pPr>
              <w:widowControl/>
              <w:jc w:val="center"/>
              <w:rPr>
                <w:rFonts w:ascii="Arial" w:eastAsia="宋体" w:hAnsi="Arial" w:cs="Arial"/>
                <w:b/>
                <w:kern w:val="0"/>
                <w:sz w:val="20"/>
                <w:szCs w:val="20"/>
              </w:rPr>
            </w:pPr>
            <w:r w:rsidRPr="00A603F6">
              <w:rPr>
                <w:rFonts w:ascii="Times New Roman" w:eastAsia="黑体" w:hAnsi="Times New Roman" w:cs="Times New Roman"/>
                <w:b/>
                <w:color w:val="000000"/>
                <w:kern w:val="24"/>
                <w:sz w:val="20"/>
                <w:szCs w:val="20"/>
              </w:rPr>
              <w:t>Method</w:t>
            </w:r>
          </w:p>
        </w:tc>
        <w:tc>
          <w:tcPr>
            <w:tcW w:w="557" w:type="pct"/>
            <w:tcBorders>
              <w:top w:val="single" w:sz="8" w:space="0" w:color="000000"/>
              <w:left w:val="nil"/>
              <w:bottom w:val="single" w:sz="8" w:space="0" w:color="000000"/>
              <w:right w:val="nil"/>
            </w:tcBorders>
          </w:tcPr>
          <w:p w14:paraId="7B2AB929" w14:textId="6B6E897A" w:rsidR="002067A6" w:rsidRPr="00A603F6" w:rsidRDefault="002067A6" w:rsidP="00552C1E">
            <w:pPr>
              <w:widowControl/>
              <w:jc w:val="center"/>
              <w:rPr>
                <w:rFonts w:ascii="Times New Roman" w:eastAsia="黑体" w:hAnsi="Times New Roman" w:cs="Times New Roman"/>
                <w:b/>
                <w:color w:val="000000"/>
                <w:kern w:val="24"/>
                <w:sz w:val="20"/>
                <w:szCs w:val="20"/>
              </w:rPr>
            </w:pPr>
            <w:r w:rsidRPr="00A603F6">
              <w:rPr>
                <w:rFonts w:ascii="Times New Roman" w:eastAsia="黑体" w:hAnsi="Times New Roman" w:cs="Times New Roman"/>
                <w:b/>
                <w:color w:val="000000"/>
                <w:kern w:val="24"/>
                <w:sz w:val="20"/>
                <w:szCs w:val="20"/>
              </w:rPr>
              <w:t>Sample number</w:t>
            </w:r>
          </w:p>
        </w:tc>
        <w:tc>
          <w:tcPr>
            <w:tcW w:w="557" w:type="pct"/>
            <w:tcBorders>
              <w:top w:val="single" w:sz="8" w:space="0" w:color="000000"/>
              <w:left w:val="nil"/>
              <w:bottom w:val="single" w:sz="8" w:space="0" w:color="000000"/>
              <w:right w:val="nil"/>
            </w:tcBorders>
          </w:tcPr>
          <w:p w14:paraId="46296C08" w14:textId="7E6170A0" w:rsidR="002067A6" w:rsidRPr="00A603F6" w:rsidRDefault="002067A6" w:rsidP="00552C1E">
            <w:pPr>
              <w:widowControl/>
              <w:jc w:val="center"/>
              <w:rPr>
                <w:rFonts w:ascii="Times New Roman" w:eastAsia="黑体" w:hAnsi="Times New Roman" w:cs="Times New Roman"/>
                <w:b/>
                <w:color w:val="000000"/>
                <w:kern w:val="24"/>
                <w:sz w:val="20"/>
                <w:szCs w:val="20"/>
              </w:rPr>
            </w:pPr>
            <w:r w:rsidRPr="00A603F6">
              <w:rPr>
                <w:rFonts w:ascii="Times New Roman" w:eastAsia="黑体" w:hAnsi="Times New Roman" w:cs="Times New Roman"/>
                <w:b/>
                <w:color w:val="000000"/>
                <w:kern w:val="24"/>
                <w:sz w:val="20"/>
                <w:szCs w:val="20"/>
              </w:rPr>
              <w:t>Focus</w:t>
            </w:r>
          </w:p>
        </w:tc>
        <w:tc>
          <w:tcPr>
            <w:tcW w:w="557" w:type="pct"/>
            <w:tcBorders>
              <w:top w:val="single" w:sz="8" w:space="0" w:color="000000"/>
              <w:left w:val="nil"/>
              <w:bottom w:val="single" w:sz="8" w:space="0" w:color="000000"/>
              <w:right w:val="nil"/>
            </w:tcBorders>
          </w:tcPr>
          <w:p w14:paraId="78CE8949" w14:textId="0E75EF30" w:rsidR="002067A6" w:rsidRPr="00A603F6" w:rsidRDefault="002067A6" w:rsidP="00552C1E">
            <w:pPr>
              <w:widowControl/>
              <w:jc w:val="center"/>
              <w:rPr>
                <w:rFonts w:ascii="Times New Roman" w:eastAsia="黑体" w:hAnsi="Times New Roman" w:cs="Times New Roman"/>
                <w:b/>
                <w:color w:val="000000"/>
                <w:kern w:val="24"/>
                <w:sz w:val="20"/>
                <w:szCs w:val="20"/>
              </w:rPr>
            </w:pPr>
            <w:r w:rsidRPr="00A603F6">
              <w:rPr>
                <w:rFonts w:ascii="Times New Roman" w:eastAsia="黑体" w:hAnsi="Times New Roman" w:cs="Times New Roman"/>
                <w:b/>
                <w:color w:val="000000"/>
                <w:kern w:val="24"/>
                <w:sz w:val="20"/>
                <w:szCs w:val="20"/>
              </w:rPr>
              <w:t>Factor(s)</w:t>
            </w:r>
          </w:p>
        </w:tc>
        <w:tc>
          <w:tcPr>
            <w:tcW w:w="586" w:type="pct"/>
            <w:tcBorders>
              <w:top w:val="single" w:sz="8" w:space="0" w:color="000000"/>
              <w:left w:val="nil"/>
              <w:bottom w:val="single" w:sz="8" w:space="0" w:color="000000"/>
              <w:right w:val="nil"/>
            </w:tcBorders>
            <w:tcMar>
              <w:top w:w="72" w:type="dxa"/>
              <w:left w:w="144" w:type="dxa"/>
              <w:bottom w:w="72" w:type="dxa"/>
              <w:right w:w="144" w:type="dxa"/>
            </w:tcMar>
            <w:hideMark/>
          </w:tcPr>
          <w:p w14:paraId="0E9CEF80" w14:textId="29BAA812" w:rsidR="002067A6" w:rsidRPr="00A603F6" w:rsidRDefault="002067A6" w:rsidP="00552C1E">
            <w:pPr>
              <w:widowControl/>
              <w:jc w:val="center"/>
              <w:rPr>
                <w:rFonts w:ascii="Arial" w:eastAsia="宋体" w:hAnsi="Arial" w:cs="Arial"/>
                <w:b/>
                <w:kern w:val="0"/>
                <w:sz w:val="20"/>
                <w:szCs w:val="20"/>
              </w:rPr>
            </w:pPr>
            <w:r w:rsidRPr="00A603F6">
              <w:rPr>
                <w:rFonts w:ascii="Times New Roman" w:eastAsia="黑体" w:hAnsi="Times New Roman" w:cs="Times New Roman"/>
                <w:b/>
                <w:color w:val="000000"/>
                <w:kern w:val="24"/>
                <w:sz w:val="20"/>
                <w:szCs w:val="20"/>
              </w:rPr>
              <w:t>Conclusions</w:t>
            </w:r>
          </w:p>
        </w:tc>
      </w:tr>
      <w:tr w:rsidR="003F64CD" w:rsidRPr="00C128F6" w14:paraId="413B8DC3" w14:textId="77777777" w:rsidTr="00730955">
        <w:trPr>
          <w:trHeight w:val="311"/>
        </w:trPr>
        <w:tc>
          <w:tcPr>
            <w:tcW w:w="635" w:type="pct"/>
            <w:tcBorders>
              <w:top w:val="single" w:sz="8" w:space="0" w:color="000000"/>
              <w:left w:val="nil"/>
              <w:bottom w:val="single" w:sz="8" w:space="0" w:color="auto"/>
              <w:right w:val="nil"/>
            </w:tcBorders>
            <w:tcMar>
              <w:top w:w="72" w:type="dxa"/>
              <w:left w:w="144" w:type="dxa"/>
              <w:bottom w:w="72" w:type="dxa"/>
              <w:right w:w="144" w:type="dxa"/>
            </w:tcMar>
            <w:vAlign w:val="center"/>
          </w:tcPr>
          <w:p w14:paraId="72DBBD4C"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de</w:t>
            </w:r>
            <w:r w:rsidRPr="00C128F6">
              <w:rPr>
                <w:rFonts w:ascii="Times New Roman" w:eastAsia="黑体" w:hAnsi="Times New Roman" w:cs="Times New Roman" w:hint="eastAsia"/>
                <w:color w:val="000000"/>
                <w:kern w:val="24"/>
                <w:sz w:val="20"/>
                <w:szCs w:val="20"/>
              </w:rPr>
              <w:t xml:space="preserve"> Graaff et al. (2014)</w:t>
            </w:r>
          </w:p>
        </w:tc>
        <w:tc>
          <w:tcPr>
            <w:tcW w:w="702" w:type="pct"/>
            <w:tcBorders>
              <w:top w:val="single" w:sz="8" w:space="0" w:color="000000"/>
              <w:left w:val="nil"/>
              <w:bottom w:val="single" w:sz="8" w:space="0" w:color="auto"/>
              <w:right w:val="nil"/>
            </w:tcBorders>
          </w:tcPr>
          <w:p w14:paraId="2F621D4C" w14:textId="00310C91" w:rsidR="002067A6" w:rsidRPr="00C128F6" w:rsidRDefault="002263E1"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G</w:t>
            </w:r>
            <w:r w:rsidRPr="00C128F6">
              <w:rPr>
                <w:rFonts w:ascii="Times New Roman" w:eastAsia="黑体" w:hAnsi="Times New Roman" w:cs="Times New Roman" w:hint="eastAsia"/>
                <w:color w:val="000000"/>
                <w:kern w:val="24"/>
                <w:sz w:val="20"/>
                <w:szCs w:val="20"/>
              </w:rPr>
              <w:t>rassland</w:t>
            </w:r>
          </w:p>
        </w:tc>
        <w:tc>
          <w:tcPr>
            <w:tcW w:w="702" w:type="pct"/>
            <w:tcBorders>
              <w:top w:val="single" w:sz="8" w:space="0" w:color="000000"/>
              <w:left w:val="nil"/>
              <w:bottom w:val="single" w:sz="8" w:space="0" w:color="auto"/>
              <w:right w:val="nil"/>
            </w:tcBorders>
          </w:tcPr>
          <w:p w14:paraId="72FA040B" w14:textId="12B47110"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 xml:space="preserve">oil incubated with </w:t>
            </w:r>
            <w:r w:rsidRPr="00C128F6">
              <w:rPr>
                <w:rFonts w:ascii="Times New Roman" w:eastAsia="黑体" w:hAnsi="Times New Roman" w:cs="Times New Roman" w:hint="eastAsia"/>
                <w:color w:val="000000"/>
                <w:kern w:val="24"/>
                <w:sz w:val="20"/>
                <w:szCs w:val="20"/>
                <w:vertAlign w:val="superscript"/>
              </w:rPr>
              <w:t>13</w:t>
            </w:r>
            <w:r w:rsidRPr="00C128F6">
              <w:rPr>
                <w:rFonts w:ascii="Times New Roman" w:eastAsia="黑体" w:hAnsi="Times New Roman" w:cs="Times New Roman" w:hint="eastAsia"/>
                <w:color w:val="000000"/>
                <w:kern w:val="24"/>
                <w:sz w:val="20"/>
                <w:szCs w:val="20"/>
              </w:rPr>
              <w:t>C labelled root exudate surrogates</w:t>
            </w:r>
          </w:p>
        </w:tc>
        <w:tc>
          <w:tcPr>
            <w:tcW w:w="702" w:type="pct"/>
            <w:tcBorders>
              <w:top w:val="single" w:sz="8" w:space="0" w:color="000000"/>
              <w:left w:val="nil"/>
              <w:bottom w:val="single" w:sz="8" w:space="0" w:color="auto"/>
              <w:right w:val="nil"/>
            </w:tcBorders>
            <w:tcMar>
              <w:top w:w="72" w:type="dxa"/>
              <w:left w:w="144" w:type="dxa"/>
              <w:bottom w:w="72" w:type="dxa"/>
              <w:right w:w="144" w:type="dxa"/>
            </w:tcMar>
          </w:tcPr>
          <w:p w14:paraId="7C7A0883"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oil profile</w:t>
            </w:r>
          </w:p>
        </w:tc>
        <w:tc>
          <w:tcPr>
            <w:tcW w:w="557" w:type="pct"/>
            <w:tcBorders>
              <w:top w:val="single" w:sz="8" w:space="0" w:color="000000"/>
              <w:left w:val="nil"/>
              <w:bottom w:val="single" w:sz="8" w:space="0" w:color="auto"/>
              <w:right w:val="nil"/>
            </w:tcBorders>
          </w:tcPr>
          <w:p w14:paraId="70A586CB"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6 soils</w:t>
            </w:r>
          </w:p>
        </w:tc>
        <w:tc>
          <w:tcPr>
            <w:tcW w:w="557" w:type="pct"/>
            <w:tcBorders>
              <w:top w:val="single" w:sz="8" w:space="0" w:color="000000"/>
              <w:left w:val="nil"/>
              <w:bottom w:val="single" w:sz="8" w:space="0" w:color="auto"/>
              <w:right w:val="nil"/>
            </w:tcBorders>
          </w:tcPr>
          <w:p w14:paraId="193107AB"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P</w:t>
            </w:r>
            <w:r w:rsidRPr="00C128F6">
              <w:rPr>
                <w:rFonts w:ascii="Times New Roman" w:eastAsia="黑体" w:hAnsi="Times New Roman" w:cs="Times New Roman" w:hint="eastAsia"/>
                <w:color w:val="000000"/>
                <w:kern w:val="24"/>
                <w:sz w:val="20"/>
                <w:szCs w:val="20"/>
              </w:rPr>
              <w:t>riming effects along soil profile</w:t>
            </w:r>
          </w:p>
        </w:tc>
        <w:tc>
          <w:tcPr>
            <w:tcW w:w="557" w:type="pct"/>
            <w:tcBorders>
              <w:top w:val="single" w:sz="8" w:space="0" w:color="000000"/>
              <w:left w:val="nil"/>
              <w:bottom w:val="single" w:sz="8" w:space="0" w:color="auto"/>
              <w:right w:val="nil"/>
            </w:tcBorders>
          </w:tcPr>
          <w:p w14:paraId="08FFF095"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C availability by soil depth and root C input</w:t>
            </w:r>
          </w:p>
        </w:tc>
        <w:tc>
          <w:tcPr>
            <w:tcW w:w="586" w:type="pct"/>
            <w:tcBorders>
              <w:top w:val="single" w:sz="8" w:space="0" w:color="000000"/>
              <w:left w:val="nil"/>
              <w:bottom w:val="single" w:sz="8" w:space="0" w:color="auto"/>
              <w:right w:val="nil"/>
            </w:tcBorders>
            <w:tcMar>
              <w:top w:w="72" w:type="dxa"/>
              <w:left w:w="144" w:type="dxa"/>
              <w:bottom w:w="72" w:type="dxa"/>
              <w:right w:w="144" w:type="dxa"/>
            </w:tcMar>
          </w:tcPr>
          <w:p w14:paraId="5DBD4637"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Higher priming effect on surface soil</w:t>
            </w:r>
          </w:p>
        </w:tc>
      </w:tr>
      <w:tr w:rsidR="003F64CD" w:rsidRPr="00C128F6" w14:paraId="37DC4411" w14:textId="77777777" w:rsidTr="00730955">
        <w:trPr>
          <w:trHeight w:val="311"/>
        </w:trPr>
        <w:tc>
          <w:tcPr>
            <w:tcW w:w="635" w:type="pct"/>
            <w:tcBorders>
              <w:top w:val="single" w:sz="8" w:space="0" w:color="auto"/>
              <w:left w:val="nil"/>
              <w:bottom w:val="single" w:sz="8" w:space="0" w:color="auto"/>
              <w:right w:val="nil"/>
            </w:tcBorders>
            <w:tcMar>
              <w:top w:w="72" w:type="dxa"/>
              <w:left w:w="144" w:type="dxa"/>
              <w:bottom w:w="72" w:type="dxa"/>
              <w:right w:w="144" w:type="dxa"/>
            </w:tcMar>
            <w:vAlign w:val="center"/>
            <w:hideMark/>
          </w:tcPr>
          <w:p w14:paraId="24BA4D41" w14:textId="77777777"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 xml:space="preserve">Henneron et al. </w:t>
            </w:r>
            <w:r w:rsidRPr="00C128F6">
              <w:rPr>
                <w:rFonts w:ascii="Times New Roman" w:eastAsia="黑体" w:hAnsi="Times New Roman" w:cs="Times New Roman" w:hint="eastAsia"/>
                <w:color w:val="000000"/>
                <w:kern w:val="24"/>
                <w:sz w:val="20"/>
                <w:szCs w:val="20"/>
              </w:rPr>
              <w:t>(</w:t>
            </w:r>
            <w:r w:rsidRPr="00C128F6">
              <w:rPr>
                <w:rFonts w:ascii="Times New Roman" w:eastAsia="黑体" w:hAnsi="Times New Roman" w:cs="Times New Roman"/>
                <w:color w:val="000000"/>
                <w:kern w:val="24"/>
                <w:sz w:val="20"/>
                <w:szCs w:val="20"/>
              </w:rPr>
              <w:t>20</w:t>
            </w:r>
            <w:r w:rsidRPr="00C128F6">
              <w:rPr>
                <w:rFonts w:ascii="Times New Roman" w:eastAsia="黑体" w:hAnsi="Times New Roman" w:cs="Times New Roman" w:hint="eastAsia"/>
                <w:color w:val="000000"/>
                <w:kern w:val="24"/>
                <w:sz w:val="20"/>
                <w:szCs w:val="20"/>
              </w:rPr>
              <w:t>2</w:t>
            </w:r>
            <w:r w:rsidRPr="00C128F6">
              <w:rPr>
                <w:rFonts w:ascii="Times New Roman" w:eastAsia="黑体" w:hAnsi="Times New Roman" w:cs="Times New Roman"/>
                <w:color w:val="000000"/>
                <w:kern w:val="24"/>
                <w:sz w:val="20"/>
                <w:szCs w:val="20"/>
              </w:rPr>
              <w:t>0</w:t>
            </w:r>
            <w:r w:rsidRPr="00C128F6">
              <w:rPr>
                <w:rFonts w:ascii="Times New Roman" w:eastAsia="黑体" w:hAnsi="Times New Roman" w:cs="Times New Roman" w:hint="eastAsia"/>
                <w:color w:val="000000"/>
                <w:kern w:val="24"/>
                <w:sz w:val="20"/>
                <w:szCs w:val="20"/>
              </w:rPr>
              <w:t>)</w:t>
            </w:r>
          </w:p>
        </w:tc>
        <w:tc>
          <w:tcPr>
            <w:tcW w:w="702" w:type="pct"/>
            <w:tcBorders>
              <w:top w:val="single" w:sz="8" w:space="0" w:color="auto"/>
              <w:left w:val="nil"/>
              <w:bottom w:val="single" w:sz="8" w:space="0" w:color="auto"/>
              <w:right w:val="nil"/>
            </w:tcBorders>
          </w:tcPr>
          <w:p w14:paraId="525D9C18" w14:textId="664BA87D" w:rsidR="002067A6" w:rsidRPr="00C128F6" w:rsidRDefault="00D12C92"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G</w:t>
            </w:r>
            <w:r w:rsidR="00E51D59" w:rsidRPr="00C128F6">
              <w:rPr>
                <w:rFonts w:ascii="Times New Roman" w:eastAsia="黑体" w:hAnsi="Times New Roman" w:cs="Times New Roman" w:hint="eastAsia"/>
                <w:color w:val="000000"/>
                <w:kern w:val="24"/>
                <w:sz w:val="20"/>
                <w:szCs w:val="20"/>
              </w:rPr>
              <w:t>rassland</w:t>
            </w:r>
          </w:p>
        </w:tc>
        <w:tc>
          <w:tcPr>
            <w:tcW w:w="702" w:type="pct"/>
            <w:tcBorders>
              <w:top w:val="single" w:sz="8" w:space="0" w:color="auto"/>
              <w:left w:val="nil"/>
              <w:bottom w:val="single" w:sz="8" w:space="0" w:color="auto"/>
              <w:right w:val="nil"/>
            </w:tcBorders>
          </w:tcPr>
          <w:p w14:paraId="1A32812B" w14:textId="620AC612"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P</w:t>
            </w:r>
            <w:r w:rsidRPr="00C128F6">
              <w:rPr>
                <w:rFonts w:ascii="Times New Roman" w:eastAsia="黑体" w:hAnsi="Times New Roman" w:cs="Times New Roman" w:hint="eastAsia"/>
                <w:color w:val="000000"/>
                <w:kern w:val="24"/>
                <w:sz w:val="20"/>
                <w:szCs w:val="20"/>
              </w:rPr>
              <w:t xml:space="preserve">lants grown in soil layers </w:t>
            </w:r>
          </w:p>
        </w:tc>
        <w:tc>
          <w:tcPr>
            <w:tcW w:w="702" w:type="pct"/>
            <w:tcBorders>
              <w:top w:val="single" w:sz="8" w:space="0" w:color="auto"/>
              <w:left w:val="nil"/>
              <w:bottom w:val="single" w:sz="8" w:space="0" w:color="auto"/>
              <w:right w:val="nil"/>
            </w:tcBorders>
            <w:tcMar>
              <w:top w:w="72" w:type="dxa"/>
              <w:left w:w="144" w:type="dxa"/>
              <w:bottom w:w="72" w:type="dxa"/>
              <w:right w:w="144" w:type="dxa"/>
            </w:tcMar>
            <w:hideMark/>
          </w:tcPr>
          <w:p w14:paraId="1E921E33" w14:textId="2CA2FB13"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 xml:space="preserve">Topsoil </w:t>
            </w:r>
            <w:r w:rsidRPr="00C128F6">
              <w:rPr>
                <w:rFonts w:ascii="Times New Roman" w:eastAsia="黑体" w:hAnsi="Times New Roman" w:cs="Times New Roman"/>
                <w:i/>
                <w:iCs/>
                <w:color w:val="000000"/>
                <w:kern w:val="24"/>
                <w:sz w:val="20"/>
                <w:szCs w:val="20"/>
              </w:rPr>
              <w:t>v</w:t>
            </w:r>
            <w:r w:rsidRPr="00C128F6">
              <w:rPr>
                <w:rFonts w:ascii="Times New Roman" w:eastAsia="黑体" w:hAnsi="Times New Roman" w:cs="Times New Roman" w:hint="eastAsia"/>
                <w:i/>
                <w:iCs/>
                <w:color w:val="000000"/>
                <w:kern w:val="24"/>
                <w:sz w:val="20"/>
                <w:szCs w:val="20"/>
              </w:rPr>
              <w:t>ersu</w:t>
            </w:r>
            <w:r w:rsidRPr="00C128F6">
              <w:rPr>
                <w:rFonts w:ascii="Times New Roman" w:eastAsia="黑体" w:hAnsi="Times New Roman" w:cs="Times New Roman"/>
                <w:i/>
                <w:iCs/>
                <w:color w:val="000000"/>
                <w:kern w:val="24"/>
                <w:sz w:val="20"/>
                <w:szCs w:val="20"/>
              </w:rPr>
              <w:t>s</w:t>
            </w:r>
            <w:r w:rsidRPr="00C128F6">
              <w:rPr>
                <w:rFonts w:ascii="Times New Roman" w:eastAsia="黑体" w:hAnsi="Times New Roman" w:cs="Times New Roman"/>
                <w:color w:val="000000"/>
                <w:kern w:val="24"/>
                <w:sz w:val="20"/>
                <w:szCs w:val="20"/>
              </w:rPr>
              <w:t xml:space="preserve"> </w:t>
            </w:r>
            <w:r w:rsidRPr="00C128F6">
              <w:rPr>
                <w:rFonts w:ascii="Times New Roman" w:eastAsia="黑体" w:hAnsi="Times New Roman" w:cs="Times New Roman" w:hint="eastAsia"/>
                <w:color w:val="000000"/>
                <w:kern w:val="24"/>
                <w:sz w:val="20"/>
                <w:szCs w:val="20"/>
              </w:rPr>
              <w:t>sub</w:t>
            </w:r>
            <w:r w:rsidRPr="00C128F6">
              <w:rPr>
                <w:rFonts w:ascii="Times New Roman" w:eastAsia="黑体" w:hAnsi="Times New Roman" w:cs="Times New Roman"/>
                <w:color w:val="000000"/>
                <w:kern w:val="24"/>
                <w:sz w:val="20"/>
                <w:szCs w:val="20"/>
              </w:rPr>
              <w:t>soil layers</w:t>
            </w:r>
          </w:p>
        </w:tc>
        <w:tc>
          <w:tcPr>
            <w:tcW w:w="557" w:type="pct"/>
            <w:tcBorders>
              <w:top w:val="single" w:sz="8" w:space="0" w:color="auto"/>
              <w:left w:val="nil"/>
              <w:bottom w:val="single" w:sz="8" w:space="0" w:color="auto"/>
              <w:right w:val="nil"/>
            </w:tcBorders>
          </w:tcPr>
          <w:p w14:paraId="669D3A41"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3 soils</w:t>
            </w:r>
          </w:p>
        </w:tc>
        <w:tc>
          <w:tcPr>
            <w:tcW w:w="557" w:type="pct"/>
            <w:tcBorders>
              <w:top w:val="single" w:sz="8" w:space="0" w:color="auto"/>
              <w:left w:val="nil"/>
              <w:bottom w:val="single" w:sz="8" w:space="0" w:color="auto"/>
              <w:right w:val="nil"/>
            </w:tcBorders>
          </w:tcPr>
          <w:p w14:paraId="38D0C481"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Priming effect on subsoil C</w:t>
            </w:r>
          </w:p>
        </w:tc>
        <w:tc>
          <w:tcPr>
            <w:tcW w:w="557" w:type="pct"/>
            <w:tcBorders>
              <w:top w:val="single" w:sz="8" w:space="0" w:color="auto"/>
              <w:left w:val="nil"/>
              <w:bottom w:val="single" w:sz="8" w:space="0" w:color="auto"/>
              <w:right w:val="nil"/>
            </w:tcBorders>
          </w:tcPr>
          <w:p w14:paraId="3C0F4A20"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M</w:t>
            </w:r>
            <w:r w:rsidRPr="00C128F6">
              <w:rPr>
                <w:rFonts w:ascii="Times New Roman" w:eastAsia="黑体" w:hAnsi="Times New Roman" w:cs="Times New Roman" w:hint="eastAsia"/>
                <w:color w:val="000000"/>
                <w:kern w:val="24"/>
                <w:sz w:val="20"/>
                <w:szCs w:val="20"/>
              </w:rPr>
              <w:t>inerals, soil depth</w:t>
            </w:r>
          </w:p>
        </w:tc>
        <w:tc>
          <w:tcPr>
            <w:tcW w:w="586" w:type="pct"/>
            <w:tcBorders>
              <w:top w:val="single" w:sz="8" w:space="0" w:color="auto"/>
              <w:left w:val="nil"/>
              <w:bottom w:val="single" w:sz="8" w:space="0" w:color="auto"/>
              <w:right w:val="nil"/>
            </w:tcBorders>
            <w:tcMar>
              <w:top w:w="72" w:type="dxa"/>
              <w:left w:w="144" w:type="dxa"/>
              <w:bottom w:w="72" w:type="dxa"/>
              <w:right w:w="144" w:type="dxa"/>
            </w:tcMar>
            <w:hideMark/>
          </w:tcPr>
          <w:p w14:paraId="319B8F7C" w14:textId="77777777"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 xml:space="preserve">trong priming effect on </w:t>
            </w:r>
            <w:r w:rsidRPr="00C128F6">
              <w:rPr>
                <w:rFonts w:ascii="Times New Roman" w:eastAsia="黑体" w:hAnsi="Times New Roman" w:cs="Times New Roman"/>
                <w:color w:val="000000"/>
                <w:kern w:val="24"/>
                <w:sz w:val="20"/>
                <w:szCs w:val="20"/>
              </w:rPr>
              <w:t>millennia-old subsoil</w:t>
            </w:r>
            <w:r w:rsidRPr="00C128F6">
              <w:rPr>
                <w:rFonts w:ascii="Times New Roman" w:eastAsia="黑体" w:hAnsi="Times New Roman" w:cs="Times New Roman" w:hint="eastAsia"/>
                <w:color w:val="000000"/>
                <w:kern w:val="24"/>
                <w:sz w:val="20"/>
                <w:szCs w:val="20"/>
              </w:rPr>
              <w:t xml:space="preserve"> C</w:t>
            </w:r>
          </w:p>
        </w:tc>
      </w:tr>
      <w:tr w:rsidR="003F64CD" w:rsidRPr="00C128F6" w14:paraId="33FB4764" w14:textId="77777777" w:rsidTr="00730955">
        <w:trPr>
          <w:trHeight w:val="311"/>
        </w:trPr>
        <w:tc>
          <w:tcPr>
            <w:tcW w:w="635" w:type="pct"/>
            <w:tcBorders>
              <w:top w:val="single" w:sz="8" w:space="0" w:color="auto"/>
              <w:left w:val="nil"/>
              <w:bottom w:val="nil"/>
              <w:right w:val="nil"/>
            </w:tcBorders>
            <w:tcMar>
              <w:top w:w="72" w:type="dxa"/>
              <w:left w:w="144" w:type="dxa"/>
              <w:bottom w:w="72" w:type="dxa"/>
              <w:right w:w="144" w:type="dxa"/>
            </w:tcMar>
            <w:vAlign w:val="center"/>
            <w:hideMark/>
          </w:tcPr>
          <w:p w14:paraId="182C069C" w14:textId="02C45110"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 xml:space="preserve">Su et al. </w:t>
            </w:r>
            <w:r w:rsidR="00367ED1" w:rsidRPr="00C128F6">
              <w:rPr>
                <w:rFonts w:ascii="Times New Roman" w:eastAsia="黑体" w:hAnsi="Times New Roman" w:cs="Times New Roman" w:hint="eastAsia"/>
                <w:color w:val="000000"/>
                <w:kern w:val="24"/>
                <w:sz w:val="20"/>
                <w:szCs w:val="20"/>
              </w:rPr>
              <w:t>(</w:t>
            </w:r>
            <w:r w:rsidRPr="00C128F6">
              <w:rPr>
                <w:rFonts w:ascii="Times New Roman" w:eastAsia="黑体" w:hAnsi="Times New Roman" w:cs="Times New Roman"/>
                <w:color w:val="000000"/>
                <w:kern w:val="24"/>
                <w:sz w:val="20"/>
                <w:szCs w:val="20"/>
              </w:rPr>
              <w:t>202</w:t>
            </w:r>
            <w:r w:rsidRPr="00C128F6">
              <w:rPr>
                <w:rFonts w:ascii="Times New Roman" w:eastAsia="黑体" w:hAnsi="Times New Roman" w:cs="Times New Roman" w:hint="eastAsia"/>
                <w:color w:val="000000"/>
                <w:kern w:val="24"/>
                <w:sz w:val="20"/>
                <w:szCs w:val="20"/>
              </w:rPr>
              <w:t>3</w:t>
            </w:r>
            <w:r w:rsidR="00367ED1" w:rsidRPr="00C128F6">
              <w:rPr>
                <w:rFonts w:ascii="Times New Roman" w:eastAsia="黑体" w:hAnsi="Times New Roman" w:cs="Times New Roman" w:hint="eastAsia"/>
                <w:color w:val="000000"/>
                <w:kern w:val="24"/>
                <w:sz w:val="20"/>
                <w:szCs w:val="20"/>
              </w:rPr>
              <w:t>)</w:t>
            </w:r>
          </w:p>
        </w:tc>
        <w:tc>
          <w:tcPr>
            <w:tcW w:w="702" w:type="pct"/>
            <w:tcBorders>
              <w:top w:val="single" w:sz="8" w:space="0" w:color="auto"/>
              <w:left w:val="nil"/>
              <w:bottom w:val="nil"/>
              <w:right w:val="nil"/>
            </w:tcBorders>
          </w:tcPr>
          <w:p w14:paraId="0FB862D6" w14:textId="2220040F" w:rsidR="002067A6" w:rsidRPr="00C128F6" w:rsidRDefault="00D12C92"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G</w:t>
            </w:r>
            <w:r w:rsidR="00E51D59" w:rsidRPr="00C128F6">
              <w:rPr>
                <w:rFonts w:ascii="Times New Roman" w:eastAsia="黑体" w:hAnsi="Times New Roman" w:cs="Times New Roman" w:hint="eastAsia"/>
                <w:color w:val="000000"/>
                <w:kern w:val="24"/>
                <w:sz w:val="20"/>
                <w:szCs w:val="20"/>
              </w:rPr>
              <w:t>rassland</w:t>
            </w:r>
          </w:p>
        </w:tc>
        <w:tc>
          <w:tcPr>
            <w:tcW w:w="702" w:type="pct"/>
            <w:tcBorders>
              <w:top w:val="single" w:sz="8" w:space="0" w:color="auto"/>
              <w:left w:val="nil"/>
              <w:bottom w:val="nil"/>
              <w:right w:val="nil"/>
            </w:tcBorders>
          </w:tcPr>
          <w:p w14:paraId="6C065E9E" w14:textId="6ECC5514"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 xml:space="preserve">oil incubated with </w:t>
            </w:r>
            <w:r w:rsidR="005E6B10" w:rsidRPr="00C128F6">
              <w:rPr>
                <w:rFonts w:ascii="Times New Roman" w:eastAsia="黑体" w:hAnsi="Times New Roman" w:cs="Times New Roman" w:hint="eastAsia"/>
                <w:color w:val="000000"/>
                <w:kern w:val="24"/>
                <w:sz w:val="20"/>
                <w:szCs w:val="20"/>
                <w:vertAlign w:val="superscript"/>
              </w:rPr>
              <w:t>13</w:t>
            </w:r>
            <w:r w:rsidR="005E6B10" w:rsidRPr="00C128F6">
              <w:rPr>
                <w:rFonts w:ascii="Times New Roman" w:eastAsia="黑体" w:hAnsi="Times New Roman" w:cs="Times New Roman" w:hint="eastAsia"/>
                <w:color w:val="000000"/>
                <w:kern w:val="24"/>
                <w:sz w:val="20"/>
                <w:szCs w:val="20"/>
              </w:rPr>
              <w:t>C-</w:t>
            </w:r>
            <w:r w:rsidRPr="00C128F6">
              <w:rPr>
                <w:rFonts w:ascii="Times New Roman" w:eastAsia="黑体" w:hAnsi="Times New Roman" w:cs="Times New Roman" w:hint="eastAsia"/>
                <w:color w:val="000000"/>
                <w:kern w:val="24"/>
                <w:sz w:val="20"/>
                <w:szCs w:val="20"/>
              </w:rPr>
              <w:t>labelled C</w:t>
            </w:r>
          </w:p>
        </w:tc>
        <w:tc>
          <w:tcPr>
            <w:tcW w:w="702" w:type="pct"/>
            <w:tcBorders>
              <w:top w:val="single" w:sz="8" w:space="0" w:color="auto"/>
              <w:left w:val="nil"/>
              <w:bottom w:val="nil"/>
              <w:right w:val="nil"/>
            </w:tcBorders>
            <w:tcMar>
              <w:top w:w="72" w:type="dxa"/>
              <w:left w:w="144" w:type="dxa"/>
              <w:bottom w:w="72" w:type="dxa"/>
              <w:right w:w="144" w:type="dxa"/>
            </w:tcMar>
            <w:hideMark/>
          </w:tcPr>
          <w:p w14:paraId="4B68CC55" w14:textId="77777777"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oil profile</w:t>
            </w:r>
          </w:p>
        </w:tc>
        <w:tc>
          <w:tcPr>
            <w:tcW w:w="557" w:type="pct"/>
            <w:tcBorders>
              <w:top w:val="single" w:sz="8" w:space="0" w:color="auto"/>
              <w:left w:val="nil"/>
              <w:bottom w:val="nil"/>
              <w:right w:val="nil"/>
            </w:tcBorders>
          </w:tcPr>
          <w:p w14:paraId="0E73B951"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2 soils</w:t>
            </w:r>
          </w:p>
        </w:tc>
        <w:tc>
          <w:tcPr>
            <w:tcW w:w="557" w:type="pct"/>
            <w:tcBorders>
              <w:top w:val="single" w:sz="8" w:space="0" w:color="auto"/>
              <w:left w:val="nil"/>
              <w:bottom w:val="nil"/>
              <w:right w:val="nil"/>
            </w:tcBorders>
          </w:tcPr>
          <w:p w14:paraId="08990323"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ensitivity of SOC with different ages</w:t>
            </w:r>
          </w:p>
        </w:tc>
        <w:tc>
          <w:tcPr>
            <w:tcW w:w="557" w:type="pct"/>
            <w:tcBorders>
              <w:top w:val="single" w:sz="8" w:space="0" w:color="auto"/>
              <w:left w:val="nil"/>
              <w:bottom w:val="nil"/>
              <w:right w:val="nil"/>
            </w:tcBorders>
          </w:tcPr>
          <w:p w14:paraId="711A1DB8"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C types and N addition</w:t>
            </w:r>
          </w:p>
        </w:tc>
        <w:tc>
          <w:tcPr>
            <w:tcW w:w="586" w:type="pct"/>
            <w:tcBorders>
              <w:top w:val="single" w:sz="8" w:space="0" w:color="auto"/>
              <w:left w:val="nil"/>
              <w:bottom w:val="nil"/>
              <w:right w:val="nil"/>
            </w:tcBorders>
            <w:tcMar>
              <w:top w:w="72" w:type="dxa"/>
              <w:left w:w="144" w:type="dxa"/>
              <w:bottom w:w="72" w:type="dxa"/>
              <w:right w:w="144" w:type="dxa"/>
            </w:tcMar>
            <w:hideMark/>
          </w:tcPr>
          <w:p w14:paraId="11F30B0A" w14:textId="77777777"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H</w:t>
            </w:r>
            <w:r w:rsidRPr="00C128F6">
              <w:rPr>
                <w:rFonts w:ascii="Times New Roman" w:eastAsia="黑体" w:hAnsi="Times New Roman" w:cs="Times New Roman" w:hint="eastAsia"/>
                <w:color w:val="000000"/>
                <w:kern w:val="24"/>
                <w:sz w:val="20"/>
                <w:szCs w:val="20"/>
              </w:rPr>
              <w:t xml:space="preserve">igher priming effect on </w:t>
            </w:r>
            <w:r w:rsidRPr="00C128F6">
              <w:rPr>
                <w:rFonts w:ascii="Times New Roman" w:eastAsia="黑体" w:hAnsi="Times New Roman" w:cs="Times New Roman"/>
                <w:color w:val="000000"/>
                <w:kern w:val="24"/>
                <w:sz w:val="20"/>
                <w:szCs w:val="20"/>
              </w:rPr>
              <w:t>500-</w:t>
            </w:r>
            <w:r w:rsidRPr="00C128F6">
              <w:rPr>
                <w:rFonts w:ascii="Times New Roman" w:eastAsia="黑体" w:hAnsi="Times New Roman" w:cs="Times New Roman" w:hint="eastAsia"/>
                <w:color w:val="000000"/>
                <w:kern w:val="24"/>
                <w:sz w:val="20"/>
                <w:szCs w:val="20"/>
              </w:rPr>
              <w:t>y</w:t>
            </w:r>
            <w:r w:rsidRPr="00C128F6">
              <w:rPr>
                <w:rFonts w:ascii="Times New Roman" w:eastAsia="黑体" w:hAnsi="Times New Roman" w:cs="Times New Roman"/>
                <w:color w:val="000000"/>
                <w:kern w:val="24"/>
                <w:sz w:val="20"/>
                <w:szCs w:val="20"/>
              </w:rPr>
              <w:t xml:space="preserve">ear-old </w:t>
            </w:r>
            <w:r w:rsidRPr="00C128F6">
              <w:rPr>
                <w:rFonts w:ascii="Times New Roman" w:eastAsia="黑体" w:hAnsi="Times New Roman" w:cs="Times New Roman" w:hint="eastAsia"/>
                <w:color w:val="000000"/>
                <w:kern w:val="24"/>
                <w:sz w:val="20"/>
                <w:szCs w:val="20"/>
              </w:rPr>
              <w:t>C</w:t>
            </w:r>
            <w:r w:rsidRPr="00C128F6">
              <w:rPr>
                <w:rFonts w:ascii="Times New Roman" w:eastAsia="黑体" w:hAnsi="Times New Roman" w:cs="Times New Roman"/>
                <w:color w:val="000000"/>
                <w:kern w:val="24"/>
                <w:sz w:val="20"/>
                <w:szCs w:val="20"/>
              </w:rPr>
              <w:t xml:space="preserve"> than </w:t>
            </w:r>
            <w:r w:rsidRPr="00C128F6">
              <w:rPr>
                <w:rFonts w:ascii="Times New Roman" w:eastAsia="黑体" w:hAnsi="Times New Roman" w:cs="Times New Roman" w:hint="eastAsia"/>
                <w:color w:val="000000"/>
                <w:kern w:val="24"/>
                <w:sz w:val="20"/>
                <w:szCs w:val="20"/>
              </w:rPr>
              <w:t>older C</w:t>
            </w:r>
          </w:p>
        </w:tc>
      </w:tr>
      <w:tr w:rsidR="003F64CD" w:rsidRPr="00C128F6" w14:paraId="467C0C32" w14:textId="77777777" w:rsidTr="00730955">
        <w:trPr>
          <w:trHeight w:val="311"/>
        </w:trPr>
        <w:tc>
          <w:tcPr>
            <w:tcW w:w="635" w:type="pct"/>
            <w:tcBorders>
              <w:top w:val="single" w:sz="8" w:space="0" w:color="auto"/>
              <w:left w:val="nil"/>
              <w:bottom w:val="nil"/>
              <w:right w:val="nil"/>
            </w:tcBorders>
            <w:tcMar>
              <w:top w:w="72" w:type="dxa"/>
              <w:left w:w="144" w:type="dxa"/>
              <w:bottom w:w="72" w:type="dxa"/>
              <w:right w:w="144" w:type="dxa"/>
            </w:tcMar>
            <w:vAlign w:val="center"/>
          </w:tcPr>
          <w:p w14:paraId="42DED4F6" w14:textId="27B7FE0C" w:rsidR="00B3782C" w:rsidRPr="00C128F6" w:rsidRDefault="00B3782C"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Zhang et al. (2017)</w:t>
            </w:r>
          </w:p>
        </w:tc>
        <w:tc>
          <w:tcPr>
            <w:tcW w:w="702" w:type="pct"/>
            <w:tcBorders>
              <w:top w:val="single" w:sz="8" w:space="0" w:color="auto"/>
              <w:left w:val="nil"/>
              <w:bottom w:val="nil"/>
              <w:right w:val="nil"/>
            </w:tcBorders>
          </w:tcPr>
          <w:p w14:paraId="799CAEFD" w14:textId="74103F44" w:rsidR="00B3782C" w:rsidRPr="00C128F6" w:rsidRDefault="00B3782C"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C</w:t>
            </w:r>
            <w:r w:rsidRPr="00C128F6">
              <w:rPr>
                <w:rFonts w:ascii="Times New Roman" w:eastAsia="黑体" w:hAnsi="Times New Roman" w:cs="Times New Roman" w:hint="eastAsia"/>
                <w:color w:val="000000"/>
                <w:kern w:val="24"/>
                <w:sz w:val="20"/>
                <w:szCs w:val="20"/>
              </w:rPr>
              <w:t>ropland</w:t>
            </w:r>
          </w:p>
        </w:tc>
        <w:tc>
          <w:tcPr>
            <w:tcW w:w="702" w:type="pct"/>
            <w:tcBorders>
              <w:top w:val="single" w:sz="8" w:space="0" w:color="auto"/>
              <w:left w:val="nil"/>
              <w:bottom w:val="nil"/>
              <w:right w:val="nil"/>
            </w:tcBorders>
          </w:tcPr>
          <w:p w14:paraId="0AF22702" w14:textId="24C82A10" w:rsidR="00B3782C" w:rsidRPr="00C128F6" w:rsidRDefault="00B3782C"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 xml:space="preserve">oil incubated with </w:t>
            </w:r>
            <w:r w:rsidRPr="00C128F6">
              <w:rPr>
                <w:rFonts w:ascii="Times New Roman" w:eastAsia="黑体" w:hAnsi="Times New Roman" w:cs="Times New Roman"/>
                <w:color w:val="000000"/>
                <w:kern w:val="24"/>
                <w:sz w:val="20"/>
                <w:szCs w:val="20"/>
              </w:rPr>
              <w:t>maize lea</w:t>
            </w:r>
            <w:r w:rsidR="003F64CD" w:rsidRPr="00C128F6">
              <w:rPr>
                <w:rFonts w:ascii="Times New Roman" w:eastAsia="黑体" w:hAnsi="Times New Roman" w:cs="Times New Roman" w:hint="eastAsia"/>
                <w:color w:val="000000"/>
                <w:kern w:val="24"/>
                <w:sz w:val="20"/>
                <w:szCs w:val="20"/>
              </w:rPr>
              <w:t>ves</w:t>
            </w:r>
          </w:p>
        </w:tc>
        <w:tc>
          <w:tcPr>
            <w:tcW w:w="702" w:type="pct"/>
            <w:tcBorders>
              <w:top w:val="single" w:sz="8" w:space="0" w:color="auto"/>
              <w:left w:val="nil"/>
              <w:bottom w:val="nil"/>
              <w:right w:val="nil"/>
            </w:tcBorders>
            <w:tcMar>
              <w:top w:w="72" w:type="dxa"/>
              <w:left w:w="144" w:type="dxa"/>
              <w:bottom w:w="72" w:type="dxa"/>
              <w:right w:w="144" w:type="dxa"/>
            </w:tcMar>
          </w:tcPr>
          <w:p w14:paraId="06CF3E63" w14:textId="7CE1C833" w:rsidR="00B3782C" w:rsidRPr="00C128F6" w:rsidRDefault="00966DD2"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A</w:t>
            </w:r>
            <w:r w:rsidRPr="00C128F6">
              <w:rPr>
                <w:rFonts w:ascii="Times New Roman" w:eastAsia="黑体" w:hAnsi="Times New Roman" w:cs="Times New Roman" w:hint="eastAsia"/>
                <w:color w:val="000000"/>
                <w:kern w:val="24"/>
                <w:sz w:val="20"/>
                <w:szCs w:val="20"/>
              </w:rPr>
              <w:t xml:space="preserve">rable </w:t>
            </w:r>
            <w:r w:rsidRPr="00C128F6">
              <w:rPr>
                <w:rFonts w:ascii="Times New Roman" w:eastAsia="黑体" w:hAnsi="Times New Roman" w:cs="Times New Roman"/>
                <w:i/>
                <w:iCs/>
                <w:color w:val="000000"/>
                <w:kern w:val="24"/>
                <w:sz w:val="20"/>
                <w:szCs w:val="20"/>
              </w:rPr>
              <w:t>versus</w:t>
            </w:r>
            <w:r w:rsidRPr="00C128F6">
              <w:rPr>
                <w:rFonts w:ascii="Times New Roman" w:eastAsia="黑体" w:hAnsi="Times New Roman" w:cs="Times New Roman" w:hint="eastAsia"/>
                <w:color w:val="000000"/>
                <w:kern w:val="24"/>
                <w:sz w:val="20"/>
                <w:szCs w:val="20"/>
              </w:rPr>
              <w:t xml:space="preserve"> bare-</w:t>
            </w:r>
            <w:r w:rsidRPr="00C128F6">
              <w:rPr>
                <w:rFonts w:ascii="Times New Roman" w:eastAsia="黑体" w:hAnsi="Times New Roman" w:cs="Times New Roman"/>
                <w:color w:val="000000"/>
                <w:kern w:val="24"/>
                <w:sz w:val="20"/>
                <w:szCs w:val="20"/>
              </w:rPr>
              <w:t xml:space="preserve">fallow </w:t>
            </w:r>
            <w:r w:rsidRPr="00C128F6">
              <w:rPr>
                <w:rFonts w:ascii="Times New Roman" w:eastAsia="黑体" w:hAnsi="Times New Roman" w:cs="Times New Roman" w:hint="eastAsia"/>
                <w:color w:val="000000"/>
                <w:kern w:val="24"/>
                <w:sz w:val="20"/>
                <w:szCs w:val="20"/>
              </w:rPr>
              <w:t>soil</w:t>
            </w:r>
            <w:r w:rsidRPr="00C128F6">
              <w:rPr>
                <w:rFonts w:ascii="Times New Roman" w:eastAsia="黑体" w:hAnsi="Times New Roman" w:cs="Times New Roman"/>
                <w:color w:val="000000"/>
                <w:kern w:val="24"/>
                <w:sz w:val="20"/>
                <w:szCs w:val="20"/>
              </w:rPr>
              <w:t>s</w:t>
            </w:r>
          </w:p>
        </w:tc>
        <w:tc>
          <w:tcPr>
            <w:tcW w:w="557" w:type="pct"/>
            <w:tcBorders>
              <w:top w:val="single" w:sz="8" w:space="0" w:color="auto"/>
              <w:left w:val="nil"/>
              <w:bottom w:val="nil"/>
              <w:right w:val="nil"/>
            </w:tcBorders>
          </w:tcPr>
          <w:p w14:paraId="57991A74" w14:textId="3FEBD641" w:rsidR="00B3782C" w:rsidRPr="00C128F6" w:rsidRDefault="00966DD2"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2 soils</w:t>
            </w:r>
          </w:p>
        </w:tc>
        <w:tc>
          <w:tcPr>
            <w:tcW w:w="557" w:type="pct"/>
            <w:tcBorders>
              <w:top w:val="single" w:sz="8" w:space="0" w:color="auto"/>
              <w:left w:val="nil"/>
              <w:bottom w:val="nil"/>
              <w:right w:val="nil"/>
            </w:tcBorders>
          </w:tcPr>
          <w:p w14:paraId="2798C0B7" w14:textId="78A21730" w:rsidR="00B3782C" w:rsidRPr="00C128F6" w:rsidRDefault="001342DF"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P</w:t>
            </w:r>
            <w:r w:rsidR="003F64CD" w:rsidRPr="00C128F6">
              <w:rPr>
                <w:rFonts w:ascii="Times New Roman" w:eastAsia="黑体" w:hAnsi="Times New Roman" w:cs="Times New Roman" w:hint="eastAsia"/>
                <w:color w:val="000000"/>
                <w:kern w:val="24"/>
                <w:sz w:val="20"/>
                <w:szCs w:val="20"/>
              </w:rPr>
              <w:t>hases</w:t>
            </w:r>
            <w:r w:rsidRPr="00C128F6">
              <w:rPr>
                <w:rFonts w:ascii="Times New Roman" w:eastAsia="黑体" w:hAnsi="Times New Roman" w:cs="Times New Roman" w:hint="eastAsia"/>
                <w:color w:val="000000"/>
                <w:kern w:val="24"/>
                <w:sz w:val="20"/>
                <w:szCs w:val="20"/>
              </w:rPr>
              <w:t xml:space="preserve"> of priming;</w:t>
            </w:r>
            <w:r w:rsidR="003F64CD" w:rsidRPr="00C128F6">
              <w:rPr>
                <w:rFonts w:ascii="Times New Roman" w:eastAsia="黑体" w:hAnsi="Times New Roman" w:cs="Times New Roman" w:hint="eastAsia"/>
                <w:color w:val="000000"/>
                <w:kern w:val="24"/>
                <w:sz w:val="20"/>
                <w:szCs w:val="20"/>
              </w:rPr>
              <w:t xml:space="preserve"> </w:t>
            </w:r>
            <w:r w:rsidRPr="00C128F6">
              <w:rPr>
                <w:rFonts w:ascii="Times New Roman" w:eastAsia="黑体" w:hAnsi="Times New Roman" w:cs="Times New Roman" w:hint="eastAsia"/>
                <w:color w:val="000000"/>
                <w:kern w:val="24"/>
                <w:sz w:val="20"/>
                <w:szCs w:val="20"/>
              </w:rPr>
              <w:t>v</w:t>
            </w:r>
            <w:r w:rsidR="003B4139" w:rsidRPr="00C128F6">
              <w:rPr>
                <w:rFonts w:ascii="Times New Roman" w:eastAsia="黑体" w:hAnsi="Times New Roman" w:cs="Times New Roman"/>
                <w:color w:val="000000"/>
                <w:kern w:val="24"/>
                <w:sz w:val="20"/>
                <w:szCs w:val="20"/>
              </w:rPr>
              <w:t>ulnerability</w:t>
            </w:r>
            <w:r w:rsidR="003B4139" w:rsidRPr="00C128F6">
              <w:rPr>
                <w:rFonts w:ascii="Times New Roman" w:eastAsia="黑体" w:hAnsi="Times New Roman" w:cs="Times New Roman" w:hint="eastAsia"/>
                <w:color w:val="000000"/>
                <w:kern w:val="24"/>
                <w:sz w:val="20"/>
                <w:szCs w:val="20"/>
              </w:rPr>
              <w:t xml:space="preserve"> of SOC pools</w:t>
            </w:r>
          </w:p>
        </w:tc>
        <w:tc>
          <w:tcPr>
            <w:tcW w:w="557" w:type="pct"/>
            <w:tcBorders>
              <w:top w:val="single" w:sz="8" w:space="0" w:color="auto"/>
              <w:left w:val="nil"/>
              <w:bottom w:val="nil"/>
              <w:right w:val="nil"/>
            </w:tcBorders>
          </w:tcPr>
          <w:p w14:paraId="2A25E787" w14:textId="238F11E9" w:rsidR="00B3782C" w:rsidRPr="00C128F6" w:rsidRDefault="003F64CD"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oil property</w:t>
            </w:r>
          </w:p>
        </w:tc>
        <w:tc>
          <w:tcPr>
            <w:tcW w:w="586" w:type="pct"/>
            <w:tcBorders>
              <w:top w:val="single" w:sz="8" w:space="0" w:color="auto"/>
              <w:left w:val="nil"/>
              <w:bottom w:val="nil"/>
              <w:right w:val="nil"/>
            </w:tcBorders>
            <w:tcMar>
              <w:top w:w="72" w:type="dxa"/>
              <w:left w:w="144" w:type="dxa"/>
              <w:bottom w:w="72" w:type="dxa"/>
              <w:right w:w="144" w:type="dxa"/>
            </w:tcMar>
          </w:tcPr>
          <w:p w14:paraId="0B2FDE9E" w14:textId="752EC7A1" w:rsidR="00B3782C" w:rsidRPr="00C128F6" w:rsidRDefault="007253DD"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N</w:t>
            </w:r>
            <w:r w:rsidRPr="00C128F6">
              <w:rPr>
                <w:rFonts w:ascii="Times New Roman" w:eastAsia="黑体" w:hAnsi="Times New Roman" w:cs="Times New Roman" w:hint="eastAsia"/>
                <w:color w:val="000000"/>
                <w:kern w:val="24"/>
                <w:sz w:val="20"/>
                <w:szCs w:val="20"/>
              </w:rPr>
              <w:t>o difference between SOC pools</w:t>
            </w:r>
          </w:p>
        </w:tc>
      </w:tr>
      <w:tr w:rsidR="003F64CD" w:rsidRPr="00C128F6" w14:paraId="6A704DCF" w14:textId="77777777" w:rsidTr="00730955">
        <w:trPr>
          <w:trHeight w:val="311"/>
        </w:trPr>
        <w:tc>
          <w:tcPr>
            <w:tcW w:w="635" w:type="pct"/>
            <w:tcBorders>
              <w:top w:val="single" w:sz="8" w:space="0" w:color="000000"/>
              <w:left w:val="nil"/>
              <w:bottom w:val="single" w:sz="8" w:space="0" w:color="auto"/>
              <w:right w:val="nil"/>
            </w:tcBorders>
            <w:tcMar>
              <w:top w:w="72" w:type="dxa"/>
              <w:left w:w="144" w:type="dxa"/>
              <w:bottom w:w="72" w:type="dxa"/>
              <w:right w:w="144" w:type="dxa"/>
            </w:tcMar>
            <w:vAlign w:val="center"/>
            <w:hideMark/>
          </w:tcPr>
          <w:p w14:paraId="49EE891D" w14:textId="77777777"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 xml:space="preserve">Zhang et al. </w:t>
            </w:r>
            <w:r w:rsidRPr="00C128F6">
              <w:rPr>
                <w:rFonts w:ascii="Times New Roman" w:eastAsia="黑体" w:hAnsi="Times New Roman" w:cs="Times New Roman" w:hint="eastAsia"/>
                <w:color w:val="000000"/>
                <w:kern w:val="24"/>
                <w:sz w:val="20"/>
                <w:szCs w:val="20"/>
              </w:rPr>
              <w:t>(</w:t>
            </w:r>
            <w:r w:rsidRPr="00C128F6">
              <w:rPr>
                <w:rFonts w:ascii="Times New Roman" w:eastAsia="黑体" w:hAnsi="Times New Roman" w:cs="Times New Roman"/>
                <w:color w:val="000000"/>
                <w:kern w:val="24"/>
                <w:sz w:val="20"/>
                <w:szCs w:val="20"/>
              </w:rPr>
              <w:t>2023</w:t>
            </w:r>
            <w:r w:rsidRPr="00C128F6">
              <w:rPr>
                <w:rFonts w:ascii="Times New Roman" w:eastAsia="黑体" w:hAnsi="Times New Roman" w:cs="Times New Roman" w:hint="eastAsia"/>
                <w:color w:val="000000"/>
                <w:kern w:val="24"/>
                <w:sz w:val="20"/>
                <w:szCs w:val="20"/>
              </w:rPr>
              <w:t>)</w:t>
            </w:r>
          </w:p>
        </w:tc>
        <w:tc>
          <w:tcPr>
            <w:tcW w:w="702" w:type="pct"/>
            <w:tcBorders>
              <w:top w:val="single" w:sz="8" w:space="0" w:color="000000"/>
              <w:left w:val="nil"/>
              <w:bottom w:val="single" w:sz="8" w:space="0" w:color="auto"/>
              <w:right w:val="nil"/>
            </w:tcBorders>
          </w:tcPr>
          <w:p w14:paraId="363FB2CF" w14:textId="10B66A4D" w:rsidR="002067A6" w:rsidRPr="00C128F6" w:rsidRDefault="00E51D59"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C</w:t>
            </w:r>
            <w:r w:rsidRPr="00C128F6">
              <w:rPr>
                <w:rFonts w:ascii="Times New Roman" w:eastAsia="黑体" w:hAnsi="Times New Roman" w:cs="Times New Roman" w:hint="eastAsia"/>
                <w:color w:val="000000"/>
                <w:kern w:val="24"/>
                <w:sz w:val="20"/>
                <w:szCs w:val="20"/>
              </w:rPr>
              <w:t>ropland</w:t>
            </w:r>
          </w:p>
        </w:tc>
        <w:tc>
          <w:tcPr>
            <w:tcW w:w="702" w:type="pct"/>
            <w:tcBorders>
              <w:top w:val="single" w:sz="8" w:space="0" w:color="000000"/>
              <w:left w:val="nil"/>
              <w:bottom w:val="single" w:sz="8" w:space="0" w:color="auto"/>
              <w:right w:val="nil"/>
            </w:tcBorders>
          </w:tcPr>
          <w:p w14:paraId="5F0F09CE" w14:textId="2FB462D1"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P</w:t>
            </w:r>
            <w:r w:rsidRPr="00C128F6">
              <w:rPr>
                <w:rFonts w:ascii="Times New Roman" w:eastAsia="黑体" w:hAnsi="Times New Roman" w:cs="Times New Roman" w:hint="eastAsia"/>
                <w:color w:val="000000"/>
                <w:kern w:val="24"/>
                <w:sz w:val="20"/>
                <w:szCs w:val="20"/>
              </w:rPr>
              <w:t xml:space="preserve">lants grown in different soils and </w:t>
            </w:r>
            <w:r w:rsidRPr="00C128F6">
              <w:rPr>
                <w:rFonts w:ascii="Times New Roman" w:eastAsia="黑体" w:hAnsi="Times New Roman" w:cs="Times New Roman"/>
                <w:color w:val="000000"/>
                <w:kern w:val="24"/>
                <w:sz w:val="20"/>
                <w:szCs w:val="20"/>
              </w:rPr>
              <w:t>meta-analysis</w:t>
            </w:r>
          </w:p>
          <w:p w14:paraId="5EF80FBB"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p>
        </w:tc>
        <w:tc>
          <w:tcPr>
            <w:tcW w:w="702" w:type="pct"/>
            <w:tcBorders>
              <w:top w:val="single" w:sz="8" w:space="0" w:color="000000"/>
              <w:left w:val="nil"/>
              <w:bottom w:val="single" w:sz="8" w:space="0" w:color="auto"/>
              <w:right w:val="nil"/>
            </w:tcBorders>
            <w:tcMar>
              <w:top w:w="72" w:type="dxa"/>
              <w:left w:w="144" w:type="dxa"/>
              <w:bottom w:w="72" w:type="dxa"/>
              <w:right w:w="144" w:type="dxa"/>
            </w:tcMar>
            <w:hideMark/>
          </w:tcPr>
          <w:p w14:paraId="6D806859" w14:textId="35943514"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oil preincubation</w:t>
            </w:r>
            <w:r w:rsidRPr="00C128F6">
              <w:rPr>
                <w:rFonts w:ascii="Times New Roman" w:eastAsia="黑体" w:hAnsi="Times New Roman" w:cs="Times New Roman"/>
                <w:color w:val="000000"/>
                <w:kern w:val="24"/>
                <w:sz w:val="20"/>
                <w:szCs w:val="20"/>
              </w:rPr>
              <w:t xml:space="preserve"> </w:t>
            </w:r>
            <w:r w:rsidRPr="00C128F6">
              <w:rPr>
                <w:rFonts w:ascii="Times New Roman" w:eastAsia="黑体" w:hAnsi="Times New Roman" w:cs="Times New Roman" w:hint="eastAsia"/>
                <w:color w:val="000000"/>
                <w:kern w:val="24"/>
                <w:sz w:val="20"/>
                <w:szCs w:val="20"/>
              </w:rPr>
              <w:t xml:space="preserve">and </w:t>
            </w:r>
            <w:r w:rsidR="00E51D59" w:rsidRPr="00C128F6">
              <w:rPr>
                <w:rFonts w:ascii="Times New Roman" w:eastAsia="黑体" w:hAnsi="Times New Roman" w:cs="Times New Roman" w:hint="eastAsia"/>
                <w:color w:val="000000"/>
                <w:kern w:val="24"/>
                <w:sz w:val="20"/>
                <w:szCs w:val="20"/>
              </w:rPr>
              <w:t xml:space="preserve">arable </w:t>
            </w:r>
            <w:r w:rsidRPr="00C128F6">
              <w:rPr>
                <w:rFonts w:ascii="Times New Roman" w:eastAsia="黑体" w:hAnsi="Times New Roman" w:cs="Times New Roman"/>
                <w:i/>
                <w:iCs/>
                <w:color w:val="000000"/>
                <w:kern w:val="24"/>
                <w:sz w:val="20"/>
                <w:szCs w:val="20"/>
              </w:rPr>
              <w:t>versus</w:t>
            </w:r>
            <w:r w:rsidRPr="00C128F6">
              <w:rPr>
                <w:rFonts w:ascii="Times New Roman" w:eastAsia="黑体" w:hAnsi="Times New Roman" w:cs="Times New Roman" w:hint="eastAsia"/>
                <w:color w:val="000000"/>
                <w:kern w:val="24"/>
                <w:sz w:val="20"/>
                <w:szCs w:val="20"/>
              </w:rPr>
              <w:t xml:space="preserve"> </w:t>
            </w:r>
            <w:r w:rsidR="00E51D59" w:rsidRPr="00C128F6">
              <w:rPr>
                <w:rFonts w:ascii="Times New Roman" w:eastAsia="黑体" w:hAnsi="Times New Roman" w:cs="Times New Roman" w:hint="eastAsia"/>
                <w:color w:val="000000"/>
                <w:kern w:val="24"/>
                <w:sz w:val="20"/>
                <w:szCs w:val="20"/>
              </w:rPr>
              <w:t>bare-</w:t>
            </w:r>
            <w:r w:rsidRPr="00C128F6">
              <w:rPr>
                <w:rFonts w:ascii="Times New Roman" w:eastAsia="黑体" w:hAnsi="Times New Roman" w:cs="Times New Roman"/>
                <w:color w:val="000000"/>
                <w:kern w:val="24"/>
                <w:sz w:val="20"/>
                <w:szCs w:val="20"/>
              </w:rPr>
              <w:t xml:space="preserve">fallow </w:t>
            </w:r>
            <w:r w:rsidRPr="00C128F6">
              <w:rPr>
                <w:rFonts w:ascii="Times New Roman" w:eastAsia="黑体" w:hAnsi="Times New Roman" w:cs="Times New Roman" w:hint="eastAsia"/>
                <w:color w:val="000000"/>
                <w:kern w:val="24"/>
                <w:sz w:val="20"/>
                <w:szCs w:val="20"/>
              </w:rPr>
              <w:t>soil</w:t>
            </w:r>
            <w:r w:rsidRPr="00C128F6">
              <w:rPr>
                <w:rFonts w:ascii="Times New Roman" w:eastAsia="黑体" w:hAnsi="Times New Roman" w:cs="Times New Roman"/>
                <w:color w:val="000000"/>
                <w:kern w:val="24"/>
                <w:sz w:val="20"/>
                <w:szCs w:val="20"/>
              </w:rPr>
              <w:t>s</w:t>
            </w:r>
          </w:p>
        </w:tc>
        <w:tc>
          <w:tcPr>
            <w:tcW w:w="557" w:type="pct"/>
            <w:tcBorders>
              <w:top w:val="single" w:sz="8" w:space="0" w:color="000000"/>
              <w:left w:val="nil"/>
              <w:bottom w:val="single" w:sz="8" w:space="0" w:color="auto"/>
              <w:right w:val="nil"/>
            </w:tcBorders>
          </w:tcPr>
          <w:p w14:paraId="7230225A"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2 soils for planting; 42 observations</w:t>
            </w:r>
          </w:p>
        </w:tc>
        <w:tc>
          <w:tcPr>
            <w:tcW w:w="557" w:type="pct"/>
            <w:tcBorders>
              <w:top w:val="single" w:sz="8" w:space="0" w:color="000000"/>
              <w:left w:val="nil"/>
              <w:bottom w:val="single" w:sz="8" w:space="0" w:color="auto"/>
              <w:right w:val="nil"/>
            </w:tcBorders>
          </w:tcPr>
          <w:p w14:paraId="3BA2D8FF"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Vulnerability</w:t>
            </w:r>
            <w:r w:rsidRPr="00C128F6">
              <w:rPr>
                <w:rFonts w:ascii="Times New Roman" w:eastAsia="黑体" w:hAnsi="Times New Roman" w:cs="Times New Roman" w:hint="eastAsia"/>
                <w:color w:val="000000"/>
                <w:kern w:val="24"/>
                <w:sz w:val="20"/>
                <w:szCs w:val="20"/>
              </w:rPr>
              <w:t xml:space="preserve"> of SOC pools</w:t>
            </w:r>
          </w:p>
        </w:tc>
        <w:tc>
          <w:tcPr>
            <w:tcW w:w="557" w:type="pct"/>
            <w:tcBorders>
              <w:top w:val="single" w:sz="8" w:space="0" w:color="000000"/>
              <w:left w:val="nil"/>
              <w:bottom w:val="single" w:sz="8" w:space="0" w:color="000000"/>
              <w:right w:val="nil"/>
            </w:tcBorders>
          </w:tcPr>
          <w:p w14:paraId="716B83AD" w14:textId="77777777" w:rsidR="002067A6" w:rsidRPr="00C128F6" w:rsidRDefault="002067A6" w:rsidP="00552C1E">
            <w:pPr>
              <w:widowControl/>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SOC, C:N, MBC</w:t>
            </w:r>
          </w:p>
        </w:tc>
        <w:tc>
          <w:tcPr>
            <w:tcW w:w="586" w:type="pct"/>
            <w:tcBorders>
              <w:top w:val="single" w:sz="8" w:space="0" w:color="000000"/>
              <w:left w:val="nil"/>
              <w:bottom w:val="single" w:sz="8" w:space="0" w:color="000000"/>
              <w:right w:val="nil"/>
            </w:tcBorders>
            <w:tcMar>
              <w:top w:w="72" w:type="dxa"/>
              <w:left w:w="144" w:type="dxa"/>
              <w:bottom w:w="72" w:type="dxa"/>
              <w:right w:w="144" w:type="dxa"/>
            </w:tcMar>
            <w:hideMark/>
          </w:tcPr>
          <w:p w14:paraId="44A78A45" w14:textId="77777777" w:rsidR="002067A6" w:rsidRPr="00C128F6" w:rsidRDefault="002067A6" w:rsidP="00552C1E">
            <w:pPr>
              <w:widowControl/>
              <w:jc w:val="center"/>
              <w:rPr>
                <w:rFonts w:ascii="Arial" w:eastAsia="宋体" w:hAnsi="Arial" w:cs="Arial"/>
                <w:kern w:val="0"/>
                <w:sz w:val="20"/>
                <w:szCs w:val="20"/>
              </w:rPr>
            </w:pPr>
            <w:r w:rsidRPr="00C128F6">
              <w:rPr>
                <w:rFonts w:ascii="Times New Roman" w:eastAsia="黑体" w:hAnsi="Times New Roman" w:cs="Times New Roman"/>
                <w:color w:val="000000"/>
                <w:kern w:val="24"/>
                <w:sz w:val="20"/>
                <w:szCs w:val="20"/>
              </w:rPr>
              <w:t>Higher priming effect o</w:t>
            </w:r>
            <w:r w:rsidRPr="00C128F6">
              <w:rPr>
                <w:rFonts w:ascii="Times New Roman" w:eastAsia="黑体" w:hAnsi="Times New Roman" w:cs="Times New Roman" w:hint="eastAsia"/>
                <w:color w:val="000000"/>
                <w:kern w:val="24"/>
                <w:sz w:val="20"/>
                <w:szCs w:val="20"/>
              </w:rPr>
              <w:t>n</w:t>
            </w:r>
            <w:r w:rsidRPr="00C128F6">
              <w:rPr>
                <w:rFonts w:ascii="Times New Roman" w:eastAsia="黑体" w:hAnsi="Times New Roman" w:cs="Times New Roman"/>
                <w:color w:val="000000"/>
                <w:kern w:val="24"/>
                <w:sz w:val="20"/>
                <w:szCs w:val="20"/>
              </w:rPr>
              <w:t xml:space="preserve"> stable SOC</w:t>
            </w:r>
          </w:p>
        </w:tc>
      </w:tr>
      <w:tr w:rsidR="003F64CD" w:rsidRPr="00C128F6" w14:paraId="6744E2F5" w14:textId="77777777" w:rsidTr="00730955">
        <w:trPr>
          <w:trHeight w:val="311"/>
        </w:trPr>
        <w:tc>
          <w:tcPr>
            <w:tcW w:w="635" w:type="pct"/>
            <w:tcBorders>
              <w:top w:val="single" w:sz="8" w:space="0" w:color="auto"/>
              <w:left w:val="nil"/>
              <w:bottom w:val="single" w:sz="4" w:space="0" w:color="auto"/>
              <w:right w:val="nil"/>
            </w:tcBorders>
            <w:tcMar>
              <w:top w:w="72" w:type="dxa"/>
              <w:left w:w="144" w:type="dxa"/>
              <w:bottom w:w="72" w:type="dxa"/>
              <w:right w:w="144" w:type="dxa"/>
            </w:tcMar>
            <w:vAlign w:val="center"/>
          </w:tcPr>
          <w:p w14:paraId="7165E8BF"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lastRenderedPageBreak/>
              <w:t>Zheng et al. (2023)</w:t>
            </w:r>
          </w:p>
        </w:tc>
        <w:tc>
          <w:tcPr>
            <w:tcW w:w="702" w:type="pct"/>
            <w:tcBorders>
              <w:top w:val="single" w:sz="8" w:space="0" w:color="auto"/>
              <w:left w:val="nil"/>
              <w:bottom w:val="single" w:sz="4" w:space="0" w:color="auto"/>
              <w:right w:val="nil"/>
            </w:tcBorders>
          </w:tcPr>
          <w:p w14:paraId="688DE16D" w14:textId="0E090B33" w:rsidR="002067A6" w:rsidRPr="00C128F6" w:rsidRDefault="006D0CD8"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C</w:t>
            </w:r>
            <w:r w:rsidRPr="00C128F6">
              <w:rPr>
                <w:rFonts w:ascii="Times New Roman" w:eastAsia="黑体" w:hAnsi="Times New Roman" w:cs="Times New Roman" w:hint="eastAsia"/>
                <w:color w:val="000000"/>
                <w:kern w:val="24"/>
                <w:sz w:val="20"/>
                <w:szCs w:val="20"/>
              </w:rPr>
              <w:t>ropland and forest</w:t>
            </w:r>
          </w:p>
        </w:tc>
        <w:tc>
          <w:tcPr>
            <w:tcW w:w="702" w:type="pct"/>
            <w:tcBorders>
              <w:top w:val="single" w:sz="8" w:space="0" w:color="auto"/>
              <w:left w:val="nil"/>
              <w:bottom w:val="single" w:sz="4" w:space="0" w:color="auto"/>
              <w:right w:val="nil"/>
            </w:tcBorders>
          </w:tcPr>
          <w:p w14:paraId="6D9ECC76" w14:textId="11B38778" w:rsidR="002067A6" w:rsidRPr="00C128F6" w:rsidRDefault="002067A6" w:rsidP="00552C1E">
            <w:pPr>
              <w:widowControl/>
              <w:jc w:val="center"/>
              <w:rPr>
                <w:rFonts w:ascii="Times New Roman" w:eastAsia="黑体" w:hAnsi="Times New Roman" w:cs="Times New Roman"/>
                <w:color w:val="000000"/>
                <w:kern w:val="24"/>
                <w:sz w:val="20"/>
                <w:szCs w:val="20"/>
              </w:rPr>
            </w:pPr>
            <w:bookmarkStart w:id="2" w:name="OLE_LINK2"/>
            <w:r w:rsidRPr="00C128F6">
              <w:rPr>
                <w:rFonts w:ascii="Times New Roman" w:eastAsia="黑体" w:hAnsi="Times New Roman" w:cs="Times New Roman"/>
                <w:color w:val="000000"/>
                <w:kern w:val="24"/>
                <w:sz w:val="20"/>
                <w:szCs w:val="20"/>
              </w:rPr>
              <w:t>S</w:t>
            </w:r>
            <w:r w:rsidRPr="00C128F6">
              <w:rPr>
                <w:rFonts w:ascii="Times New Roman" w:eastAsia="黑体" w:hAnsi="Times New Roman" w:cs="Times New Roman" w:hint="eastAsia"/>
                <w:color w:val="000000"/>
                <w:kern w:val="24"/>
                <w:sz w:val="20"/>
                <w:szCs w:val="20"/>
              </w:rPr>
              <w:t xml:space="preserve">oil incubated with </w:t>
            </w:r>
            <w:r w:rsidR="005E6B10" w:rsidRPr="00C128F6">
              <w:rPr>
                <w:rFonts w:ascii="Times New Roman" w:eastAsia="黑体" w:hAnsi="Times New Roman" w:cs="Times New Roman"/>
                <w:color w:val="000000"/>
                <w:kern w:val="24"/>
                <w:sz w:val="20"/>
                <w:szCs w:val="20"/>
                <w:vertAlign w:val="superscript"/>
              </w:rPr>
              <w:t>13</w:t>
            </w:r>
            <w:r w:rsidR="005E6B10" w:rsidRPr="00C128F6">
              <w:rPr>
                <w:rFonts w:ascii="Times New Roman" w:eastAsia="黑体" w:hAnsi="Times New Roman" w:cs="Times New Roman" w:hint="eastAsia"/>
                <w:color w:val="000000"/>
                <w:kern w:val="24"/>
                <w:sz w:val="20"/>
                <w:szCs w:val="20"/>
              </w:rPr>
              <w:t>C-</w:t>
            </w:r>
            <w:r w:rsidRPr="00C128F6">
              <w:rPr>
                <w:rFonts w:ascii="Times New Roman" w:eastAsia="黑体" w:hAnsi="Times New Roman" w:cs="Times New Roman" w:hint="eastAsia"/>
                <w:color w:val="000000"/>
                <w:kern w:val="24"/>
                <w:sz w:val="20"/>
                <w:szCs w:val="20"/>
              </w:rPr>
              <w:t>labelled glucose</w:t>
            </w:r>
            <w:bookmarkEnd w:id="2"/>
          </w:p>
        </w:tc>
        <w:tc>
          <w:tcPr>
            <w:tcW w:w="702" w:type="pct"/>
            <w:tcBorders>
              <w:top w:val="single" w:sz="8" w:space="0" w:color="auto"/>
              <w:left w:val="nil"/>
              <w:bottom w:val="single" w:sz="4" w:space="0" w:color="auto"/>
              <w:right w:val="nil"/>
            </w:tcBorders>
            <w:tcMar>
              <w:top w:w="72" w:type="dxa"/>
              <w:left w:w="144" w:type="dxa"/>
              <w:bottom w:w="72" w:type="dxa"/>
              <w:right w:w="144" w:type="dxa"/>
            </w:tcMar>
          </w:tcPr>
          <w:p w14:paraId="0016CC6C" w14:textId="64A464F4" w:rsidR="002067A6" w:rsidRPr="00C128F6" w:rsidDel="00E227A9"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I</w:t>
            </w:r>
            <w:r w:rsidRPr="00C128F6">
              <w:rPr>
                <w:rFonts w:ascii="Times New Roman" w:eastAsia="黑体" w:hAnsi="Times New Roman" w:cs="Times New Roman" w:hint="eastAsia"/>
                <w:color w:val="000000"/>
                <w:kern w:val="24"/>
                <w:sz w:val="20"/>
                <w:szCs w:val="20"/>
              </w:rPr>
              <w:t>solated SOC pools separated by sieving</w:t>
            </w:r>
          </w:p>
        </w:tc>
        <w:tc>
          <w:tcPr>
            <w:tcW w:w="557" w:type="pct"/>
            <w:tcBorders>
              <w:top w:val="single" w:sz="8" w:space="0" w:color="auto"/>
              <w:left w:val="nil"/>
              <w:bottom w:val="single" w:sz="4" w:space="0" w:color="auto"/>
              <w:right w:val="nil"/>
            </w:tcBorders>
          </w:tcPr>
          <w:p w14:paraId="05AD00F6"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2 soils</w:t>
            </w:r>
          </w:p>
        </w:tc>
        <w:tc>
          <w:tcPr>
            <w:tcW w:w="557" w:type="pct"/>
            <w:tcBorders>
              <w:top w:val="single" w:sz="8" w:space="0" w:color="auto"/>
              <w:left w:val="nil"/>
              <w:bottom w:val="single" w:sz="4" w:space="0" w:color="auto"/>
              <w:right w:val="nil"/>
            </w:tcBorders>
          </w:tcPr>
          <w:p w14:paraId="590A99E9"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P</w:t>
            </w:r>
            <w:r w:rsidRPr="00C128F6">
              <w:rPr>
                <w:rFonts w:ascii="Times New Roman" w:eastAsia="黑体" w:hAnsi="Times New Roman" w:cs="Times New Roman" w:hint="eastAsia"/>
                <w:color w:val="000000"/>
                <w:kern w:val="24"/>
                <w:sz w:val="20"/>
                <w:szCs w:val="20"/>
              </w:rPr>
              <w:t xml:space="preserve">riming effect on POM-C </w:t>
            </w:r>
            <w:r w:rsidRPr="00C128F6">
              <w:rPr>
                <w:rFonts w:ascii="Times New Roman" w:eastAsia="黑体" w:hAnsi="Times New Roman" w:cs="Times New Roman"/>
                <w:i/>
                <w:iCs/>
                <w:color w:val="000000"/>
                <w:kern w:val="24"/>
                <w:sz w:val="20"/>
                <w:szCs w:val="20"/>
              </w:rPr>
              <w:t>versus</w:t>
            </w:r>
            <w:r w:rsidRPr="00C128F6">
              <w:rPr>
                <w:rFonts w:ascii="Times New Roman" w:eastAsia="黑体" w:hAnsi="Times New Roman" w:cs="Times New Roman" w:hint="eastAsia"/>
                <w:color w:val="000000"/>
                <w:kern w:val="24"/>
                <w:sz w:val="20"/>
                <w:szCs w:val="20"/>
              </w:rPr>
              <w:t xml:space="preserve"> MAOM-C</w:t>
            </w:r>
          </w:p>
        </w:tc>
        <w:tc>
          <w:tcPr>
            <w:tcW w:w="557" w:type="pct"/>
            <w:tcBorders>
              <w:top w:val="single" w:sz="8" w:space="0" w:color="000000"/>
              <w:left w:val="nil"/>
              <w:bottom w:val="single" w:sz="4" w:space="0" w:color="auto"/>
              <w:right w:val="nil"/>
            </w:tcBorders>
          </w:tcPr>
          <w:p w14:paraId="06BF5E27"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N addition</w:t>
            </w:r>
          </w:p>
        </w:tc>
        <w:tc>
          <w:tcPr>
            <w:tcW w:w="586" w:type="pct"/>
            <w:tcBorders>
              <w:top w:val="single" w:sz="8" w:space="0" w:color="000000"/>
              <w:left w:val="nil"/>
              <w:bottom w:val="single" w:sz="4" w:space="0" w:color="auto"/>
              <w:right w:val="nil"/>
            </w:tcBorders>
            <w:tcMar>
              <w:top w:w="72" w:type="dxa"/>
              <w:left w:w="144" w:type="dxa"/>
              <w:bottom w:w="72" w:type="dxa"/>
              <w:right w:w="144" w:type="dxa"/>
            </w:tcMar>
          </w:tcPr>
          <w:p w14:paraId="768BABA5"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N</w:t>
            </w:r>
            <w:r w:rsidRPr="00C128F6">
              <w:rPr>
                <w:rFonts w:ascii="Times New Roman" w:eastAsia="黑体" w:hAnsi="Times New Roman" w:cs="Times New Roman" w:hint="eastAsia"/>
                <w:color w:val="000000"/>
                <w:kern w:val="24"/>
                <w:sz w:val="20"/>
                <w:szCs w:val="20"/>
              </w:rPr>
              <w:t xml:space="preserve"> addition stimulates the priming effect on POM-C</w:t>
            </w:r>
          </w:p>
        </w:tc>
      </w:tr>
      <w:tr w:rsidR="003F64CD" w:rsidRPr="00C128F6" w14:paraId="7E147E0D" w14:textId="77777777" w:rsidTr="00730955">
        <w:trPr>
          <w:trHeight w:val="311"/>
        </w:trPr>
        <w:tc>
          <w:tcPr>
            <w:tcW w:w="635" w:type="pct"/>
            <w:tcBorders>
              <w:top w:val="single" w:sz="8" w:space="0" w:color="000000"/>
              <w:left w:val="nil"/>
              <w:bottom w:val="single" w:sz="8" w:space="0" w:color="auto"/>
              <w:right w:val="nil"/>
            </w:tcBorders>
            <w:tcMar>
              <w:top w:w="72" w:type="dxa"/>
              <w:left w:w="144" w:type="dxa"/>
              <w:bottom w:w="72" w:type="dxa"/>
              <w:right w:w="144" w:type="dxa"/>
            </w:tcMar>
            <w:vAlign w:val="center"/>
          </w:tcPr>
          <w:p w14:paraId="58C3C152"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Zhou et al. (2022)</w:t>
            </w:r>
          </w:p>
        </w:tc>
        <w:tc>
          <w:tcPr>
            <w:tcW w:w="702" w:type="pct"/>
            <w:tcBorders>
              <w:top w:val="single" w:sz="8" w:space="0" w:color="000000"/>
              <w:left w:val="nil"/>
              <w:bottom w:val="single" w:sz="8" w:space="0" w:color="auto"/>
              <w:right w:val="nil"/>
            </w:tcBorders>
          </w:tcPr>
          <w:p w14:paraId="0081C75D" w14:textId="5C19C485" w:rsidR="002067A6" w:rsidRPr="00C128F6" w:rsidRDefault="00730B01"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C</w:t>
            </w:r>
            <w:r w:rsidRPr="00C128F6">
              <w:rPr>
                <w:rFonts w:ascii="Times New Roman" w:eastAsia="黑体" w:hAnsi="Times New Roman" w:cs="Times New Roman" w:hint="eastAsia"/>
                <w:color w:val="000000"/>
                <w:kern w:val="24"/>
                <w:sz w:val="20"/>
                <w:szCs w:val="20"/>
              </w:rPr>
              <w:t>ropland and g</w:t>
            </w:r>
            <w:r w:rsidR="00EB4810" w:rsidRPr="00C128F6">
              <w:rPr>
                <w:rFonts w:ascii="Times New Roman" w:eastAsia="黑体" w:hAnsi="Times New Roman" w:cs="Times New Roman" w:hint="eastAsia"/>
                <w:color w:val="000000"/>
                <w:kern w:val="24"/>
                <w:sz w:val="20"/>
                <w:szCs w:val="20"/>
              </w:rPr>
              <w:t>rassland</w:t>
            </w:r>
          </w:p>
        </w:tc>
        <w:tc>
          <w:tcPr>
            <w:tcW w:w="702" w:type="pct"/>
            <w:tcBorders>
              <w:top w:val="single" w:sz="8" w:space="0" w:color="000000"/>
              <w:left w:val="nil"/>
              <w:bottom w:val="single" w:sz="8" w:space="0" w:color="auto"/>
              <w:right w:val="nil"/>
            </w:tcBorders>
          </w:tcPr>
          <w:p w14:paraId="68DC4B57" w14:textId="260DF521"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T</w:t>
            </w:r>
            <w:r w:rsidRPr="00C128F6">
              <w:rPr>
                <w:rFonts w:ascii="Times New Roman" w:eastAsia="黑体" w:hAnsi="Times New Roman" w:cs="Times New Roman"/>
                <w:color w:val="000000"/>
                <w:kern w:val="24"/>
                <w:sz w:val="20"/>
                <w:szCs w:val="20"/>
              </w:rPr>
              <w:t>hree-source-partitioning</w:t>
            </w:r>
            <w:r w:rsidRPr="00C128F6">
              <w:rPr>
                <w:rFonts w:ascii="Times New Roman" w:eastAsia="黑体" w:hAnsi="Times New Roman" w:cs="Times New Roman" w:hint="eastAsia"/>
                <w:color w:val="000000"/>
                <w:kern w:val="24"/>
                <w:sz w:val="20"/>
                <w:szCs w:val="20"/>
              </w:rPr>
              <w:t xml:space="preserve"> </w:t>
            </w:r>
            <w:r w:rsidRPr="00C128F6">
              <w:rPr>
                <w:rFonts w:ascii="Times New Roman" w:eastAsia="黑体" w:hAnsi="Times New Roman" w:cs="Times New Roman"/>
                <w:color w:val="000000"/>
                <w:kern w:val="24"/>
                <w:sz w:val="20"/>
                <w:szCs w:val="20"/>
              </w:rPr>
              <w:t>isotopic approach</w:t>
            </w:r>
            <w:r w:rsidRPr="00C128F6">
              <w:rPr>
                <w:rFonts w:ascii="Times New Roman" w:eastAsia="黑体" w:hAnsi="Times New Roman" w:cs="Times New Roman" w:hint="eastAsia"/>
                <w:color w:val="000000"/>
                <w:kern w:val="24"/>
                <w:sz w:val="20"/>
                <w:szCs w:val="20"/>
              </w:rPr>
              <w:t xml:space="preserve"> and meta-analysis</w:t>
            </w:r>
          </w:p>
        </w:tc>
        <w:tc>
          <w:tcPr>
            <w:tcW w:w="702" w:type="pct"/>
            <w:tcBorders>
              <w:top w:val="single" w:sz="8" w:space="0" w:color="000000"/>
              <w:left w:val="nil"/>
              <w:bottom w:val="single" w:sz="8" w:space="0" w:color="auto"/>
              <w:right w:val="nil"/>
            </w:tcBorders>
            <w:tcMar>
              <w:top w:w="72" w:type="dxa"/>
              <w:left w:w="144" w:type="dxa"/>
              <w:bottom w:w="72" w:type="dxa"/>
              <w:right w:w="144" w:type="dxa"/>
            </w:tcMar>
          </w:tcPr>
          <w:p w14:paraId="66433FAA"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hAnsi="Times New Roman" w:cs="Times New Roman" w:hint="eastAsia"/>
                <w:sz w:val="20"/>
                <w:szCs w:val="20"/>
              </w:rPr>
              <w:t>C</w:t>
            </w:r>
            <w:r w:rsidRPr="00C128F6">
              <w:rPr>
                <w:rFonts w:ascii="Times New Roman" w:hAnsi="Times New Roman" w:cs="Times New Roman"/>
                <w:sz w:val="20"/>
                <w:szCs w:val="20"/>
                <w:vertAlign w:val="subscript"/>
              </w:rPr>
              <w:t>3</w:t>
            </w:r>
            <w:r w:rsidRPr="00C128F6">
              <w:rPr>
                <w:rFonts w:ascii="Times New Roman" w:hAnsi="Times New Roman" w:cs="Times New Roman" w:hint="eastAsia"/>
                <w:sz w:val="20"/>
                <w:szCs w:val="20"/>
              </w:rPr>
              <w:t>-C</w:t>
            </w:r>
            <w:r w:rsidRPr="00C128F6">
              <w:rPr>
                <w:rFonts w:ascii="Times New Roman" w:hAnsi="Times New Roman" w:cs="Times New Roman"/>
                <w:sz w:val="20"/>
                <w:szCs w:val="20"/>
                <w:vertAlign w:val="subscript"/>
              </w:rPr>
              <w:t>4</w:t>
            </w:r>
            <w:r w:rsidRPr="00C128F6">
              <w:rPr>
                <w:rFonts w:ascii="Times New Roman" w:hAnsi="Times New Roman" w:cs="Times New Roman" w:hint="eastAsia"/>
                <w:sz w:val="20"/>
                <w:szCs w:val="20"/>
              </w:rPr>
              <w:t xml:space="preserve"> vegetation switch</w:t>
            </w:r>
          </w:p>
        </w:tc>
        <w:tc>
          <w:tcPr>
            <w:tcW w:w="557" w:type="pct"/>
            <w:tcBorders>
              <w:top w:val="single" w:sz="8" w:space="0" w:color="000000"/>
              <w:left w:val="nil"/>
              <w:bottom w:val="single" w:sz="8" w:space="0" w:color="auto"/>
              <w:right w:val="nil"/>
            </w:tcBorders>
          </w:tcPr>
          <w:p w14:paraId="3CEE4EA6" w14:textId="5295527F"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hint="eastAsia"/>
                <w:color w:val="000000"/>
                <w:kern w:val="24"/>
                <w:sz w:val="20"/>
                <w:szCs w:val="20"/>
              </w:rPr>
              <w:t xml:space="preserve">1 soil; </w:t>
            </w:r>
            <w:r w:rsidR="008F1E2C" w:rsidRPr="00C128F6">
              <w:rPr>
                <w:rFonts w:ascii="Times New Roman" w:eastAsia="黑体" w:hAnsi="Times New Roman" w:cs="Times New Roman" w:hint="eastAsia"/>
                <w:color w:val="000000"/>
                <w:kern w:val="24"/>
                <w:sz w:val="20"/>
                <w:szCs w:val="20"/>
              </w:rPr>
              <w:t>8</w:t>
            </w:r>
            <w:r w:rsidRPr="00C128F6">
              <w:rPr>
                <w:rFonts w:ascii="Times New Roman" w:eastAsia="黑体" w:hAnsi="Times New Roman" w:cs="Times New Roman" w:hint="eastAsia"/>
                <w:color w:val="000000"/>
                <w:kern w:val="24"/>
                <w:sz w:val="20"/>
                <w:szCs w:val="20"/>
              </w:rPr>
              <w:t>6 observations</w:t>
            </w:r>
          </w:p>
        </w:tc>
        <w:tc>
          <w:tcPr>
            <w:tcW w:w="557" w:type="pct"/>
            <w:tcBorders>
              <w:top w:val="single" w:sz="8" w:space="0" w:color="000000"/>
              <w:left w:val="nil"/>
              <w:bottom w:val="single" w:sz="8" w:space="0" w:color="auto"/>
              <w:right w:val="nil"/>
            </w:tcBorders>
          </w:tcPr>
          <w:p w14:paraId="1D4C13BE" w14:textId="6D2F04AC"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P</w:t>
            </w:r>
            <w:r w:rsidRPr="00C128F6">
              <w:rPr>
                <w:rFonts w:ascii="Times New Roman" w:eastAsia="黑体" w:hAnsi="Times New Roman" w:cs="Times New Roman" w:hint="eastAsia"/>
                <w:color w:val="000000"/>
                <w:kern w:val="24"/>
                <w:sz w:val="20"/>
                <w:szCs w:val="20"/>
              </w:rPr>
              <w:t>riming effect on decadal SOC</w:t>
            </w:r>
          </w:p>
        </w:tc>
        <w:tc>
          <w:tcPr>
            <w:tcW w:w="557" w:type="pct"/>
            <w:tcBorders>
              <w:top w:val="single" w:sz="8" w:space="0" w:color="000000"/>
              <w:left w:val="nil"/>
              <w:bottom w:val="single" w:sz="8" w:space="0" w:color="auto"/>
              <w:right w:val="nil"/>
            </w:tcBorders>
          </w:tcPr>
          <w:p w14:paraId="0A9E26E9"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F</w:t>
            </w:r>
            <w:r w:rsidRPr="00C128F6">
              <w:rPr>
                <w:rFonts w:ascii="Times New Roman" w:eastAsia="黑体" w:hAnsi="Times New Roman" w:cs="Times New Roman" w:hint="eastAsia"/>
                <w:color w:val="000000"/>
                <w:kern w:val="24"/>
                <w:sz w:val="20"/>
                <w:szCs w:val="20"/>
              </w:rPr>
              <w:t>requent C input</w:t>
            </w:r>
          </w:p>
        </w:tc>
        <w:tc>
          <w:tcPr>
            <w:tcW w:w="586" w:type="pct"/>
            <w:tcBorders>
              <w:top w:val="single" w:sz="8" w:space="0" w:color="000000"/>
              <w:left w:val="nil"/>
              <w:bottom w:val="single" w:sz="8" w:space="0" w:color="auto"/>
              <w:right w:val="nil"/>
            </w:tcBorders>
            <w:tcMar>
              <w:top w:w="72" w:type="dxa"/>
              <w:left w:w="144" w:type="dxa"/>
              <w:bottom w:w="72" w:type="dxa"/>
              <w:right w:w="144" w:type="dxa"/>
            </w:tcMar>
          </w:tcPr>
          <w:p w14:paraId="704765AC" w14:textId="77777777" w:rsidR="002067A6" w:rsidRPr="00C128F6" w:rsidRDefault="002067A6" w:rsidP="00552C1E">
            <w:pPr>
              <w:widowControl/>
              <w:jc w:val="center"/>
              <w:rPr>
                <w:rFonts w:ascii="Times New Roman" w:eastAsia="黑体" w:hAnsi="Times New Roman" w:cs="Times New Roman"/>
                <w:color w:val="000000"/>
                <w:kern w:val="24"/>
                <w:sz w:val="20"/>
                <w:szCs w:val="20"/>
              </w:rPr>
            </w:pPr>
            <w:r w:rsidRPr="00C128F6">
              <w:rPr>
                <w:rFonts w:ascii="Times New Roman" w:eastAsia="黑体" w:hAnsi="Times New Roman" w:cs="Times New Roman"/>
                <w:color w:val="000000"/>
                <w:kern w:val="24"/>
                <w:sz w:val="20"/>
                <w:szCs w:val="20"/>
              </w:rPr>
              <w:t>Frequent carbon input</w:t>
            </w:r>
            <w:r w:rsidRPr="00C128F6">
              <w:rPr>
                <w:rFonts w:ascii="Times New Roman" w:eastAsia="黑体" w:hAnsi="Times New Roman" w:cs="Times New Roman" w:hint="eastAsia"/>
                <w:color w:val="000000"/>
                <w:kern w:val="24"/>
                <w:sz w:val="20"/>
                <w:szCs w:val="20"/>
              </w:rPr>
              <w:t xml:space="preserve"> primes decadal C</w:t>
            </w:r>
          </w:p>
        </w:tc>
      </w:tr>
      <w:tr w:rsidR="003F64CD" w:rsidRPr="00C128F6" w14:paraId="0D4C5EC6" w14:textId="77777777" w:rsidTr="00730955">
        <w:trPr>
          <w:trHeight w:val="311"/>
        </w:trPr>
        <w:tc>
          <w:tcPr>
            <w:tcW w:w="635" w:type="pct"/>
            <w:tcBorders>
              <w:top w:val="single" w:sz="8" w:space="0" w:color="auto"/>
              <w:left w:val="nil"/>
              <w:bottom w:val="single" w:sz="8" w:space="0" w:color="000000"/>
              <w:right w:val="nil"/>
            </w:tcBorders>
            <w:tcMar>
              <w:top w:w="72" w:type="dxa"/>
              <w:left w:w="144" w:type="dxa"/>
              <w:bottom w:w="72" w:type="dxa"/>
              <w:right w:w="144" w:type="dxa"/>
            </w:tcMar>
            <w:vAlign w:val="center"/>
            <w:hideMark/>
          </w:tcPr>
          <w:p w14:paraId="6A62A0AA" w14:textId="77777777" w:rsidR="002067A6" w:rsidRPr="00C128F6" w:rsidRDefault="002067A6" w:rsidP="00552C1E">
            <w:pPr>
              <w:widowControl/>
              <w:jc w:val="center"/>
              <w:rPr>
                <w:rFonts w:ascii="Arial" w:eastAsia="宋体" w:hAnsi="Arial" w:cs="Arial"/>
                <w:b/>
                <w:bCs/>
                <w:kern w:val="0"/>
                <w:sz w:val="20"/>
                <w:szCs w:val="20"/>
              </w:rPr>
            </w:pPr>
            <w:r w:rsidRPr="00C128F6">
              <w:rPr>
                <w:rFonts w:ascii="Times New Roman" w:eastAsia="黑体" w:hAnsi="Times New Roman" w:cs="Times New Roman"/>
                <w:b/>
                <w:bCs/>
                <w:color w:val="000000"/>
                <w:kern w:val="24"/>
                <w:sz w:val="20"/>
                <w:szCs w:val="20"/>
              </w:rPr>
              <w:t>This study</w:t>
            </w:r>
          </w:p>
        </w:tc>
        <w:tc>
          <w:tcPr>
            <w:tcW w:w="702" w:type="pct"/>
            <w:tcBorders>
              <w:top w:val="single" w:sz="8" w:space="0" w:color="auto"/>
              <w:left w:val="nil"/>
              <w:bottom w:val="single" w:sz="8" w:space="0" w:color="000000"/>
              <w:right w:val="nil"/>
            </w:tcBorders>
          </w:tcPr>
          <w:p w14:paraId="140EB150" w14:textId="1A7CE4C2" w:rsidR="002067A6" w:rsidRPr="00C128F6" w:rsidRDefault="00E51D59" w:rsidP="00552C1E">
            <w:pPr>
              <w:widowControl/>
              <w:jc w:val="center"/>
              <w:rPr>
                <w:rFonts w:ascii="Times New Roman" w:eastAsia="黑体" w:hAnsi="Times New Roman" w:cs="Times New Roman"/>
                <w:b/>
                <w:bCs/>
                <w:color w:val="000000"/>
                <w:kern w:val="24"/>
                <w:sz w:val="20"/>
                <w:szCs w:val="20"/>
              </w:rPr>
            </w:pPr>
            <w:r w:rsidRPr="00C128F6">
              <w:rPr>
                <w:rFonts w:ascii="Times New Roman" w:eastAsia="黑体" w:hAnsi="Times New Roman" w:cs="Times New Roman"/>
                <w:b/>
                <w:bCs/>
                <w:color w:val="000000"/>
                <w:kern w:val="24"/>
                <w:sz w:val="20"/>
                <w:szCs w:val="20"/>
              </w:rPr>
              <w:t>C</w:t>
            </w:r>
            <w:r w:rsidRPr="00C128F6">
              <w:rPr>
                <w:rFonts w:ascii="Times New Roman" w:eastAsia="黑体" w:hAnsi="Times New Roman" w:cs="Times New Roman" w:hint="eastAsia"/>
                <w:b/>
                <w:bCs/>
                <w:color w:val="000000"/>
                <w:kern w:val="24"/>
                <w:sz w:val="20"/>
                <w:szCs w:val="20"/>
              </w:rPr>
              <w:t>ropland, grassland, forest and others (</w:t>
            </w:r>
            <w:r w:rsidRPr="00C128F6">
              <w:rPr>
                <w:rFonts w:ascii="Times New Roman" w:eastAsia="黑体" w:hAnsi="Times New Roman" w:cs="Times New Roman"/>
                <w:b/>
                <w:bCs/>
                <w:i/>
                <w:iCs/>
                <w:color w:val="000000"/>
                <w:kern w:val="24"/>
                <w:sz w:val="20"/>
                <w:szCs w:val="20"/>
              </w:rPr>
              <w:t>e.g.</w:t>
            </w:r>
            <w:r w:rsidRPr="00C128F6">
              <w:rPr>
                <w:rFonts w:ascii="Times New Roman" w:eastAsia="黑体" w:hAnsi="Times New Roman" w:cs="Times New Roman" w:hint="eastAsia"/>
                <w:b/>
                <w:bCs/>
                <w:color w:val="000000"/>
                <w:kern w:val="24"/>
                <w:sz w:val="20"/>
                <w:szCs w:val="20"/>
              </w:rPr>
              <w:t xml:space="preserve"> tundra)</w:t>
            </w:r>
          </w:p>
        </w:tc>
        <w:tc>
          <w:tcPr>
            <w:tcW w:w="702" w:type="pct"/>
            <w:tcBorders>
              <w:top w:val="single" w:sz="8" w:space="0" w:color="auto"/>
              <w:left w:val="nil"/>
              <w:bottom w:val="single" w:sz="8" w:space="0" w:color="000000"/>
              <w:right w:val="nil"/>
            </w:tcBorders>
          </w:tcPr>
          <w:p w14:paraId="4E16294B" w14:textId="328629B4" w:rsidR="002067A6" w:rsidRPr="00C128F6" w:rsidRDefault="00ED113C" w:rsidP="00552C1E">
            <w:pPr>
              <w:widowControl/>
              <w:jc w:val="center"/>
              <w:rPr>
                <w:rFonts w:ascii="Times New Roman" w:eastAsia="黑体" w:hAnsi="Times New Roman" w:cs="Times New Roman"/>
                <w:b/>
                <w:bCs/>
                <w:color w:val="000000"/>
                <w:kern w:val="24"/>
                <w:sz w:val="20"/>
                <w:szCs w:val="20"/>
              </w:rPr>
            </w:pPr>
            <w:r w:rsidRPr="00C128F6">
              <w:rPr>
                <w:rFonts w:ascii="Times New Roman" w:eastAsia="黑体" w:hAnsi="Times New Roman" w:cs="Times New Roman" w:hint="eastAsia"/>
                <w:b/>
                <w:bCs/>
                <w:color w:val="000000"/>
                <w:kern w:val="24"/>
                <w:sz w:val="20"/>
                <w:szCs w:val="20"/>
              </w:rPr>
              <w:t>M</w:t>
            </w:r>
            <w:r w:rsidR="002067A6" w:rsidRPr="00C128F6">
              <w:rPr>
                <w:rFonts w:ascii="Times New Roman" w:eastAsia="黑体" w:hAnsi="Times New Roman" w:cs="Times New Roman" w:hint="eastAsia"/>
                <w:b/>
                <w:bCs/>
                <w:color w:val="000000"/>
                <w:kern w:val="24"/>
                <w:sz w:val="20"/>
                <w:szCs w:val="20"/>
              </w:rPr>
              <w:t>eta-analysis</w:t>
            </w:r>
          </w:p>
        </w:tc>
        <w:tc>
          <w:tcPr>
            <w:tcW w:w="702" w:type="pct"/>
            <w:tcBorders>
              <w:top w:val="single" w:sz="8" w:space="0" w:color="auto"/>
              <w:left w:val="nil"/>
              <w:bottom w:val="single" w:sz="8" w:space="0" w:color="000000"/>
              <w:right w:val="nil"/>
            </w:tcBorders>
            <w:tcMar>
              <w:top w:w="72" w:type="dxa"/>
              <w:left w:w="144" w:type="dxa"/>
              <w:bottom w:w="72" w:type="dxa"/>
              <w:right w:w="144" w:type="dxa"/>
            </w:tcMar>
            <w:hideMark/>
          </w:tcPr>
          <w:p w14:paraId="631C21C8" w14:textId="512E337D" w:rsidR="002067A6" w:rsidRPr="00C128F6" w:rsidRDefault="002067A6" w:rsidP="00552C1E">
            <w:pPr>
              <w:widowControl/>
              <w:jc w:val="center"/>
              <w:rPr>
                <w:rFonts w:ascii="Arial" w:eastAsia="宋体" w:hAnsi="Arial" w:cs="Arial"/>
                <w:b/>
                <w:bCs/>
                <w:kern w:val="0"/>
                <w:sz w:val="20"/>
                <w:szCs w:val="20"/>
              </w:rPr>
            </w:pPr>
            <w:r w:rsidRPr="00C128F6">
              <w:rPr>
                <w:rFonts w:ascii="Times New Roman" w:eastAsia="黑体" w:hAnsi="Times New Roman" w:cs="Times New Roman"/>
                <w:b/>
                <w:bCs/>
                <w:color w:val="000000"/>
                <w:kern w:val="24"/>
                <w:sz w:val="20"/>
                <w:szCs w:val="20"/>
              </w:rPr>
              <w:t>F</w:t>
            </w:r>
            <w:r w:rsidRPr="00C128F6">
              <w:rPr>
                <w:rFonts w:ascii="Times New Roman" w:eastAsia="黑体" w:hAnsi="Times New Roman" w:cs="Times New Roman" w:hint="eastAsia"/>
                <w:b/>
                <w:bCs/>
                <w:color w:val="000000"/>
                <w:kern w:val="24"/>
                <w:sz w:val="20"/>
                <w:szCs w:val="20"/>
              </w:rPr>
              <w:t>irst-order kinetic decomposition model with two SOC pools</w:t>
            </w:r>
          </w:p>
        </w:tc>
        <w:tc>
          <w:tcPr>
            <w:tcW w:w="557" w:type="pct"/>
            <w:tcBorders>
              <w:top w:val="single" w:sz="8" w:space="0" w:color="auto"/>
              <w:left w:val="nil"/>
              <w:bottom w:val="single" w:sz="8" w:space="0" w:color="000000"/>
              <w:right w:val="nil"/>
            </w:tcBorders>
          </w:tcPr>
          <w:p w14:paraId="1CA06CC8" w14:textId="1F634918" w:rsidR="002067A6" w:rsidRPr="00C128F6" w:rsidRDefault="002067A6" w:rsidP="00552C1E">
            <w:pPr>
              <w:widowControl/>
              <w:jc w:val="center"/>
              <w:rPr>
                <w:rFonts w:ascii="Times New Roman" w:eastAsia="黑体" w:hAnsi="Times New Roman" w:cs="Times New Roman"/>
                <w:b/>
                <w:bCs/>
                <w:color w:val="000000"/>
                <w:kern w:val="24"/>
                <w:sz w:val="20"/>
                <w:szCs w:val="20"/>
              </w:rPr>
            </w:pPr>
            <w:r w:rsidRPr="00C128F6">
              <w:rPr>
                <w:rFonts w:ascii="Times New Roman" w:eastAsia="黑体" w:hAnsi="Times New Roman" w:cs="Times New Roman" w:hint="eastAsia"/>
                <w:b/>
                <w:bCs/>
                <w:color w:val="000000"/>
                <w:kern w:val="24"/>
                <w:sz w:val="20"/>
                <w:szCs w:val="20"/>
              </w:rPr>
              <w:t>2</w:t>
            </w:r>
            <w:r w:rsidR="00ED113C" w:rsidRPr="00C128F6">
              <w:rPr>
                <w:rFonts w:ascii="Times New Roman" w:eastAsia="黑体" w:hAnsi="Times New Roman" w:cs="Times New Roman" w:hint="eastAsia"/>
                <w:b/>
                <w:bCs/>
                <w:color w:val="000000"/>
                <w:kern w:val="24"/>
                <w:sz w:val="20"/>
                <w:szCs w:val="20"/>
              </w:rPr>
              <w:t>19</w:t>
            </w:r>
            <w:r w:rsidRPr="00C128F6">
              <w:rPr>
                <w:rFonts w:ascii="Times New Roman" w:eastAsia="黑体" w:hAnsi="Times New Roman" w:cs="Times New Roman" w:hint="eastAsia"/>
                <w:b/>
                <w:bCs/>
                <w:color w:val="000000"/>
                <w:kern w:val="24"/>
                <w:sz w:val="20"/>
                <w:szCs w:val="20"/>
              </w:rPr>
              <w:t xml:space="preserve"> observations</w:t>
            </w:r>
          </w:p>
        </w:tc>
        <w:tc>
          <w:tcPr>
            <w:tcW w:w="557" w:type="pct"/>
            <w:tcBorders>
              <w:top w:val="single" w:sz="8" w:space="0" w:color="auto"/>
              <w:left w:val="nil"/>
              <w:bottom w:val="single" w:sz="8" w:space="0" w:color="000000"/>
              <w:right w:val="nil"/>
            </w:tcBorders>
          </w:tcPr>
          <w:p w14:paraId="70D30923" w14:textId="159E3270" w:rsidR="002067A6" w:rsidRPr="00C128F6" w:rsidRDefault="002067A6" w:rsidP="00552C1E">
            <w:pPr>
              <w:widowControl/>
              <w:jc w:val="center"/>
              <w:rPr>
                <w:rFonts w:ascii="Times New Roman" w:eastAsia="黑体" w:hAnsi="Times New Roman" w:cs="Times New Roman"/>
                <w:b/>
                <w:bCs/>
                <w:color w:val="000000"/>
                <w:kern w:val="24"/>
                <w:sz w:val="20"/>
                <w:szCs w:val="20"/>
              </w:rPr>
            </w:pPr>
            <w:r w:rsidRPr="00C128F6">
              <w:rPr>
                <w:rFonts w:ascii="Times New Roman" w:eastAsia="黑体" w:hAnsi="Times New Roman" w:cs="Times New Roman"/>
                <w:b/>
                <w:bCs/>
                <w:color w:val="000000"/>
                <w:kern w:val="24"/>
                <w:sz w:val="20"/>
                <w:szCs w:val="20"/>
              </w:rPr>
              <w:t>S</w:t>
            </w:r>
            <w:r w:rsidRPr="00C128F6">
              <w:rPr>
                <w:rFonts w:ascii="Times New Roman" w:eastAsia="黑体" w:hAnsi="Times New Roman" w:cs="Times New Roman" w:hint="eastAsia"/>
                <w:b/>
                <w:bCs/>
                <w:color w:val="000000"/>
                <w:kern w:val="24"/>
                <w:sz w:val="20"/>
                <w:szCs w:val="20"/>
              </w:rPr>
              <w:t xml:space="preserve">usceptibility of </w:t>
            </w:r>
            <w:r w:rsidR="00A17ABC" w:rsidRPr="00C128F6">
              <w:rPr>
                <w:rFonts w:ascii="Times New Roman" w:eastAsia="黑体" w:hAnsi="Times New Roman" w:cs="Times New Roman" w:hint="eastAsia"/>
                <w:b/>
                <w:bCs/>
                <w:color w:val="000000"/>
                <w:kern w:val="24"/>
                <w:sz w:val="20"/>
                <w:szCs w:val="20"/>
              </w:rPr>
              <w:t>persistent</w:t>
            </w:r>
            <w:r w:rsidRPr="00C128F6">
              <w:rPr>
                <w:rFonts w:ascii="Times New Roman" w:eastAsia="黑体" w:hAnsi="Times New Roman" w:cs="Times New Roman" w:hint="eastAsia"/>
                <w:b/>
                <w:bCs/>
                <w:color w:val="000000"/>
                <w:kern w:val="24"/>
                <w:sz w:val="20"/>
                <w:szCs w:val="20"/>
              </w:rPr>
              <w:t xml:space="preserve"> </w:t>
            </w:r>
            <w:r w:rsidR="0034033A" w:rsidRPr="00C128F6">
              <w:rPr>
                <w:rFonts w:ascii="Times New Roman" w:eastAsia="黑体" w:hAnsi="Times New Roman" w:cs="Times New Roman" w:hint="eastAsia"/>
                <w:b/>
                <w:bCs/>
                <w:color w:val="000000"/>
                <w:kern w:val="24"/>
                <w:sz w:val="20"/>
                <w:szCs w:val="20"/>
              </w:rPr>
              <w:t>SO</w:t>
            </w:r>
            <w:r w:rsidRPr="00C128F6">
              <w:rPr>
                <w:rFonts w:ascii="Times New Roman" w:eastAsia="黑体" w:hAnsi="Times New Roman" w:cs="Times New Roman" w:hint="eastAsia"/>
                <w:b/>
                <w:bCs/>
                <w:color w:val="000000"/>
                <w:kern w:val="24"/>
                <w:sz w:val="20"/>
                <w:szCs w:val="20"/>
              </w:rPr>
              <w:t xml:space="preserve">C </w:t>
            </w:r>
            <w:r w:rsidRPr="00C128F6">
              <w:rPr>
                <w:rFonts w:ascii="Times New Roman" w:eastAsia="黑体" w:hAnsi="Times New Roman" w:cs="Times New Roman"/>
                <w:b/>
                <w:bCs/>
                <w:i/>
                <w:iCs/>
                <w:color w:val="000000"/>
                <w:kern w:val="24"/>
                <w:sz w:val="20"/>
                <w:szCs w:val="20"/>
              </w:rPr>
              <w:t>versus</w:t>
            </w:r>
            <w:r w:rsidRPr="00C128F6">
              <w:rPr>
                <w:rFonts w:ascii="Times New Roman" w:eastAsia="黑体" w:hAnsi="Times New Roman" w:cs="Times New Roman" w:hint="eastAsia"/>
                <w:b/>
                <w:bCs/>
                <w:color w:val="000000"/>
                <w:kern w:val="24"/>
                <w:sz w:val="20"/>
                <w:szCs w:val="20"/>
              </w:rPr>
              <w:t xml:space="preserve"> labile </w:t>
            </w:r>
            <w:r w:rsidR="0034033A" w:rsidRPr="00C128F6">
              <w:rPr>
                <w:rFonts w:ascii="Times New Roman" w:eastAsia="黑体" w:hAnsi="Times New Roman" w:cs="Times New Roman" w:hint="eastAsia"/>
                <w:b/>
                <w:bCs/>
                <w:color w:val="000000"/>
                <w:kern w:val="24"/>
                <w:sz w:val="20"/>
                <w:szCs w:val="20"/>
              </w:rPr>
              <w:t>SO</w:t>
            </w:r>
            <w:r w:rsidRPr="00C128F6">
              <w:rPr>
                <w:rFonts w:ascii="Times New Roman" w:eastAsia="黑体" w:hAnsi="Times New Roman" w:cs="Times New Roman" w:hint="eastAsia"/>
                <w:b/>
                <w:bCs/>
                <w:color w:val="000000"/>
                <w:kern w:val="24"/>
                <w:sz w:val="20"/>
                <w:szCs w:val="20"/>
              </w:rPr>
              <w:t>C</w:t>
            </w:r>
          </w:p>
        </w:tc>
        <w:tc>
          <w:tcPr>
            <w:tcW w:w="557" w:type="pct"/>
            <w:tcBorders>
              <w:top w:val="single" w:sz="8" w:space="0" w:color="auto"/>
              <w:left w:val="nil"/>
              <w:bottom w:val="single" w:sz="8" w:space="0" w:color="000000"/>
              <w:right w:val="nil"/>
            </w:tcBorders>
          </w:tcPr>
          <w:p w14:paraId="77D8904E" w14:textId="0D1AB212" w:rsidR="002067A6" w:rsidRPr="00C128F6" w:rsidRDefault="002067A6" w:rsidP="00552C1E">
            <w:pPr>
              <w:widowControl/>
              <w:jc w:val="center"/>
              <w:rPr>
                <w:rFonts w:ascii="Times New Roman" w:eastAsia="黑体" w:hAnsi="Times New Roman" w:cs="Times New Roman"/>
                <w:b/>
                <w:bCs/>
                <w:color w:val="000000"/>
                <w:kern w:val="24"/>
                <w:sz w:val="20"/>
                <w:szCs w:val="20"/>
              </w:rPr>
            </w:pPr>
            <w:r w:rsidRPr="00C128F6">
              <w:rPr>
                <w:rFonts w:ascii="Times New Roman" w:eastAsia="黑体" w:hAnsi="Times New Roman" w:cs="Times New Roman"/>
                <w:b/>
                <w:bCs/>
                <w:color w:val="000000"/>
                <w:kern w:val="24"/>
                <w:sz w:val="20"/>
                <w:szCs w:val="20"/>
              </w:rPr>
              <w:t>S</w:t>
            </w:r>
            <w:r w:rsidRPr="00C128F6">
              <w:rPr>
                <w:rFonts w:ascii="Times New Roman" w:eastAsia="黑体" w:hAnsi="Times New Roman" w:cs="Times New Roman" w:hint="eastAsia"/>
                <w:b/>
                <w:bCs/>
                <w:color w:val="000000"/>
                <w:kern w:val="24"/>
                <w:sz w:val="20"/>
                <w:szCs w:val="20"/>
              </w:rPr>
              <w:t>oil pH, C</w:t>
            </w:r>
            <w:r w:rsidR="00BD3F5F" w:rsidRPr="00C128F6">
              <w:rPr>
                <w:rFonts w:ascii="Times New Roman" w:eastAsia="黑体" w:hAnsi="Times New Roman" w:cs="Times New Roman" w:hint="eastAsia"/>
                <w:b/>
                <w:bCs/>
                <w:color w:val="000000"/>
                <w:kern w:val="24"/>
                <w:sz w:val="20"/>
                <w:szCs w:val="20"/>
              </w:rPr>
              <w:t>:</w:t>
            </w:r>
            <w:r w:rsidRPr="00C128F6">
              <w:rPr>
                <w:rFonts w:ascii="Times New Roman" w:eastAsia="黑体" w:hAnsi="Times New Roman" w:cs="Times New Roman" w:hint="eastAsia"/>
                <w:b/>
                <w:bCs/>
                <w:color w:val="000000"/>
                <w:kern w:val="24"/>
                <w:sz w:val="20"/>
                <w:szCs w:val="20"/>
              </w:rPr>
              <w:t>N and incubation duration</w:t>
            </w:r>
          </w:p>
        </w:tc>
        <w:tc>
          <w:tcPr>
            <w:tcW w:w="586" w:type="pct"/>
            <w:tcBorders>
              <w:top w:val="single" w:sz="8" w:space="0" w:color="auto"/>
              <w:left w:val="nil"/>
              <w:bottom w:val="single" w:sz="8" w:space="0" w:color="000000"/>
              <w:right w:val="nil"/>
            </w:tcBorders>
            <w:tcMar>
              <w:top w:w="72" w:type="dxa"/>
              <w:left w:w="144" w:type="dxa"/>
              <w:bottom w:w="72" w:type="dxa"/>
              <w:right w:w="144" w:type="dxa"/>
            </w:tcMar>
            <w:hideMark/>
          </w:tcPr>
          <w:p w14:paraId="4948EA2B" w14:textId="0EA076C8" w:rsidR="002067A6" w:rsidRPr="00C128F6" w:rsidRDefault="002067A6" w:rsidP="00552C1E">
            <w:pPr>
              <w:widowControl/>
              <w:jc w:val="center"/>
              <w:rPr>
                <w:rFonts w:ascii="Arial" w:eastAsia="宋体" w:hAnsi="Arial" w:cs="Arial"/>
                <w:b/>
                <w:bCs/>
                <w:kern w:val="0"/>
                <w:sz w:val="20"/>
                <w:szCs w:val="20"/>
              </w:rPr>
            </w:pPr>
            <w:r w:rsidRPr="00C128F6">
              <w:rPr>
                <w:rFonts w:ascii="Times New Roman" w:eastAsia="黑体" w:hAnsi="Times New Roman" w:cs="Times New Roman"/>
                <w:b/>
                <w:bCs/>
                <w:color w:val="000000"/>
                <w:kern w:val="24"/>
                <w:sz w:val="20"/>
                <w:szCs w:val="20"/>
              </w:rPr>
              <w:t>H</w:t>
            </w:r>
            <w:r w:rsidRPr="00C128F6">
              <w:rPr>
                <w:rFonts w:ascii="Times New Roman" w:eastAsia="黑体" w:hAnsi="Times New Roman" w:cs="Times New Roman" w:hint="eastAsia"/>
                <w:b/>
                <w:bCs/>
                <w:color w:val="000000"/>
                <w:kern w:val="24"/>
                <w:sz w:val="20"/>
                <w:szCs w:val="20"/>
              </w:rPr>
              <w:t xml:space="preserve">igher susceptibility of </w:t>
            </w:r>
            <w:r w:rsidR="00A17ABC" w:rsidRPr="00C128F6">
              <w:rPr>
                <w:rFonts w:ascii="Times New Roman" w:eastAsia="黑体" w:hAnsi="Times New Roman" w:cs="Times New Roman" w:hint="eastAsia"/>
                <w:b/>
                <w:bCs/>
                <w:color w:val="000000"/>
                <w:kern w:val="24"/>
                <w:sz w:val="20"/>
                <w:szCs w:val="20"/>
              </w:rPr>
              <w:t>persistent</w:t>
            </w:r>
            <w:r w:rsidR="00A17ABC" w:rsidRPr="00C128F6">
              <w:rPr>
                <w:rFonts w:ascii="Times New Roman" w:eastAsia="黑体" w:hAnsi="Times New Roman" w:cs="Times New Roman"/>
                <w:b/>
                <w:bCs/>
                <w:color w:val="000000"/>
                <w:kern w:val="24"/>
                <w:sz w:val="20"/>
                <w:szCs w:val="20"/>
              </w:rPr>
              <w:t xml:space="preserve"> </w:t>
            </w:r>
            <w:r w:rsidR="00BD3F5F" w:rsidRPr="00C128F6">
              <w:rPr>
                <w:rFonts w:ascii="Times New Roman" w:eastAsia="黑体" w:hAnsi="Times New Roman" w:cs="Times New Roman" w:hint="eastAsia"/>
                <w:b/>
                <w:bCs/>
                <w:color w:val="000000"/>
                <w:kern w:val="24"/>
                <w:sz w:val="20"/>
                <w:szCs w:val="20"/>
              </w:rPr>
              <w:t>SO</w:t>
            </w:r>
            <w:r w:rsidRPr="00C128F6">
              <w:rPr>
                <w:rFonts w:ascii="Times New Roman" w:eastAsia="黑体" w:hAnsi="Times New Roman" w:cs="Times New Roman" w:hint="eastAsia"/>
                <w:b/>
                <w:bCs/>
                <w:color w:val="000000"/>
                <w:kern w:val="24"/>
                <w:sz w:val="20"/>
                <w:szCs w:val="20"/>
              </w:rPr>
              <w:t xml:space="preserve">C than labile </w:t>
            </w:r>
            <w:r w:rsidR="00BD3F5F" w:rsidRPr="00C128F6">
              <w:rPr>
                <w:rFonts w:ascii="Times New Roman" w:eastAsia="黑体" w:hAnsi="Times New Roman" w:cs="Times New Roman" w:hint="eastAsia"/>
                <w:b/>
                <w:bCs/>
                <w:color w:val="000000"/>
                <w:kern w:val="24"/>
                <w:sz w:val="20"/>
                <w:szCs w:val="20"/>
              </w:rPr>
              <w:t>SO</w:t>
            </w:r>
            <w:r w:rsidRPr="00C128F6">
              <w:rPr>
                <w:rFonts w:ascii="Times New Roman" w:eastAsia="黑体" w:hAnsi="Times New Roman" w:cs="Times New Roman" w:hint="eastAsia"/>
                <w:b/>
                <w:bCs/>
                <w:color w:val="000000"/>
                <w:kern w:val="24"/>
                <w:sz w:val="20"/>
                <w:szCs w:val="20"/>
              </w:rPr>
              <w:t>C</w:t>
            </w:r>
          </w:p>
        </w:tc>
      </w:tr>
    </w:tbl>
    <w:p w14:paraId="6A7C0E7B" w14:textId="3C8BC7A7" w:rsidR="008848A5" w:rsidRPr="00C128F6" w:rsidRDefault="008848A5" w:rsidP="00552C1E">
      <w:pPr>
        <w:rPr>
          <w:rFonts w:ascii="Times New Roman" w:hAnsi="Times New Roman" w:cs="Times New Roman"/>
          <w:bCs/>
          <w:sz w:val="20"/>
          <w:szCs w:val="20"/>
        </w:rPr>
      </w:pPr>
      <w:r w:rsidRPr="00C128F6">
        <w:rPr>
          <w:rFonts w:ascii="Times New Roman" w:hAnsi="Times New Roman" w:cs="Times New Roman"/>
          <w:bCs/>
          <w:sz w:val="20"/>
          <w:szCs w:val="20"/>
        </w:rPr>
        <w:t xml:space="preserve">SOC, </w:t>
      </w:r>
      <w:r w:rsidRPr="00C128F6">
        <w:rPr>
          <w:rFonts w:ascii="Times New Roman" w:hAnsi="Times New Roman" w:cs="Times New Roman" w:hint="eastAsia"/>
          <w:bCs/>
          <w:sz w:val="20"/>
          <w:szCs w:val="20"/>
        </w:rPr>
        <w:t>soil organic carbon; POM, p</w:t>
      </w:r>
      <w:r w:rsidR="00A77D0A" w:rsidRPr="00C128F6">
        <w:rPr>
          <w:rFonts w:ascii="Times New Roman" w:hAnsi="Times New Roman" w:cs="Times New Roman" w:hint="eastAsia"/>
          <w:bCs/>
          <w:sz w:val="20"/>
          <w:szCs w:val="20"/>
        </w:rPr>
        <w:t>articulate organic matter; MAOM, mineral</w:t>
      </w:r>
      <w:r w:rsidR="001A714D" w:rsidRPr="00C128F6">
        <w:rPr>
          <w:rFonts w:ascii="Times New Roman" w:hAnsi="Times New Roman" w:cs="Times New Roman" w:hint="eastAsia"/>
          <w:bCs/>
          <w:sz w:val="20"/>
          <w:szCs w:val="20"/>
        </w:rPr>
        <w:t>-</w:t>
      </w:r>
      <w:r w:rsidR="00A77D0A" w:rsidRPr="00C128F6">
        <w:rPr>
          <w:rFonts w:ascii="Times New Roman" w:hAnsi="Times New Roman" w:cs="Times New Roman"/>
          <w:bCs/>
          <w:sz w:val="20"/>
          <w:szCs w:val="20"/>
        </w:rPr>
        <w:t>associated</w:t>
      </w:r>
      <w:r w:rsidR="00A77D0A" w:rsidRPr="00C128F6">
        <w:rPr>
          <w:rFonts w:ascii="Times New Roman" w:hAnsi="Times New Roman" w:cs="Times New Roman" w:hint="eastAsia"/>
          <w:bCs/>
          <w:sz w:val="20"/>
          <w:szCs w:val="20"/>
        </w:rPr>
        <w:t xml:space="preserve"> organic matter; </w:t>
      </w:r>
      <w:r w:rsidR="001A714D" w:rsidRPr="00C128F6">
        <w:rPr>
          <w:rFonts w:ascii="Times New Roman" w:hAnsi="Times New Roman" w:cs="Times New Roman" w:hint="eastAsia"/>
          <w:bCs/>
          <w:sz w:val="20"/>
          <w:szCs w:val="20"/>
        </w:rPr>
        <w:t>N, nitrogen; MBC, microbial biomass carbon</w:t>
      </w:r>
    </w:p>
    <w:p w14:paraId="59C0F52A" w14:textId="77777777" w:rsidR="00771565" w:rsidRPr="00C128F6" w:rsidRDefault="00771565" w:rsidP="00771565">
      <w:pPr>
        <w:spacing w:line="480" w:lineRule="auto"/>
        <w:rPr>
          <w:rFonts w:ascii="Times New Roman" w:hAnsi="Times New Roman" w:cs="Times New Roman"/>
          <w:sz w:val="20"/>
          <w:szCs w:val="20"/>
        </w:rPr>
        <w:sectPr w:rsidR="00771565" w:rsidRPr="00C128F6" w:rsidSect="00771565">
          <w:pgSz w:w="16838" w:h="11906" w:orient="landscape"/>
          <w:pgMar w:top="1800" w:right="1440" w:bottom="1800" w:left="1440" w:header="851" w:footer="992" w:gutter="0"/>
          <w:lnNumType w:countBy="1" w:restart="continuous"/>
          <w:cols w:space="425"/>
          <w:docGrid w:type="lines" w:linePitch="312"/>
        </w:sectPr>
      </w:pPr>
    </w:p>
    <w:p w14:paraId="45DC7BAA" w14:textId="27AC0CA5" w:rsidR="00E07101" w:rsidRPr="00A603F6" w:rsidRDefault="0043007A" w:rsidP="00E67D08">
      <w:pPr>
        <w:spacing w:line="480" w:lineRule="auto"/>
        <w:rPr>
          <w:rFonts w:ascii="Times New Roman" w:hAnsi="Times New Roman" w:cs="Times New Roman"/>
          <w:b/>
          <w:bCs/>
          <w:sz w:val="24"/>
          <w:szCs w:val="20"/>
        </w:rPr>
      </w:pPr>
      <w:r w:rsidRPr="00A603F6">
        <w:rPr>
          <w:rFonts w:ascii="Times New Roman" w:hAnsi="Times New Roman" w:cs="Times New Roman"/>
          <w:sz w:val="24"/>
          <w:szCs w:val="20"/>
        </w:rPr>
        <w:lastRenderedPageBreak/>
        <w:t>References</w:t>
      </w:r>
    </w:p>
    <w:p w14:paraId="5A8A2B36" w14:textId="51DEC678" w:rsidR="00DB47AB" w:rsidRPr="00A603F6" w:rsidRDefault="000E698F" w:rsidP="00E67D08">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de Graaff</w:t>
      </w:r>
      <w:r w:rsidR="00DB47AB" w:rsidRPr="00A603F6">
        <w:rPr>
          <w:rFonts w:ascii="Times New Roman" w:hAnsi="Times New Roman" w:cs="Times New Roman"/>
          <w:sz w:val="24"/>
          <w:szCs w:val="20"/>
        </w:rPr>
        <w:t xml:space="preserve"> MA, Jastrow JD, GilletteS, Johns A, Wullschleger SD </w:t>
      </w:r>
      <w:r w:rsidRPr="00A603F6">
        <w:rPr>
          <w:rFonts w:ascii="Times New Roman" w:hAnsi="Times New Roman" w:cs="Times New Roman"/>
          <w:sz w:val="24"/>
          <w:szCs w:val="20"/>
        </w:rPr>
        <w:t>(</w:t>
      </w:r>
      <w:r w:rsidR="00DB47AB" w:rsidRPr="00A603F6">
        <w:rPr>
          <w:rFonts w:ascii="Times New Roman" w:hAnsi="Times New Roman" w:cs="Times New Roman"/>
          <w:sz w:val="24"/>
          <w:szCs w:val="20"/>
        </w:rPr>
        <w:t>2014</w:t>
      </w:r>
      <w:r w:rsidRPr="00A603F6">
        <w:rPr>
          <w:rFonts w:ascii="Times New Roman" w:hAnsi="Times New Roman" w:cs="Times New Roman"/>
          <w:sz w:val="24"/>
          <w:szCs w:val="20"/>
        </w:rPr>
        <w:t>)</w:t>
      </w:r>
      <w:r w:rsidR="00DB47AB" w:rsidRPr="00A603F6">
        <w:rPr>
          <w:rFonts w:ascii="Times New Roman" w:hAnsi="Times New Roman" w:cs="Times New Roman"/>
          <w:sz w:val="24"/>
          <w:szCs w:val="20"/>
        </w:rPr>
        <w:t xml:space="preserve"> Differential primin</w:t>
      </w:r>
      <w:r w:rsidR="00F20DED" w:rsidRPr="00A603F6">
        <w:rPr>
          <w:rFonts w:ascii="Times New Roman" w:hAnsi="Times New Roman" w:cs="Times New Roman"/>
          <w:sz w:val="24"/>
          <w:szCs w:val="20"/>
        </w:rPr>
        <w:t xml:space="preserve">g of soil carbon driven by soil </w:t>
      </w:r>
      <w:r w:rsidR="00DB47AB" w:rsidRPr="00A603F6">
        <w:rPr>
          <w:rFonts w:ascii="Times New Roman" w:hAnsi="Times New Roman" w:cs="Times New Roman"/>
          <w:sz w:val="24"/>
          <w:szCs w:val="20"/>
        </w:rPr>
        <w:t>depth and root impacts on carbon availability. Soil Biol Biochem 69</w:t>
      </w:r>
      <w:r w:rsidRPr="00A603F6">
        <w:rPr>
          <w:rFonts w:ascii="Times New Roman" w:hAnsi="Times New Roman" w:cs="Times New Roman"/>
          <w:sz w:val="24"/>
          <w:szCs w:val="20"/>
        </w:rPr>
        <w:t>:</w:t>
      </w:r>
      <w:r w:rsidR="00DB47AB" w:rsidRPr="00A603F6">
        <w:rPr>
          <w:rFonts w:ascii="Times New Roman" w:hAnsi="Times New Roman" w:cs="Times New Roman"/>
          <w:sz w:val="24"/>
          <w:szCs w:val="20"/>
        </w:rPr>
        <w:t xml:space="preserve"> 147-156.</w:t>
      </w:r>
      <w:r w:rsidR="003858E6" w:rsidRPr="00A603F6">
        <w:rPr>
          <w:rFonts w:hint="eastAsia"/>
          <w:sz w:val="24"/>
          <w:szCs w:val="20"/>
        </w:rPr>
        <w:t xml:space="preserve"> </w:t>
      </w:r>
      <w:r w:rsidR="003858E6" w:rsidRPr="00A603F6">
        <w:rPr>
          <w:rFonts w:ascii="Times New Roman" w:hAnsi="Times New Roman" w:cs="Times New Roman"/>
          <w:sz w:val="24"/>
          <w:szCs w:val="20"/>
        </w:rPr>
        <w:t>https://doi.org/10.1016/j.soilbio.2013.10.047</w:t>
      </w:r>
    </w:p>
    <w:p w14:paraId="259F5B61" w14:textId="28306F15" w:rsidR="000E698F" w:rsidRPr="00A603F6" w:rsidRDefault="000E698F" w:rsidP="00DB0953">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Henneron L, Cros C, Picon-Cochard C, Rahimian V, Fontaine S (2020) Plant economic strategies of grassland species control soil carbon dynamics through rhizodeposition. J Ecol 108: 528-545. https://doi.org/10.1111/1365-2745.13276</w:t>
      </w:r>
    </w:p>
    <w:p w14:paraId="1450DC82" w14:textId="387ED083" w:rsidR="000E698F" w:rsidRPr="00A603F6" w:rsidRDefault="000E698F" w:rsidP="00DB0953">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Su J, Zhang H, Han X, Lv R, Liu L, Jiang Y, Li H, Kuzyakov Y, Wei C (2023) 5300-Year-old soil carbon is less primed than young soil organic matter. Glob</w:t>
      </w:r>
      <w:r w:rsidR="006950AD" w:rsidRPr="00A603F6">
        <w:rPr>
          <w:rFonts w:ascii="Times New Roman" w:hAnsi="Times New Roman" w:cs="Times New Roman"/>
          <w:sz w:val="24"/>
          <w:szCs w:val="20"/>
        </w:rPr>
        <w:t>al</w:t>
      </w:r>
      <w:r w:rsidRPr="00A603F6">
        <w:rPr>
          <w:rFonts w:ascii="Times New Roman" w:hAnsi="Times New Roman" w:cs="Times New Roman"/>
          <w:sz w:val="24"/>
          <w:szCs w:val="20"/>
        </w:rPr>
        <w:t xml:space="preserve"> Change Biol 29: 260-275. https://doi.org/10.1111/gcb.16463</w:t>
      </w:r>
    </w:p>
    <w:p w14:paraId="09301F10" w14:textId="45B20D67" w:rsidR="000E698F" w:rsidRPr="00A603F6" w:rsidRDefault="000E698F" w:rsidP="00DB0953">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Zhang Q, Feng J, Li J, Huang CY, Shen Y, Cheng W, Zhu B (2023) A distinct sensitivity to the priming effect between labile and stable soil organic carbon. New Phytol 237: 88-99. https://doi.org/10.1111/nph.18458</w:t>
      </w:r>
    </w:p>
    <w:p w14:paraId="0C5CCFE7" w14:textId="29CAEABF" w:rsidR="000E698F" w:rsidRPr="00A603F6" w:rsidRDefault="000E698F" w:rsidP="00DB0953">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Zhang X, Han X, Yu W, Wang P, Cheng W (2017) Priming effects on labile and stable soil organic carbon decomposition: Pulse dynamics over two years. PLoS ONE 12: e0184978. https://doi.org/10.1371/journal.pone.0184978</w:t>
      </w:r>
    </w:p>
    <w:p w14:paraId="2CB62059" w14:textId="037D7C27" w:rsidR="000E698F" w:rsidRPr="00A603F6" w:rsidRDefault="000E698F" w:rsidP="00DB0953">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Zheng Y, Jin J, Wang X, Clark G, Franks A, Tang C (2023) Nitrogen addition increases the glucose-induced priming effect of the particulate but not the mineral-associated organic carbon fraction. Soil Biol Biochem 184: 109106. https://doi.org/10.1016/j.soilbio.2023.109106</w:t>
      </w:r>
    </w:p>
    <w:p w14:paraId="4522BD88" w14:textId="77D6E1CE" w:rsidR="000E698F" w:rsidRPr="00A603F6" w:rsidRDefault="000E698F" w:rsidP="00E67D08">
      <w:pPr>
        <w:spacing w:line="480" w:lineRule="auto"/>
        <w:ind w:left="480" w:hangingChars="200" w:hanging="480"/>
        <w:rPr>
          <w:rFonts w:ascii="Times New Roman" w:hAnsi="Times New Roman" w:cs="Times New Roman"/>
          <w:sz w:val="24"/>
          <w:szCs w:val="20"/>
        </w:rPr>
      </w:pPr>
      <w:r w:rsidRPr="00A603F6">
        <w:rPr>
          <w:rFonts w:ascii="Times New Roman" w:hAnsi="Times New Roman" w:cs="Times New Roman"/>
          <w:sz w:val="24"/>
          <w:szCs w:val="20"/>
        </w:rPr>
        <w:t xml:space="preserve">Zhou J, Guillaume T, Wen Y, Blagodatskaya E, Shahbaz M, Zeng Z, Peixoto L, Zang H, Kuzyakov Y (2022) Frequent carbon input primes decomposition of decadal </w:t>
      </w:r>
      <w:r w:rsidRPr="00A603F6">
        <w:rPr>
          <w:rFonts w:ascii="Times New Roman" w:hAnsi="Times New Roman" w:cs="Times New Roman"/>
          <w:sz w:val="24"/>
          <w:szCs w:val="20"/>
        </w:rPr>
        <w:lastRenderedPageBreak/>
        <w:t>soil organic matter. Soil Biol Biochem 175: 108850. https://doi.org/10.1016/j.soilbio.2022.108850</w:t>
      </w:r>
    </w:p>
    <w:p w14:paraId="75259C14" w14:textId="77777777" w:rsidR="004E0D89" w:rsidRPr="00C128F6" w:rsidRDefault="004E0D89" w:rsidP="00771565">
      <w:pPr>
        <w:spacing w:line="480" w:lineRule="auto"/>
        <w:rPr>
          <w:rFonts w:ascii="Times New Roman" w:hAnsi="Times New Roman" w:cs="Times New Roman"/>
          <w:b/>
          <w:sz w:val="20"/>
          <w:szCs w:val="20"/>
        </w:rPr>
        <w:sectPr w:rsidR="004E0D89" w:rsidRPr="00C128F6" w:rsidSect="00771565">
          <w:pgSz w:w="11906" w:h="16838"/>
          <w:pgMar w:top="1440" w:right="1800" w:bottom="1440" w:left="1800" w:header="851" w:footer="992" w:gutter="0"/>
          <w:lnNumType w:countBy="1" w:restart="continuous"/>
          <w:cols w:space="425"/>
          <w:docGrid w:type="lines" w:linePitch="312"/>
        </w:sectPr>
      </w:pPr>
    </w:p>
    <w:p w14:paraId="4D46E93B" w14:textId="77777777" w:rsidR="006D47AA" w:rsidRPr="00A603F6" w:rsidRDefault="006D47AA" w:rsidP="00B60176">
      <w:pPr>
        <w:spacing w:line="480" w:lineRule="auto"/>
        <w:rPr>
          <w:rFonts w:ascii="Times New Roman" w:eastAsia="等线" w:hAnsi="Times New Roman" w:cs="Times New Roman"/>
          <w:b/>
          <w:sz w:val="24"/>
          <w:szCs w:val="24"/>
        </w:rPr>
      </w:pPr>
      <w:r w:rsidRPr="00A603F6">
        <w:rPr>
          <w:rFonts w:ascii="Times New Roman" w:eastAsia="等线" w:hAnsi="Times New Roman" w:cs="Times New Roman"/>
          <w:b/>
          <w:sz w:val="24"/>
          <w:szCs w:val="24"/>
        </w:rPr>
        <w:lastRenderedPageBreak/>
        <w:t>Note S1 Studies included in the current meta-analysis</w:t>
      </w:r>
    </w:p>
    <w:p w14:paraId="2F5DD72A"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Adhikari D, Dunham-Cheatham SM, Wordofa DN, Verburg P, Poulson SR, Yang Y (2019) Aerobic respiration of mineral-bound organic carbon in a soil. Sci Total Environ 651: 1253-1260. https://doi.org/10.1016/j.scitotenv.2018.09.271</w:t>
      </w:r>
    </w:p>
    <w:p w14:paraId="3E1441F8"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Aye NS, Butterly CR, Sale PWG, Tang CX (2018) Interactive effects of initial pH and nitrogen status on soil organic carbon priming by glucose and lignocellulose. Soil Biol Biochem 123: 33-44. https://doi.org/10.1016/j.soilbio.2018.04.027</w:t>
      </w:r>
    </w:p>
    <w:p w14:paraId="2A33AD86"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Bastida F, Torres IF, Hernández T, Bombach P, Richnow HH, García C (2013) Can the labile carbon contribute to carbon immobilization in semiarid soils? Priming effects and microbial community dynamics. Soil Biol Biochem 57: 892-902. https://doi.org/10.1016/j.soilbio.2012.10.037</w:t>
      </w:r>
    </w:p>
    <w:p w14:paraId="1B94ACC6"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Bernal B, McKinley DC, Hungate BA, White PM, Mozdzer TJ, Megonigal JP (2016) Limits to soil carbon stability; Deep, ancient soil carbon decomposition stimulated by new labile organic inputs. Soil Biol Biochem 98: 85-94. https://doi.org/10.1016/j.soilbio.2016.04.007</w:t>
      </w:r>
    </w:p>
    <w:p w14:paraId="31B4D929"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Blagodatskaya E, Yuyukina T, Blagodatsky S, Kuzyakov Y (2011) Three-source-partitioning of microbial biomass and of CO2 efflux from soil to evaluate mechanisms of priming effects. Soil Biol Biochem 43: 778-786. https://doi.org/10.1016/j.soilbio.2010.12.011</w:t>
      </w:r>
    </w:p>
    <w:p w14:paraId="01FBBA56"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Blagodatsky S, Blagodatskaya E, Yuyukina T, Kuzyakov Y (2010) Model of apparent and real priming effects: Linking microbial activity with soil organic matter decomposition. Soil Biol Biochem 42: 1275-1283. </w:t>
      </w:r>
      <w:r w:rsidRPr="00A603F6">
        <w:rPr>
          <w:rFonts w:ascii="Times New Roman" w:eastAsia="等线" w:hAnsi="Times New Roman" w:cs="Times New Roman"/>
          <w:sz w:val="24"/>
          <w:szCs w:val="24"/>
        </w:rPr>
        <w:lastRenderedPageBreak/>
        <w:t>https://doi.org/10.1016/j.soilbio.2010.04.005</w:t>
      </w:r>
    </w:p>
    <w:p w14:paraId="312830D0"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Boos EF, Magid J, Bruun S, Jørgensen NOG (2022) Liquid scintillation counting can underestimate 14C-activity of 14CO2 trapped in NaOH. Soil Biol Biochem 166: 108576. https://doi.org/10.1016/j.soilbio.2022.108576</w:t>
      </w:r>
    </w:p>
    <w:p w14:paraId="6DE55E8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Chang Q, Liu Z, Zhang T, Liu S, Liu B, Fan X, Meng D, Zhang K, Bai E (2024) Soil priming effect in the organic and mineral layers regulated by nitrogen mining mechanism in a temperate forest. Land Degrad Dev 35: 4961-4971. https://doi.org/10.1002/ldr.5270</w:t>
      </w:r>
    </w:p>
    <w:p w14:paraId="1369208A"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Chotte JL, Ladd JN, Amato M (1998) Sites of microbial assimilation, and turnover of soluble and particulate 14C-labelled substrates decomposing in a clay soil. Soil Biol Biochem 30: 205-218. https://doi.org/10.1016/S0038-0717(97)00115-6</w:t>
      </w:r>
    </w:p>
    <w:p w14:paraId="43121564"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Conde E, Cardenas M, Ponce-Mendoza A, Cruz-Mondragon C, Dendooven L (2005) The impacts of inorganic nitrogen application on mineralization of 14C-labelled maize and glucose, and on priming effect in saline alkaline soil. Soil Biol Biochem 37: 681-691. https://doi.org/10.1016/j.soilbio.2004.08.026</w:t>
      </w:r>
    </w:p>
    <w:p w14:paraId="27CB6D34"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Cui J, Zhu ZK, Xu XL, Liu SL, Jones DL, Kuzyakov Y, Shibistova O, Wu JS, Ge TD (2020) Carbon and nitrogen recycling from microbial necromass to cope with C:N stoichiometric imbalance by priming. Soil Biol Biochem 142: 107720. https://doi.org/10.1016/j.soilbio.2020.107720</w:t>
      </w:r>
    </w:p>
    <w:p w14:paraId="42292F7E"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Di Lonardo DP, De Boer W, Klein Gunnewiek PJA, Hannula SE, van der Wal A (2017) Priming of soil organic matter: Chemical structure of added compounds is more important than the energy content. Soil Biol Biochem 108: 41-54. </w:t>
      </w:r>
      <w:r w:rsidRPr="00A603F6">
        <w:rPr>
          <w:rFonts w:ascii="Times New Roman" w:eastAsia="等线" w:hAnsi="Times New Roman" w:cs="Times New Roman"/>
          <w:sz w:val="24"/>
          <w:szCs w:val="24"/>
        </w:rPr>
        <w:lastRenderedPageBreak/>
        <w:t>https://doi.org/10.1016/j.soilbio.2017.01.017</w:t>
      </w:r>
    </w:p>
    <w:p w14:paraId="410FD92D"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Di Lonardo DP, De Boer W, Zweers H, van der Wal A (2019) Effect of the amount of organic trigger compounds, nitrogen and soil microbial biomass on the magnitude of priming of soil organic matter. PLOS ONE 14: e0216730. https://doi.org/10.1371/journal.pone.0216730</w:t>
      </w:r>
    </w:p>
    <w:p w14:paraId="180B7C7A"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Dilly O, Zyakun A (2008) Priming effect and respiratory quotient in a forest soil amended with glucose. Geomicrobiol J 25: 425-431. https://doi.org/10.1080/01490450802403099</w:t>
      </w:r>
    </w:p>
    <w:p w14:paraId="0BB301BB"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Huang SS, Huo CF, Xie HT, Wang P, Cheng WX (2019) Soil organic carbon mineralization and priming effects in the topsoil and subsoil under no-tillage black soil. Chin J Appl Ecol 30: 1877-1884. (in Chinese) https://doi.org/10.13287/j.1001-9332.201906.015</w:t>
      </w:r>
    </w:p>
    <w:p w14:paraId="6D561941"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Karhu K, Alaei S, Li J, Merila P, Ostonen L, Bengtson P (2022) Microbial carbon use efficiency and priming of soil organic matter mineralization by glucose additions in boreal forest soils with different C:N ratios. Soil Biol Biochem 167: 108615. https://doi.org/10.1016/j.soilbio.2022.108615</w:t>
      </w:r>
    </w:p>
    <w:p w14:paraId="1B13C6E8"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Li YR, Shahbaz M, Zhu ZK, Chen AL, Nannipieri P, Li BZ, Deng YW, Wu JS, Ge TD (2020) Contrasting response of organic carbon mineralisation to iron oxide addition under conditions of low and high microbial biomass in anoxic paddy soil. Biol Fertil Soils 57: 117-129. https://doi.org/10.1007/s00374-020-01510-8</w:t>
      </w:r>
    </w:p>
    <w:p w14:paraId="60C26229"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Liao C, Li D, Huang L, Liu F, Tian Q (2020) Higher carbon sequestration potential and stability for deep soil compared to surface soil regardless of nitrogen addition </w:t>
      </w:r>
      <w:r w:rsidRPr="00A603F6">
        <w:rPr>
          <w:rFonts w:ascii="Times New Roman" w:eastAsia="等线" w:hAnsi="Times New Roman" w:cs="Times New Roman"/>
          <w:sz w:val="24"/>
          <w:szCs w:val="24"/>
        </w:rPr>
        <w:lastRenderedPageBreak/>
        <w:t>in a subtropical forest. PeerJ 8: e9128. https://doi.org/10.7717/peerj.9128</w:t>
      </w:r>
    </w:p>
    <w:p w14:paraId="1C3C9B5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Liao C, Tian QX, Wang DY, Qu LY, Wu Y, Liu F (2016) Effects of labile carbon addition on organic carbon mineralization and microbial growth strategies in subtropical forest soils. Chin J Appl Ecol 27: 2848-2854. (in Chinese) https://doi.org/10.13287/j.1001-9332.201609.038</w:t>
      </w:r>
    </w:p>
    <w:p w14:paraId="5C20D171"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Liu L, Estiarte M, Bengtson P, Li J, Asensio D, Wallander H, Penuelas J (2022) Drought legacies on soil respiration and microbial community in a Mediterranean forest soil under different soil moisture and carbon inputs. Geoderma 405: 115425. https://doi.org/10.1016/j.geoderma.2021.115425</w:t>
      </w:r>
    </w:p>
    <w:p w14:paraId="720FBEA7"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Liu XJA, Hayer M, Mau RL, Schwartz E, Dijkstra P, Hungate BA (2021) Substrate stoichiometric regulation of microbial respiration and community dynamics across four different ecosystems. Soil Biol Biochem 163: 108458. https://doi.org/10.1016/j.soilbio.2021.108458</w:t>
      </w:r>
    </w:p>
    <w:p w14:paraId="61120E5E"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Luo Y, Zang HD, Yu ZY, Chen ZY, Gunina A, Kuzyakov Y, Xu JM, Zhang KL, Brookes PC (2017) Priming effects in biochar enriched soils using a three-source-partitioning approach: 14C labelling and 13C natural abundance. Soil Biol Biochem 106: 28-35. https://doi.org/10.1016/j.soilbio.2016.12.006</w:t>
      </w:r>
    </w:p>
    <w:p w14:paraId="0CBE162D"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Lyu MK, Xie JS, Wang C, Guo JF, Wang MH, Liu XF, Chen YH, Chen GS, Yang YS (2015) Forest conversion stimulated deep soil C losses and decreased C recalcitrance through priming effect in subtropical China. Biol Fertil Soils 51: 857-867. https://doi.org/10.1007/s00374-015-1035-y</w:t>
      </w:r>
    </w:p>
    <w:p w14:paraId="736570A5"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Ma X, Wei L, Tang ML, Xu FL, Zhu ZK, Ge TD, Wu JS (2018) Effects of varying </w:t>
      </w:r>
      <w:r w:rsidRPr="00A603F6">
        <w:rPr>
          <w:rFonts w:ascii="Times New Roman" w:eastAsia="等线" w:hAnsi="Times New Roman" w:cs="Times New Roman"/>
          <w:sz w:val="24"/>
          <w:szCs w:val="24"/>
        </w:rPr>
        <w:lastRenderedPageBreak/>
        <w:t>long-term fertilization on organic carbon mineralization and priming effect of paddy soil. Environ Sci 39: 4680-4686. (in Chinese) https://doi.org/10.13227/j.hjkx.201805050</w:t>
      </w:r>
    </w:p>
    <w:p w14:paraId="159F61E8"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Mason-Jones K, Kuzyakov Y (2017) "Non-metabolizable" glucose analogue shines new light on priming mechanisms: Triggering of microbial metabolism. Soil Biol Biochem 107: 68-76. https://doi.org/10.1016/j.soilbio.2016.12.015</w:t>
      </w:r>
    </w:p>
    <w:p w14:paraId="1E7BAD6B"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Mehnaz KR, Corneo PE, Keitel C, Dijkstra FA (2019) Carbon and phosphorus addition effects on microbial carbon use efficiency, soil organic matter priming, gross nitrogen mineralization and nitrous oxide emission from soil. Soil Biol Biochem 134: 175-186. https://doi.org/10.1016/j.soilbio.2019.04.003</w:t>
      </w:r>
    </w:p>
    <w:p w14:paraId="09B894D3"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Nottingham AT, Griffiths H, Chamberlain PM, Stott AW, Tanner EVJ (2009) Soil priming by sugar and leaf-litter substrates: A link to microbial groups. Appl Soil Ecol 42: 183-190. https://doi.org/10.1016/j.apsoil.2009.03.003</w:t>
      </w:r>
    </w:p>
    <w:p w14:paraId="093229EA"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Qi D, Huang G, Feng Y, He X, Song Y, Song FQ (2024) Nitrogen addition suppresses soil positive priming effect in temperate plantations: evidence from an 8-year in situ field experiment. Funct Ecol 38: 429-438. https://doi.org/10.1111/1365-2435.14484</w:t>
      </w:r>
    </w:p>
    <w:p w14:paraId="647E9F84"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Qiao N, Schaefer D, Blagodatskaya E, Zou XM, Xu XL, Kuzyakov Y (2014) Labile carbon retention compensates for CO2 released by priming in forest soils. Glob Change Biol 20: 1943-1954. https://doi.org/10.1111/gcb.12458</w:t>
      </w:r>
    </w:p>
    <w:p w14:paraId="68BA7CEB"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Qiao N, Wang J, Xu XL, Shen YX, Long XE, Hu YH, Schaefer D, Li SG, Wang HM, Kuzyakov Y (2019) Priming alters soil carbon dynamics during forest </w:t>
      </w:r>
      <w:r w:rsidRPr="00A603F6">
        <w:rPr>
          <w:rFonts w:ascii="Times New Roman" w:eastAsia="等线" w:hAnsi="Times New Roman" w:cs="Times New Roman"/>
          <w:sz w:val="24"/>
          <w:szCs w:val="24"/>
        </w:rPr>
        <w:lastRenderedPageBreak/>
        <w:t>succession. Biol Fertil Soils 55: 339-350. https://doi.org/10.1007/s00374-019-01351-0</w:t>
      </w:r>
    </w:p>
    <w:p w14:paraId="555727C6"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Qiu HS, Zheng XD, Ge TD, Dorodnikov M, Chen XB, Hu YJ, Kuzyakov Y, Wu JS, Su YR, Zhang ZH (2017) Weaker priming and mineralisation of low molecular weight organic substances in paddy than in upland soil. Eur J Soil Biol 83: 9-17. https://doi.org/10.1016/j.ejsobi.2017.09.008</w:t>
      </w:r>
    </w:p>
    <w:p w14:paraId="0B9DC00F"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Qiu QY, Yang Y, Wang H, Hu YL (2020) Effects of labile organic carbon application rates on the priming effect at different soil depths in an evergreen broadleaved forest of Wuyi Mountain. Chin J Ecol 39: 1153-1163. (in Chinese)</w:t>
      </w:r>
    </w:p>
    <w:p w14:paraId="3DDDACDB"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Qiu QY, Yao KL, Liu J, Ge ZQ, Xu WB, Liu HX, Hu YL (2019) Effects of labile organic carbon input on the priming effect along an ecological restoration gradient. Acta Ecol Sin 39: 4855-4864. (in Chinese) https://doi.org/10.5846/stxb201805040995</w:t>
      </w:r>
    </w:p>
    <w:p w14:paraId="7C3D2A3E"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Sawada K, Inagaki Y, Toyota K (2021) Priming effects induced by C and N additions in relation to microbial biomass turnover in Japanese forest soils. Appl Soil Ecol 162: 103884. https://doi.org/10.1016/j.apsoil.2021.103884</w:t>
      </w:r>
    </w:p>
    <w:p w14:paraId="518A80D0"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Shahbaz M, Kumar A, Kuzyakov Y, Börjesson G, Blagodatskaya E (2018) Priming effects induced by glucose and decaying plant residues on SOM decomposition: A three-source 13C/14C partitioning study. Soil Biol Biochem 121: 138-146. https://doi.org/10.1016/j.soilbio.2018.03.004</w:t>
      </w:r>
    </w:p>
    <w:p w14:paraId="497C81CE"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Su J, Zhang H, Han X, Lv R, Liu L, Jiang Y, Li H, Kuzyakov Y, Wei C (2023) 5300-Year-old soil carbon is less primed than young soil organic matter. Global </w:t>
      </w:r>
      <w:r w:rsidRPr="00A603F6">
        <w:rPr>
          <w:rFonts w:ascii="Times New Roman" w:eastAsia="等线" w:hAnsi="Times New Roman" w:cs="Times New Roman"/>
          <w:sz w:val="24"/>
          <w:szCs w:val="24"/>
        </w:rPr>
        <w:lastRenderedPageBreak/>
        <w:t>Change Biol 29: 260-275. https://doi.org/10.1111/gcb.16463</w:t>
      </w:r>
    </w:p>
    <w:p w14:paraId="488C984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Su Z, Shangguan Z (2023) Nitrogen addition decreases the soil cumulative priming effect and favours soil net carbon gains in Robinia pseudoacacia plantation soil. Geoderma 433: 116444. https://doi.org/10.1016/j.geoderma.2023.116444</w:t>
      </w:r>
    </w:p>
    <w:p w14:paraId="54BB7AFE"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Tang ML, Wei L, Zhu ZK, Li H, Zhou P, Ge TD, Wu JS, Wang GJ (2018) Responses of organic carbon mineralization and priming effect to phosphorus addition in paddy soils. Chin J Appl Ecol 29: 857-864. (in Chinese) https://doi.org/10.13287/j.1001-9332.201803.023</w:t>
      </w:r>
    </w:p>
    <w:p w14:paraId="376A44E1"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Tang ZZ, Zhu ZK, Shen BJ, Hu YJ, Wang J, Pang J, Tong CL, Ge TD, Wu JS (2017) Effect of stoichiometric ratio of soil nutrients on mineralization and priming effect of glucose in paddy soil. Acta Pedol Sin 54: 246-254. (in Chinese) https://doi.org/10.11766/trxb201604260070</w:t>
      </w:r>
    </w:p>
    <w:p w14:paraId="02E14714"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Tian QX, Yang XL, Wang XG, Liao C, Li QX, Wang M, Wu Y, Liu F (2016) Microbial community mediated response of organic carbon mineralization to labile carbon and nitrogen addition in topsoil and subsoil. Biogeochemistry 128: 125-139. https://doi.org/10.1007/s10533-016-0198-4</w:t>
      </w:r>
    </w:p>
    <w:p w14:paraId="17708DDB"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Tian YQ, Chen Y, Ouyang SN, Sun Y (2020) The Effect of carbon and nitrogen addition on soil organic matter mineralization in the semi-arid grassland of north China. Ecol Environ Sci 29: 1101-1108. (in Chinese) https://doi.org/10.16258/j.cnki.1674-5906.2020.06.004</w:t>
      </w:r>
    </w:p>
    <w:p w14:paraId="53FEB7E4"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Wei L, Zhu ZK, Liu SL, Xiao ML, Wang JY, Deng YW, Kuzyakov Y, Wu JS, Ge TD (2021) Temperature sensitivity (Q10) of stable, primed and easily available </w:t>
      </w:r>
      <w:r w:rsidRPr="00A603F6">
        <w:rPr>
          <w:rFonts w:ascii="Times New Roman" w:eastAsia="等线" w:hAnsi="Times New Roman" w:cs="Times New Roman"/>
          <w:sz w:val="24"/>
          <w:szCs w:val="24"/>
        </w:rPr>
        <w:lastRenderedPageBreak/>
        <w:t>organic matter pools during decomposition in paddy soil. Appl Soil Ecol 157: 103752. https://doi.org/10.1016/j.apsoil.2020.103752</w:t>
      </w:r>
    </w:p>
    <w:p w14:paraId="6DE1928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Wei YY, Cui LJ, Zhang MY, Liu WW, Wang DA, Yang S, Xiao HY (2019) Effects of exogenous carbon input on soil organic carbon mineralization and temperature sensitivity of cropland and wetland in the North China Plain. Chin J Eco-Agric 27: 1463-1471. (in Chinese) https://doi.org/10.13930/j.cnki.cjea.190214</w:t>
      </w:r>
    </w:p>
    <w:p w14:paraId="01BFF435"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Wu J, Brookes PC, Jenkinson DS (1993) Formation and destruction of microbial biomass during the decomposition of glucose and ryegrass in soil. Soil Biol Biochem 25: 1435-1441. https://doi.org/10.1016/0038-0717(93)90058-J</w:t>
      </w:r>
    </w:p>
    <w:p w14:paraId="3C0845B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Wu JS, Zhou P, Li L, Su YR, Yuan HZ, Syers JK (2012) Restricted mineralization of fresh organic materials incorporated into a subtropical paddy soil. J Sci Food Agric 92: 1031-1037. https://doi.org/10.1002/jsfa.4645</w:t>
      </w:r>
    </w:p>
    <w:p w14:paraId="246804C8"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Xu Q, Jin J, Wang XJ, Armstrong R, Tang CX (2019) Susceptibility of soil organic carbon to priming after long-term CO2 fumigation is mediated by soil texture. Sci Total Environ 657: 1112-1120. https://doi.org/10.1016/j.scitotenv.2018.11.437</w:t>
      </w:r>
    </w:p>
    <w:p w14:paraId="458C4213"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Xu Q, Yao Z, Chen Y, Liu N, Teng Z, Huang D, Cao W, Kuzyakov Y, Shah T, Zhao N, Wang ZH, Zhang DB, Gao YJ (2024) Priming and balance of soil organic carbon differ with additive C: N ratios and long-term green manuring. Appl Soil Ecol 201: 105495. https://doi.org/10.1016/j.apsoil.2024.105495</w:t>
      </w:r>
    </w:p>
    <w:p w14:paraId="30CFAF71"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Yu Q, Zhang Z, He Y, Hao M, Wang G, Dun X, Wu Q, Gao P (2023) Secondary shrubs promoted the priming effect by increasing soil particle organic carbon mineralization. Front For Glob Change 6: 1288259. </w:t>
      </w:r>
      <w:r w:rsidRPr="00A603F6">
        <w:rPr>
          <w:rFonts w:ascii="Times New Roman" w:eastAsia="等线" w:hAnsi="Times New Roman" w:cs="Times New Roman"/>
          <w:sz w:val="24"/>
          <w:szCs w:val="24"/>
        </w:rPr>
        <w:lastRenderedPageBreak/>
        <w:t>https://doi.org/10.3389/ffgc.2023.1288259</w:t>
      </w:r>
    </w:p>
    <w:p w14:paraId="2A8A420B"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Zhang D, Gong C, Zhang WG, Zhang H, Zhang J, Song CC (2021) Labile carbon addition alters soil organic carbon mineralization but not its temperature sensitivity in a freshwater marsh of Northeast China. Appl Soil Ecol 160: 103844. https://doi.org/10.1016/j.apsoil.2020.103844</w:t>
      </w:r>
    </w:p>
    <w:p w14:paraId="1514581F"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Zhang HJ, Ding WX, Luo JF, Bolan N, Yu HY, Zhu JG (2016) Temporal responses of microorganisms and native organic carbon mineralization to 13C-glucose addition in a sandy loam soil with long-term fertilization. Eur J Soil Biol 74: 16-22. https://doi.org/10.1016/j.ejsobi.2016.02.007</w:t>
      </w:r>
    </w:p>
    <w:p w14:paraId="4885529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Zhang Q, Feng J, Li J, Huang CY, Shen Y, Cheng W, Zhu B (2023) A distinct sensitivity to the priming effect between labile and stable soil organic carbon. New Phytol 237: 88-99. https://doi.org/10.1111/nph.18458</w:t>
      </w:r>
    </w:p>
    <w:p w14:paraId="3DBF1119"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Zhang X, Han X, Yu W, Wang P, Cheng W (2017) Priming effects on labile and stable soil organic carbon decomposition: Pulse dynamics over two years. PLOS ONE 12: e0184978. https://doi.org/10.1371/journal.pone.0184978</w:t>
      </w:r>
    </w:p>
    <w:p w14:paraId="65FFD188"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Zhang YL, Yao SH, Mao JD, Olk DC, Cao XY, Zhang B (2015) Chemical composition of organic matter in a deep soil changed with a positive priming effect due to glucose addition as investigated by 13C NMR spectroscopy. Soil Biol Biochem 85: 137-144. https://doi.org/10.1016/j.soilbio.2015.03.013</w:t>
      </w:r>
    </w:p>
    <w:p w14:paraId="22164C5D"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 xml:space="preserve">Zheng Y, Jin J, Wang X, Clark G, Franks A, Tang C (2023) Nitrogen addition increases the glucose-induced priming effect of the particulate but not the mineral-associated organic carbon fraction. Soil Biol Biochem 184: 109106. </w:t>
      </w:r>
      <w:r w:rsidRPr="00A603F6">
        <w:rPr>
          <w:rFonts w:ascii="Times New Roman" w:eastAsia="等线" w:hAnsi="Times New Roman" w:cs="Times New Roman"/>
          <w:sz w:val="24"/>
          <w:szCs w:val="24"/>
        </w:rPr>
        <w:lastRenderedPageBreak/>
        <w:t>https://doi.org/10.1016/j.soilbio.2023.109106</w:t>
      </w:r>
    </w:p>
    <w:p w14:paraId="4C7C4C39"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Zheng YY, Jin J, Wang XJ, Clark GJ, Tang CX (2022) Increasing nitrogen availability does not decrease the priming effect on soil organic matter under pulse glucose and single nitrogen addition in woodland topsoil. Soil Biol Biochem 172: 108767. https://doi.org/10.1016/j.soilbio.2022.108767</w:t>
      </w:r>
    </w:p>
    <w:p w14:paraId="578508A3"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Zhou J, Feng W, Brown RW, Yang H, Shao G, Shi L, Gui H, Xu J, Li F, Jones DL, Zamanian K (2024) Microplastic contamination accelerates soil carbon loss through positive priming. Sci Total Environ 954: 176273. https://doi.org/10.1016/j.scitotenv.2024.176273</w:t>
      </w:r>
    </w:p>
    <w:p w14:paraId="25A93E91"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Zhou J, Guillaume T, Wen Y, Blagodatskaya E, Shahbaz M, Zeng Z, Peixoto L, Zang H, Kuzyakov Y (2022) Frequent carbon input primes decomposition of decadal soil organic matter. Soil Biol Biochem 175: 108850. https://doi.org/10.1016/j.soilbio.2022.108850</w:t>
      </w:r>
    </w:p>
    <w:p w14:paraId="68D202FC" w14:textId="77777777" w:rsidR="00485520" w:rsidRPr="00A603F6" w:rsidRDefault="00485520">
      <w:pPr>
        <w:numPr>
          <w:ilvl w:val="0"/>
          <w:numId w:val="1"/>
        </w:numPr>
        <w:spacing w:line="480" w:lineRule="auto"/>
        <w:rPr>
          <w:rFonts w:ascii="Times New Roman" w:eastAsia="等线" w:hAnsi="Times New Roman" w:cs="Times New Roman"/>
          <w:sz w:val="24"/>
          <w:szCs w:val="24"/>
        </w:rPr>
      </w:pPr>
      <w:r w:rsidRPr="00A603F6">
        <w:rPr>
          <w:rFonts w:ascii="Times New Roman" w:eastAsia="等线" w:hAnsi="Times New Roman" w:cs="Times New Roman"/>
          <w:sz w:val="24"/>
          <w:szCs w:val="24"/>
        </w:rPr>
        <w:t>Zwetsloot MJ, Ucros JM, Wickings K, Wilhelm RC, Sparks J, Buckley DH, Bauerle TL (2020) Prevalent root-derived phenolics drive shifts in microbial community composition and prime decomposition in forest soil. Soil Biol Biochem 145: 107797. https://doi.org/10.1016/j.soilbio.2020.107797</w:t>
      </w:r>
    </w:p>
    <w:p w14:paraId="7A60B475" w14:textId="77777777" w:rsidR="006D47AA" w:rsidRPr="00C128F6" w:rsidRDefault="006D47AA" w:rsidP="006D47AA">
      <w:pPr>
        <w:widowControl/>
        <w:spacing w:line="480" w:lineRule="auto"/>
        <w:jc w:val="left"/>
        <w:rPr>
          <w:rFonts w:ascii="Times New Roman" w:hAnsi="Times New Roman" w:cs="Times New Roman"/>
          <w:b/>
          <w:sz w:val="20"/>
          <w:szCs w:val="20"/>
        </w:rPr>
        <w:sectPr w:rsidR="006D47AA" w:rsidRPr="00C128F6" w:rsidSect="006D47AA">
          <w:pgSz w:w="11906" w:h="16838"/>
          <w:pgMar w:top="1440" w:right="1800" w:bottom="1440" w:left="1800" w:header="851" w:footer="992" w:gutter="0"/>
          <w:lnNumType w:countBy="1" w:restart="continuous"/>
          <w:cols w:space="425"/>
          <w:docGrid w:type="lines" w:linePitch="312"/>
        </w:sectPr>
      </w:pPr>
    </w:p>
    <w:p w14:paraId="52D36C52" w14:textId="24508D32" w:rsidR="004E0D89" w:rsidRPr="00A603F6" w:rsidRDefault="00F875F3" w:rsidP="00E67D08">
      <w:pPr>
        <w:widowControl/>
        <w:spacing w:line="480" w:lineRule="auto"/>
        <w:rPr>
          <w:rFonts w:ascii="Times New Roman" w:hAnsi="Times New Roman" w:cs="Times New Roman"/>
          <w:b/>
          <w:sz w:val="24"/>
          <w:szCs w:val="20"/>
        </w:rPr>
      </w:pPr>
      <w:r w:rsidRPr="00A603F6">
        <w:rPr>
          <w:rFonts w:ascii="Times New Roman" w:hAnsi="Times New Roman" w:cs="Times New Roman"/>
          <w:b/>
          <w:bCs/>
          <w:sz w:val="24"/>
          <w:szCs w:val="20"/>
        </w:rPr>
        <w:lastRenderedPageBreak/>
        <w:t xml:space="preserve">Table </w:t>
      </w:r>
      <w:r w:rsidR="00C73A39" w:rsidRPr="00A603F6">
        <w:rPr>
          <w:rFonts w:ascii="Times New Roman" w:hAnsi="Times New Roman" w:cs="Times New Roman"/>
          <w:b/>
          <w:bCs/>
          <w:sz w:val="24"/>
          <w:szCs w:val="20"/>
        </w:rPr>
        <w:t>S</w:t>
      </w:r>
      <w:r w:rsidR="00C73A39">
        <w:rPr>
          <w:rFonts w:ascii="Times New Roman" w:hAnsi="Times New Roman" w:cs="Times New Roman" w:hint="eastAsia"/>
          <w:b/>
          <w:bCs/>
          <w:sz w:val="24"/>
          <w:szCs w:val="20"/>
        </w:rPr>
        <w:t>2</w:t>
      </w:r>
      <w:r w:rsidR="00C73A39" w:rsidRPr="00A603F6">
        <w:rPr>
          <w:rFonts w:ascii="Times New Roman" w:hAnsi="Times New Roman" w:cs="Times New Roman"/>
          <w:sz w:val="24"/>
          <w:szCs w:val="20"/>
        </w:rPr>
        <w:t xml:space="preserve"> </w:t>
      </w:r>
      <w:r w:rsidR="003273DD" w:rsidRPr="00A603F6">
        <w:rPr>
          <w:rFonts w:ascii="Times New Roman" w:hAnsi="Times New Roman" w:cs="Times New Roman"/>
          <w:sz w:val="24"/>
          <w:szCs w:val="20"/>
        </w:rPr>
        <w:t>R</w:t>
      </w:r>
      <w:r w:rsidR="006373ED" w:rsidRPr="00A603F6">
        <w:rPr>
          <w:rFonts w:ascii="Times New Roman" w:hAnsi="Times New Roman" w:cs="Times New Roman"/>
          <w:sz w:val="24"/>
          <w:szCs w:val="20"/>
        </w:rPr>
        <w:t>esults</w:t>
      </w:r>
      <w:r w:rsidR="004E0D89" w:rsidRPr="00A603F6">
        <w:rPr>
          <w:rFonts w:ascii="Times New Roman" w:hAnsi="Times New Roman" w:cs="Times New Roman"/>
          <w:sz w:val="24"/>
          <w:szCs w:val="20"/>
        </w:rPr>
        <w:t xml:space="preserve"> of parameters </w:t>
      </w:r>
      <w:r w:rsidR="004E0D89" w:rsidRPr="00A603F6">
        <w:rPr>
          <w:rFonts w:ascii="Times New Roman" w:eastAsia="等线" w:hAnsi="Times New Roman" w:cs="Times New Roman"/>
          <w:sz w:val="24"/>
          <w:szCs w:val="20"/>
        </w:rPr>
        <w:t xml:space="preserve">estimated by first-order kinetic model with two soil organic carbon pools (persistent </w:t>
      </w:r>
      <w:r w:rsidR="001D3E4C" w:rsidRPr="00A603F6">
        <w:rPr>
          <w:rFonts w:ascii="Times New Roman" w:eastAsia="等线" w:hAnsi="Times New Roman" w:cs="Times New Roman"/>
          <w:sz w:val="24"/>
          <w:szCs w:val="20"/>
        </w:rPr>
        <w:t>SO</w:t>
      </w:r>
      <w:r w:rsidR="004E0D89" w:rsidRPr="00A603F6">
        <w:rPr>
          <w:rFonts w:ascii="Times New Roman" w:eastAsia="等线" w:hAnsi="Times New Roman" w:cs="Times New Roman"/>
          <w:sz w:val="24"/>
          <w:szCs w:val="20"/>
        </w:rPr>
        <w:t xml:space="preserve">C and labile </w:t>
      </w:r>
      <w:r w:rsidR="001D3E4C" w:rsidRPr="00A603F6">
        <w:rPr>
          <w:rFonts w:ascii="Times New Roman" w:eastAsia="等线" w:hAnsi="Times New Roman" w:cs="Times New Roman"/>
          <w:sz w:val="24"/>
          <w:szCs w:val="20"/>
        </w:rPr>
        <w:t>SO</w:t>
      </w:r>
      <w:r w:rsidR="004E0D89" w:rsidRPr="00A603F6">
        <w:rPr>
          <w:rFonts w:ascii="Times New Roman" w:eastAsia="等线" w:hAnsi="Times New Roman" w:cs="Times New Roman"/>
          <w:sz w:val="24"/>
          <w:szCs w:val="20"/>
        </w:rPr>
        <w:t>C) (mean ± SE).</w:t>
      </w:r>
    </w:p>
    <w:tbl>
      <w:tblPr>
        <w:tblW w:w="10065" w:type="dxa"/>
        <w:jc w:val="center"/>
        <w:tblBorders>
          <w:top w:val="single" w:sz="4" w:space="0" w:color="auto"/>
          <w:bottom w:val="single" w:sz="4" w:space="0" w:color="auto"/>
        </w:tblBorders>
        <w:tblLayout w:type="fixed"/>
        <w:tblLook w:val="04A0" w:firstRow="1" w:lastRow="0" w:firstColumn="1" w:lastColumn="0" w:noHBand="0" w:noVBand="1"/>
      </w:tblPr>
      <w:tblGrid>
        <w:gridCol w:w="1843"/>
        <w:gridCol w:w="1276"/>
        <w:gridCol w:w="1276"/>
        <w:gridCol w:w="1417"/>
        <w:gridCol w:w="1276"/>
        <w:gridCol w:w="1276"/>
        <w:gridCol w:w="1701"/>
      </w:tblGrid>
      <w:tr w:rsidR="004E0D89" w:rsidRPr="00C128F6" w14:paraId="315C7DD9" w14:textId="77777777" w:rsidTr="005B5A55">
        <w:trPr>
          <w:trHeight w:val="278"/>
          <w:jc w:val="center"/>
        </w:trPr>
        <w:tc>
          <w:tcPr>
            <w:tcW w:w="1843" w:type="dxa"/>
            <w:tcBorders>
              <w:top w:val="single" w:sz="4" w:space="0" w:color="auto"/>
              <w:bottom w:val="single" w:sz="4" w:space="0" w:color="auto"/>
            </w:tcBorders>
            <w:noWrap/>
            <w:vAlign w:val="center"/>
            <w:hideMark/>
          </w:tcPr>
          <w:p w14:paraId="13EF6926" w14:textId="3D14D31F" w:rsidR="004E0D89" w:rsidRPr="00A603F6" w:rsidRDefault="005B5A55" w:rsidP="00552C1E">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color w:val="000000"/>
                <w:kern w:val="0"/>
                <w:sz w:val="20"/>
                <w:szCs w:val="20"/>
              </w:rPr>
              <w:t>E</w:t>
            </w:r>
            <w:r w:rsidR="004E0D89" w:rsidRPr="00A603F6">
              <w:rPr>
                <w:rFonts w:ascii="Times New Roman" w:eastAsia="等线" w:hAnsi="Times New Roman" w:cs="Times New Roman"/>
                <w:b/>
                <w:color w:val="000000"/>
                <w:kern w:val="0"/>
                <w:sz w:val="20"/>
                <w:szCs w:val="20"/>
              </w:rPr>
              <w:t>cosystem</w:t>
            </w:r>
          </w:p>
        </w:tc>
        <w:tc>
          <w:tcPr>
            <w:tcW w:w="1276" w:type="dxa"/>
            <w:tcBorders>
              <w:top w:val="single" w:sz="4" w:space="0" w:color="auto"/>
              <w:bottom w:val="single" w:sz="4" w:space="0" w:color="auto"/>
            </w:tcBorders>
            <w:noWrap/>
            <w:vAlign w:val="center"/>
            <w:hideMark/>
          </w:tcPr>
          <w:p w14:paraId="62A184BC" w14:textId="77777777" w:rsidR="004E0D89" w:rsidRPr="00A603F6" w:rsidRDefault="004E0D89" w:rsidP="00552C1E">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i/>
                <w:color w:val="000000"/>
                <w:kern w:val="0"/>
                <w:sz w:val="20"/>
                <w:szCs w:val="20"/>
              </w:rPr>
              <w:t>f</w:t>
            </w:r>
            <w:r w:rsidRPr="00A603F6">
              <w:rPr>
                <w:rFonts w:ascii="Times New Roman" w:eastAsia="等线" w:hAnsi="Times New Roman" w:cs="Times New Roman"/>
                <w:b/>
                <w:color w:val="000000"/>
                <w:kern w:val="0"/>
                <w:sz w:val="20"/>
                <w:szCs w:val="20"/>
              </w:rPr>
              <w:t xml:space="preserve"> (10</w:t>
            </w:r>
            <w:r w:rsidRPr="00A603F6">
              <w:rPr>
                <w:rFonts w:ascii="Times New Roman" w:eastAsia="等线" w:hAnsi="Times New Roman" w:cs="Times New Roman"/>
                <w:b/>
                <w:color w:val="000000"/>
                <w:kern w:val="0"/>
                <w:sz w:val="20"/>
                <w:szCs w:val="20"/>
                <w:vertAlign w:val="superscript"/>
              </w:rPr>
              <w:t>-2</w:t>
            </w:r>
            <w:r w:rsidRPr="00A603F6">
              <w:rPr>
                <w:rFonts w:ascii="Times New Roman" w:eastAsia="等线" w:hAnsi="Times New Roman" w:cs="Times New Roman"/>
                <w:b/>
                <w:color w:val="000000"/>
                <w:kern w:val="0"/>
                <w:sz w:val="20"/>
                <w:szCs w:val="20"/>
              </w:rPr>
              <w:t>)</w:t>
            </w:r>
          </w:p>
        </w:tc>
        <w:tc>
          <w:tcPr>
            <w:tcW w:w="1276" w:type="dxa"/>
            <w:tcBorders>
              <w:top w:val="single" w:sz="4" w:space="0" w:color="auto"/>
              <w:bottom w:val="single" w:sz="4" w:space="0" w:color="auto"/>
            </w:tcBorders>
            <w:noWrap/>
            <w:vAlign w:val="center"/>
            <w:hideMark/>
          </w:tcPr>
          <w:p w14:paraId="696E0765" w14:textId="77777777" w:rsidR="004E0D89" w:rsidRPr="00A603F6" w:rsidRDefault="004E0D89" w:rsidP="00552C1E">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i/>
                <w:color w:val="000000"/>
                <w:kern w:val="0"/>
                <w:sz w:val="20"/>
                <w:szCs w:val="20"/>
              </w:rPr>
              <w:t>k</w:t>
            </w:r>
            <w:r w:rsidRPr="00A603F6">
              <w:rPr>
                <w:rFonts w:ascii="Times New Roman" w:eastAsia="等线" w:hAnsi="Times New Roman" w:cs="Times New Roman"/>
                <w:b/>
                <w:i/>
                <w:color w:val="000000"/>
                <w:kern w:val="0"/>
                <w:sz w:val="20"/>
                <w:szCs w:val="20"/>
                <w:vertAlign w:val="subscript"/>
              </w:rPr>
              <w:t>l</w:t>
            </w:r>
            <w:r w:rsidRPr="00A603F6">
              <w:rPr>
                <w:rFonts w:ascii="Times New Roman" w:eastAsia="等线" w:hAnsi="Times New Roman" w:cs="Times New Roman"/>
                <w:b/>
                <w:i/>
                <w:color w:val="000000"/>
                <w:kern w:val="0"/>
                <w:sz w:val="20"/>
                <w:szCs w:val="20"/>
              </w:rPr>
              <w:t xml:space="preserve"> </w:t>
            </w:r>
            <w:r w:rsidRPr="00A603F6">
              <w:rPr>
                <w:rFonts w:ascii="Times New Roman" w:eastAsia="等线" w:hAnsi="Times New Roman" w:cs="Times New Roman"/>
                <w:b/>
                <w:color w:val="000000"/>
                <w:kern w:val="0"/>
                <w:sz w:val="20"/>
                <w:szCs w:val="20"/>
              </w:rPr>
              <w:t>(day</w:t>
            </w:r>
            <w:r w:rsidRPr="00A603F6">
              <w:rPr>
                <w:rFonts w:ascii="Times New Roman" w:eastAsia="等线" w:hAnsi="Times New Roman" w:cs="Times New Roman"/>
                <w:b/>
                <w:color w:val="000000"/>
                <w:kern w:val="0"/>
                <w:sz w:val="20"/>
                <w:szCs w:val="20"/>
                <w:vertAlign w:val="superscript"/>
              </w:rPr>
              <w:t>-1</w:t>
            </w:r>
            <w:r w:rsidRPr="00A603F6">
              <w:rPr>
                <w:rFonts w:ascii="Times New Roman" w:eastAsia="等线" w:hAnsi="Times New Roman" w:cs="Times New Roman"/>
                <w:b/>
                <w:color w:val="000000"/>
                <w:kern w:val="0"/>
                <w:sz w:val="20"/>
                <w:szCs w:val="20"/>
              </w:rPr>
              <w:t>)</w:t>
            </w:r>
          </w:p>
        </w:tc>
        <w:tc>
          <w:tcPr>
            <w:tcW w:w="1417" w:type="dxa"/>
            <w:tcBorders>
              <w:top w:val="single" w:sz="4" w:space="0" w:color="auto"/>
              <w:bottom w:val="single" w:sz="4" w:space="0" w:color="auto"/>
            </w:tcBorders>
            <w:noWrap/>
            <w:vAlign w:val="center"/>
            <w:hideMark/>
          </w:tcPr>
          <w:p w14:paraId="3D1EAB7F" w14:textId="77777777" w:rsidR="004E0D89" w:rsidRPr="00A603F6" w:rsidRDefault="004E0D89" w:rsidP="00552C1E">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i/>
                <w:color w:val="000000"/>
                <w:kern w:val="0"/>
                <w:sz w:val="20"/>
                <w:szCs w:val="20"/>
              </w:rPr>
              <w:t>k</w:t>
            </w:r>
            <w:r w:rsidRPr="00A603F6">
              <w:rPr>
                <w:rFonts w:ascii="Times New Roman" w:eastAsia="等线" w:hAnsi="Times New Roman" w:cs="Times New Roman"/>
                <w:b/>
                <w:i/>
                <w:color w:val="000000"/>
                <w:kern w:val="0"/>
                <w:sz w:val="20"/>
                <w:szCs w:val="20"/>
                <w:vertAlign w:val="subscript"/>
              </w:rPr>
              <w:t>p</w:t>
            </w:r>
            <w:r w:rsidRPr="00A603F6">
              <w:rPr>
                <w:rFonts w:ascii="Times New Roman" w:eastAsia="等线" w:hAnsi="Times New Roman" w:cs="Times New Roman"/>
                <w:b/>
                <w:color w:val="000000"/>
                <w:kern w:val="0"/>
                <w:sz w:val="20"/>
                <w:szCs w:val="20"/>
              </w:rPr>
              <w:t xml:space="preserve"> (10</w:t>
            </w:r>
            <w:r w:rsidRPr="00A603F6">
              <w:rPr>
                <w:rFonts w:ascii="Times New Roman" w:eastAsia="等线" w:hAnsi="Times New Roman" w:cs="Times New Roman"/>
                <w:b/>
                <w:color w:val="000000"/>
                <w:kern w:val="0"/>
                <w:sz w:val="20"/>
                <w:szCs w:val="20"/>
                <w:vertAlign w:val="superscript"/>
              </w:rPr>
              <w:t>-3</w:t>
            </w:r>
            <w:r w:rsidRPr="00A603F6">
              <w:rPr>
                <w:rFonts w:ascii="Times New Roman" w:eastAsia="等线" w:hAnsi="Times New Roman" w:cs="Times New Roman"/>
                <w:b/>
                <w:color w:val="000000"/>
                <w:kern w:val="0"/>
                <w:sz w:val="20"/>
                <w:szCs w:val="20"/>
              </w:rPr>
              <w:t xml:space="preserve"> day</w:t>
            </w:r>
            <w:r w:rsidRPr="00A603F6">
              <w:rPr>
                <w:rFonts w:ascii="Times New Roman" w:eastAsia="等线" w:hAnsi="Times New Roman" w:cs="Times New Roman"/>
                <w:b/>
                <w:color w:val="000000"/>
                <w:kern w:val="0"/>
                <w:sz w:val="20"/>
                <w:szCs w:val="20"/>
                <w:vertAlign w:val="superscript"/>
              </w:rPr>
              <w:t>-1</w:t>
            </w:r>
            <w:r w:rsidRPr="00A603F6">
              <w:rPr>
                <w:rFonts w:ascii="Times New Roman" w:eastAsia="等线" w:hAnsi="Times New Roman" w:cs="Times New Roman"/>
                <w:b/>
                <w:color w:val="000000"/>
                <w:kern w:val="0"/>
                <w:sz w:val="20"/>
                <w:szCs w:val="20"/>
              </w:rPr>
              <w:t>)</w:t>
            </w:r>
          </w:p>
        </w:tc>
        <w:tc>
          <w:tcPr>
            <w:tcW w:w="1276" w:type="dxa"/>
            <w:tcBorders>
              <w:top w:val="single" w:sz="4" w:space="0" w:color="auto"/>
              <w:bottom w:val="single" w:sz="4" w:space="0" w:color="auto"/>
            </w:tcBorders>
            <w:noWrap/>
            <w:vAlign w:val="center"/>
            <w:hideMark/>
          </w:tcPr>
          <w:p w14:paraId="5CA60000" w14:textId="77777777" w:rsidR="004E0D89" w:rsidRPr="00A603F6" w:rsidRDefault="004E0D89" w:rsidP="00552C1E">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color w:val="000000"/>
                <w:kern w:val="0"/>
                <w:sz w:val="20"/>
                <w:szCs w:val="20"/>
              </w:rPr>
              <w:t>slope</w:t>
            </w:r>
          </w:p>
        </w:tc>
        <w:tc>
          <w:tcPr>
            <w:tcW w:w="1276" w:type="dxa"/>
            <w:tcBorders>
              <w:top w:val="single" w:sz="4" w:space="0" w:color="auto"/>
              <w:bottom w:val="single" w:sz="4" w:space="0" w:color="auto"/>
            </w:tcBorders>
            <w:noWrap/>
            <w:vAlign w:val="center"/>
            <w:hideMark/>
          </w:tcPr>
          <w:p w14:paraId="675AEA2C" w14:textId="77777777" w:rsidR="004E0D89" w:rsidRPr="00A603F6" w:rsidRDefault="004E0D89" w:rsidP="00552C1E">
            <w:pPr>
              <w:widowControl/>
              <w:spacing w:line="360" w:lineRule="auto"/>
              <w:jc w:val="center"/>
              <w:rPr>
                <w:rFonts w:ascii="Times New Roman" w:eastAsia="等线" w:hAnsi="Times New Roman" w:cs="Times New Roman"/>
                <w:b/>
                <w:i/>
                <w:color w:val="000000"/>
                <w:kern w:val="0"/>
                <w:sz w:val="20"/>
                <w:szCs w:val="20"/>
              </w:rPr>
            </w:pPr>
            <w:r w:rsidRPr="00A603F6">
              <w:rPr>
                <w:rFonts w:ascii="Times New Roman" w:eastAsia="等线" w:hAnsi="Times New Roman" w:cs="Times New Roman"/>
                <w:b/>
                <w:i/>
                <w:color w:val="000000"/>
                <w:kern w:val="0"/>
                <w:sz w:val="20"/>
                <w:szCs w:val="20"/>
              </w:rPr>
              <w:t>R</w:t>
            </w:r>
            <w:r w:rsidRPr="00A603F6">
              <w:rPr>
                <w:rFonts w:ascii="Times New Roman" w:eastAsia="等线" w:hAnsi="Times New Roman" w:cs="Times New Roman"/>
                <w:b/>
                <w:i/>
                <w:color w:val="000000"/>
                <w:kern w:val="0"/>
                <w:sz w:val="20"/>
                <w:szCs w:val="20"/>
                <w:vertAlign w:val="superscript"/>
              </w:rPr>
              <w:t>2</w:t>
            </w:r>
          </w:p>
        </w:tc>
        <w:tc>
          <w:tcPr>
            <w:tcW w:w="1701" w:type="dxa"/>
            <w:tcBorders>
              <w:top w:val="single" w:sz="4" w:space="0" w:color="auto"/>
              <w:bottom w:val="single" w:sz="4" w:space="0" w:color="auto"/>
            </w:tcBorders>
          </w:tcPr>
          <w:p w14:paraId="25D68296" w14:textId="77777777" w:rsidR="004E0D89" w:rsidRPr="00A603F6" w:rsidRDefault="004E0D89" w:rsidP="00552C1E">
            <w:pPr>
              <w:widowControl/>
              <w:spacing w:line="360" w:lineRule="auto"/>
              <w:jc w:val="center"/>
              <w:rPr>
                <w:rFonts w:ascii="Times New Roman" w:eastAsia="等线" w:hAnsi="Times New Roman" w:cs="Times New Roman"/>
                <w:b/>
                <w:iCs/>
                <w:color w:val="000000"/>
                <w:kern w:val="0"/>
                <w:sz w:val="20"/>
                <w:szCs w:val="20"/>
              </w:rPr>
            </w:pPr>
            <w:r w:rsidRPr="00A603F6">
              <w:rPr>
                <w:rFonts w:ascii="Times New Roman" w:eastAsia="等线" w:hAnsi="Times New Roman" w:cs="Times New Roman"/>
                <w:b/>
                <w:iCs/>
                <w:color w:val="000000"/>
                <w:kern w:val="0"/>
                <w:sz w:val="20"/>
                <w:szCs w:val="20"/>
              </w:rPr>
              <w:t>Duration (day)</w:t>
            </w:r>
          </w:p>
        </w:tc>
      </w:tr>
      <w:tr w:rsidR="00212FC4" w:rsidRPr="00C128F6" w14:paraId="75778546" w14:textId="77777777" w:rsidTr="005B5A55">
        <w:trPr>
          <w:trHeight w:val="278"/>
          <w:jc w:val="center"/>
        </w:trPr>
        <w:tc>
          <w:tcPr>
            <w:tcW w:w="1843" w:type="dxa"/>
            <w:tcBorders>
              <w:top w:val="nil"/>
              <w:bottom w:val="nil"/>
            </w:tcBorders>
            <w:noWrap/>
            <w:vAlign w:val="center"/>
          </w:tcPr>
          <w:p w14:paraId="1DE0D29B" w14:textId="77777777"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Cropland</w:t>
            </w:r>
          </w:p>
        </w:tc>
        <w:tc>
          <w:tcPr>
            <w:tcW w:w="1276" w:type="dxa"/>
            <w:tcBorders>
              <w:top w:val="nil"/>
              <w:left w:val="nil"/>
              <w:bottom w:val="nil"/>
              <w:right w:val="nil"/>
            </w:tcBorders>
            <w:noWrap/>
            <w:vAlign w:val="center"/>
          </w:tcPr>
          <w:p w14:paraId="54FC3E14" w14:textId="106F4527" w:rsidR="00212FC4" w:rsidRPr="00C128F6" w:rsidRDefault="00212FC4" w:rsidP="00351D7F">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0.8</w:t>
            </w:r>
            <w:r w:rsidR="00351D7F" w:rsidRPr="00C128F6">
              <w:rPr>
                <w:rFonts w:ascii="Times New Roman" w:eastAsia="等线" w:hAnsi="Times New Roman" w:cs="Times New Roman"/>
                <w:color w:val="000000"/>
                <w:sz w:val="20"/>
                <w:szCs w:val="20"/>
              </w:rPr>
              <w:t>4 ± 0.08</w:t>
            </w:r>
          </w:p>
        </w:tc>
        <w:tc>
          <w:tcPr>
            <w:tcW w:w="1276" w:type="dxa"/>
            <w:tcBorders>
              <w:top w:val="nil"/>
              <w:left w:val="nil"/>
              <w:bottom w:val="nil"/>
              <w:right w:val="nil"/>
            </w:tcBorders>
            <w:noWrap/>
            <w:vAlign w:val="center"/>
          </w:tcPr>
          <w:p w14:paraId="6BE660D3" w14:textId="48D290F5"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w:t>
            </w:r>
            <w:r w:rsidR="00351D7F" w:rsidRPr="00C128F6">
              <w:rPr>
                <w:rFonts w:ascii="Times New Roman" w:eastAsia="等线" w:hAnsi="Times New Roman" w:cs="Times New Roman"/>
                <w:color w:val="000000"/>
                <w:sz w:val="20"/>
                <w:szCs w:val="20"/>
              </w:rPr>
              <w:t>.42 ± 0.00</w:t>
            </w:r>
          </w:p>
        </w:tc>
        <w:tc>
          <w:tcPr>
            <w:tcW w:w="1417" w:type="dxa"/>
            <w:tcBorders>
              <w:top w:val="nil"/>
              <w:left w:val="nil"/>
              <w:bottom w:val="nil"/>
              <w:right w:val="nil"/>
            </w:tcBorders>
            <w:noWrap/>
            <w:vAlign w:val="center"/>
          </w:tcPr>
          <w:p w14:paraId="001D7D83" w14:textId="6FA592EA" w:rsidR="00212FC4" w:rsidRPr="00C128F6" w:rsidRDefault="00212FC4" w:rsidP="00351D7F">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w:t>
            </w:r>
            <w:r w:rsidR="00351D7F" w:rsidRPr="00C128F6">
              <w:rPr>
                <w:rFonts w:ascii="Times New Roman" w:eastAsia="等线" w:hAnsi="Times New Roman" w:cs="Times New Roman"/>
                <w:color w:val="000000"/>
                <w:sz w:val="20"/>
                <w:szCs w:val="20"/>
              </w:rPr>
              <w:t>69</w:t>
            </w:r>
            <w:r w:rsidRPr="00C128F6">
              <w:rPr>
                <w:rFonts w:ascii="Times New Roman" w:eastAsia="等线" w:hAnsi="Times New Roman" w:cs="Times New Roman"/>
                <w:color w:val="000000"/>
                <w:sz w:val="20"/>
                <w:szCs w:val="20"/>
              </w:rPr>
              <w:t xml:space="preserve"> </w:t>
            </w:r>
            <w:r w:rsidR="001C05ED" w:rsidRPr="00C128F6">
              <w:rPr>
                <w:rFonts w:ascii="Times New Roman" w:eastAsia="等线" w:hAnsi="Times New Roman" w:cs="Times New Roman"/>
                <w:color w:val="000000"/>
                <w:sz w:val="20"/>
                <w:szCs w:val="20"/>
              </w:rPr>
              <w:t>± 0.08</w:t>
            </w:r>
          </w:p>
        </w:tc>
        <w:tc>
          <w:tcPr>
            <w:tcW w:w="1276" w:type="dxa"/>
            <w:tcBorders>
              <w:top w:val="nil"/>
              <w:left w:val="nil"/>
              <w:bottom w:val="nil"/>
              <w:right w:val="nil"/>
            </w:tcBorders>
            <w:noWrap/>
            <w:vAlign w:val="center"/>
          </w:tcPr>
          <w:p w14:paraId="0664ABA3" w14:textId="7671D06F"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1.00</w:t>
            </w:r>
            <w:r w:rsidR="005B5A55" w:rsidRPr="00C128F6">
              <w:rPr>
                <w:rFonts w:ascii="Times New Roman" w:eastAsia="等线" w:hAnsi="Times New Roman" w:cs="Times New Roman" w:hint="eastAsia"/>
                <w:color w:val="000000"/>
                <w:sz w:val="20"/>
                <w:szCs w:val="20"/>
              </w:rPr>
              <w:t xml:space="preserve"> </w:t>
            </w:r>
            <w:r w:rsidR="001C05ED" w:rsidRPr="00C128F6">
              <w:rPr>
                <w:rFonts w:ascii="Times New Roman" w:eastAsia="等线" w:hAnsi="Times New Roman" w:cs="Times New Roman"/>
                <w:color w:val="000000"/>
                <w:sz w:val="20"/>
                <w:szCs w:val="20"/>
              </w:rPr>
              <w:t>± 0.02</w:t>
            </w:r>
          </w:p>
        </w:tc>
        <w:tc>
          <w:tcPr>
            <w:tcW w:w="1276" w:type="dxa"/>
            <w:tcBorders>
              <w:top w:val="nil"/>
              <w:left w:val="nil"/>
              <w:bottom w:val="nil"/>
              <w:right w:val="nil"/>
            </w:tcBorders>
            <w:noWrap/>
            <w:vAlign w:val="center"/>
          </w:tcPr>
          <w:p w14:paraId="5F1943A9" w14:textId="4BCDE3EC"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0.96 ± 0</w:t>
            </w:r>
            <w:r w:rsidR="001C05ED" w:rsidRPr="00C128F6">
              <w:rPr>
                <w:rFonts w:ascii="Times New Roman" w:eastAsia="等线" w:hAnsi="Times New Roman" w:cs="Times New Roman"/>
                <w:color w:val="000000"/>
                <w:sz w:val="20"/>
                <w:szCs w:val="20"/>
              </w:rPr>
              <w:t>.00</w:t>
            </w:r>
          </w:p>
        </w:tc>
        <w:tc>
          <w:tcPr>
            <w:tcW w:w="1701" w:type="dxa"/>
            <w:tcBorders>
              <w:top w:val="nil"/>
              <w:left w:val="nil"/>
              <w:bottom w:val="nil"/>
              <w:right w:val="nil"/>
            </w:tcBorders>
            <w:vAlign w:val="center"/>
          </w:tcPr>
          <w:p w14:paraId="6745A27D" w14:textId="27C44411"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44.2</w:t>
            </w:r>
            <w:r w:rsidR="001C05ED" w:rsidRPr="00C128F6">
              <w:rPr>
                <w:rFonts w:ascii="Times New Roman" w:eastAsia="等线" w:hAnsi="Times New Roman" w:cs="Times New Roman"/>
                <w:color w:val="000000"/>
                <w:sz w:val="20"/>
                <w:szCs w:val="20"/>
              </w:rPr>
              <w:t xml:space="preserve"> ± 2.50</w:t>
            </w:r>
          </w:p>
        </w:tc>
      </w:tr>
      <w:tr w:rsidR="00212FC4" w:rsidRPr="00C128F6" w14:paraId="7F41F46F" w14:textId="77777777" w:rsidTr="005B5A55">
        <w:trPr>
          <w:trHeight w:val="278"/>
          <w:jc w:val="center"/>
        </w:trPr>
        <w:tc>
          <w:tcPr>
            <w:tcW w:w="1843" w:type="dxa"/>
            <w:tcBorders>
              <w:top w:val="nil"/>
              <w:bottom w:val="nil"/>
            </w:tcBorders>
            <w:noWrap/>
            <w:vAlign w:val="center"/>
          </w:tcPr>
          <w:p w14:paraId="0540D5E7" w14:textId="77777777"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Forest</w:t>
            </w:r>
          </w:p>
        </w:tc>
        <w:tc>
          <w:tcPr>
            <w:tcW w:w="1276" w:type="dxa"/>
            <w:tcBorders>
              <w:top w:val="nil"/>
              <w:left w:val="nil"/>
              <w:bottom w:val="nil"/>
              <w:right w:val="nil"/>
            </w:tcBorders>
            <w:noWrap/>
            <w:vAlign w:val="center"/>
          </w:tcPr>
          <w:p w14:paraId="235AC1FB" w14:textId="64E6F3C8"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1.17</w:t>
            </w:r>
            <w:r w:rsidR="001C05ED" w:rsidRPr="00C128F6">
              <w:rPr>
                <w:rFonts w:ascii="Times New Roman" w:eastAsia="等线" w:hAnsi="Times New Roman" w:cs="Times New Roman"/>
                <w:color w:val="000000"/>
                <w:sz w:val="20"/>
                <w:szCs w:val="20"/>
              </w:rPr>
              <w:t xml:space="preserve"> ± 0.13</w:t>
            </w:r>
          </w:p>
        </w:tc>
        <w:tc>
          <w:tcPr>
            <w:tcW w:w="1276" w:type="dxa"/>
            <w:tcBorders>
              <w:top w:val="nil"/>
              <w:left w:val="nil"/>
              <w:bottom w:val="nil"/>
              <w:right w:val="nil"/>
            </w:tcBorders>
            <w:noWrap/>
            <w:vAlign w:val="center"/>
          </w:tcPr>
          <w:p w14:paraId="6BD08376" w14:textId="121B5A56"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0.4</w:t>
            </w:r>
            <w:r w:rsidR="00351D7F" w:rsidRPr="00C128F6">
              <w:rPr>
                <w:rFonts w:ascii="Times New Roman" w:eastAsia="等线" w:hAnsi="Times New Roman" w:cs="Times New Roman"/>
                <w:color w:val="000000"/>
                <w:sz w:val="20"/>
                <w:szCs w:val="20"/>
              </w:rPr>
              <w:t>0</w:t>
            </w:r>
            <w:r w:rsidR="001C05ED" w:rsidRPr="00C128F6">
              <w:rPr>
                <w:rFonts w:ascii="Times New Roman" w:eastAsia="等线" w:hAnsi="Times New Roman" w:cs="Times New Roman"/>
                <w:color w:val="000000"/>
                <w:sz w:val="20"/>
                <w:szCs w:val="20"/>
              </w:rPr>
              <w:t xml:space="preserve"> ± 0.00</w:t>
            </w:r>
          </w:p>
        </w:tc>
        <w:tc>
          <w:tcPr>
            <w:tcW w:w="1417" w:type="dxa"/>
            <w:tcBorders>
              <w:top w:val="nil"/>
              <w:left w:val="nil"/>
              <w:bottom w:val="nil"/>
              <w:right w:val="nil"/>
            </w:tcBorders>
            <w:noWrap/>
            <w:vAlign w:val="center"/>
          </w:tcPr>
          <w:p w14:paraId="3950386F" w14:textId="74BCECFA"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0.95</w:t>
            </w:r>
            <w:r w:rsidR="001C05ED" w:rsidRPr="00C128F6">
              <w:rPr>
                <w:rFonts w:ascii="Times New Roman" w:eastAsia="等线" w:hAnsi="Times New Roman" w:cs="Times New Roman"/>
                <w:color w:val="000000"/>
                <w:sz w:val="20"/>
                <w:szCs w:val="20"/>
              </w:rPr>
              <w:t xml:space="preserve"> ± 0.15</w:t>
            </w:r>
          </w:p>
        </w:tc>
        <w:tc>
          <w:tcPr>
            <w:tcW w:w="1276" w:type="dxa"/>
            <w:tcBorders>
              <w:top w:val="nil"/>
              <w:left w:val="nil"/>
              <w:bottom w:val="nil"/>
              <w:right w:val="nil"/>
            </w:tcBorders>
            <w:noWrap/>
            <w:vAlign w:val="center"/>
          </w:tcPr>
          <w:p w14:paraId="5591C9D2" w14:textId="5DD4C3A7"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0.93</w:t>
            </w:r>
            <w:r w:rsidR="001C05ED" w:rsidRPr="00C128F6">
              <w:rPr>
                <w:rFonts w:ascii="Times New Roman" w:eastAsia="等线" w:hAnsi="Times New Roman" w:cs="Times New Roman"/>
                <w:color w:val="000000"/>
                <w:sz w:val="20"/>
                <w:szCs w:val="20"/>
              </w:rPr>
              <w:t xml:space="preserve"> ± 0.01</w:t>
            </w:r>
          </w:p>
        </w:tc>
        <w:tc>
          <w:tcPr>
            <w:tcW w:w="1276" w:type="dxa"/>
            <w:tcBorders>
              <w:top w:val="nil"/>
              <w:left w:val="nil"/>
              <w:bottom w:val="nil"/>
              <w:right w:val="nil"/>
            </w:tcBorders>
            <w:noWrap/>
            <w:vAlign w:val="center"/>
          </w:tcPr>
          <w:p w14:paraId="54F872C7" w14:textId="013FB0FA"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0.97 ± 0</w:t>
            </w:r>
            <w:r w:rsidR="001C05ED" w:rsidRPr="00C128F6">
              <w:rPr>
                <w:rFonts w:ascii="Times New Roman" w:eastAsia="等线" w:hAnsi="Times New Roman" w:cs="Times New Roman"/>
                <w:color w:val="000000"/>
                <w:sz w:val="20"/>
                <w:szCs w:val="20"/>
              </w:rPr>
              <w:t>.00</w:t>
            </w:r>
          </w:p>
        </w:tc>
        <w:tc>
          <w:tcPr>
            <w:tcW w:w="1701" w:type="dxa"/>
            <w:tcBorders>
              <w:top w:val="nil"/>
              <w:left w:val="nil"/>
              <w:bottom w:val="nil"/>
              <w:right w:val="nil"/>
            </w:tcBorders>
            <w:vAlign w:val="center"/>
          </w:tcPr>
          <w:p w14:paraId="5A580EF0" w14:textId="5B20507C" w:rsidR="00212FC4" w:rsidRPr="00C128F6" w:rsidRDefault="00212FC4" w:rsidP="00351D7F">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5</w:t>
            </w:r>
            <w:r w:rsidR="00351D7F" w:rsidRPr="00C128F6">
              <w:rPr>
                <w:rFonts w:ascii="Times New Roman" w:eastAsia="等线" w:hAnsi="Times New Roman" w:cs="Times New Roman"/>
                <w:color w:val="000000"/>
                <w:sz w:val="20"/>
                <w:szCs w:val="20"/>
              </w:rPr>
              <w:t>6.1</w:t>
            </w:r>
            <w:r w:rsidR="001C05ED" w:rsidRPr="00C128F6">
              <w:rPr>
                <w:rFonts w:ascii="Times New Roman" w:eastAsia="等线" w:hAnsi="Times New Roman" w:cs="Times New Roman"/>
                <w:color w:val="000000"/>
                <w:sz w:val="20"/>
                <w:szCs w:val="20"/>
              </w:rPr>
              <w:t xml:space="preserve"> ± 4.36</w:t>
            </w:r>
          </w:p>
        </w:tc>
      </w:tr>
      <w:tr w:rsidR="00212FC4" w:rsidRPr="00C128F6" w14:paraId="3FE365CB" w14:textId="77777777" w:rsidTr="005B5A55">
        <w:trPr>
          <w:trHeight w:val="278"/>
          <w:jc w:val="center"/>
        </w:trPr>
        <w:tc>
          <w:tcPr>
            <w:tcW w:w="1843" w:type="dxa"/>
            <w:tcBorders>
              <w:top w:val="nil"/>
              <w:bottom w:val="nil"/>
            </w:tcBorders>
            <w:noWrap/>
            <w:vAlign w:val="center"/>
          </w:tcPr>
          <w:p w14:paraId="204B5211" w14:textId="77777777"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Grassland</w:t>
            </w:r>
          </w:p>
        </w:tc>
        <w:tc>
          <w:tcPr>
            <w:tcW w:w="1276" w:type="dxa"/>
            <w:tcBorders>
              <w:top w:val="nil"/>
              <w:left w:val="nil"/>
              <w:bottom w:val="nil"/>
              <w:right w:val="nil"/>
            </w:tcBorders>
            <w:noWrap/>
            <w:vAlign w:val="center"/>
          </w:tcPr>
          <w:p w14:paraId="049826E1" w14:textId="0511B1F8"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0.77</w:t>
            </w:r>
            <w:r w:rsidR="001C05ED" w:rsidRPr="00C128F6">
              <w:rPr>
                <w:rFonts w:ascii="Times New Roman" w:eastAsia="等线" w:hAnsi="Times New Roman" w:cs="Times New Roman"/>
                <w:color w:val="000000"/>
                <w:sz w:val="20"/>
                <w:szCs w:val="20"/>
              </w:rPr>
              <w:t xml:space="preserve"> ± 0.12</w:t>
            </w:r>
          </w:p>
        </w:tc>
        <w:tc>
          <w:tcPr>
            <w:tcW w:w="1276" w:type="dxa"/>
            <w:tcBorders>
              <w:top w:val="nil"/>
              <w:left w:val="nil"/>
              <w:bottom w:val="nil"/>
              <w:right w:val="nil"/>
            </w:tcBorders>
            <w:noWrap/>
            <w:vAlign w:val="center"/>
          </w:tcPr>
          <w:p w14:paraId="5C182AE7" w14:textId="3F961BE7"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0.41</w:t>
            </w:r>
            <w:r w:rsidR="00212FC4" w:rsidRPr="00C128F6">
              <w:rPr>
                <w:rFonts w:ascii="Times New Roman" w:eastAsia="等线" w:hAnsi="Times New Roman" w:cs="Times New Roman"/>
                <w:color w:val="000000"/>
                <w:sz w:val="20"/>
                <w:szCs w:val="20"/>
              </w:rPr>
              <w:t xml:space="preserve"> ± 0.01</w:t>
            </w:r>
          </w:p>
        </w:tc>
        <w:tc>
          <w:tcPr>
            <w:tcW w:w="1417" w:type="dxa"/>
            <w:tcBorders>
              <w:top w:val="nil"/>
              <w:left w:val="nil"/>
              <w:bottom w:val="nil"/>
              <w:right w:val="nil"/>
            </w:tcBorders>
            <w:noWrap/>
            <w:vAlign w:val="center"/>
          </w:tcPr>
          <w:p w14:paraId="2632BD5B" w14:textId="4CF2A347"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0.56</w:t>
            </w:r>
            <w:r w:rsidR="00212FC4" w:rsidRPr="00C128F6">
              <w:rPr>
                <w:rFonts w:ascii="Times New Roman" w:eastAsia="等线" w:hAnsi="Times New Roman" w:cs="Times New Roman"/>
                <w:color w:val="000000"/>
                <w:sz w:val="20"/>
                <w:szCs w:val="20"/>
              </w:rPr>
              <w:t xml:space="preserve"> ± 0.06</w:t>
            </w:r>
          </w:p>
        </w:tc>
        <w:tc>
          <w:tcPr>
            <w:tcW w:w="1276" w:type="dxa"/>
            <w:tcBorders>
              <w:top w:val="nil"/>
              <w:left w:val="nil"/>
              <w:bottom w:val="nil"/>
              <w:right w:val="nil"/>
            </w:tcBorders>
            <w:noWrap/>
            <w:vAlign w:val="center"/>
          </w:tcPr>
          <w:p w14:paraId="039712F2" w14:textId="34FE6B80"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1.02 ± 0.03</w:t>
            </w:r>
          </w:p>
        </w:tc>
        <w:tc>
          <w:tcPr>
            <w:tcW w:w="1276" w:type="dxa"/>
            <w:tcBorders>
              <w:top w:val="nil"/>
              <w:left w:val="nil"/>
              <w:bottom w:val="nil"/>
              <w:right w:val="nil"/>
            </w:tcBorders>
            <w:noWrap/>
            <w:vAlign w:val="center"/>
          </w:tcPr>
          <w:p w14:paraId="55BE7AF2" w14:textId="415D876F"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0.95</w:t>
            </w:r>
            <w:r w:rsidR="00212FC4" w:rsidRPr="00C128F6">
              <w:rPr>
                <w:rFonts w:ascii="Times New Roman" w:eastAsia="等线" w:hAnsi="Times New Roman" w:cs="Times New Roman"/>
                <w:color w:val="000000"/>
                <w:sz w:val="20"/>
                <w:szCs w:val="20"/>
              </w:rPr>
              <w:t xml:space="preserve"> ± 0</w:t>
            </w:r>
            <w:r w:rsidR="001C05ED" w:rsidRPr="00C128F6">
              <w:rPr>
                <w:rFonts w:ascii="Times New Roman" w:eastAsia="等线" w:hAnsi="Times New Roman" w:cs="Times New Roman"/>
                <w:color w:val="000000"/>
                <w:sz w:val="20"/>
                <w:szCs w:val="20"/>
              </w:rPr>
              <w:t>.00</w:t>
            </w:r>
          </w:p>
        </w:tc>
        <w:tc>
          <w:tcPr>
            <w:tcW w:w="1701" w:type="dxa"/>
            <w:tcBorders>
              <w:top w:val="nil"/>
              <w:left w:val="nil"/>
              <w:bottom w:val="nil"/>
              <w:right w:val="nil"/>
            </w:tcBorders>
            <w:vAlign w:val="center"/>
          </w:tcPr>
          <w:p w14:paraId="077F7620" w14:textId="045E1425" w:rsidR="00212FC4" w:rsidRPr="00C128F6" w:rsidRDefault="00351D7F"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39.2</w:t>
            </w:r>
            <w:r w:rsidR="001C05ED" w:rsidRPr="00C128F6">
              <w:rPr>
                <w:rFonts w:ascii="Times New Roman" w:eastAsia="等线" w:hAnsi="Times New Roman" w:cs="Times New Roman"/>
                <w:color w:val="000000"/>
                <w:sz w:val="20"/>
                <w:szCs w:val="20"/>
              </w:rPr>
              <w:t xml:space="preserve"> ± 4.56</w:t>
            </w:r>
          </w:p>
        </w:tc>
      </w:tr>
      <w:tr w:rsidR="00212FC4" w:rsidRPr="00C128F6" w14:paraId="00B86254" w14:textId="77777777" w:rsidTr="005B5A55">
        <w:trPr>
          <w:trHeight w:val="278"/>
          <w:jc w:val="center"/>
        </w:trPr>
        <w:tc>
          <w:tcPr>
            <w:tcW w:w="1843" w:type="dxa"/>
            <w:tcBorders>
              <w:top w:val="nil"/>
              <w:bottom w:val="single" w:sz="4" w:space="0" w:color="auto"/>
            </w:tcBorders>
            <w:noWrap/>
            <w:vAlign w:val="center"/>
          </w:tcPr>
          <w:p w14:paraId="11C4F11E" w14:textId="77777777"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Other</w:t>
            </w:r>
          </w:p>
        </w:tc>
        <w:tc>
          <w:tcPr>
            <w:tcW w:w="1276" w:type="dxa"/>
            <w:tcBorders>
              <w:top w:val="nil"/>
              <w:left w:val="nil"/>
              <w:bottom w:val="single" w:sz="4" w:space="0" w:color="auto"/>
              <w:right w:val="nil"/>
            </w:tcBorders>
            <w:noWrap/>
            <w:vAlign w:val="center"/>
          </w:tcPr>
          <w:p w14:paraId="4B62D39B" w14:textId="6CFA4E21"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4.66 ± 1.34</w:t>
            </w:r>
          </w:p>
        </w:tc>
        <w:tc>
          <w:tcPr>
            <w:tcW w:w="1276" w:type="dxa"/>
            <w:tcBorders>
              <w:top w:val="nil"/>
              <w:left w:val="nil"/>
              <w:bottom w:val="single" w:sz="4" w:space="0" w:color="auto"/>
              <w:right w:val="nil"/>
            </w:tcBorders>
            <w:noWrap/>
            <w:vAlign w:val="center"/>
          </w:tcPr>
          <w:p w14:paraId="295CB4A1" w14:textId="38B922D0"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0.4</w:t>
            </w:r>
            <w:r w:rsidR="00915909" w:rsidRPr="00C128F6">
              <w:rPr>
                <w:rFonts w:ascii="Times New Roman" w:eastAsia="等线" w:hAnsi="Times New Roman" w:cs="Times New Roman" w:hint="eastAsia"/>
                <w:color w:val="000000"/>
                <w:sz w:val="20"/>
                <w:szCs w:val="20"/>
              </w:rPr>
              <w:t>0</w:t>
            </w:r>
            <w:r w:rsidRPr="00C128F6">
              <w:rPr>
                <w:rFonts w:ascii="Times New Roman" w:eastAsia="等线" w:hAnsi="Times New Roman" w:cs="Times New Roman"/>
                <w:color w:val="000000"/>
                <w:sz w:val="20"/>
                <w:szCs w:val="20"/>
              </w:rPr>
              <w:t xml:space="preserve"> ± 0</w:t>
            </w:r>
            <w:r w:rsidR="00915909" w:rsidRPr="00C128F6">
              <w:rPr>
                <w:rFonts w:ascii="Times New Roman" w:eastAsia="等线" w:hAnsi="Times New Roman" w:cs="Times New Roman" w:hint="eastAsia"/>
                <w:color w:val="000000"/>
                <w:sz w:val="20"/>
                <w:szCs w:val="20"/>
              </w:rPr>
              <w:t>.00</w:t>
            </w:r>
          </w:p>
        </w:tc>
        <w:tc>
          <w:tcPr>
            <w:tcW w:w="1417" w:type="dxa"/>
            <w:tcBorders>
              <w:top w:val="nil"/>
              <w:left w:val="nil"/>
              <w:bottom w:val="single" w:sz="4" w:space="0" w:color="auto"/>
              <w:right w:val="nil"/>
            </w:tcBorders>
            <w:noWrap/>
            <w:vAlign w:val="center"/>
          </w:tcPr>
          <w:p w14:paraId="648A5DBA" w14:textId="23F68759"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2.88 ± 0.52</w:t>
            </w:r>
          </w:p>
        </w:tc>
        <w:tc>
          <w:tcPr>
            <w:tcW w:w="1276" w:type="dxa"/>
            <w:tcBorders>
              <w:top w:val="nil"/>
              <w:left w:val="nil"/>
              <w:bottom w:val="single" w:sz="4" w:space="0" w:color="auto"/>
              <w:right w:val="nil"/>
            </w:tcBorders>
            <w:noWrap/>
            <w:vAlign w:val="center"/>
          </w:tcPr>
          <w:p w14:paraId="2B3A8F39" w14:textId="43B335B4"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0.98 ± 0.02</w:t>
            </w:r>
          </w:p>
        </w:tc>
        <w:tc>
          <w:tcPr>
            <w:tcW w:w="1276" w:type="dxa"/>
            <w:tcBorders>
              <w:top w:val="nil"/>
              <w:left w:val="nil"/>
              <w:bottom w:val="single" w:sz="4" w:space="0" w:color="auto"/>
              <w:right w:val="nil"/>
            </w:tcBorders>
            <w:noWrap/>
            <w:vAlign w:val="center"/>
          </w:tcPr>
          <w:p w14:paraId="009551B5" w14:textId="11CDF415"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0.98 ± 0</w:t>
            </w:r>
            <w:r w:rsidR="001C05ED" w:rsidRPr="00C128F6">
              <w:rPr>
                <w:rFonts w:ascii="Times New Roman" w:eastAsia="等线" w:hAnsi="Times New Roman" w:cs="Times New Roman"/>
                <w:color w:val="000000"/>
                <w:sz w:val="20"/>
                <w:szCs w:val="20"/>
              </w:rPr>
              <w:t>.00</w:t>
            </w:r>
          </w:p>
        </w:tc>
        <w:tc>
          <w:tcPr>
            <w:tcW w:w="1701" w:type="dxa"/>
            <w:tcBorders>
              <w:top w:val="nil"/>
              <w:left w:val="nil"/>
              <w:bottom w:val="single" w:sz="4" w:space="0" w:color="auto"/>
              <w:right w:val="nil"/>
            </w:tcBorders>
            <w:vAlign w:val="center"/>
          </w:tcPr>
          <w:p w14:paraId="7B6C319E" w14:textId="5FFD4C67" w:rsidR="00212FC4" w:rsidRPr="00C128F6" w:rsidRDefault="00212FC4" w:rsidP="00212FC4">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sz w:val="20"/>
                <w:szCs w:val="20"/>
              </w:rPr>
              <w:t>55.7 ± 5.47</w:t>
            </w:r>
          </w:p>
        </w:tc>
      </w:tr>
    </w:tbl>
    <w:p w14:paraId="04B6092C" w14:textId="6E0CAF80" w:rsidR="004E0D89" w:rsidRPr="00A603F6" w:rsidRDefault="004E0D89" w:rsidP="00E67D08">
      <w:pPr>
        <w:spacing w:line="480" w:lineRule="auto"/>
        <w:rPr>
          <w:rFonts w:ascii="Times New Roman" w:hAnsi="Times New Roman" w:cs="Times New Roman"/>
          <w:sz w:val="24"/>
          <w:szCs w:val="20"/>
        </w:rPr>
      </w:pPr>
      <w:r w:rsidRPr="00A603F6">
        <w:rPr>
          <w:rFonts w:ascii="Times New Roman" w:hAnsi="Times New Roman" w:cs="Times New Roman"/>
          <w:sz w:val="24"/>
          <w:szCs w:val="20"/>
        </w:rPr>
        <w:t xml:space="preserve">Note: </w:t>
      </w:r>
      <w:r w:rsidRPr="00A603F6">
        <w:rPr>
          <w:rFonts w:ascii="Times New Roman" w:eastAsia="等线" w:hAnsi="Times New Roman" w:cs="Times New Roman"/>
          <w:i/>
          <w:iCs/>
          <w:sz w:val="24"/>
          <w:szCs w:val="20"/>
        </w:rPr>
        <w:t>f</w:t>
      </w:r>
      <w:r w:rsidRPr="00A603F6">
        <w:rPr>
          <w:rFonts w:ascii="Times New Roman" w:eastAsia="等线" w:hAnsi="Times New Roman" w:cs="Times New Roman"/>
          <w:sz w:val="24"/>
          <w:szCs w:val="20"/>
        </w:rPr>
        <w:t xml:space="preserve"> is the initial fraction of labile SOC pool. </w:t>
      </w:r>
      <w:r w:rsidRPr="00A603F6">
        <w:rPr>
          <w:rFonts w:ascii="Times New Roman" w:eastAsia="等线" w:hAnsi="Times New Roman" w:cs="Times New Roman"/>
          <w:i/>
          <w:iCs/>
          <w:sz w:val="24"/>
          <w:szCs w:val="20"/>
        </w:rPr>
        <w:t>k</w:t>
      </w:r>
      <w:r w:rsidRPr="00A603F6">
        <w:rPr>
          <w:rFonts w:ascii="Times New Roman" w:eastAsia="等线" w:hAnsi="Times New Roman" w:cs="Times New Roman"/>
          <w:i/>
          <w:iCs/>
          <w:sz w:val="24"/>
          <w:szCs w:val="20"/>
          <w:vertAlign w:val="subscript"/>
        </w:rPr>
        <w:t>l</w:t>
      </w:r>
      <w:r w:rsidRPr="00A603F6">
        <w:rPr>
          <w:rFonts w:ascii="Times New Roman" w:eastAsia="等线" w:hAnsi="Times New Roman" w:cs="Times New Roman"/>
          <w:sz w:val="24"/>
          <w:szCs w:val="20"/>
        </w:rPr>
        <w:t xml:space="preserve"> and </w:t>
      </w:r>
      <w:r w:rsidRPr="00A603F6">
        <w:rPr>
          <w:rFonts w:ascii="Times New Roman" w:eastAsia="等线" w:hAnsi="Times New Roman" w:cs="Times New Roman"/>
          <w:i/>
          <w:iCs/>
          <w:sz w:val="24"/>
          <w:szCs w:val="20"/>
        </w:rPr>
        <w:t>k</w:t>
      </w:r>
      <w:r w:rsidRPr="00A603F6">
        <w:rPr>
          <w:rFonts w:ascii="Times New Roman" w:eastAsia="等线" w:hAnsi="Times New Roman" w:cs="Times New Roman"/>
          <w:i/>
          <w:iCs/>
          <w:sz w:val="24"/>
          <w:szCs w:val="20"/>
          <w:vertAlign w:val="subscript"/>
        </w:rPr>
        <w:t>p</w:t>
      </w:r>
      <w:r w:rsidRPr="00A603F6">
        <w:rPr>
          <w:rFonts w:ascii="Times New Roman" w:eastAsia="等线" w:hAnsi="Times New Roman" w:cs="Times New Roman"/>
          <w:sz w:val="24"/>
          <w:szCs w:val="20"/>
        </w:rPr>
        <w:t xml:space="preserve"> are the decay rates of labile and persistent SOC pools (day</w:t>
      </w:r>
      <w:r w:rsidRPr="00A603F6">
        <w:rPr>
          <w:rFonts w:ascii="Times New Roman" w:eastAsia="等线" w:hAnsi="Times New Roman" w:cs="Times New Roman"/>
          <w:sz w:val="24"/>
          <w:szCs w:val="20"/>
          <w:vertAlign w:val="superscript"/>
        </w:rPr>
        <w:t>-1</w:t>
      </w:r>
      <w:r w:rsidRPr="00A603F6">
        <w:rPr>
          <w:rFonts w:ascii="Times New Roman" w:eastAsia="等线" w:hAnsi="Times New Roman" w:cs="Times New Roman"/>
          <w:sz w:val="24"/>
          <w:szCs w:val="20"/>
        </w:rPr>
        <w:t xml:space="preserve">). Slope and </w:t>
      </w:r>
      <w:r w:rsidRPr="00A603F6">
        <w:rPr>
          <w:rFonts w:ascii="Times New Roman" w:eastAsia="等线" w:hAnsi="Times New Roman" w:cs="Times New Roman"/>
          <w:i/>
          <w:sz w:val="24"/>
          <w:szCs w:val="20"/>
        </w:rPr>
        <w:t>R</w:t>
      </w:r>
      <w:r w:rsidRPr="00A603F6">
        <w:rPr>
          <w:rFonts w:ascii="Times New Roman" w:eastAsia="等线" w:hAnsi="Times New Roman" w:cs="Times New Roman"/>
          <w:i/>
          <w:sz w:val="24"/>
          <w:szCs w:val="20"/>
          <w:vertAlign w:val="superscript"/>
        </w:rPr>
        <w:t>2</w:t>
      </w:r>
      <w:r w:rsidRPr="00A603F6">
        <w:rPr>
          <w:rFonts w:ascii="Times New Roman" w:eastAsia="等线" w:hAnsi="Times New Roman" w:cs="Times New Roman"/>
          <w:sz w:val="24"/>
          <w:szCs w:val="20"/>
        </w:rPr>
        <w:t xml:space="preserve"> are parameters of the relationship between observed values and predicted values. Duration is the experimental duration of incubation.</w:t>
      </w:r>
    </w:p>
    <w:p w14:paraId="613DA061" w14:textId="77777777" w:rsidR="00677F35" w:rsidRPr="00C128F6" w:rsidRDefault="00677F35" w:rsidP="00771565">
      <w:pPr>
        <w:spacing w:line="480" w:lineRule="auto"/>
        <w:rPr>
          <w:rFonts w:ascii="Times New Roman" w:hAnsi="Times New Roman" w:cs="Times New Roman"/>
          <w:b/>
          <w:sz w:val="20"/>
          <w:szCs w:val="20"/>
        </w:rPr>
        <w:sectPr w:rsidR="00677F35" w:rsidRPr="00C128F6" w:rsidSect="00771565">
          <w:pgSz w:w="11906" w:h="16838"/>
          <w:pgMar w:top="1440" w:right="1800" w:bottom="1440" w:left="1800" w:header="851" w:footer="992" w:gutter="0"/>
          <w:lnNumType w:countBy="1" w:restart="continuous"/>
          <w:cols w:space="425"/>
          <w:docGrid w:type="lines" w:linePitch="312"/>
        </w:sectPr>
      </w:pPr>
    </w:p>
    <w:p w14:paraId="062C904B" w14:textId="309C63BA" w:rsidR="00677F35" w:rsidRPr="00A603F6" w:rsidRDefault="00677F35" w:rsidP="00E67D08">
      <w:pPr>
        <w:spacing w:line="480" w:lineRule="auto"/>
        <w:rPr>
          <w:rFonts w:ascii="Times New Roman" w:eastAsia="等线" w:hAnsi="Times New Roman" w:cs="Times New Roman"/>
          <w:sz w:val="24"/>
          <w:szCs w:val="20"/>
        </w:rPr>
      </w:pPr>
      <w:r w:rsidRPr="00A603F6">
        <w:rPr>
          <w:rFonts w:ascii="Times New Roman" w:hAnsi="Times New Roman" w:cs="Times New Roman"/>
          <w:b/>
          <w:sz w:val="24"/>
          <w:szCs w:val="20"/>
        </w:rPr>
        <w:lastRenderedPageBreak/>
        <w:t xml:space="preserve">Table </w:t>
      </w:r>
      <w:r w:rsidR="00C73A39" w:rsidRPr="00A603F6">
        <w:rPr>
          <w:rFonts w:ascii="Times New Roman" w:hAnsi="Times New Roman" w:cs="Times New Roman"/>
          <w:b/>
          <w:sz w:val="24"/>
          <w:szCs w:val="20"/>
        </w:rPr>
        <w:t>S</w:t>
      </w:r>
      <w:r w:rsidR="00C73A39">
        <w:rPr>
          <w:rFonts w:ascii="Times New Roman" w:hAnsi="Times New Roman" w:cs="Times New Roman" w:hint="eastAsia"/>
          <w:b/>
          <w:sz w:val="24"/>
          <w:szCs w:val="20"/>
        </w:rPr>
        <w:t>3</w:t>
      </w:r>
      <w:r w:rsidR="00C73A39" w:rsidRPr="00A603F6">
        <w:rPr>
          <w:rFonts w:ascii="Times New Roman" w:hAnsi="Times New Roman" w:cs="Times New Roman"/>
          <w:b/>
          <w:sz w:val="24"/>
          <w:szCs w:val="20"/>
        </w:rPr>
        <w:t xml:space="preserve"> </w:t>
      </w:r>
      <w:r w:rsidRPr="00A603F6">
        <w:rPr>
          <w:rFonts w:ascii="Times New Roman" w:eastAsia="等线" w:hAnsi="Times New Roman" w:cs="Times New Roman"/>
          <w:sz w:val="24"/>
          <w:szCs w:val="20"/>
        </w:rPr>
        <w:t>Results for publication bias of decay rates of labile soil organic carbon (</w:t>
      </w:r>
      <w:r w:rsidRPr="00A603F6">
        <w:rPr>
          <w:rFonts w:ascii="Times New Roman" w:eastAsia="宋体" w:hAnsi="Times New Roman" w:cs="Times New Roman"/>
          <w:i/>
          <w:iCs/>
          <w:color w:val="000000" w:themeColor="text1"/>
          <w:kern w:val="24"/>
          <w:sz w:val="24"/>
          <w:szCs w:val="20"/>
        </w:rPr>
        <w:t>k</w:t>
      </w:r>
      <w:r w:rsidRPr="00A603F6">
        <w:rPr>
          <w:rFonts w:ascii="Times New Roman" w:eastAsia="宋体" w:hAnsi="Times New Roman" w:cs="Times New Roman"/>
          <w:i/>
          <w:iCs/>
          <w:color w:val="000000" w:themeColor="text1"/>
          <w:kern w:val="24"/>
          <w:sz w:val="24"/>
          <w:szCs w:val="20"/>
          <w:vertAlign w:val="subscript"/>
        </w:rPr>
        <w:t>l</w:t>
      </w:r>
      <w:r w:rsidRPr="00A603F6">
        <w:rPr>
          <w:rFonts w:ascii="Times New Roman" w:eastAsia="等线" w:hAnsi="Times New Roman" w:cs="Times New Roman"/>
          <w:sz w:val="24"/>
          <w:szCs w:val="20"/>
        </w:rPr>
        <w:t>) and persistent organic carbon (</w:t>
      </w:r>
      <w:r w:rsidRPr="00A603F6">
        <w:rPr>
          <w:rFonts w:ascii="Times New Roman" w:eastAsia="宋体" w:hAnsi="Times New Roman" w:cs="Times New Roman"/>
          <w:i/>
          <w:iCs/>
          <w:color w:val="000000" w:themeColor="text1"/>
          <w:kern w:val="24"/>
          <w:sz w:val="24"/>
          <w:szCs w:val="20"/>
        </w:rPr>
        <w:t>k</w:t>
      </w:r>
      <w:r w:rsidRPr="00A603F6">
        <w:rPr>
          <w:rFonts w:ascii="Times New Roman" w:eastAsia="宋体" w:hAnsi="Times New Roman" w:cs="Times New Roman"/>
          <w:i/>
          <w:iCs/>
          <w:color w:val="000000" w:themeColor="text1"/>
          <w:kern w:val="24"/>
          <w:sz w:val="24"/>
          <w:szCs w:val="20"/>
          <w:vertAlign w:val="subscript"/>
        </w:rPr>
        <w:t>p</w:t>
      </w:r>
      <w:r w:rsidRPr="00A603F6">
        <w:rPr>
          <w:rFonts w:ascii="Times New Roman" w:eastAsia="等线" w:hAnsi="Times New Roman" w:cs="Times New Roman"/>
          <w:sz w:val="24"/>
          <w:szCs w:val="20"/>
        </w:rPr>
        <w:t xml:space="preserve">) using </w:t>
      </w:r>
      <w:r w:rsidR="006438E3" w:rsidRPr="00A603F6">
        <w:rPr>
          <w:rFonts w:ascii="Times New Roman" w:eastAsia="等线" w:hAnsi="Times New Roman" w:cs="Times New Roman"/>
          <w:color w:val="000000"/>
          <w:kern w:val="0"/>
          <w:sz w:val="24"/>
          <w:szCs w:val="20"/>
        </w:rPr>
        <w:t>Kendall's tau</w:t>
      </w:r>
      <w:r w:rsidR="006438E3" w:rsidRPr="00A603F6">
        <w:rPr>
          <w:rFonts w:ascii="Times New Roman" w:hAnsi="Times New Roman" w:cs="Times New Roman"/>
          <w:sz w:val="24"/>
          <w:szCs w:val="20"/>
        </w:rPr>
        <w:t xml:space="preserve"> and </w:t>
      </w:r>
      <w:r w:rsidRPr="00A603F6">
        <w:rPr>
          <w:rFonts w:ascii="Times New Roman" w:hAnsi="Times New Roman" w:cs="Times New Roman"/>
          <w:sz w:val="24"/>
          <w:szCs w:val="20"/>
        </w:rPr>
        <w:t>Rosenthal’s method</w:t>
      </w:r>
      <w:r w:rsidR="006438E3" w:rsidRPr="00A603F6">
        <w:rPr>
          <w:rFonts w:ascii="Times New Roman" w:hAnsi="Times New Roman" w:cs="Times New Roman"/>
          <w:sz w:val="24"/>
          <w:szCs w:val="20"/>
        </w:rPr>
        <w:t>s</w:t>
      </w:r>
      <w:r w:rsidRPr="00A603F6">
        <w:rPr>
          <w:rFonts w:ascii="Times New Roman" w:eastAsia="等线" w:hAnsi="Times New Roman" w:cs="Times New Roman"/>
          <w:sz w:val="24"/>
          <w:szCs w:val="20"/>
        </w:rPr>
        <w:t>. Sample size is the number of observations of a given variable.</w:t>
      </w:r>
    </w:p>
    <w:tbl>
      <w:tblPr>
        <w:tblW w:w="7371" w:type="dxa"/>
        <w:jc w:val="center"/>
        <w:tblBorders>
          <w:top w:val="single" w:sz="4" w:space="0" w:color="auto"/>
          <w:bottom w:val="single" w:sz="4" w:space="0" w:color="auto"/>
        </w:tblBorders>
        <w:tblLook w:val="04A0" w:firstRow="1" w:lastRow="0" w:firstColumn="1" w:lastColumn="0" w:noHBand="0" w:noVBand="1"/>
      </w:tblPr>
      <w:tblGrid>
        <w:gridCol w:w="709"/>
        <w:gridCol w:w="1671"/>
        <w:gridCol w:w="739"/>
        <w:gridCol w:w="2041"/>
        <w:gridCol w:w="960"/>
        <w:gridCol w:w="1251"/>
      </w:tblGrid>
      <w:tr w:rsidR="009A1B80" w:rsidRPr="00C128F6" w14:paraId="54BDDDE6" w14:textId="77777777" w:rsidTr="00337F87">
        <w:trPr>
          <w:trHeight w:val="276"/>
          <w:jc w:val="center"/>
        </w:trPr>
        <w:tc>
          <w:tcPr>
            <w:tcW w:w="709" w:type="dxa"/>
            <w:tcBorders>
              <w:top w:val="single" w:sz="4" w:space="0" w:color="auto"/>
              <w:bottom w:val="single" w:sz="4" w:space="0" w:color="auto"/>
            </w:tcBorders>
            <w:noWrap/>
            <w:vAlign w:val="center"/>
            <w:hideMark/>
          </w:tcPr>
          <w:p w14:paraId="42706473" w14:textId="77777777" w:rsidR="009A1B80" w:rsidRPr="00C128F6" w:rsidRDefault="009A1B80" w:rsidP="006438E3">
            <w:pPr>
              <w:widowControl/>
              <w:spacing w:line="360" w:lineRule="auto"/>
              <w:jc w:val="center"/>
              <w:rPr>
                <w:rFonts w:ascii="Times New Roman" w:eastAsia="宋体" w:hAnsi="Times New Roman" w:cs="Times New Roman"/>
                <w:kern w:val="0"/>
                <w:sz w:val="20"/>
                <w:szCs w:val="20"/>
              </w:rPr>
            </w:pPr>
          </w:p>
        </w:tc>
        <w:tc>
          <w:tcPr>
            <w:tcW w:w="1671" w:type="dxa"/>
            <w:tcBorders>
              <w:top w:val="single" w:sz="4" w:space="0" w:color="auto"/>
              <w:bottom w:val="single" w:sz="4" w:space="0" w:color="auto"/>
            </w:tcBorders>
            <w:noWrap/>
            <w:vAlign w:val="center"/>
            <w:hideMark/>
          </w:tcPr>
          <w:p w14:paraId="6CCA560F" w14:textId="77777777" w:rsidR="009A1B80" w:rsidRPr="00A603F6" w:rsidRDefault="009A1B80" w:rsidP="006438E3">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color w:val="000000"/>
                <w:kern w:val="0"/>
                <w:sz w:val="20"/>
                <w:szCs w:val="20"/>
              </w:rPr>
              <w:t>Kendall's tau</w:t>
            </w:r>
          </w:p>
        </w:tc>
        <w:tc>
          <w:tcPr>
            <w:tcW w:w="739" w:type="dxa"/>
            <w:tcBorders>
              <w:top w:val="single" w:sz="4" w:space="0" w:color="auto"/>
              <w:bottom w:val="single" w:sz="4" w:space="0" w:color="auto"/>
              <w:right w:val="single" w:sz="4" w:space="0" w:color="auto"/>
            </w:tcBorders>
            <w:noWrap/>
            <w:vAlign w:val="center"/>
            <w:hideMark/>
          </w:tcPr>
          <w:p w14:paraId="295465D3" w14:textId="77777777" w:rsidR="009A1B80" w:rsidRPr="00A603F6" w:rsidRDefault="009A1B80" w:rsidP="006438E3">
            <w:pPr>
              <w:widowControl/>
              <w:spacing w:line="360" w:lineRule="auto"/>
              <w:jc w:val="center"/>
              <w:rPr>
                <w:rFonts w:ascii="Times New Roman" w:eastAsia="等线" w:hAnsi="Times New Roman" w:cs="Times New Roman"/>
                <w:b/>
                <w:i/>
                <w:color w:val="000000"/>
                <w:kern w:val="0"/>
                <w:sz w:val="20"/>
                <w:szCs w:val="20"/>
              </w:rPr>
            </w:pPr>
            <w:r w:rsidRPr="00A603F6">
              <w:rPr>
                <w:rFonts w:ascii="Times New Roman" w:eastAsia="等线" w:hAnsi="Times New Roman" w:cs="Times New Roman"/>
                <w:b/>
                <w:i/>
                <w:color w:val="000000"/>
                <w:kern w:val="0"/>
                <w:sz w:val="20"/>
                <w:szCs w:val="20"/>
              </w:rPr>
              <w:t>P</w:t>
            </w:r>
          </w:p>
        </w:tc>
        <w:tc>
          <w:tcPr>
            <w:tcW w:w="2041" w:type="dxa"/>
            <w:tcBorders>
              <w:top w:val="single" w:sz="4" w:space="0" w:color="auto"/>
              <w:left w:val="single" w:sz="4" w:space="0" w:color="auto"/>
              <w:bottom w:val="single" w:sz="4" w:space="0" w:color="auto"/>
            </w:tcBorders>
            <w:noWrap/>
            <w:vAlign w:val="center"/>
            <w:hideMark/>
          </w:tcPr>
          <w:p w14:paraId="25D32A8B" w14:textId="77777777" w:rsidR="009A1B80" w:rsidRPr="00A603F6" w:rsidRDefault="009A1B80" w:rsidP="006438E3">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color w:val="000000"/>
                <w:kern w:val="0"/>
                <w:sz w:val="20"/>
                <w:szCs w:val="20"/>
              </w:rPr>
              <w:t>Fail-safe number</w:t>
            </w:r>
          </w:p>
        </w:tc>
        <w:tc>
          <w:tcPr>
            <w:tcW w:w="960" w:type="dxa"/>
            <w:tcBorders>
              <w:top w:val="single" w:sz="4" w:space="0" w:color="auto"/>
              <w:bottom w:val="single" w:sz="4" w:space="0" w:color="auto"/>
            </w:tcBorders>
            <w:noWrap/>
            <w:vAlign w:val="center"/>
            <w:hideMark/>
          </w:tcPr>
          <w:p w14:paraId="3113D6A3" w14:textId="77777777" w:rsidR="009A1B80" w:rsidRPr="00A603F6" w:rsidRDefault="009A1B80" w:rsidP="006438E3">
            <w:pPr>
              <w:widowControl/>
              <w:spacing w:line="360" w:lineRule="auto"/>
              <w:jc w:val="center"/>
              <w:rPr>
                <w:rFonts w:ascii="Times New Roman" w:eastAsia="等线" w:hAnsi="Times New Roman" w:cs="Times New Roman"/>
                <w:b/>
                <w:color w:val="000000"/>
                <w:kern w:val="0"/>
                <w:sz w:val="20"/>
                <w:szCs w:val="20"/>
              </w:rPr>
            </w:pPr>
            <w:r w:rsidRPr="00A603F6">
              <w:rPr>
                <w:rFonts w:ascii="Times New Roman" w:eastAsia="等线" w:hAnsi="Times New Roman" w:cs="Times New Roman"/>
                <w:b/>
                <w:color w:val="000000"/>
                <w:kern w:val="0"/>
                <w:sz w:val="20"/>
                <w:szCs w:val="20"/>
              </w:rPr>
              <w:t>5n + 10</w:t>
            </w:r>
          </w:p>
        </w:tc>
        <w:tc>
          <w:tcPr>
            <w:tcW w:w="1251" w:type="dxa"/>
            <w:tcBorders>
              <w:top w:val="single" w:sz="4" w:space="0" w:color="auto"/>
              <w:bottom w:val="single" w:sz="4" w:space="0" w:color="auto"/>
            </w:tcBorders>
            <w:noWrap/>
            <w:vAlign w:val="center"/>
            <w:hideMark/>
          </w:tcPr>
          <w:p w14:paraId="611DF145" w14:textId="77777777" w:rsidR="009A1B80" w:rsidRPr="00A603F6" w:rsidRDefault="009A1B80" w:rsidP="006438E3">
            <w:pPr>
              <w:widowControl/>
              <w:spacing w:line="360" w:lineRule="auto"/>
              <w:jc w:val="center"/>
              <w:rPr>
                <w:rFonts w:ascii="Times New Roman" w:eastAsia="等线" w:hAnsi="Times New Roman" w:cs="Times New Roman"/>
                <w:b/>
                <w:i/>
                <w:color w:val="000000"/>
                <w:kern w:val="0"/>
                <w:sz w:val="20"/>
                <w:szCs w:val="20"/>
              </w:rPr>
            </w:pPr>
            <w:r w:rsidRPr="00A603F6">
              <w:rPr>
                <w:rFonts w:ascii="Times New Roman" w:eastAsia="等线" w:hAnsi="Times New Roman" w:cs="Times New Roman"/>
                <w:b/>
                <w:i/>
                <w:color w:val="000000"/>
                <w:kern w:val="0"/>
                <w:sz w:val="20"/>
                <w:szCs w:val="20"/>
              </w:rPr>
              <w:t>P</w:t>
            </w:r>
          </w:p>
        </w:tc>
      </w:tr>
      <w:tr w:rsidR="009A1B80" w:rsidRPr="00C128F6" w14:paraId="2A40C79B" w14:textId="77777777" w:rsidTr="00337F87">
        <w:trPr>
          <w:trHeight w:val="276"/>
          <w:jc w:val="center"/>
        </w:trPr>
        <w:tc>
          <w:tcPr>
            <w:tcW w:w="709" w:type="dxa"/>
            <w:tcBorders>
              <w:top w:val="single" w:sz="4" w:space="0" w:color="auto"/>
            </w:tcBorders>
            <w:noWrap/>
            <w:vAlign w:val="center"/>
            <w:hideMark/>
          </w:tcPr>
          <w:p w14:paraId="12F6A7BC" w14:textId="77777777" w:rsidR="009A1B80" w:rsidRPr="00C128F6" w:rsidRDefault="009A1B80" w:rsidP="006438E3">
            <w:pPr>
              <w:widowControl/>
              <w:spacing w:line="360" w:lineRule="auto"/>
              <w:jc w:val="center"/>
              <w:rPr>
                <w:rFonts w:ascii="Times New Roman" w:eastAsia="等线" w:hAnsi="Times New Roman" w:cs="Times New Roman"/>
                <w:i/>
                <w:color w:val="000000"/>
                <w:kern w:val="0"/>
                <w:sz w:val="20"/>
                <w:szCs w:val="20"/>
              </w:rPr>
            </w:pPr>
            <w:r w:rsidRPr="00C128F6">
              <w:rPr>
                <w:rFonts w:ascii="Times New Roman" w:eastAsia="等线" w:hAnsi="Times New Roman" w:cs="Times New Roman"/>
                <w:i/>
                <w:color w:val="000000"/>
                <w:kern w:val="0"/>
                <w:sz w:val="20"/>
                <w:szCs w:val="20"/>
              </w:rPr>
              <w:t>k</w:t>
            </w:r>
            <w:r w:rsidRPr="00C128F6">
              <w:rPr>
                <w:rFonts w:ascii="Times New Roman" w:eastAsia="等线" w:hAnsi="Times New Roman" w:cs="Times New Roman"/>
                <w:i/>
                <w:color w:val="000000"/>
                <w:kern w:val="0"/>
                <w:sz w:val="20"/>
                <w:szCs w:val="20"/>
                <w:vertAlign w:val="subscript"/>
              </w:rPr>
              <w:t>l</w:t>
            </w:r>
          </w:p>
        </w:tc>
        <w:tc>
          <w:tcPr>
            <w:tcW w:w="1671" w:type="dxa"/>
            <w:tcBorders>
              <w:top w:val="single" w:sz="4" w:space="0" w:color="auto"/>
            </w:tcBorders>
            <w:noWrap/>
            <w:vAlign w:val="center"/>
            <w:hideMark/>
          </w:tcPr>
          <w:p w14:paraId="1B8D8F59" w14:textId="156C4742" w:rsidR="009A1B80" w:rsidRPr="00C128F6" w:rsidRDefault="00A82466"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-0.09</w:t>
            </w:r>
          </w:p>
        </w:tc>
        <w:tc>
          <w:tcPr>
            <w:tcW w:w="739" w:type="dxa"/>
            <w:tcBorders>
              <w:top w:val="single" w:sz="4" w:space="0" w:color="auto"/>
              <w:right w:val="single" w:sz="4" w:space="0" w:color="auto"/>
            </w:tcBorders>
            <w:noWrap/>
            <w:vAlign w:val="center"/>
            <w:hideMark/>
          </w:tcPr>
          <w:p w14:paraId="20C0F7B7" w14:textId="29352BC7" w:rsidR="009A1B80" w:rsidRPr="00C128F6" w:rsidRDefault="005F12FB"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0.0</w:t>
            </w:r>
            <w:r w:rsidR="00A82466" w:rsidRPr="00C128F6">
              <w:rPr>
                <w:rFonts w:ascii="Times New Roman" w:eastAsia="等线" w:hAnsi="Times New Roman" w:cs="Times New Roman"/>
                <w:color w:val="000000"/>
                <w:kern w:val="0"/>
                <w:sz w:val="20"/>
                <w:szCs w:val="20"/>
              </w:rPr>
              <w:t>5</w:t>
            </w:r>
          </w:p>
        </w:tc>
        <w:tc>
          <w:tcPr>
            <w:tcW w:w="2041" w:type="dxa"/>
            <w:tcBorders>
              <w:top w:val="single" w:sz="4" w:space="0" w:color="auto"/>
              <w:left w:val="single" w:sz="4" w:space="0" w:color="auto"/>
            </w:tcBorders>
            <w:noWrap/>
            <w:vAlign w:val="center"/>
            <w:hideMark/>
          </w:tcPr>
          <w:p w14:paraId="25EBEBAB" w14:textId="780E67DB" w:rsidR="009A1B80" w:rsidRPr="00C128F6" w:rsidRDefault="00A82466"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17921</w:t>
            </w:r>
          </w:p>
        </w:tc>
        <w:tc>
          <w:tcPr>
            <w:tcW w:w="960" w:type="dxa"/>
            <w:tcBorders>
              <w:top w:val="single" w:sz="4" w:space="0" w:color="auto"/>
            </w:tcBorders>
            <w:noWrap/>
            <w:vAlign w:val="center"/>
            <w:hideMark/>
          </w:tcPr>
          <w:p w14:paraId="66BCBDD6" w14:textId="0DD2C669" w:rsidR="009A1B80" w:rsidRPr="00C128F6" w:rsidRDefault="00A82466"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1105</w:t>
            </w:r>
          </w:p>
        </w:tc>
        <w:tc>
          <w:tcPr>
            <w:tcW w:w="1251" w:type="dxa"/>
            <w:tcBorders>
              <w:top w:val="single" w:sz="4" w:space="0" w:color="auto"/>
            </w:tcBorders>
            <w:noWrap/>
            <w:vAlign w:val="center"/>
            <w:hideMark/>
          </w:tcPr>
          <w:p w14:paraId="71CB95DA" w14:textId="790C2635" w:rsidR="009A1B80" w:rsidRPr="00C128F6" w:rsidRDefault="009A1B80"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&lt;</w:t>
            </w:r>
            <w:r w:rsidR="00337F87" w:rsidRPr="00C128F6">
              <w:rPr>
                <w:rFonts w:ascii="Times New Roman" w:eastAsia="等线" w:hAnsi="Times New Roman" w:cs="Times New Roman" w:hint="eastAsia"/>
                <w:color w:val="000000"/>
                <w:kern w:val="0"/>
                <w:sz w:val="20"/>
                <w:szCs w:val="20"/>
              </w:rPr>
              <w:t xml:space="preserve"> 0</w:t>
            </w:r>
            <w:r w:rsidRPr="00C128F6">
              <w:rPr>
                <w:rFonts w:ascii="Times New Roman" w:eastAsia="等线" w:hAnsi="Times New Roman" w:cs="Times New Roman"/>
                <w:color w:val="000000"/>
                <w:kern w:val="0"/>
                <w:sz w:val="20"/>
                <w:szCs w:val="20"/>
              </w:rPr>
              <w:t>.0001</w:t>
            </w:r>
          </w:p>
        </w:tc>
      </w:tr>
      <w:tr w:rsidR="009A1B80" w:rsidRPr="00C128F6" w14:paraId="107DF0DA" w14:textId="77777777" w:rsidTr="00337F87">
        <w:trPr>
          <w:trHeight w:val="276"/>
          <w:jc w:val="center"/>
        </w:trPr>
        <w:tc>
          <w:tcPr>
            <w:tcW w:w="709" w:type="dxa"/>
            <w:noWrap/>
            <w:vAlign w:val="center"/>
            <w:hideMark/>
          </w:tcPr>
          <w:p w14:paraId="12363F15" w14:textId="77777777" w:rsidR="009A1B80" w:rsidRPr="00C128F6" w:rsidRDefault="009A1B80" w:rsidP="006438E3">
            <w:pPr>
              <w:widowControl/>
              <w:spacing w:line="360" w:lineRule="auto"/>
              <w:jc w:val="center"/>
              <w:rPr>
                <w:rFonts w:ascii="Times New Roman" w:eastAsia="等线" w:hAnsi="Times New Roman" w:cs="Times New Roman"/>
                <w:i/>
                <w:color w:val="000000"/>
                <w:kern w:val="0"/>
                <w:sz w:val="20"/>
                <w:szCs w:val="20"/>
              </w:rPr>
            </w:pPr>
            <w:r w:rsidRPr="00C128F6">
              <w:rPr>
                <w:rFonts w:ascii="Times New Roman" w:eastAsia="等线" w:hAnsi="Times New Roman" w:cs="Times New Roman"/>
                <w:i/>
                <w:color w:val="000000"/>
                <w:kern w:val="0"/>
                <w:sz w:val="20"/>
                <w:szCs w:val="20"/>
              </w:rPr>
              <w:t>k</w:t>
            </w:r>
            <w:r w:rsidRPr="00C128F6">
              <w:rPr>
                <w:rFonts w:ascii="Times New Roman" w:eastAsia="等线" w:hAnsi="Times New Roman" w:cs="Times New Roman"/>
                <w:i/>
                <w:color w:val="000000"/>
                <w:kern w:val="0"/>
                <w:sz w:val="20"/>
                <w:szCs w:val="20"/>
                <w:vertAlign w:val="subscript"/>
              </w:rPr>
              <w:t>p</w:t>
            </w:r>
          </w:p>
        </w:tc>
        <w:tc>
          <w:tcPr>
            <w:tcW w:w="1671" w:type="dxa"/>
            <w:noWrap/>
            <w:vAlign w:val="center"/>
            <w:hideMark/>
          </w:tcPr>
          <w:p w14:paraId="461EBDD4" w14:textId="1B9A0AB2" w:rsidR="009A1B80" w:rsidRPr="00C128F6" w:rsidRDefault="009A1B80"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0.07</w:t>
            </w:r>
          </w:p>
        </w:tc>
        <w:tc>
          <w:tcPr>
            <w:tcW w:w="739" w:type="dxa"/>
            <w:tcBorders>
              <w:bottom w:val="single" w:sz="4" w:space="0" w:color="auto"/>
              <w:right w:val="single" w:sz="4" w:space="0" w:color="auto"/>
            </w:tcBorders>
            <w:noWrap/>
            <w:vAlign w:val="center"/>
            <w:hideMark/>
          </w:tcPr>
          <w:p w14:paraId="24654682" w14:textId="10E1EB40" w:rsidR="009A1B80" w:rsidRPr="00C128F6" w:rsidRDefault="009A1B80"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0.1</w:t>
            </w:r>
            <w:r w:rsidR="00A82466" w:rsidRPr="00C128F6">
              <w:rPr>
                <w:rFonts w:ascii="Times New Roman" w:eastAsia="等线" w:hAnsi="Times New Roman" w:cs="Times New Roman"/>
                <w:color w:val="000000"/>
                <w:kern w:val="0"/>
                <w:sz w:val="20"/>
                <w:szCs w:val="20"/>
              </w:rPr>
              <w:t>3</w:t>
            </w:r>
          </w:p>
        </w:tc>
        <w:tc>
          <w:tcPr>
            <w:tcW w:w="2041" w:type="dxa"/>
            <w:tcBorders>
              <w:left w:val="single" w:sz="4" w:space="0" w:color="auto"/>
            </w:tcBorders>
            <w:noWrap/>
            <w:vAlign w:val="center"/>
            <w:hideMark/>
          </w:tcPr>
          <w:p w14:paraId="5C4EB08F" w14:textId="61D69915" w:rsidR="009A1B80" w:rsidRPr="00C128F6" w:rsidRDefault="00A82466"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70373</w:t>
            </w:r>
          </w:p>
        </w:tc>
        <w:tc>
          <w:tcPr>
            <w:tcW w:w="960" w:type="dxa"/>
            <w:noWrap/>
            <w:vAlign w:val="center"/>
            <w:hideMark/>
          </w:tcPr>
          <w:p w14:paraId="51D834CA" w14:textId="21C3301E" w:rsidR="009A1B80" w:rsidRPr="00C128F6" w:rsidRDefault="00A82466"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1105</w:t>
            </w:r>
          </w:p>
        </w:tc>
        <w:tc>
          <w:tcPr>
            <w:tcW w:w="1251" w:type="dxa"/>
            <w:noWrap/>
            <w:vAlign w:val="center"/>
            <w:hideMark/>
          </w:tcPr>
          <w:p w14:paraId="6E6E173A" w14:textId="3864192B" w:rsidR="009A1B80" w:rsidRPr="00C128F6" w:rsidRDefault="009A1B80" w:rsidP="006438E3">
            <w:pPr>
              <w:widowControl/>
              <w:spacing w:line="360" w:lineRule="auto"/>
              <w:jc w:val="center"/>
              <w:rPr>
                <w:rFonts w:ascii="Times New Roman" w:eastAsia="等线" w:hAnsi="Times New Roman" w:cs="Times New Roman"/>
                <w:color w:val="000000"/>
                <w:kern w:val="0"/>
                <w:sz w:val="20"/>
                <w:szCs w:val="20"/>
              </w:rPr>
            </w:pPr>
            <w:r w:rsidRPr="00C128F6">
              <w:rPr>
                <w:rFonts w:ascii="Times New Roman" w:eastAsia="等线" w:hAnsi="Times New Roman" w:cs="Times New Roman"/>
                <w:color w:val="000000"/>
                <w:kern w:val="0"/>
                <w:sz w:val="20"/>
                <w:szCs w:val="20"/>
              </w:rPr>
              <w:t>&lt;</w:t>
            </w:r>
            <w:r w:rsidR="00337F87" w:rsidRPr="00C128F6">
              <w:rPr>
                <w:rFonts w:ascii="Times New Roman" w:eastAsia="等线" w:hAnsi="Times New Roman" w:cs="Times New Roman" w:hint="eastAsia"/>
                <w:color w:val="000000"/>
                <w:kern w:val="0"/>
                <w:sz w:val="20"/>
                <w:szCs w:val="20"/>
              </w:rPr>
              <w:t xml:space="preserve"> 0</w:t>
            </w:r>
            <w:r w:rsidRPr="00C128F6">
              <w:rPr>
                <w:rFonts w:ascii="Times New Roman" w:eastAsia="等线" w:hAnsi="Times New Roman" w:cs="Times New Roman"/>
                <w:color w:val="000000"/>
                <w:kern w:val="0"/>
                <w:sz w:val="20"/>
                <w:szCs w:val="20"/>
              </w:rPr>
              <w:t>.0001</w:t>
            </w:r>
          </w:p>
        </w:tc>
      </w:tr>
    </w:tbl>
    <w:p w14:paraId="693796D7" w14:textId="77777777" w:rsidR="009A1B80" w:rsidRPr="00C128F6" w:rsidRDefault="009A1B80" w:rsidP="00E67D08">
      <w:pPr>
        <w:spacing w:line="480" w:lineRule="auto"/>
        <w:rPr>
          <w:rFonts w:ascii="Times New Roman" w:hAnsi="Times New Roman" w:cs="Times New Roman"/>
          <w:b/>
          <w:sz w:val="20"/>
          <w:szCs w:val="20"/>
        </w:rPr>
      </w:pPr>
    </w:p>
    <w:p w14:paraId="23DD4C8E" w14:textId="77777777" w:rsidR="00677F35" w:rsidRPr="00C128F6" w:rsidRDefault="00677F35" w:rsidP="00771565">
      <w:pPr>
        <w:spacing w:line="480" w:lineRule="auto"/>
        <w:rPr>
          <w:rFonts w:ascii="Times New Roman" w:hAnsi="Times New Roman" w:cs="Times New Roman"/>
          <w:b/>
          <w:sz w:val="20"/>
          <w:szCs w:val="20"/>
        </w:rPr>
        <w:sectPr w:rsidR="00677F35" w:rsidRPr="00C128F6" w:rsidSect="00771565">
          <w:pgSz w:w="11906" w:h="16838"/>
          <w:pgMar w:top="1440" w:right="1800" w:bottom="1440" w:left="1800" w:header="851" w:footer="992" w:gutter="0"/>
          <w:lnNumType w:countBy="1" w:restart="continuous"/>
          <w:cols w:space="425"/>
          <w:docGrid w:type="lines" w:linePitch="312"/>
        </w:sectPr>
      </w:pPr>
    </w:p>
    <w:p w14:paraId="3C9512BC" w14:textId="48BCE1A4" w:rsidR="00337F87" w:rsidRPr="00C128F6" w:rsidRDefault="005F2427" w:rsidP="005F2427">
      <w:pPr>
        <w:jc w:val="center"/>
        <w:rPr>
          <w:rFonts w:hint="eastAsia"/>
          <w:sz w:val="20"/>
          <w:szCs w:val="20"/>
        </w:rPr>
      </w:pPr>
      <w:r w:rsidRPr="00C128F6">
        <w:rPr>
          <w:noProof/>
          <w:sz w:val="20"/>
          <w:szCs w:val="20"/>
        </w:rPr>
        <w:lastRenderedPageBreak/>
        <w:drawing>
          <wp:inline distT="0" distB="0" distL="0" distR="0" wp14:anchorId="112921A7" wp14:editId="4D6EFFF7">
            <wp:extent cx="4858512" cy="6108192"/>
            <wp:effectExtent l="0" t="0" r="0" b="6985"/>
            <wp:docPr id="12403835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83598" name="图片 1240383598"/>
                    <pic:cNvPicPr/>
                  </pic:nvPicPr>
                  <pic:blipFill>
                    <a:blip r:embed="rId8">
                      <a:extLst>
                        <a:ext uri="{28A0092B-C50C-407E-A947-70E740481C1C}">
                          <a14:useLocalDpi xmlns:a14="http://schemas.microsoft.com/office/drawing/2010/main" val="0"/>
                        </a:ext>
                      </a:extLst>
                    </a:blip>
                    <a:stretch>
                      <a:fillRect/>
                    </a:stretch>
                  </pic:blipFill>
                  <pic:spPr>
                    <a:xfrm>
                      <a:off x="0" y="0"/>
                      <a:ext cx="4858512" cy="6108192"/>
                    </a:xfrm>
                    <a:prstGeom prst="rect">
                      <a:avLst/>
                    </a:prstGeom>
                  </pic:spPr>
                </pic:pic>
              </a:graphicData>
            </a:graphic>
          </wp:inline>
        </w:drawing>
      </w:r>
    </w:p>
    <w:p w14:paraId="74F69B1F" w14:textId="25650673" w:rsidR="00681A25" w:rsidRPr="00A603F6" w:rsidRDefault="00F11691" w:rsidP="00337F87">
      <w:pPr>
        <w:spacing w:line="480" w:lineRule="auto"/>
        <w:rPr>
          <w:rFonts w:ascii="Times New Roman" w:hAnsi="Times New Roman" w:cs="Times New Roman"/>
          <w:sz w:val="24"/>
          <w:szCs w:val="20"/>
        </w:rPr>
      </w:pPr>
      <w:r w:rsidRPr="00A603F6">
        <w:rPr>
          <w:rFonts w:ascii="Times New Roman" w:hAnsi="Times New Roman" w:cs="Times New Roman"/>
          <w:b/>
          <w:sz w:val="24"/>
          <w:szCs w:val="20"/>
        </w:rPr>
        <w:t>Fig. S1</w:t>
      </w:r>
      <w:r w:rsidRPr="00A603F6">
        <w:rPr>
          <w:rFonts w:ascii="Times New Roman" w:eastAsia="等线" w:hAnsi="Times New Roman" w:cs="Times New Roman"/>
          <w:sz w:val="24"/>
          <w:szCs w:val="20"/>
        </w:rPr>
        <w:t xml:space="preserve"> </w:t>
      </w:r>
      <w:r w:rsidR="00301306" w:rsidRPr="00A603F6">
        <w:rPr>
          <w:rFonts w:ascii="Times New Roman" w:eastAsia="等线" w:hAnsi="Times New Roman" w:cs="Times New Roman"/>
          <w:sz w:val="24"/>
          <w:szCs w:val="20"/>
        </w:rPr>
        <w:t>Preferred Reporting Items for Systematic Meta-Analysis (PRISMA) flow chart showing the article search and selection of data for inclusion in this study.</w:t>
      </w:r>
    </w:p>
    <w:p w14:paraId="1DA12A54" w14:textId="77777777" w:rsidR="00A26552" w:rsidRPr="00C128F6" w:rsidRDefault="00A26552" w:rsidP="00771565">
      <w:pPr>
        <w:spacing w:line="480" w:lineRule="auto"/>
        <w:rPr>
          <w:rFonts w:ascii="Times New Roman" w:eastAsia="等线" w:hAnsi="Times New Roman" w:cs="Times New Roman"/>
          <w:sz w:val="20"/>
          <w:szCs w:val="20"/>
        </w:rPr>
        <w:sectPr w:rsidR="00A26552" w:rsidRPr="00C128F6" w:rsidSect="00771565">
          <w:pgSz w:w="11906" w:h="16838"/>
          <w:pgMar w:top="1440" w:right="1800" w:bottom="1440" w:left="1800" w:header="851" w:footer="992" w:gutter="0"/>
          <w:lnNumType w:countBy="1" w:restart="continuous"/>
          <w:cols w:space="425"/>
          <w:docGrid w:type="lines" w:linePitch="312"/>
        </w:sectPr>
      </w:pPr>
    </w:p>
    <w:p w14:paraId="0FF18EF3" w14:textId="172B7931" w:rsidR="00A26552" w:rsidRPr="00C128F6" w:rsidRDefault="007C2413" w:rsidP="00771565">
      <w:pPr>
        <w:spacing w:line="480" w:lineRule="auto"/>
        <w:jc w:val="center"/>
        <w:rPr>
          <w:rFonts w:ascii="Times New Roman" w:eastAsia="等线" w:hAnsi="Times New Roman" w:cs="Times New Roman"/>
          <w:sz w:val="20"/>
          <w:szCs w:val="20"/>
        </w:rPr>
      </w:pPr>
      <w:r w:rsidRPr="00C128F6">
        <w:rPr>
          <w:rFonts w:ascii="Times New Roman" w:eastAsia="等线" w:hAnsi="Times New Roman" w:cs="Times New Roman"/>
          <w:noProof/>
          <w:sz w:val="20"/>
          <w:szCs w:val="20"/>
        </w:rPr>
        <w:lastRenderedPageBreak/>
        <w:drawing>
          <wp:inline distT="0" distB="0" distL="0" distR="0" wp14:anchorId="79D50F1C" wp14:editId="634ADFA5">
            <wp:extent cx="3767907" cy="2679632"/>
            <wp:effectExtent l="0" t="0" r="0" b="0"/>
            <wp:docPr id="13737445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44510" name="图片 13737445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4513" cy="2691441"/>
                    </a:xfrm>
                    <a:prstGeom prst="rect">
                      <a:avLst/>
                    </a:prstGeom>
                  </pic:spPr>
                </pic:pic>
              </a:graphicData>
            </a:graphic>
          </wp:inline>
        </w:drawing>
      </w:r>
    </w:p>
    <w:p w14:paraId="0845B91E" w14:textId="69F637CC" w:rsidR="00F77319" w:rsidRPr="00A603F6" w:rsidRDefault="007C2413" w:rsidP="00337F87">
      <w:pPr>
        <w:spacing w:line="480" w:lineRule="auto"/>
        <w:jc w:val="left"/>
        <w:rPr>
          <w:rFonts w:ascii="Times New Roman" w:hAnsi="Times New Roman" w:cs="Times New Roman"/>
          <w:b/>
          <w:sz w:val="24"/>
          <w:szCs w:val="20"/>
        </w:rPr>
      </w:pPr>
      <w:r w:rsidRPr="00A603F6">
        <w:rPr>
          <w:rFonts w:ascii="Times New Roman" w:eastAsia="等线" w:hAnsi="Times New Roman" w:cs="Times New Roman"/>
          <w:b/>
          <w:bCs/>
          <w:sz w:val="24"/>
          <w:szCs w:val="20"/>
        </w:rPr>
        <w:t>Fig. S</w:t>
      </w:r>
      <w:r w:rsidR="0038247D" w:rsidRPr="00A603F6">
        <w:rPr>
          <w:rFonts w:ascii="Times New Roman" w:eastAsia="等线" w:hAnsi="Times New Roman" w:cs="Times New Roman"/>
          <w:b/>
          <w:bCs/>
          <w:sz w:val="24"/>
          <w:szCs w:val="20"/>
        </w:rPr>
        <w:t>2</w:t>
      </w:r>
      <w:r w:rsidRPr="00A603F6">
        <w:rPr>
          <w:rFonts w:ascii="Times New Roman" w:eastAsia="等线" w:hAnsi="Times New Roman" w:cs="Times New Roman"/>
          <w:sz w:val="24"/>
          <w:szCs w:val="20"/>
        </w:rPr>
        <w:t xml:space="preserve"> </w:t>
      </w:r>
      <w:r w:rsidR="0038247D" w:rsidRPr="00A603F6">
        <w:rPr>
          <w:rFonts w:ascii="Times New Roman" w:hAnsi="Times New Roman" w:cs="Times New Roman"/>
          <w:sz w:val="24"/>
          <w:szCs w:val="20"/>
        </w:rPr>
        <w:t>D</w:t>
      </w:r>
      <w:r w:rsidR="00B96C2C" w:rsidRPr="00A603F6">
        <w:rPr>
          <w:rFonts w:ascii="Times New Roman" w:hAnsi="Times New Roman" w:cs="Times New Roman"/>
          <w:sz w:val="24"/>
          <w:szCs w:val="20"/>
        </w:rPr>
        <w:t>ifference in</w:t>
      </w:r>
      <w:r w:rsidRPr="00A603F6">
        <w:rPr>
          <w:rFonts w:ascii="Times New Roman" w:hAnsi="Times New Roman" w:cs="Times New Roman"/>
          <w:sz w:val="24"/>
          <w:szCs w:val="20"/>
        </w:rPr>
        <w:t xml:space="preserve"> C addition </w:t>
      </w:r>
      <w:r w:rsidR="00B96C2C" w:rsidRPr="00A603F6">
        <w:rPr>
          <w:rFonts w:ascii="Times New Roman" w:hAnsi="Times New Roman" w:cs="Times New Roman"/>
          <w:sz w:val="24"/>
          <w:szCs w:val="20"/>
        </w:rPr>
        <w:t xml:space="preserve">effect </w:t>
      </w:r>
      <w:r w:rsidRPr="00A603F6">
        <w:rPr>
          <w:rFonts w:ascii="Times New Roman" w:hAnsi="Times New Roman" w:cs="Times New Roman"/>
          <w:sz w:val="24"/>
          <w:szCs w:val="20"/>
        </w:rPr>
        <w:t xml:space="preserve">on the decay rates of labile </w:t>
      </w:r>
      <w:r w:rsidR="00082585" w:rsidRPr="00A603F6">
        <w:rPr>
          <w:rFonts w:ascii="Times New Roman" w:hAnsi="Times New Roman" w:cs="Times New Roman"/>
          <w:sz w:val="24"/>
          <w:szCs w:val="20"/>
        </w:rPr>
        <w:t>SO</w:t>
      </w:r>
      <w:r w:rsidRPr="00A603F6">
        <w:rPr>
          <w:rFonts w:ascii="Times New Roman" w:hAnsi="Times New Roman" w:cs="Times New Roman"/>
          <w:sz w:val="24"/>
          <w:szCs w:val="20"/>
        </w:rPr>
        <w:t>C (</w:t>
      </w:r>
      <w:r w:rsidRPr="00A603F6">
        <w:rPr>
          <w:rFonts w:ascii="Times New Roman" w:hAnsi="Times New Roman" w:cs="Times New Roman"/>
          <w:i/>
          <w:iCs/>
          <w:sz w:val="24"/>
          <w:szCs w:val="20"/>
        </w:rPr>
        <w:t>k</w:t>
      </w:r>
      <w:r w:rsidRPr="00A603F6">
        <w:rPr>
          <w:rFonts w:ascii="Times New Roman" w:hAnsi="Times New Roman" w:cs="Times New Roman"/>
          <w:i/>
          <w:iCs/>
          <w:sz w:val="24"/>
          <w:szCs w:val="20"/>
          <w:vertAlign w:val="subscript"/>
        </w:rPr>
        <w:t>l</w:t>
      </w:r>
      <w:r w:rsidRPr="00A603F6">
        <w:rPr>
          <w:rFonts w:ascii="Times New Roman" w:hAnsi="Times New Roman" w:cs="Times New Roman"/>
          <w:sz w:val="24"/>
          <w:szCs w:val="20"/>
        </w:rPr>
        <w:t xml:space="preserve">, red) and persistent </w:t>
      </w:r>
      <w:r w:rsidR="00082585" w:rsidRPr="00A603F6">
        <w:rPr>
          <w:rFonts w:ascii="Times New Roman" w:hAnsi="Times New Roman" w:cs="Times New Roman"/>
          <w:sz w:val="24"/>
          <w:szCs w:val="20"/>
        </w:rPr>
        <w:t>SO</w:t>
      </w:r>
      <w:r w:rsidRPr="00A603F6">
        <w:rPr>
          <w:rFonts w:ascii="Times New Roman" w:hAnsi="Times New Roman" w:cs="Times New Roman"/>
          <w:sz w:val="24"/>
          <w:szCs w:val="20"/>
        </w:rPr>
        <w:t>C (</w:t>
      </w:r>
      <w:r w:rsidRPr="00A603F6">
        <w:rPr>
          <w:rFonts w:ascii="Times New Roman" w:hAnsi="Times New Roman" w:cs="Times New Roman"/>
          <w:i/>
          <w:iCs/>
          <w:sz w:val="24"/>
          <w:szCs w:val="20"/>
        </w:rPr>
        <w:t>k</w:t>
      </w:r>
      <w:r w:rsidRPr="00A603F6">
        <w:rPr>
          <w:rFonts w:ascii="Times New Roman" w:hAnsi="Times New Roman" w:cs="Times New Roman"/>
          <w:i/>
          <w:iCs/>
          <w:sz w:val="24"/>
          <w:szCs w:val="20"/>
          <w:vertAlign w:val="subscript"/>
        </w:rPr>
        <w:t>p</w:t>
      </w:r>
      <w:r w:rsidRPr="00A603F6">
        <w:rPr>
          <w:rFonts w:ascii="Times New Roman" w:hAnsi="Times New Roman" w:cs="Times New Roman"/>
          <w:sz w:val="24"/>
          <w:szCs w:val="20"/>
        </w:rPr>
        <w:t xml:space="preserve">, bule) (relative to the control treatment without C addition, priming effect, %) between </w:t>
      </w:r>
      <w:r w:rsidR="00A2414A" w:rsidRPr="00A603F6">
        <w:rPr>
          <w:rFonts w:ascii="Times New Roman" w:hAnsi="Times New Roman" w:cs="Times New Roman"/>
          <w:sz w:val="24"/>
          <w:szCs w:val="20"/>
        </w:rPr>
        <w:t>C</w:t>
      </w:r>
      <w:r w:rsidRPr="00A603F6">
        <w:rPr>
          <w:rFonts w:ascii="Times New Roman" w:hAnsi="Times New Roman" w:cs="Times New Roman"/>
          <w:sz w:val="24"/>
          <w:szCs w:val="20"/>
        </w:rPr>
        <w:t xml:space="preserve"> types (</w:t>
      </w:r>
      <w:r w:rsidR="00A2414A" w:rsidRPr="00A603F6">
        <w:rPr>
          <w:rFonts w:ascii="Times New Roman" w:hAnsi="Times New Roman" w:cs="Times New Roman"/>
          <w:sz w:val="24"/>
          <w:szCs w:val="20"/>
        </w:rPr>
        <w:t xml:space="preserve">simple sugars </w:t>
      </w:r>
      <w:r w:rsidR="00A2414A" w:rsidRPr="00A603F6">
        <w:rPr>
          <w:rFonts w:ascii="Times New Roman" w:hAnsi="Times New Roman" w:cs="Times New Roman"/>
          <w:i/>
          <w:iCs/>
          <w:sz w:val="24"/>
          <w:szCs w:val="20"/>
        </w:rPr>
        <w:t>versus</w:t>
      </w:r>
      <w:r w:rsidR="00A2414A" w:rsidRPr="00A603F6">
        <w:rPr>
          <w:rFonts w:ascii="Times New Roman" w:hAnsi="Times New Roman" w:cs="Times New Roman"/>
          <w:sz w:val="24"/>
          <w:szCs w:val="20"/>
        </w:rPr>
        <w:t xml:space="preserve"> </w:t>
      </w:r>
      <w:r w:rsidR="0038247D" w:rsidRPr="00A603F6">
        <w:rPr>
          <w:rFonts w:ascii="Times New Roman" w:hAnsi="Times New Roman" w:cs="Times New Roman"/>
          <w:sz w:val="24"/>
          <w:szCs w:val="20"/>
        </w:rPr>
        <w:t xml:space="preserve">low-molecular-weight </w:t>
      </w:r>
      <w:r w:rsidR="00A2414A" w:rsidRPr="00A603F6">
        <w:rPr>
          <w:rFonts w:ascii="Times New Roman" w:hAnsi="Times New Roman" w:cs="Times New Roman"/>
          <w:sz w:val="24"/>
          <w:szCs w:val="20"/>
        </w:rPr>
        <w:t xml:space="preserve">organic </w:t>
      </w:r>
      <w:r w:rsidRPr="00A603F6">
        <w:rPr>
          <w:rFonts w:ascii="Times New Roman" w:hAnsi="Times New Roman" w:cs="Times New Roman"/>
          <w:sz w:val="24"/>
          <w:szCs w:val="20"/>
        </w:rPr>
        <w:t>a</w:t>
      </w:r>
      <w:r w:rsidR="00A2414A" w:rsidRPr="00A603F6">
        <w:rPr>
          <w:rFonts w:ascii="Times New Roman" w:hAnsi="Times New Roman" w:cs="Times New Roman"/>
          <w:sz w:val="24"/>
          <w:szCs w:val="20"/>
        </w:rPr>
        <w:t>cids</w:t>
      </w:r>
      <w:r w:rsidRPr="00A603F6">
        <w:rPr>
          <w:rFonts w:ascii="Times New Roman" w:hAnsi="Times New Roman" w:cs="Times New Roman"/>
          <w:sz w:val="24"/>
          <w:szCs w:val="20"/>
        </w:rPr>
        <w:t>). Error bars represent 95% confidence intervals (CIs) of the weighted percentage change. When the 95% CIs do not overlap zero, this indicates that the effect of C addition is statistically significant (</w:t>
      </w:r>
      <w:r w:rsidRPr="00A603F6">
        <w:rPr>
          <w:rFonts w:ascii="Times New Roman" w:hAnsi="Times New Roman" w:cs="Times New Roman"/>
          <w:i/>
          <w:iCs/>
          <w:sz w:val="24"/>
          <w:szCs w:val="20"/>
        </w:rPr>
        <w:t>P</w:t>
      </w:r>
      <w:r w:rsidRPr="00A603F6">
        <w:rPr>
          <w:rFonts w:ascii="Times New Roman" w:hAnsi="Times New Roman" w:cs="Times New Roman"/>
          <w:sz w:val="24"/>
          <w:szCs w:val="20"/>
        </w:rPr>
        <w:t xml:space="preserve"> &lt; 0.05). The percentage change is calculated by the formula: (e</w:t>
      </w:r>
      <w:r w:rsidRPr="00A603F6">
        <w:rPr>
          <w:rFonts w:ascii="Times New Roman" w:hAnsi="Times New Roman" w:cs="Times New Roman"/>
          <w:sz w:val="24"/>
          <w:szCs w:val="20"/>
          <w:vertAlign w:val="superscript"/>
        </w:rPr>
        <w:t>ln</w:t>
      </w:r>
      <w:r w:rsidRPr="00A603F6">
        <w:rPr>
          <w:rFonts w:ascii="Times New Roman" w:hAnsi="Times New Roman" w:cs="Times New Roman"/>
          <w:i/>
          <w:sz w:val="24"/>
          <w:szCs w:val="20"/>
          <w:vertAlign w:val="superscript"/>
        </w:rPr>
        <w:t>RR</w:t>
      </w:r>
      <w:r w:rsidRPr="00A603F6">
        <w:rPr>
          <w:rFonts w:ascii="Times New Roman" w:hAnsi="Times New Roman" w:cs="Times New Roman"/>
          <w:sz w:val="24"/>
          <w:szCs w:val="20"/>
        </w:rPr>
        <w:t>-1) × 100%, where the ln</w:t>
      </w:r>
      <w:r w:rsidRPr="00A603F6">
        <w:rPr>
          <w:rFonts w:ascii="Times New Roman" w:hAnsi="Times New Roman" w:cs="Times New Roman"/>
          <w:i/>
          <w:sz w:val="24"/>
          <w:szCs w:val="20"/>
        </w:rPr>
        <w:t>RR</w:t>
      </w:r>
      <w:r w:rsidRPr="00A603F6">
        <w:rPr>
          <w:rFonts w:ascii="Times New Roman" w:hAnsi="Times New Roman" w:cs="Times New Roman"/>
          <w:sz w:val="24"/>
          <w:szCs w:val="20"/>
        </w:rPr>
        <w:t xml:space="preserve"> of </w:t>
      </w:r>
      <w:r w:rsidRPr="00A603F6">
        <w:rPr>
          <w:rFonts w:ascii="Times New Roman" w:hAnsi="Times New Roman" w:cs="Times New Roman"/>
          <w:i/>
          <w:iCs/>
          <w:sz w:val="24"/>
          <w:szCs w:val="20"/>
        </w:rPr>
        <w:t>k</w:t>
      </w:r>
      <w:r w:rsidRPr="00A603F6">
        <w:rPr>
          <w:rFonts w:ascii="Times New Roman" w:hAnsi="Times New Roman" w:cs="Times New Roman"/>
          <w:i/>
          <w:iCs/>
          <w:sz w:val="24"/>
          <w:szCs w:val="20"/>
          <w:vertAlign w:val="subscript"/>
        </w:rPr>
        <w:t>l</w:t>
      </w:r>
      <w:r w:rsidRPr="00A603F6">
        <w:rPr>
          <w:rFonts w:ascii="Times New Roman" w:hAnsi="Times New Roman" w:cs="Times New Roman"/>
          <w:sz w:val="24"/>
          <w:szCs w:val="20"/>
        </w:rPr>
        <w:t xml:space="preserve"> and</w:t>
      </w:r>
      <w:r w:rsidRPr="00A603F6">
        <w:rPr>
          <w:rFonts w:ascii="Times New Roman" w:hAnsi="Times New Roman" w:cs="Times New Roman"/>
          <w:i/>
          <w:iCs/>
          <w:sz w:val="24"/>
          <w:szCs w:val="20"/>
        </w:rPr>
        <w:t xml:space="preserve"> k</w:t>
      </w:r>
      <w:r w:rsidRPr="00A603F6">
        <w:rPr>
          <w:rFonts w:ascii="Times New Roman" w:hAnsi="Times New Roman" w:cs="Times New Roman"/>
          <w:i/>
          <w:iCs/>
          <w:sz w:val="24"/>
          <w:szCs w:val="20"/>
          <w:vertAlign w:val="subscript"/>
        </w:rPr>
        <w:t>p</w:t>
      </w:r>
      <w:r w:rsidRPr="00A603F6">
        <w:rPr>
          <w:rFonts w:ascii="Times New Roman" w:hAnsi="Times New Roman" w:cs="Times New Roman"/>
          <w:sz w:val="24"/>
          <w:szCs w:val="20"/>
        </w:rPr>
        <w:t xml:space="preserve"> is used.</w:t>
      </w:r>
    </w:p>
    <w:sectPr w:rsidR="00F77319" w:rsidRPr="00A603F6" w:rsidSect="00771565">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F76CC" w14:textId="77777777" w:rsidR="0054105B" w:rsidRDefault="0054105B" w:rsidP="0098271E">
      <w:pPr>
        <w:rPr>
          <w:rFonts w:hint="eastAsia"/>
        </w:rPr>
      </w:pPr>
      <w:r>
        <w:separator/>
      </w:r>
    </w:p>
  </w:endnote>
  <w:endnote w:type="continuationSeparator" w:id="0">
    <w:p w14:paraId="4093E758" w14:textId="77777777" w:rsidR="0054105B" w:rsidRDefault="0054105B" w:rsidP="0098271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F9106" w14:textId="77777777" w:rsidR="0054105B" w:rsidRDefault="0054105B" w:rsidP="0098271E">
      <w:pPr>
        <w:rPr>
          <w:rFonts w:hint="eastAsia"/>
        </w:rPr>
      </w:pPr>
      <w:r>
        <w:separator/>
      </w:r>
    </w:p>
  </w:footnote>
  <w:footnote w:type="continuationSeparator" w:id="0">
    <w:p w14:paraId="1AFC3096" w14:textId="77777777" w:rsidR="0054105B" w:rsidRDefault="0054105B" w:rsidP="0098271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E2CD4"/>
    <w:multiLevelType w:val="hybridMultilevel"/>
    <w:tmpl w:val="65A86428"/>
    <w:lvl w:ilvl="0" w:tplc="DD78FDD2">
      <w:start w:val="1"/>
      <w:numFmt w:val="decimal"/>
      <w:lvlText w:val="%1."/>
      <w:lvlJc w:val="left"/>
      <w:pPr>
        <w:ind w:left="420" w:hanging="420"/>
      </w:pPr>
      <w:rPr>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C4D75E6"/>
    <w:multiLevelType w:val="hybridMultilevel"/>
    <w:tmpl w:val="79621568"/>
    <w:lvl w:ilvl="0" w:tplc="AAF06A00">
      <w:start w:val="1"/>
      <w:numFmt w:val="bullet"/>
      <w:lvlText w:val="•"/>
      <w:lvlJc w:val="left"/>
      <w:pPr>
        <w:ind w:left="0" w:firstLine="113"/>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2005547432">
    <w:abstractNumId w:val="0"/>
  </w:num>
  <w:num w:numId="2" w16cid:durableId="345787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A3E"/>
    <w:rsid w:val="00001297"/>
    <w:rsid w:val="00004500"/>
    <w:rsid w:val="00014115"/>
    <w:rsid w:val="00022926"/>
    <w:rsid w:val="000358C0"/>
    <w:rsid w:val="0003592C"/>
    <w:rsid w:val="00044580"/>
    <w:rsid w:val="000445A3"/>
    <w:rsid w:val="00046924"/>
    <w:rsid w:val="00064866"/>
    <w:rsid w:val="00072C22"/>
    <w:rsid w:val="00081DAE"/>
    <w:rsid w:val="000821DC"/>
    <w:rsid w:val="00082585"/>
    <w:rsid w:val="00083C16"/>
    <w:rsid w:val="00097070"/>
    <w:rsid w:val="000A089F"/>
    <w:rsid w:val="000A768B"/>
    <w:rsid w:val="000B44C7"/>
    <w:rsid w:val="000B6601"/>
    <w:rsid w:val="000C1FB5"/>
    <w:rsid w:val="000C2C3C"/>
    <w:rsid w:val="000C4BE5"/>
    <w:rsid w:val="000C5AEC"/>
    <w:rsid w:val="000E174B"/>
    <w:rsid w:val="000E39F3"/>
    <w:rsid w:val="000E3BB1"/>
    <w:rsid w:val="000E65CA"/>
    <w:rsid w:val="000E698F"/>
    <w:rsid w:val="000F0DDD"/>
    <w:rsid w:val="000F1794"/>
    <w:rsid w:val="000F1F04"/>
    <w:rsid w:val="00102545"/>
    <w:rsid w:val="00102F16"/>
    <w:rsid w:val="00106C2B"/>
    <w:rsid w:val="00106FAB"/>
    <w:rsid w:val="0011227B"/>
    <w:rsid w:val="00117B99"/>
    <w:rsid w:val="001279D8"/>
    <w:rsid w:val="001342DF"/>
    <w:rsid w:val="00153D8B"/>
    <w:rsid w:val="0015435A"/>
    <w:rsid w:val="001611EC"/>
    <w:rsid w:val="001632A7"/>
    <w:rsid w:val="00167A40"/>
    <w:rsid w:val="0017347B"/>
    <w:rsid w:val="0017406B"/>
    <w:rsid w:val="00180B6C"/>
    <w:rsid w:val="0019334A"/>
    <w:rsid w:val="001947EA"/>
    <w:rsid w:val="00197709"/>
    <w:rsid w:val="001978CF"/>
    <w:rsid w:val="001A714D"/>
    <w:rsid w:val="001B6C50"/>
    <w:rsid w:val="001C05ED"/>
    <w:rsid w:val="001D2CC0"/>
    <w:rsid w:val="001D3E4C"/>
    <w:rsid w:val="001E0226"/>
    <w:rsid w:val="001E0C88"/>
    <w:rsid w:val="001E3511"/>
    <w:rsid w:val="001E6925"/>
    <w:rsid w:val="001F0C70"/>
    <w:rsid w:val="00200951"/>
    <w:rsid w:val="0020510F"/>
    <w:rsid w:val="00205FA3"/>
    <w:rsid w:val="002067A6"/>
    <w:rsid w:val="0021187B"/>
    <w:rsid w:val="00212FC4"/>
    <w:rsid w:val="00220EBF"/>
    <w:rsid w:val="002263E1"/>
    <w:rsid w:val="00226459"/>
    <w:rsid w:val="00226C39"/>
    <w:rsid w:val="00226F20"/>
    <w:rsid w:val="00242276"/>
    <w:rsid w:val="0024385D"/>
    <w:rsid w:val="002448B7"/>
    <w:rsid w:val="00254863"/>
    <w:rsid w:val="002613CD"/>
    <w:rsid w:val="002637F0"/>
    <w:rsid w:val="0027471E"/>
    <w:rsid w:val="00295AC6"/>
    <w:rsid w:val="002A0BCB"/>
    <w:rsid w:val="002A407A"/>
    <w:rsid w:val="002B05DD"/>
    <w:rsid w:val="002B09F8"/>
    <w:rsid w:val="002B3287"/>
    <w:rsid w:val="002C436A"/>
    <w:rsid w:val="002C4574"/>
    <w:rsid w:val="002C7838"/>
    <w:rsid w:val="002D197F"/>
    <w:rsid w:val="002D33D1"/>
    <w:rsid w:val="002D6F60"/>
    <w:rsid w:val="002E1F55"/>
    <w:rsid w:val="002E2E98"/>
    <w:rsid w:val="002E6244"/>
    <w:rsid w:val="002F151C"/>
    <w:rsid w:val="002F3400"/>
    <w:rsid w:val="002F5572"/>
    <w:rsid w:val="002F6DDC"/>
    <w:rsid w:val="00300D55"/>
    <w:rsid w:val="00301306"/>
    <w:rsid w:val="00302C83"/>
    <w:rsid w:val="00304167"/>
    <w:rsid w:val="00306545"/>
    <w:rsid w:val="0031291A"/>
    <w:rsid w:val="003215DA"/>
    <w:rsid w:val="00321BD0"/>
    <w:rsid w:val="00323514"/>
    <w:rsid w:val="0032555D"/>
    <w:rsid w:val="00327057"/>
    <w:rsid w:val="003273DD"/>
    <w:rsid w:val="00327F78"/>
    <w:rsid w:val="00337F87"/>
    <w:rsid w:val="0034033A"/>
    <w:rsid w:val="00345A95"/>
    <w:rsid w:val="00351D7F"/>
    <w:rsid w:val="00351EBE"/>
    <w:rsid w:val="003556D3"/>
    <w:rsid w:val="00367ED1"/>
    <w:rsid w:val="00370B46"/>
    <w:rsid w:val="003753CA"/>
    <w:rsid w:val="00381835"/>
    <w:rsid w:val="0038247D"/>
    <w:rsid w:val="00382546"/>
    <w:rsid w:val="00384FCF"/>
    <w:rsid w:val="003858E6"/>
    <w:rsid w:val="0039348E"/>
    <w:rsid w:val="00393810"/>
    <w:rsid w:val="00394792"/>
    <w:rsid w:val="003A1EF4"/>
    <w:rsid w:val="003A2C29"/>
    <w:rsid w:val="003A58AC"/>
    <w:rsid w:val="003B4139"/>
    <w:rsid w:val="003B7898"/>
    <w:rsid w:val="003C496A"/>
    <w:rsid w:val="003C513F"/>
    <w:rsid w:val="003D12DC"/>
    <w:rsid w:val="003D2520"/>
    <w:rsid w:val="003D3490"/>
    <w:rsid w:val="003D5D8F"/>
    <w:rsid w:val="003D6A47"/>
    <w:rsid w:val="003D6CBD"/>
    <w:rsid w:val="003F05AE"/>
    <w:rsid w:val="003F0E2B"/>
    <w:rsid w:val="003F64CD"/>
    <w:rsid w:val="003F7CF9"/>
    <w:rsid w:val="00402EE0"/>
    <w:rsid w:val="00403353"/>
    <w:rsid w:val="00407C60"/>
    <w:rsid w:val="004141A1"/>
    <w:rsid w:val="00414D4E"/>
    <w:rsid w:val="004151EC"/>
    <w:rsid w:val="00421CE3"/>
    <w:rsid w:val="004237D5"/>
    <w:rsid w:val="00423D47"/>
    <w:rsid w:val="00424530"/>
    <w:rsid w:val="0043007A"/>
    <w:rsid w:val="00436A61"/>
    <w:rsid w:val="00436AC5"/>
    <w:rsid w:val="004414B2"/>
    <w:rsid w:val="00451B7C"/>
    <w:rsid w:val="00451C87"/>
    <w:rsid w:val="00465E2F"/>
    <w:rsid w:val="00470536"/>
    <w:rsid w:val="004749CC"/>
    <w:rsid w:val="00482B09"/>
    <w:rsid w:val="00484C22"/>
    <w:rsid w:val="00485520"/>
    <w:rsid w:val="00486478"/>
    <w:rsid w:val="00494865"/>
    <w:rsid w:val="004952A4"/>
    <w:rsid w:val="004A086A"/>
    <w:rsid w:val="004B51E4"/>
    <w:rsid w:val="004B6358"/>
    <w:rsid w:val="004C3A37"/>
    <w:rsid w:val="004C3F8D"/>
    <w:rsid w:val="004C57ED"/>
    <w:rsid w:val="004C7141"/>
    <w:rsid w:val="004D1DA0"/>
    <w:rsid w:val="004D4BD1"/>
    <w:rsid w:val="004D76CC"/>
    <w:rsid w:val="004E0D89"/>
    <w:rsid w:val="004E2920"/>
    <w:rsid w:val="004E4790"/>
    <w:rsid w:val="004F21A6"/>
    <w:rsid w:val="004F59CE"/>
    <w:rsid w:val="004F60F8"/>
    <w:rsid w:val="00501398"/>
    <w:rsid w:val="00504125"/>
    <w:rsid w:val="00511B79"/>
    <w:rsid w:val="00516504"/>
    <w:rsid w:val="005216CB"/>
    <w:rsid w:val="00523591"/>
    <w:rsid w:val="0052489B"/>
    <w:rsid w:val="0052602A"/>
    <w:rsid w:val="00530BE8"/>
    <w:rsid w:val="0054105B"/>
    <w:rsid w:val="00552C1E"/>
    <w:rsid w:val="00553730"/>
    <w:rsid w:val="00556103"/>
    <w:rsid w:val="00561B6D"/>
    <w:rsid w:val="005634FB"/>
    <w:rsid w:val="0056553E"/>
    <w:rsid w:val="00580562"/>
    <w:rsid w:val="00586E24"/>
    <w:rsid w:val="0058707F"/>
    <w:rsid w:val="005922DE"/>
    <w:rsid w:val="00593208"/>
    <w:rsid w:val="00594C89"/>
    <w:rsid w:val="005960FD"/>
    <w:rsid w:val="005A53AB"/>
    <w:rsid w:val="005B261B"/>
    <w:rsid w:val="005B5A55"/>
    <w:rsid w:val="005D3F6D"/>
    <w:rsid w:val="005E223C"/>
    <w:rsid w:val="005E6B10"/>
    <w:rsid w:val="005F12FB"/>
    <w:rsid w:val="005F2427"/>
    <w:rsid w:val="005F4390"/>
    <w:rsid w:val="006003FD"/>
    <w:rsid w:val="00603054"/>
    <w:rsid w:val="00605E93"/>
    <w:rsid w:val="006246C1"/>
    <w:rsid w:val="00636515"/>
    <w:rsid w:val="00636E91"/>
    <w:rsid w:val="006373ED"/>
    <w:rsid w:val="00641969"/>
    <w:rsid w:val="006419FC"/>
    <w:rsid w:val="00641FD6"/>
    <w:rsid w:val="00643443"/>
    <w:rsid w:val="006438E3"/>
    <w:rsid w:val="00643BF6"/>
    <w:rsid w:val="006506E0"/>
    <w:rsid w:val="00651B9D"/>
    <w:rsid w:val="00656716"/>
    <w:rsid w:val="006626C1"/>
    <w:rsid w:val="00671AE5"/>
    <w:rsid w:val="00671BE2"/>
    <w:rsid w:val="006727C6"/>
    <w:rsid w:val="00673C4A"/>
    <w:rsid w:val="00677F35"/>
    <w:rsid w:val="00681A25"/>
    <w:rsid w:val="006825E1"/>
    <w:rsid w:val="00684124"/>
    <w:rsid w:val="00686E8F"/>
    <w:rsid w:val="00691D3A"/>
    <w:rsid w:val="006950AD"/>
    <w:rsid w:val="006A0492"/>
    <w:rsid w:val="006A091A"/>
    <w:rsid w:val="006A6DA2"/>
    <w:rsid w:val="006B3DCC"/>
    <w:rsid w:val="006B61F2"/>
    <w:rsid w:val="006C30D6"/>
    <w:rsid w:val="006C7C03"/>
    <w:rsid w:val="006D0A93"/>
    <w:rsid w:val="006D0CD8"/>
    <w:rsid w:val="006D47AA"/>
    <w:rsid w:val="006D5244"/>
    <w:rsid w:val="006E044F"/>
    <w:rsid w:val="006E20A0"/>
    <w:rsid w:val="006E3CEB"/>
    <w:rsid w:val="006E4005"/>
    <w:rsid w:val="007127C8"/>
    <w:rsid w:val="00721214"/>
    <w:rsid w:val="00724157"/>
    <w:rsid w:val="0072487A"/>
    <w:rsid w:val="007253DD"/>
    <w:rsid w:val="00730955"/>
    <w:rsid w:val="00730A40"/>
    <w:rsid w:val="00730B01"/>
    <w:rsid w:val="00731B0E"/>
    <w:rsid w:val="00731C32"/>
    <w:rsid w:val="0075247F"/>
    <w:rsid w:val="00752C14"/>
    <w:rsid w:val="00770EB6"/>
    <w:rsid w:val="00771268"/>
    <w:rsid w:val="00771565"/>
    <w:rsid w:val="007802FC"/>
    <w:rsid w:val="00784895"/>
    <w:rsid w:val="00786515"/>
    <w:rsid w:val="007931EE"/>
    <w:rsid w:val="007B1EDF"/>
    <w:rsid w:val="007B20F3"/>
    <w:rsid w:val="007B6CC7"/>
    <w:rsid w:val="007C2413"/>
    <w:rsid w:val="007C46A6"/>
    <w:rsid w:val="007D3889"/>
    <w:rsid w:val="007E64B3"/>
    <w:rsid w:val="007E7F54"/>
    <w:rsid w:val="00807E33"/>
    <w:rsid w:val="00817746"/>
    <w:rsid w:val="00817913"/>
    <w:rsid w:val="0082027C"/>
    <w:rsid w:val="00820FB3"/>
    <w:rsid w:val="00821A35"/>
    <w:rsid w:val="00830A6B"/>
    <w:rsid w:val="00833568"/>
    <w:rsid w:val="0084596F"/>
    <w:rsid w:val="008460B9"/>
    <w:rsid w:val="00847930"/>
    <w:rsid w:val="00853D94"/>
    <w:rsid w:val="0086082E"/>
    <w:rsid w:val="00864055"/>
    <w:rsid w:val="0086438B"/>
    <w:rsid w:val="00865816"/>
    <w:rsid w:val="0086641C"/>
    <w:rsid w:val="008848A5"/>
    <w:rsid w:val="00884CF8"/>
    <w:rsid w:val="0088549F"/>
    <w:rsid w:val="008979BE"/>
    <w:rsid w:val="008A1346"/>
    <w:rsid w:val="008B4EA4"/>
    <w:rsid w:val="008C2656"/>
    <w:rsid w:val="008C36D0"/>
    <w:rsid w:val="008C63D6"/>
    <w:rsid w:val="008D221D"/>
    <w:rsid w:val="008D3DCE"/>
    <w:rsid w:val="008D795B"/>
    <w:rsid w:val="008E1856"/>
    <w:rsid w:val="008F1E2C"/>
    <w:rsid w:val="008F38C0"/>
    <w:rsid w:val="0090085E"/>
    <w:rsid w:val="00900F2E"/>
    <w:rsid w:val="00902A7E"/>
    <w:rsid w:val="009046D3"/>
    <w:rsid w:val="0090663F"/>
    <w:rsid w:val="00915909"/>
    <w:rsid w:val="0093557A"/>
    <w:rsid w:val="009402B0"/>
    <w:rsid w:val="00941ECE"/>
    <w:rsid w:val="009457CB"/>
    <w:rsid w:val="00945CC1"/>
    <w:rsid w:val="00950F02"/>
    <w:rsid w:val="00952CB4"/>
    <w:rsid w:val="009532ED"/>
    <w:rsid w:val="00955943"/>
    <w:rsid w:val="009659A3"/>
    <w:rsid w:val="00966DD2"/>
    <w:rsid w:val="00970610"/>
    <w:rsid w:val="009707D3"/>
    <w:rsid w:val="00970FFA"/>
    <w:rsid w:val="00975D0A"/>
    <w:rsid w:val="009807F5"/>
    <w:rsid w:val="00981C94"/>
    <w:rsid w:val="0098271E"/>
    <w:rsid w:val="00982FD4"/>
    <w:rsid w:val="009916F8"/>
    <w:rsid w:val="009A1B80"/>
    <w:rsid w:val="009A22C0"/>
    <w:rsid w:val="009A59B0"/>
    <w:rsid w:val="009A6916"/>
    <w:rsid w:val="009B0E0F"/>
    <w:rsid w:val="009B5777"/>
    <w:rsid w:val="009C47C3"/>
    <w:rsid w:val="009D304F"/>
    <w:rsid w:val="009D4E61"/>
    <w:rsid w:val="009F4305"/>
    <w:rsid w:val="00A14A79"/>
    <w:rsid w:val="00A15626"/>
    <w:rsid w:val="00A17ABC"/>
    <w:rsid w:val="00A24062"/>
    <w:rsid w:val="00A2414A"/>
    <w:rsid w:val="00A26552"/>
    <w:rsid w:val="00A270FA"/>
    <w:rsid w:val="00A30078"/>
    <w:rsid w:val="00A32C39"/>
    <w:rsid w:val="00A34D4D"/>
    <w:rsid w:val="00A37189"/>
    <w:rsid w:val="00A374C7"/>
    <w:rsid w:val="00A401A3"/>
    <w:rsid w:val="00A416F9"/>
    <w:rsid w:val="00A43F5D"/>
    <w:rsid w:val="00A47CF9"/>
    <w:rsid w:val="00A52930"/>
    <w:rsid w:val="00A53E9D"/>
    <w:rsid w:val="00A603DA"/>
    <w:rsid w:val="00A603F6"/>
    <w:rsid w:val="00A63FAE"/>
    <w:rsid w:val="00A76C02"/>
    <w:rsid w:val="00A77D0A"/>
    <w:rsid w:val="00A80461"/>
    <w:rsid w:val="00A82466"/>
    <w:rsid w:val="00A85E09"/>
    <w:rsid w:val="00A90838"/>
    <w:rsid w:val="00A91ECC"/>
    <w:rsid w:val="00A93FD4"/>
    <w:rsid w:val="00AA095F"/>
    <w:rsid w:val="00AA2882"/>
    <w:rsid w:val="00AA7B4B"/>
    <w:rsid w:val="00AB32BA"/>
    <w:rsid w:val="00AB7781"/>
    <w:rsid w:val="00AC4BDD"/>
    <w:rsid w:val="00AD30FF"/>
    <w:rsid w:val="00AD53E4"/>
    <w:rsid w:val="00AE0713"/>
    <w:rsid w:val="00AE5FB7"/>
    <w:rsid w:val="00AE6398"/>
    <w:rsid w:val="00AF692F"/>
    <w:rsid w:val="00B1698B"/>
    <w:rsid w:val="00B22044"/>
    <w:rsid w:val="00B245B7"/>
    <w:rsid w:val="00B33ADC"/>
    <w:rsid w:val="00B36FED"/>
    <w:rsid w:val="00B3782C"/>
    <w:rsid w:val="00B405BA"/>
    <w:rsid w:val="00B42849"/>
    <w:rsid w:val="00B458BB"/>
    <w:rsid w:val="00B47048"/>
    <w:rsid w:val="00B50085"/>
    <w:rsid w:val="00B52876"/>
    <w:rsid w:val="00B53B26"/>
    <w:rsid w:val="00B54101"/>
    <w:rsid w:val="00B55B0D"/>
    <w:rsid w:val="00B57D6E"/>
    <w:rsid w:val="00B60176"/>
    <w:rsid w:val="00B651FE"/>
    <w:rsid w:val="00B7144C"/>
    <w:rsid w:val="00B7155F"/>
    <w:rsid w:val="00B74419"/>
    <w:rsid w:val="00B85447"/>
    <w:rsid w:val="00B86752"/>
    <w:rsid w:val="00B96C2C"/>
    <w:rsid w:val="00BA1CE3"/>
    <w:rsid w:val="00BA3AD5"/>
    <w:rsid w:val="00BB2661"/>
    <w:rsid w:val="00BB3493"/>
    <w:rsid w:val="00BB37A5"/>
    <w:rsid w:val="00BB6225"/>
    <w:rsid w:val="00BB740F"/>
    <w:rsid w:val="00BC037E"/>
    <w:rsid w:val="00BC2714"/>
    <w:rsid w:val="00BC3944"/>
    <w:rsid w:val="00BC7A3E"/>
    <w:rsid w:val="00BD3F5F"/>
    <w:rsid w:val="00BD77E8"/>
    <w:rsid w:val="00BE3AA1"/>
    <w:rsid w:val="00BE4247"/>
    <w:rsid w:val="00BE5B60"/>
    <w:rsid w:val="00BE631A"/>
    <w:rsid w:val="00BF2980"/>
    <w:rsid w:val="00C01E8C"/>
    <w:rsid w:val="00C025A3"/>
    <w:rsid w:val="00C02F68"/>
    <w:rsid w:val="00C03829"/>
    <w:rsid w:val="00C052F4"/>
    <w:rsid w:val="00C128F6"/>
    <w:rsid w:val="00C163EB"/>
    <w:rsid w:val="00C16CCD"/>
    <w:rsid w:val="00C1702C"/>
    <w:rsid w:val="00C30AFA"/>
    <w:rsid w:val="00C353C9"/>
    <w:rsid w:val="00C40E5A"/>
    <w:rsid w:val="00C4713B"/>
    <w:rsid w:val="00C60A29"/>
    <w:rsid w:val="00C6115E"/>
    <w:rsid w:val="00C64D82"/>
    <w:rsid w:val="00C73A39"/>
    <w:rsid w:val="00C73E70"/>
    <w:rsid w:val="00C7459D"/>
    <w:rsid w:val="00C75B1D"/>
    <w:rsid w:val="00CA309D"/>
    <w:rsid w:val="00CA570A"/>
    <w:rsid w:val="00CA5F45"/>
    <w:rsid w:val="00CB125A"/>
    <w:rsid w:val="00CB270D"/>
    <w:rsid w:val="00CC6A1B"/>
    <w:rsid w:val="00CC716F"/>
    <w:rsid w:val="00CC73E7"/>
    <w:rsid w:val="00CD0D73"/>
    <w:rsid w:val="00CD1AA9"/>
    <w:rsid w:val="00CD5032"/>
    <w:rsid w:val="00CE60A9"/>
    <w:rsid w:val="00CE78DC"/>
    <w:rsid w:val="00CF539E"/>
    <w:rsid w:val="00D02827"/>
    <w:rsid w:val="00D02F04"/>
    <w:rsid w:val="00D02F9F"/>
    <w:rsid w:val="00D10314"/>
    <w:rsid w:val="00D12C92"/>
    <w:rsid w:val="00D2329E"/>
    <w:rsid w:val="00D24A4B"/>
    <w:rsid w:val="00D24D3A"/>
    <w:rsid w:val="00D25FD4"/>
    <w:rsid w:val="00D400EA"/>
    <w:rsid w:val="00D40105"/>
    <w:rsid w:val="00D4131D"/>
    <w:rsid w:val="00D4500B"/>
    <w:rsid w:val="00D50995"/>
    <w:rsid w:val="00D53647"/>
    <w:rsid w:val="00D55991"/>
    <w:rsid w:val="00D66E1E"/>
    <w:rsid w:val="00D7008B"/>
    <w:rsid w:val="00D704D0"/>
    <w:rsid w:val="00D71E17"/>
    <w:rsid w:val="00D73746"/>
    <w:rsid w:val="00D84180"/>
    <w:rsid w:val="00D86D39"/>
    <w:rsid w:val="00D903DA"/>
    <w:rsid w:val="00D97E47"/>
    <w:rsid w:val="00DA2A94"/>
    <w:rsid w:val="00DB0953"/>
    <w:rsid w:val="00DB47AB"/>
    <w:rsid w:val="00DB6637"/>
    <w:rsid w:val="00DB7C97"/>
    <w:rsid w:val="00DC707B"/>
    <w:rsid w:val="00DD109B"/>
    <w:rsid w:val="00DD2115"/>
    <w:rsid w:val="00DD6421"/>
    <w:rsid w:val="00DE5282"/>
    <w:rsid w:val="00DE56D1"/>
    <w:rsid w:val="00DE62E9"/>
    <w:rsid w:val="00DF2C2E"/>
    <w:rsid w:val="00DF757C"/>
    <w:rsid w:val="00E040E8"/>
    <w:rsid w:val="00E07101"/>
    <w:rsid w:val="00E11090"/>
    <w:rsid w:val="00E147FB"/>
    <w:rsid w:val="00E1565B"/>
    <w:rsid w:val="00E227A9"/>
    <w:rsid w:val="00E22E72"/>
    <w:rsid w:val="00E25FC5"/>
    <w:rsid w:val="00E42157"/>
    <w:rsid w:val="00E51D59"/>
    <w:rsid w:val="00E55518"/>
    <w:rsid w:val="00E61045"/>
    <w:rsid w:val="00E67D08"/>
    <w:rsid w:val="00E72B71"/>
    <w:rsid w:val="00E754E5"/>
    <w:rsid w:val="00E83896"/>
    <w:rsid w:val="00E86F66"/>
    <w:rsid w:val="00E907F3"/>
    <w:rsid w:val="00E90D05"/>
    <w:rsid w:val="00EA4BA3"/>
    <w:rsid w:val="00EA7055"/>
    <w:rsid w:val="00EB33CE"/>
    <w:rsid w:val="00EB479A"/>
    <w:rsid w:val="00EB4810"/>
    <w:rsid w:val="00EB509A"/>
    <w:rsid w:val="00EB5D87"/>
    <w:rsid w:val="00EB6D2A"/>
    <w:rsid w:val="00EC241F"/>
    <w:rsid w:val="00EC2C48"/>
    <w:rsid w:val="00EC2C8E"/>
    <w:rsid w:val="00EC47D4"/>
    <w:rsid w:val="00EC68C5"/>
    <w:rsid w:val="00EC78A6"/>
    <w:rsid w:val="00ED0905"/>
    <w:rsid w:val="00ED113C"/>
    <w:rsid w:val="00ED1269"/>
    <w:rsid w:val="00ED1395"/>
    <w:rsid w:val="00ED2359"/>
    <w:rsid w:val="00ED30AF"/>
    <w:rsid w:val="00EE077F"/>
    <w:rsid w:val="00EE5B25"/>
    <w:rsid w:val="00EE5F29"/>
    <w:rsid w:val="00F02DA0"/>
    <w:rsid w:val="00F068A1"/>
    <w:rsid w:val="00F108D1"/>
    <w:rsid w:val="00F11691"/>
    <w:rsid w:val="00F147B6"/>
    <w:rsid w:val="00F15D13"/>
    <w:rsid w:val="00F17E6C"/>
    <w:rsid w:val="00F20DED"/>
    <w:rsid w:val="00F2291C"/>
    <w:rsid w:val="00F23267"/>
    <w:rsid w:val="00F421FC"/>
    <w:rsid w:val="00F5159D"/>
    <w:rsid w:val="00F550E3"/>
    <w:rsid w:val="00F55387"/>
    <w:rsid w:val="00F60557"/>
    <w:rsid w:val="00F72B62"/>
    <w:rsid w:val="00F72CF9"/>
    <w:rsid w:val="00F72E69"/>
    <w:rsid w:val="00F7482D"/>
    <w:rsid w:val="00F74C9A"/>
    <w:rsid w:val="00F77015"/>
    <w:rsid w:val="00F77319"/>
    <w:rsid w:val="00F83DCE"/>
    <w:rsid w:val="00F86276"/>
    <w:rsid w:val="00F875F3"/>
    <w:rsid w:val="00F91C5A"/>
    <w:rsid w:val="00F93A69"/>
    <w:rsid w:val="00FA246C"/>
    <w:rsid w:val="00FA4E6F"/>
    <w:rsid w:val="00FA6EA4"/>
    <w:rsid w:val="00FA7DDE"/>
    <w:rsid w:val="00FB18DD"/>
    <w:rsid w:val="00FB3789"/>
    <w:rsid w:val="00FB38B2"/>
    <w:rsid w:val="00FB6026"/>
    <w:rsid w:val="00FC5147"/>
    <w:rsid w:val="00FE3FA9"/>
    <w:rsid w:val="00FF0A10"/>
    <w:rsid w:val="00FF2A2B"/>
    <w:rsid w:val="00FF42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D6DE02"/>
  <w15:chartTrackingRefBased/>
  <w15:docId w15:val="{8164FDEB-12AE-4242-B4BC-A850EE12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7319"/>
    <w:pPr>
      <w:widowControl/>
      <w:spacing w:before="100" w:beforeAutospacing="1" w:after="100" w:afterAutospacing="1"/>
      <w:jc w:val="left"/>
    </w:pPr>
    <w:rPr>
      <w:rFonts w:ascii="宋体" w:eastAsia="宋体" w:hAnsi="宋体" w:cs="宋体"/>
      <w:kern w:val="0"/>
      <w:sz w:val="24"/>
      <w:szCs w:val="24"/>
    </w:rPr>
  </w:style>
  <w:style w:type="table" w:styleId="a4">
    <w:name w:val="Table Grid"/>
    <w:basedOn w:val="a1"/>
    <w:uiPriority w:val="39"/>
    <w:rsid w:val="003C51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F77015"/>
    <w:rPr>
      <w:sz w:val="21"/>
      <w:szCs w:val="21"/>
    </w:rPr>
  </w:style>
  <w:style w:type="paragraph" w:styleId="a6">
    <w:name w:val="annotation text"/>
    <w:basedOn w:val="a"/>
    <w:link w:val="a7"/>
    <w:uiPriority w:val="99"/>
    <w:semiHidden/>
    <w:unhideWhenUsed/>
    <w:rsid w:val="00F77015"/>
    <w:pPr>
      <w:jc w:val="left"/>
    </w:pPr>
  </w:style>
  <w:style w:type="character" w:customStyle="1" w:styleId="a7">
    <w:name w:val="批注文字 字符"/>
    <w:basedOn w:val="a0"/>
    <w:link w:val="a6"/>
    <w:uiPriority w:val="99"/>
    <w:semiHidden/>
    <w:rsid w:val="00F77015"/>
  </w:style>
  <w:style w:type="paragraph" w:styleId="a8">
    <w:name w:val="annotation subject"/>
    <w:basedOn w:val="a6"/>
    <w:next w:val="a6"/>
    <w:link w:val="a9"/>
    <w:uiPriority w:val="99"/>
    <w:semiHidden/>
    <w:unhideWhenUsed/>
    <w:rsid w:val="00F77015"/>
    <w:rPr>
      <w:b/>
      <w:bCs/>
    </w:rPr>
  </w:style>
  <w:style w:type="character" w:customStyle="1" w:styleId="a9">
    <w:name w:val="批注主题 字符"/>
    <w:basedOn w:val="a7"/>
    <w:link w:val="a8"/>
    <w:uiPriority w:val="99"/>
    <w:semiHidden/>
    <w:rsid w:val="00F77015"/>
    <w:rPr>
      <w:b/>
      <w:bCs/>
    </w:rPr>
  </w:style>
  <w:style w:type="paragraph" w:styleId="aa">
    <w:name w:val="Revision"/>
    <w:hidden/>
    <w:uiPriority w:val="99"/>
    <w:semiHidden/>
    <w:rsid w:val="00F77015"/>
  </w:style>
  <w:style w:type="paragraph" w:styleId="ab">
    <w:name w:val="header"/>
    <w:basedOn w:val="a"/>
    <w:link w:val="ac"/>
    <w:uiPriority w:val="99"/>
    <w:unhideWhenUsed/>
    <w:rsid w:val="0098271E"/>
    <w:pPr>
      <w:tabs>
        <w:tab w:val="center" w:pos="4153"/>
        <w:tab w:val="right" w:pos="8306"/>
      </w:tabs>
      <w:snapToGrid w:val="0"/>
      <w:jc w:val="center"/>
    </w:pPr>
    <w:rPr>
      <w:sz w:val="18"/>
      <w:szCs w:val="18"/>
    </w:rPr>
  </w:style>
  <w:style w:type="character" w:customStyle="1" w:styleId="ac">
    <w:name w:val="页眉 字符"/>
    <w:basedOn w:val="a0"/>
    <w:link w:val="ab"/>
    <w:uiPriority w:val="99"/>
    <w:rsid w:val="0098271E"/>
    <w:rPr>
      <w:sz w:val="18"/>
      <w:szCs w:val="18"/>
    </w:rPr>
  </w:style>
  <w:style w:type="paragraph" w:styleId="ad">
    <w:name w:val="footer"/>
    <w:basedOn w:val="a"/>
    <w:link w:val="ae"/>
    <w:uiPriority w:val="99"/>
    <w:unhideWhenUsed/>
    <w:rsid w:val="0098271E"/>
    <w:pPr>
      <w:tabs>
        <w:tab w:val="center" w:pos="4153"/>
        <w:tab w:val="right" w:pos="8306"/>
      </w:tabs>
      <w:snapToGrid w:val="0"/>
      <w:jc w:val="left"/>
    </w:pPr>
    <w:rPr>
      <w:sz w:val="18"/>
      <w:szCs w:val="18"/>
    </w:rPr>
  </w:style>
  <w:style w:type="character" w:customStyle="1" w:styleId="ae">
    <w:name w:val="页脚 字符"/>
    <w:basedOn w:val="a0"/>
    <w:link w:val="ad"/>
    <w:uiPriority w:val="99"/>
    <w:rsid w:val="0098271E"/>
    <w:rPr>
      <w:sz w:val="18"/>
      <w:szCs w:val="18"/>
    </w:rPr>
  </w:style>
  <w:style w:type="paragraph" w:styleId="af">
    <w:name w:val="Balloon Text"/>
    <w:basedOn w:val="a"/>
    <w:link w:val="af0"/>
    <w:uiPriority w:val="99"/>
    <w:semiHidden/>
    <w:unhideWhenUsed/>
    <w:rsid w:val="002C7838"/>
    <w:rPr>
      <w:sz w:val="18"/>
      <w:szCs w:val="18"/>
    </w:rPr>
  </w:style>
  <w:style w:type="character" w:customStyle="1" w:styleId="af0">
    <w:name w:val="批注框文本 字符"/>
    <w:basedOn w:val="a0"/>
    <w:link w:val="af"/>
    <w:uiPriority w:val="99"/>
    <w:semiHidden/>
    <w:rsid w:val="002C7838"/>
    <w:rPr>
      <w:sz w:val="18"/>
      <w:szCs w:val="18"/>
    </w:rPr>
  </w:style>
  <w:style w:type="numbering" w:customStyle="1" w:styleId="1">
    <w:name w:val="无列表1"/>
    <w:next w:val="a2"/>
    <w:uiPriority w:val="99"/>
    <w:semiHidden/>
    <w:unhideWhenUsed/>
    <w:rsid w:val="004C3F8D"/>
  </w:style>
  <w:style w:type="table" w:customStyle="1" w:styleId="10">
    <w:name w:val="网格型1"/>
    <w:basedOn w:val="a1"/>
    <w:next w:val="a4"/>
    <w:uiPriority w:val="39"/>
    <w:rsid w:val="004C3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E72B71"/>
    <w:rPr>
      <w:i/>
      <w:iCs/>
    </w:rPr>
  </w:style>
  <w:style w:type="paragraph" w:styleId="af2">
    <w:name w:val="footnote text"/>
    <w:basedOn w:val="a"/>
    <w:link w:val="af3"/>
    <w:uiPriority w:val="99"/>
    <w:semiHidden/>
    <w:unhideWhenUsed/>
    <w:rsid w:val="00B7144C"/>
    <w:pPr>
      <w:snapToGrid w:val="0"/>
      <w:jc w:val="left"/>
    </w:pPr>
    <w:rPr>
      <w:sz w:val="18"/>
      <w:szCs w:val="18"/>
    </w:rPr>
  </w:style>
  <w:style w:type="character" w:customStyle="1" w:styleId="af3">
    <w:name w:val="脚注文本 字符"/>
    <w:basedOn w:val="a0"/>
    <w:link w:val="af2"/>
    <w:uiPriority w:val="99"/>
    <w:semiHidden/>
    <w:rsid w:val="00B7144C"/>
    <w:rPr>
      <w:sz w:val="18"/>
      <w:szCs w:val="18"/>
    </w:rPr>
  </w:style>
  <w:style w:type="character" w:styleId="af4">
    <w:name w:val="footnote reference"/>
    <w:basedOn w:val="a0"/>
    <w:uiPriority w:val="99"/>
    <w:semiHidden/>
    <w:unhideWhenUsed/>
    <w:rsid w:val="00B7144C"/>
    <w:rPr>
      <w:vertAlign w:val="superscript"/>
    </w:rPr>
  </w:style>
  <w:style w:type="character" w:styleId="af5">
    <w:name w:val="Subtle Emphasis"/>
    <w:basedOn w:val="a0"/>
    <w:uiPriority w:val="19"/>
    <w:qFormat/>
    <w:rsid w:val="00B7144C"/>
    <w:rPr>
      <w:i/>
      <w:iCs/>
      <w:color w:val="404040" w:themeColor="text1" w:themeTint="BF"/>
    </w:rPr>
  </w:style>
  <w:style w:type="character" w:styleId="af6">
    <w:name w:val="Hyperlink"/>
    <w:basedOn w:val="a0"/>
    <w:uiPriority w:val="99"/>
    <w:unhideWhenUsed/>
    <w:rsid w:val="00B7144C"/>
    <w:rPr>
      <w:color w:val="0563C1" w:themeColor="hyperlink"/>
      <w:u w:val="single"/>
    </w:rPr>
  </w:style>
  <w:style w:type="character" w:customStyle="1" w:styleId="11">
    <w:name w:val="未处理的提及1"/>
    <w:basedOn w:val="a0"/>
    <w:uiPriority w:val="99"/>
    <w:semiHidden/>
    <w:unhideWhenUsed/>
    <w:rsid w:val="00B7144C"/>
    <w:rPr>
      <w:color w:val="605E5C"/>
      <w:shd w:val="clear" w:color="auto" w:fill="E1DFDD"/>
    </w:rPr>
  </w:style>
  <w:style w:type="character" w:styleId="af7">
    <w:name w:val="line number"/>
    <w:basedOn w:val="a0"/>
    <w:uiPriority w:val="99"/>
    <w:semiHidden/>
    <w:unhideWhenUsed/>
    <w:rsid w:val="00B7144C"/>
  </w:style>
  <w:style w:type="paragraph" w:styleId="af8">
    <w:name w:val="List Paragraph"/>
    <w:basedOn w:val="a"/>
    <w:rsid w:val="00337F87"/>
    <w:pPr>
      <w:widowControl/>
      <w:spacing w:after="200"/>
      <w:ind w:firstLineChars="200" w:firstLine="420"/>
      <w:jc w:val="left"/>
    </w:pPr>
    <w:rPr>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5053">
      <w:bodyDiv w:val="1"/>
      <w:marLeft w:val="0"/>
      <w:marRight w:val="0"/>
      <w:marTop w:val="0"/>
      <w:marBottom w:val="0"/>
      <w:divBdr>
        <w:top w:val="none" w:sz="0" w:space="0" w:color="auto"/>
        <w:left w:val="none" w:sz="0" w:space="0" w:color="auto"/>
        <w:bottom w:val="none" w:sz="0" w:space="0" w:color="auto"/>
        <w:right w:val="none" w:sz="0" w:space="0" w:color="auto"/>
      </w:divBdr>
    </w:div>
    <w:div w:id="347408738">
      <w:bodyDiv w:val="1"/>
      <w:marLeft w:val="0"/>
      <w:marRight w:val="0"/>
      <w:marTop w:val="0"/>
      <w:marBottom w:val="0"/>
      <w:divBdr>
        <w:top w:val="none" w:sz="0" w:space="0" w:color="auto"/>
        <w:left w:val="none" w:sz="0" w:space="0" w:color="auto"/>
        <w:bottom w:val="none" w:sz="0" w:space="0" w:color="auto"/>
        <w:right w:val="none" w:sz="0" w:space="0" w:color="auto"/>
      </w:divBdr>
    </w:div>
    <w:div w:id="460342206">
      <w:bodyDiv w:val="1"/>
      <w:marLeft w:val="0"/>
      <w:marRight w:val="0"/>
      <w:marTop w:val="0"/>
      <w:marBottom w:val="0"/>
      <w:divBdr>
        <w:top w:val="none" w:sz="0" w:space="0" w:color="auto"/>
        <w:left w:val="none" w:sz="0" w:space="0" w:color="auto"/>
        <w:bottom w:val="none" w:sz="0" w:space="0" w:color="auto"/>
        <w:right w:val="none" w:sz="0" w:space="0" w:color="auto"/>
      </w:divBdr>
    </w:div>
    <w:div w:id="628124781">
      <w:bodyDiv w:val="1"/>
      <w:marLeft w:val="0"/>
      <w:marRight w:val="0"/>
      <w:marTop w:val="0"/>
      <w:marBottom w:val="0"/>
      <w:divBdr>
        <w:top w:val="none" w:sz="0" w:space="0" w:color="auto"/>
        <w:left w:val="none" w:sz="0" w:space="0" w:color="auto"/>
        <w:bottom w:val="none" w:sz="0" w:space="0" w:color="auto"/>
        <w:right w:val="none" w:sz="0" w:space="0" w:color="auto"/>
      </w:divBdr>
    </w:div>
    <w:div w:id="812722752">
      <w:bodyDiv w:val="1"/>
      <w:marLeft w:val="0"/>
      <w:marRight w:val="0"/>
      <w:marTop w:val="0"/>
      <w:marBottom w:val="0"/>
      <w:divBdr>
        <w:top w:val="none" w:sz="0" w:space="0" w:color="auto"/>
        <w:left w:val="none" w:sz="0" w:space="0" w:color="auto"/>
        <w:bottom w:val="none" w:sz="0" w:space="0" w:color="auto"/>
        <w:right w:val="none" w:sz="0" w:space="0" w:color="auto"/>
      </w:divBdr>
    </w:div>
    <w:div w:id="960653054">
      <w:bodyDiv w:val="1"/>
      <w:marLeft w:val="0"/>
      <w:marRight w:val="0"/>
      <w:marTop w:val="0"/>
      <w:marBottom w:val="0"/>
      <w:divBdr>
        <w:top w:val="none" w:sz="0" w:space="0" w:color="auto"/>
        <w:left w:val="none" w:sz="0" w:space="0" w:color="auto"/>
        <w:bottom w:val="none" w:sz="0" w:space="0" w:color="auto"/>
        <w:right w:val="none" w:sz="0" w:space="0" w:color="auto"/>
      </w:divBdr>
    </w:div>
    <w:div w:id="1220288071">
      <w:bodyDiv w:val="1"/>
      <w:marLeft w:val="0"/>
      <w:marRight w:val="0"/>
      <w:marTop w:val="0"/>
      <w:marBottom w:val="0"/>
      <w:divBdr>
        <w:top w:val="none" w:sz="0" w:space="0" w:color="auto"/>
        <w:left w:val="none" w:sz="0" w:space="0" w:color="auto"/>
        <w:bottom w:val="none" w:sz="0" w:space="0" w:color="auto"/>
        <w:right w:val="none" w:sz="0" w:space="0" w:color="auto"/>
      </w:divBdr>
    </w:div>
    <w:div w:id="1312759114">
      <w:bodyDiv w:val="1"/>
      <w:marLeft w:val="0"/>
      <w:marRight w:val="0"/>
      <w:marTop w:val="0"/>
      <w:marBottom w:val="0"/>
      <w:divBdr>
        <w:top w:val="none" w:sz="0" w:space="0" w:color="auto"/>
        <w:left w:val="none" w:sz="0" w:space="0" w:color="auto"/>
        <w:bottom w:val="none" w:sz="0" w:space="0" w:color="auto"/>
        <w:right w:val="none" w:sz="0" w:space="0" w:color="auto"/>
      </w:divBdr>
    </w:div>
    <w:div w:id="1919048994">
      <w:bodyDiv w:val="1"/>
      <w:marLeft w:val="0"/>
      <w:marRight w:val="0"/>
      <w:marTop w:val="0"/>
      <w:marBottom w:val="0"/>
      <w:divBdr>
        <w:top w:val="none" w:sz="0" w:space="0" w:color="auto"/>
        <w:left w:val="none" w:sz="0" w:space="0" w:color="auto"/>
        <w:bottom w:val="none" w:sz="0" w:space="0" w:color="auto"/>
        <w:right w:val="none" w:sz="0" w:space="0" w:color="auto"/>
      </w:divBdr>
    </w:div>
    <w:div w:id="1979457866">
      <w:bodyDiv w:val="1"/>
      <w:marLeft w:val="0"/>
      <w:marRight w:val="0"/>
      <w:marTop w:val="0"/>
      <w:marBottom w:val="0"/>
      <w:divBdr>
        <w:top w:val="none" w:sz="0" w:space="0" w:color="auto"/>
        <w:left w:val="none" w:sz="0" w:space="0" w:color="auto"/>
        <w:bottom w:val="none" w:sz="0" w:space="0" w:color="auto"/>
        <w:right w:val="none" w:sz="0" w:space="0" w:color="auto"/>
      </w:divBdr>
    </w:div>
    <w:div w:id="204185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076AD-3378-494A-B795-B4BE0AB96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3054</Words>
  <Characters>17807</Characters>
  <Application>Microsoft Office Word</Application>
  <DocSecurity>0</DocSecurity>
  <Lines>468</Lines>
  <Paragraphs>231</Paragraphs>
  <ScaleCrop>false</ScaleCrop>
  <Company/>
  <LinksUpToDate>false</LinksUpToDate>
  <CharactersWithSpaces>20630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Liming Yin</cp:lastModifiedBy>
  <cp:revision>2</cp:revision>
  <dcterms:created xsi:type="dcterms:W3CDTF">2026-02-16T06:20:00Z</dcterms:created>
  <dcterms:modified xsi:type="dcterms:W3CDTF">2026-02-16T06:20:00Z</dcterms:modified>
</cp:coreProperties>
</file>