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DD44A9" w:rsidRDefault="00000000">
      <w:pPr>
        <w:spacing w:after="0" w:line="360" w:lineRule="auto"/>
        <w:jc w:val="both"/>
        <w:outlineLvl w:val="0"/>
        <w:rPr>
          <w:rFonts w:ascii="Arial" w:hAnsi="Arial" w:cs="Arial"/>
          <w:b/>
          <w:bCs/>
          <w:sz w:val="24"/>
        </w:rPr>
      </w:pPr>
      <w:r>
        <w:rPr>
          <w:rFonts w:ascii="Arial" w:hAnsi="Arial" w:cs="Arial"/>
          <w:b/>
          <w:bCs/>
          <w:i/>
          <w:iCs/>
          <w:sz w:val="24"/>
        </w:rPr>
        <w:t>Supporting information for</w:t>
      </w:r>
    </w:p>
    <w:p w:rsidR="00DD44A9" w:rsidRDefault="00000000">
      <w:pPr>
        <w:spacing w:after="0" w:line="360" w:lineRule="auto"/>
        <w:jc w:val="both"/>
        <w:rPr>
          <w:rFonts w:ascii="Arial" w:hAnsi="Arial" w:cs="Arial"/>
          <w:b/>
          <w:bCs/>
          <w:sz w:val="24"/>
        </w:rPr>
      </w:pPr>
      <w:r>
        <w:rPr>
          <w:rFonts w:ascii="Arial" w:hAnsi="Arial" w:cs="Arial"/>
          <w:b/>
          <w:bCs/>
          <w:sz w:val="24"/>
        </w:rPr>
        <w:t>Land-use types impact soil ecosystem functions by altering the soil multitrophic biodiversity and interactions</w:t>
      </w:r>
    </w:p>
    <w:p w:rsidR="00DD44A9" w:rsidRDefault="00DD44A9">
      <w:pPr>
        <w:spacing w:after="0" w:line="360" w:lineRule="auto"/>
        <w:jc w:val="both"/>
        <w:rPr>
          <w:rFonts w:ascii="Arial" w:hAnsi="Arial" w:cs="Arial"/>
          <w:sz w:val="24"/>
        </w:rPr>
      </w:pPr>
    </w:p>
    <w:p w:rsidR="00DD44A9" w:rsidRDefault="00000000">
      <w:pPr>
        <w:spacing w:after="0" w:line="360" w:lineRule="auto"/>
        <w:jc w:val="both"/>
        <w:rPr>
          <w:rFonts w:ascii="Arial" w:hAnsi="Arial" w:cs="Arial"/>
          <w:sz w:val="24"/>
          <w:vertAlign w:val="superscript"/>
        </w:rPr>
      </w:pPr>
      <w:r>
        <w:rPr>
          <w:rFonts w:ascii="Arial" w:hAnsi="Arial" w:cs="Arial"/>
          <w:sz w:val="24"/>
        </w:rPr>
        <w:t>Tian-Lun Zhang</w:t>
      </w:r>
      <w:r>
        <w:rPr>
          <w:rFonts w:ascii="Arial" w:hAnsi="Arial" w:cs="Arial"/>
          <w:sz w:val="24"/>
          <w:vertAlign w:val="superscript"/>
        </w:rPr>
        <w:t>1,2,3</w:t>
      </w:r>
      <w:r>
        <w:rPr>
          <w:rFonts w:ascii="Arial" w:hAnsi="Arial" w:cs="Arial"/>
          <w:sz w:val="24"/>
        </w:rPr>
        <w:t>, Shao-Yang Zhang</w:t>
      </w:r>
      <w:r>
        <w:rPr>
          <w:rFonts w:ascii="Arial" w:hAnsi="Arial" w:cs="Arial"/>
          <w:sz w:val="24"/>
          <w:vertAlign w:val="superscript"/>
        </w:rPr>
        <w:t>1,2,3</w:t>
      </w:r>
      <w:r>
        <w:rPr>
          <w:rFonts w:ascii="Arial" w:hAnsi="Arial" w:cs="Arial"/>
          <w:sz w:val="24"/>
        </w:rPr>
        <w:t>, Lu Wang</w:t>
      </w:r>
      <w:r>
        <w:rPr>
          <w:rFonts w:ascii="Arial" w:hAnsi="Arial" w:cs="Arial"/>
          <w:sz w:val="24"/>
          <w:vertAlign w:val="superscript"/>
        </w:rPr>
        <w:t>1,3</w:t>
      </w:r>
      <w:r>
        <w:rPr>
          <w:rFonts w:ascii="Arial" w:hAnsi="Arial" w:cs="Arial"/>
          <w:sz w:val="24"/>
        </w:rPr>
        <w:t>, Da Lin</w:t>
      </w:r>
      <w:r>
        <w:rPr>
          <w:rFonts w:ascii="Arial" w:hAnsi="Arial" w:cs="Arial"/>
          <w:sz w:val="24"/>
          <w:vertAlign w:val="superscript"/>
        </w:rPr>
        <w:t>1,2,3</w:t>
      </w:r>
      <w:r>
        <w:rPr>
          <w:rFonts w:ascii="Arial" w:hAnsi="Arial" w:cs="Arial"/>
          <w:sz w:val="24"/>
        </w:rPr>
        <w:t>, Bang Ni</w:t>
      </w:r>
      <w:r>
        <w:rPr>
          <w:rFonts w:ascii="Arial" w:hAnsi="Arial" w:cs="Arial"/>
          <w:sz w:val="24"/>
          <w:vertAlign w:val="superscript"/>
        </w:rPr>
        <w:t>1,3</w:t>
      </w:r>
      <w:r>
        <w:rPr>
          <w:rFonts w:ascii="Arial" w:hAnsi="Arial" w:cs="Arial"/>
          <w:sz w:val="24"/>
        </w:rPr>
        <w:t>, Tian-Gui Cai</w:t>
      </w:r>
      <w:r>
        <w:rPr>
          <w:rFonts w:ascii="Arial" w:hAnsi="Arial" w:cs="Arial"/>
          <w:sz w:val="24"/>
          <w:vertAlign w:val="superscript"/>
        </w:rPr>
        <w:t>1,3</w:t>
      </w:r>
      <w:r>
        <w:rPr>
          <w:rFonts w:ascii="Arial" w:hAnsi="Arial" w:cs="Arial"/>
          <w:sz w:val="24"/>
        </w:rPr>
        <w:t>, Shuai Du</w:t>
      </w:r>
      <w:r>
        <w:rPr>
          <w:rFonts w:ascii="Arial" w:hAnsi="Arial" w:cs="Arial"/>
          <w:sz w:val="24"/>
          <w:vertAlign w:val="superscript"/>
        </w:rPr>
        <w:t>1,3,</w:t>
      </w:r>
      <w:r w:rsidRPr="00DA58D8">
        <w:rPr>
          <w:rFonts w:ascii="Arial" w:hAnsi="Arial" w:cs="Arial"/>
          <w:sz w:val="24"/>
          <w:vertAlign w:val="superscript"/>
        </w:rPr>
        <w:t>*</w:t>
      </w:r>
      <w:r>
        <w:rPr>
          <w:rFonts w:ascii="Arial" w:hAnsi="Arial" w:cs="Arial"/>
          <w:sz w:val="24"/>
        </w:rPr>
        <w:t>, Dong Zhu</w:t>
      </w:r>
      <w:r>
        <w:rPr>
          <w:rFonts w:ascii="Arial" w:hAnsi="Arial" w:cs="Arial"/>
          <w:sz w:val="24"/>
          <w:vertAlign w:val="superscript"/>
        </w:rPr>
        <w:t>1,3</w:t>
      </w:r>
    </w:p>
    <w:p w:rsidR="00DD44A9" w:rsidRDefault="00DD44A9">
      <w:pPr>
        <w:widowControl/>
        <w:spacing w:after="0" w:line="360" w:lineRule="auto"/>
        <w:jc w:val="both"/>
        <w:rPr>
          <w:rFonts w:ascii="Arial" w:hAnsi="Arial" w:cs="Arial"/>
          <w:b/>
          <w:color w:val="0033CC"/>
          <w:sz w:val="24"/>
        </w:rPr>
      </w:pPr>
    </w:p>
    <w:p w:rsidR="00DD44A9" w:rsidRDefault="00000000">
      <w:pPr>
        <w:spacing w:after="0" w:line="360" w:lineRule="auto"/>
        <w:jc w:val="both"/>
        <w:rPr>
          <w:rFonts w:ascii="Arial" w:hAnsi="Arial" w:cs="Arial"/>
          <w:sz w:val="24"/>
        </w:rPr>
      </w:pPr>
      <w:r>
        <w:rPr>
          <w:rFonts w:ascii="Arial" w:hAnsi="Arial" w:cs="Arial"/>
          <w:sz w:val="24"/>
          <w:vertAlign w:val="superscript"/>
        </w:rPr>
        <w:t>1</w:t>
      </w:r>
      <w:r>
        <w:rPr>
          <w:rFonts w:ascii="Arial" w:hAnsi="Arial" w:cs="Arial"/>
          <w:sz w:val="24"/>
        </w:rPr>
        <w:t>Key Laboratory of Urban Environment and Health, Ningbo Observation and Research Station, Institute of Urban Environment, Chinese Academy of Sciences, Xiamen 361021, Peoples R China</w:t>
      </w:r>
    </w:p>
    <w:p w:rsidR="00DD44A9" w:rsidRDefault="00000000">
      <w:pPr>
        <w:spacing w:after="0" w:line="360" w:lineRule="auto"/>
        <w:jc w:val="both"/>
        <w:rPr>
          <w:rFonts w:ascii="Arial" w:hAnsi="Arial" w:cs="Arial"/>
          <w:sz w:val="24"/>
        </w:rPr>
      </w:pPr>
      <w:r>
        <w:rPr>
          <w:rFonts w:ascii="Arial" w:hAnsi="Arial" w:cs="Arial"/>
          <w:sz w:val="24"/>
          <w:vertAlign w:val="superscript"/>
        </w:rPr>
        <w:t>2</w:t>
      </w:r>
      <w:r>
        <w:rPr>
          <w:rFonts w:ascii="Arial" w:hAnsi="Arial" w:cs="Arial"/>
          <w:sz w:val="24"/>
        </w:rPr>
        <w:t>University of Chinese Academy of Sciences, Beijing 100049, Peoples R China</w:t>
      </w:r>
    </w:p>
    <w:p w:rsidR="00DD44A9" w:rsidRDefault="00000000">
      <w:pPr>
        <w:spacing w:after="0" w:line="360" w:lineRule="auto"/>
        <w:jc w:val="both"/>
        <w:rPr>
          <w:rFonts w:ascii="Arial" w:hAnsi="Arial" w:cs="Arial"/>
          <w:sz w:val="24"/>
        </w:rPr>
      </w:pPr>
      <w:r>
        <w:rPr>
          <w:rFonts w:ascii="Arial" w:hAnsi="Arial" w:cs="Arial"/>
          <w:sz w:val="24"/>
          <w:vertAlign w:val="superscript"/>
        </w:rPr>
        <w:t>3</w:t>
      </w:r>
      <w:r>
        <w:rPr>
          <w:rFonts w:ascii="Arial" w:hAnsi="Arial" w:cs="Arial"/>
          <w:sz w:val="24"/>
        </w:rPr>
        <w:t>Zhejiang Key Laboratory of Urban Environmental Processes and Pollution Control, CAS Haixi Industrial Technology Innovation Center in Beilun, Ningbo 315830, Peoples R China</w:t>
      </w:r>
    </w:p>
    <w:p w:rsidR="00DD44A9" w:rsidRDefault="00DD44A9">
      <w:pPr>
        <w:widowControl/>
        <w:spacing w:after="0" w:line="360" w:lineRule="auto"/>
        <w:jc w:val="both"/>
        <w:rPr>
          <w:rFonts w:ascii="Arial" w:hAnsi="Arial" w:cs="Arial"/>
          <w:b/>
          <w:color w:val="0033CC"/>
          <w:sz w:val="24"/>
        </w:rPr>
      </w:pPr>
    </w:p>
    <w:p w:rsidR="00DA58D8" w:rsidRDefault="00DA58D8" w:rsidP="00DA58D8">
      <w:pPr>
        <w:spacing w:after="0"/>
        <w:rPr>
          <w:rFonts w:ascii="Arial" w:hAnsi="Arial" w:cs="Arial"/>
          <w:sz w:val="24"/>
        </w:rPr>
      </w:pPr>
      <w:r w:rsidRPr="00DA58D8">
        <w:rPr>
          <w:rFonts w:ascii="Arial" w:hAnsi="Arial" w:cs="Arial" w:hint="eastAsia"/>
          <w:sz w:val="24"/>
          <w:vertAlign w:val="superscript"/>
        </w:rPr>
        <w:t>*</w:t>
      </w:r>
      <w:r>
        <w:rPr>
          <w:rFonts w:ascii="Arial" w:hAnsi="Arial" w:cs="Arial" w:hint="eastAsia"/>
          <w:sz w:val="24"/>
        </w:rPr>
        <w:t xml:space="preserve">Corresponding author: Shuai Du, Email: </w:t>
      </w:r>
      <w:hyperlink r:id="rId6" w:history="1">
        <w:r>
          <w:rPr>
            <w:rStyle w:val="a8"/>
            <w:rFonts w:ascii="Arial" w:hAnsi="Arial" w:cs="Arial" w:hint="eastAsia"/>
            <w:sz w:val="24"/>
          </w:rPr>
          <w:t>sdu@iue.ac.cn</w:t>
        </w:r>
      </w:hyperlink>
    </w:p>
    <w:p w:rsidR="00DA58D8" w:rsidRPr="00183D1E" w:rsidRDefault="00DA58D8" w:rsidP="00DA58D8">
      <w:pPr>
        <w:widowControl/>
        <w:spacing w:after="0" w:line="360" w:lineRule="auto"/>
        <w:jc w:val="both"/>
        <w:rPr>
          <w:rFonts w:ascii="Arial" w:hAnsi="Arial" w:cs="Arial"/>
          <w:b/>
          <w:color w:val="0033CC"/>
          <w:sz w:val="24"/>
        </w:rPr>
      </w:pPr>
      <w:r>
        <w:rPr>
          <w:rFonts w:ascii="Arial" w:hAnsi="Arial" w:cs="Arial"/>
          <w:sz w:val="24"/>
        </w:rPr>
        <w:t>Key Laboratory of Urban Environment and Health, Ningbo Observation and Research Station, Institute of Urban Environment, Chinese Academy of Sciences, Xiamen 361021, Peoples R China</w:t>
      </w:r>
    </w:p>
    <w:p w:rsidR="00DD44A9" w:rsidRDefault="00DD44A9">
      <w:pPr>
        <w:widowControl/>
        <w:spacing w:after="0" w:line="360" w:lineRule="auto"/>
        <w:jc w:val="both"/>
        <w:rPr>
          <w:rFonts w:ascii="Arial" w:hAnsi="Arial" w:cs="Arial"/>
          <w:b/>
          <w:color w:val="0033CC"/>
          <w:sz w:val="24"/>
        </w:rPr>
      </w:pPr>
    </w:p>
    <w:p w:rsidR="00DD44A9" w:rsidRDefault="00000000">
      <w:pPr>
        <w:widowControl/>
        <w:spacing w:after="0" w:line="360" w:lineRule="auto"/>
        <w:jc w:val="both"/>
        <w:rPr>
          <w:rFonts w:ascii="Arial" w:hAnsi="Arial" w:cs="Arial"/>
          <w:b/>
          <w:color w:val="0033CC"/>
          <w:sz w:val="24"/>
        </w:rPr>
      </w:pPr>
      <w:r>
        <w:rPr>
          <w:rFonts w:ascii="Arial" w:hAnsi="Arial" w:cs="Arial"/>
          <w:b/>
          <w:color w:val="0033CC"/>
          <w:sz w:val="24"/>
        </w:rPr>
        <w:t>S1. Supplementary Methods</w:t>
      </w:r>
    </w:p>
    <w:p w:rsidR="00DD44A9" w:rsidRDefault="00000000">
      <w:pPr>
        <w:widowControl/>
        <w:spacing w:after="0" w:line="360" w:lineRule="auto"/>
        <w:jc w:val="both"/>
        <w:rPr>
          <w:rFonts w:ascii="Arial" w:hAnsi="Arial" w:cs="Arial"/>
          <w:b/>
          <w:color w:val="0033CC"/>
          <w:sz w:val="24"/>
        </w:rPr>
      </w:pPr>
      <w:r>
        <w:rPr>
          <w:rFonts w:ascii="Arial" w:hAnsi="Arial" w:cs="Arial"/>
          <w:b/>
          <w:color w:val="000000" w:themeColor="text1"/>
          <w:sz w:val="24"/>
        </w:rPr>
        <w:t>Soil microbial activities</w:t>
      </w:r>
    </w:p>
    <w:p w:rsidR="00DD44A9" w:rsidRDefault="00000000">
      <w:pPr>
        <w:spacing w:after="0" w:line="360" w:lineRule="auto"/>
        <w:jc w:val="both"/>
        <w:rPr>
          <w:rFonts w:ascii="Arial" w:hAnsi="Arial" w:cs="Arial"/>
          <w:sz w:val="24"/>
          <w14:ligatures w14:val="none"/>
        </w:rPr>
      </w:pPr>
      <w:r>
        <w:rPr>
          <w:rFonts w:ascii="Arial" w:hAnsi="Arial" w:cs="Arial"/>
          <w:sz w:val="24"/>
          <w14:ligatures w14:val="none"/>
        </w:rPr>
        <w:t>The method</w:t>
      </w:r>
      <w:r>
        <w:rPr>
          <w:rFonts w:ascii="Arial" w:hAnsi="Arial" w:cs="Arial" w:hint="eastAsia"/>
          <w:sz w:val="24"/>
          <w14:ligatures w14:val="none"/>
        </w:rPr>
        <w:t>s</w:t>
      </w:r>
      <w:r>
        <w:rPr>
          <w:rFonts w:ascii="Arial" w:hAnsi="Arial" w:cs="Arial"/>
          <w:sz w:val="24"/>
          <w14:ligatures w14:val="none"/>
        </w:rPr>
        <w:t xml:space="preserve"> for measuring soil enzyme activity and soil respiration </w:t>
      </w:r>
      <w:r>
        <w:rPr>
          <w:rFonts w:ascii="Arial" w:hAnsi="Arial" w:cs="Arial" w:hint="eastAsia"/>
          <w:sz w:val="24"/>
          <w14:ligatures w14:val="none"/>
        </w:rPr>
        <w:t xml:space="preserve">are </w:t>
      </w:r>
      <w:r>
        <w:rPr>
          <w:rFonts w:ascii="Arial" w:hAnsi="Arial" w:cs="Arial"/>
          <w:sz w:val="24"/>
          <w14:ligatures w14:val="none"/>
        </w:rPr>
        <w:t xml:space="preserve">consistent with previous studies </w:t>
      </w:r>
      <w:r>
        <w:rPr>
          <w:rFonts w:ascii="Arial" w:hAnsi="Arial" w:cs="Arial"/>
          <w:sz w:val="24"/>
          <w14:ligatures w14:val="none"/>
        </w:rPr>
        <w:fldChar w:fldCharType="begin">
          <w:fldData xml:space="preserve">PEVuZE5vdGU+PENpdGU+PEF1dGhvcj5GZWk8L0F1dGhvcj48WWVhcj4yMDIwPC9ZZWFyPjxSZWNO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</w:fldData>
        </w:fldChar>
      </w:r>
      <w:r>
        <w:rPr>
          <w:rFonts w:ascii="Arial" w:hAnsi="Arial" w:cs="Arial"/>
          <w:sz w:val="24"/>
          <w14:ligatures w14:val="none"/>
        </w:rPr>
        <w:instrText xml:space="preserve"> ADDIN EN.CITE </w:instrText>
      </w:r>
      <w:r>
        <w:rPr>
          <w:rFonts w:ascii="Arial" w:hAnsi="Arial" w:cs="Arial"/>
          <w:sz w:val="24"/>
          <w14:ligatures w14:val="none"/>
        </w:rPr>
        <w:fldChar w:fldCharType="begin">
          <w:fldData xml:space="preserve">PEVuZE5vdGU+PENpdGU+PEF1dGhvcj5GZWk8L0F1dGhvcj48WWVhcj4yMDIwPC9ZZWFyPjxSZWNO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</w:fldData>
        </w:fldChar>
      </w:r>
      <w:r>
        <w:rPr>
          <w:rFonts w:ascii="Arial" w:hAnsi="Arial" w:cs="Arial"/>
          <w:sz w:val="24"/>
          <w14:ligatures w14:val="none"/>
        </w:rPr>
        <w:instrText xml:space="preserve"> ADDIN EN.CITE.DATA </w:instrText>
      </w:r>
      <w:r>
        <w:rPr>
          <w:rFonts w:ascii="Arial" w:hAnsi="Arial" w:cs="Arial"/>
          <w:sz w:val="24"/>
          <w14:ligatures w14:val="none"/>
        </w:rPr>
      </w:r>
      <w:r>
        <w:rPr>
          <w:rFonts w:ascii="Arial" w:hAnsi="Arial" w:cs="Arial"/>
          <w:sz w:val="24"/>
          <w14:ligatures w14:val="none"/>
        </w:rPr>
        <w:fldChar w:fldCharType="end"/>
      </w:r>
      <w:r>
        <w:rPr>
          <w:rFonts w:ascii="Arial" w:hAnsi="Arial" w:cs="Arial"/>
          <w:sz w:val="24"/>
          <w14:ligatures w14:val="none"/>
        </w:rPr>
      </w:r>
      <w:r>
        <w:rPr>
          <w:rFonts w:ascii="Arial" w:hAnsi="Arial" w:cs="Arial"/>
          <w:sz w:val="24"/>
          <w14:ligatures w14:val="none"/>
        </w:rPr>
        <w:fldChar w:fldCharType="separate"/>
      </w:r>
      <w:r>
        <w:rPr>
          <w:rFonts w:ascii="Arial" w:hAnsi="Arial" w:cs="Arial"/>
          <w:sz w:val="24"/>
          <w14:ligatures w14:val="none"/>
        </w:rPr>
        <w:t>(Fei et al. 2020; Liu et al. 2018)</w:t>
      </w:r>
      <w:r>
        <w:rPr>
          <w:rFonts w:ascii="Arial" w:hAnsi="Arial" w:cs="Arial"/>
          <w:sz w:val="24"/>
          <w14:ligatures w14:val="none"/>
        </w:rPr>
        <w:fldChar w:fldCharType="end"/>
      </w:r>
      <w:r>
        <w:rPr>
          <w:rFonts w:ascii="Arial" w:hAnsi="Arial" w:cs="Arial"/>
          <w:sz w:val="24"/>
          <w14:ligatures w14:val="none"/>
        </w:rPr>
        <w:t>.</w:t>
      </w:r>
    </w:p>
    <w:p w:rsidR="00DD44A9" w:rsidRDefault="00DD44A9">
      <w:pPr>
        <w:spacing w:after="0" w:line="360" w:lineRule="auto"/>
        <w:jc w:val="both"/>
        <w:rPr>
          <w:rFonts w:ascii="Arial" w:hAnsi="Arial" w:cs="Arial"/>
          <w:b/>
          <w:color w:val="0033CC"/>
          <w:sz w:val="24"/>
        </w:rPr>
      </w:pPr>
    </w:p>
    <w:p w:rsidR="00DD44A9" w:rsidRDefault="00000000">
      <w:pPr>
        <w:widowControl/>
        <w:spacing w:after="0" w:line="360" w:lineRule="auto"/>
        <w:jc w:val="both"/>
        <w:rPr>
          <w:rFonts w:ascii="Arial" w:hAnsi="Arial" w:cs="Arial"/>
          <w:b/>
          <w:color w:val="0033CC"/>
          <w:sz w:val="24"/>
        </w:rPr>
      </w:pPr>
      <w:r>
        <w:rPr>
          <w:rFonts w:ascii="Arial" w:hAnsi="Arial" w:cs="Arial"/>
          <w:b/>
          <w:color w:val="0033CC"/>
          <w:sz w:val="24"/>
        </w:rPr>
        <w:t xml:space="preserve">S2. Supplementary </w:t>
      </w:r>
      <w:r>
        <w:rPr>
          <w:rFonts w:ascii="Arial" w:hAnsi="Arial" w:cs="Arial" w:hint="eastAsia"/>
          <w:b/>
          <w:color w:val="0033CC"/>
          <w:sz w:val="24"/>
        </w:rPr>
        <w:t>Figure</w:t>
      </w:r>
      <w:r>
        <w:rPr>
          <w:rFonts w:ascii="Arial" w:hAnsi="Arial" w:cs="Arial"/>
          <w:b/>
          <w:color w:val="0033CC"/>
          <w:sz w:val="24"/>
        </w:rPr>
        <w:t>s</w:t>
      </w:r>
    </w:p>
    <w:p w:rsidR="00DD44A9" w:rsidRDefault="00DD44A9">
      <w:pPr>
        <w:spacing w:after="0" w:line="360" w:lineRule="auto"/>
        <w:jc w:val="center"/>
        <w:outlineLvl w:val="1"/>
        <w:rPr>
          <w:rFonts w:ascii="Arial" w:hAnsi="Arial" w:cs="Arial"/>
          <w:b/>
          <w:sz w:val="24"/>
        </w:rPr>
        <w:sectPr w:rsidR="00DD44A9">
          <w:footerReference w:type="default" r:id="rId7"/>
          <w:pgSz w:w="11906" w:h="16838"/>
          <w:pgMar w:top="1440" w:right="1797" w:bottom="1440" w:left="1797" w:header="851" w:footer="992" w:gutter="0"/>
          <w:lnNumType w:countBy="1" w:restart="continuous"/>
          <w:cols w:space="425"/>
          <w:docGrid w:type="lines" w:linePitch="312"/>
        </w:sectPr>
      </w:pPr>
    </w:p>
    <w:p w:rsidR="00DD44A9" w:rsidRDefault="00000000">
      <w:pPr>
        <w:spacing w:after="0" w:line="360" w:lineRule="auto"/>
        <w:jc w:val="center"/>
        <w:rPr>
          <w:rFonts w:ascii="Arial" w:hAnsi="Arial" w:cs="Arial"/>
          <w:b/>
          <w:sz w:val="24"/>
        </w:rPr>
      </w:pPr>
      <w:r>
        <w:rPr>
          <w:rFonts w:ascii="Arial" w:hAnsi="Arial" w:cs="Arial"/>
          <w:noProof/>
          <w:sz w:val="24"/>
        </w:rPr>
        <w:lastRenderedPageBreak/>
        <w:drawing>
          <wp:inline distT="0" distB="0" distL="114300" distR="114300">
            <wp:extent cx="5255260" cy="3590925"/>
            <wp:effectExtent l="0" t="0" r="2540" b="3175"/>
            <wp:docPr id="4" name="图片 3" descr="V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VPA"/>
                    <pic:cNvPicPr>
                      <a:picLocks noChangeAspect="1"/>
                    </pic:cNvPicPr>
                  </pic:nvPicPr>
                  <pic:blipFill>
                    <a:blip r:embed="rId8"/>
                    <a:stretch>
                      <a:fillRect/>
                    </a:stretch>
                  </pic:blipFill>
                  <pic:spPr>
                    <a:xfrm>
                      <a:off x="0" y="0"/>
                      <a:ext cx="5264413" cy="3597121"/>
                    </a:xfrm>
                    <a:prstGeom prst="rect">
                      <a:avLst/>
                    </a:prstGeom>
                  </pic:spPr>
                </pic:pic>
              </a:graphicData>
            </a:graphic>
          </wp:inline>
        </w:drawing>
      </w:r>
    </w:p>
    <w:p w:rsidR="00DD44A9" w:rsidRDefault="00000000">
      <w:pPr>
        <w:spacing w:after="0" w:line="360" w:lineRule="auto"/>
        <w:jc w:val="both"/>
        <w:outlineLvl w:val="1"/>
        <w:rPr>
          <w:rFonts w:ascii="Arial" w:hAnsi="Arial" w:cs="Arial"/>
          <w:b/>
          <w:color w:val="0033CC"/>
          <w:sz w:val="24"/>
        </w:rPr>
      </w:pPr>
      <w:r>
        <w:rPr>
          <w:rFonts w:ascii="Arial" w:hAnsi="Arial" w:cs="Arial"/>
          <w:b/>
          <w:sz w:val="24"/>
        </w:rPr>
        <w:t>Figure S</w:t>
      </w:r>
      <w:r>
        <w:rPr>
          <w:rFonts w:ascii="Arial" w:hAnsi="Arial" w:cs="Arial" w:hint="eastAsia"/>
          <w:b/>
          <w:sz w:val="24"/>
        </w:rPr>
        <w:t>1</w:t>
      </w:r>
      <w:r>
        <w:rPr>
          <w:rFonts w:ascii="Arial" w:hAnsi="Arial" w:cs="Arial"/>
          <w:b/>
          <w:sz w:val="24"/>
        </w:rPr>
        <w:t xml:space="preserve">. </w:t>
      </w:r>
      <w:r>
        <w:rPr>
          <w:rFonts w:ascii="Arial" w:hAnsi="Arial" w:cs="Arial"/>
          <w:sz w:val="24"/>
        </w:rPr>
        <w:t>Relative explanation of different types of variables to the variation of soil multitrophic community. Relative effects (% R</w:t>
      </w:r>
      <w:r>
        <w:rPr>
          <w:rFonts w:ascii="Arial" w:hAnsi="Arial" w:cs="Arial"/>
          <w:sz w:val="24"/>
          <w:vertAlign w:val="superscript"/>
        </w:rPr>
        <w:t>2</w:t>
      </w:r>
      <w:r>
        <w:rPr>
          <w:rFonts w:ascii="Arial" w:hAnsi="Arial" w:cs="Arial"/>
          <w:sz w:val="24"/>
        </w:rPr>
        <w:t xml:space="preserve">) </w:t>
      </w:r>
      <w:r>
        <w:rPr>
          <w:rFonts w:ascii="Arial" w:hAnsi="Arial" w:cs="Arial" w:hint="eastAsia"/>
          <w:sz w:val="24"/>
        </w:rPr>
        <w:t>are</w:t>
      </w:r>
      <w:r>
        <w:rPr>
          <w:rFonts w:ascii="Arial" w:hAnsi="Arial" w:cs="Arial"/>
          <w:sz w:val="24"/>
        </w:rPr>
        <w:t xml:space="preserve"> resulting from partial redundancy analysis.</w:t>
      </w:r>
    </w:p>
    <w:p w:rsidR="0024204D" w:rsidRDefault="0024204D">
      <w:pPr>
        <w:spacing w:after="0" w:line="360" w:lineRule="auto"/>
        <w:jc w:val="center"/>
        <w:rPr>
          <w:rFonts w:ascii="Arial" w:hAnsi="Arial" w:cs="Arial"/>
          <w:b/>
          <w:sz w:val="24"/>
        </w:rPr>
        <w:sectPr w:rsidR="0024204D" w:rsidSect="0024204D">
          <w:pgSz w:w="11906" w:h="16838"/>
          <w:pgMar w:top="1440" w:right="1797" w:bottom="1440" w:left="1797" w:header="851" w:footer="992" w:gutter="0"/>
          <w:lnNumType w:countBy="1" w:restart="continuous"/>
          <w:cols w:space="425"/>
          <w:docGrid w:type="lines" w:linePitch="312"/>
        </w:sectPr>
      </w:pPr>
    </w:p>
    <w:p w:rsidR="00DD44A9" w:rsidRDefault="00000000">
      <w:pPr>
        <w:spacing w:after="0" w:line="360" w:lineRule="auto"/>
        <w:jc w:val="center"/>
        <w:rPr>
          <w:rFonts w:ascii="Arial" w:hAnsi="Arial" w:cs="Arial"/>
          <w:b/>
          <w:sz w:val="24"/>
        </w:rPr>
      </w:pPr>
      <w:r>
        <w:rPr>
          <w:rFonts w:ascii="Arial" w:hAnsi="Arial" w:cs="Arial"/>
          <w:b/>
          <w:noProof/>
          <w:color w:val="0033CC"/>
          <w:sz w:val="24"/>
        </w:rPr>
        <w:lastRenderedPageBreak/>
        <w:drawing>
          <wp:inline distT="0" distB="0" distL="114300" distR="114300">
            <wp:extent cx="6744970" cy="4102735"/>
            <wp:effectExtent l="0" t="0" r="0" b="0"/>
            <wp:docPr id="7" name="图片 7" descr="eDNA图片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eDNA图片_00"/>
                    <pic:cNvPicPr>
                      <a:picLocks noChangeAspect="1"/>
                    </pic:cNvPicPr>
                  </pic:nvPicPr>
                  <pic:blipFill>
                    <a:blip r:embed="rId9"/>
                    <a:stretch>
                      <a:fillRect/>
                    </a:stretch>
                  </pic:blipFill>
                  <pic:spPr>
                    <a:xfrm>
                      <a:off x="0" y="0"/>
                      <a:ext cx="6823265" cy="4150304"/>
                    </a:xfrm>
                    <a:prstGeom prst="rect">
                      <a:avLst/>
                    </a:prstGeom>
                  </pic:spPr>
                </pic:pic>
              </a:graphicData>
            </a:graphic>
          </wp:inline>
        </w:drawing>
      </w:r>
    </w:p>
    <w:p w:rsidR="00DD44A9" w:rsidRDefault="00000000">
      <w:pPr>
        <w:spacing w:after="0" w:line="360" w:lineRule="auto"/>
        <w:jc w:val="both"/>
        <w:outlineLvl w:val="1"/>
        <w:rPr>
          <w:rFonts w:ascii="Arial" w:hAnsi="Arial" w:cs="Arial"/>
          <w:bCs/>
          <w:sz w:val="24"/>
        </w:rPr>
      </w:pPr>
      <w:r>
        <w:rPr>
          <w:rFonts w:ascii="Arial" w:hAnsi="Arial" w:cs="Arial"/>
          <w:b/>
          <w:sz w:val="24"/>
        </w:rPr>
        <w:t>Figure S</w:t>
      </w:r>
      <w:r>
        <w:rPr>
          <w:rFonts w:ascii="Arial" w:hAnsi="Arial" w:cs="Arial" w:hint="eastAsia"/>
          <w:b/>
          <w:sz w:val="24"/>
        </w:rPr>
        <w:t>2</w:t>
      </w:r>
      <w:r>
        <w:rPr>
          <w:rFonts w:ascii="Arial" w:hAnsi="Arial" w:cs="Arial"/>
          <w:b/>
          <w:sz w:val="24"/>
        </w:rPr>
        <w:t xml:space="preserve">. </w:t>
      </w:r>
      <w:r>
        <w:rPr>
          <w:rFonts w:ascii="Arial" w:hAnsi="Arial" w:cs="Arial"/>
          <w:sz w:val="24"/>
        </w:rPr>
        <w:t>The cooccurrence networks of soil multitrophic communities from five land-use types.</w:t>
      </w:r>
      <w:r>
        <w:rPr>
          <w:rFonts w:ascii="Arial" w:hAnsi="Arial" w:cs="Arial"/>
          <w:sz w:val="24"/>
          <w14:ligatures w14:val="none"/>
        </w:rPr>
        <w:t xml:space="preserve"> The size of node is proportional to the link number of each node. The line between each pair of nodes represent</w:t>
      </w:r>
      <w:r>
        <w:rPr>
          <w:rFonts w:ascii="Arial" w:hAnsi="Arial" w:cs="Arial" w:hint="eastAsia"/>
          <w:sz w:val="24"/>
          <w14:ligatures w14:val="none"/>
        </w:rPr>
        <w:t>s</w:t>
      </w:r>
      <w:r>
        <w:rPr>
          <w:rFonts w:ascii="Arial" w:hAnsi="Arial" w:cs="Arial"/>
          <w:sz w:val="24"/>
          <w14:ligatures w14:val="none"/>
        </w:rPr>
        <w:t xml:space="preserve"> positive (in orange) and negative (in blue) interaction with </w:t>
      </w:r>
      <w:r>
        <w:rPr>
          <w:rFonts w:ascii="Arial" w:hAnsi="Arial" w:cs="Arial"/>
          <w:i/>
          <w:iCs/>
          <w:sz w:val="24"/>
        </w:rPr>
        <w:t>P</w:t>
      </w:r>
      <w:r>
        <w:rPr>
          <w:rFonts w:ascii="Arial" w:hAnsi="Arial" w:cs="Arial"/>
          <w:sz w:val="24"/>
        </w:rPr>
        <w:t xml:space="preserve"> &lt; 0.05</w:t>
      </w:r>
      <w:r>
        <w:rPr>
          <w:rFonts w:ascii="Arial" w:hAnsi="Arial" w:cs="Arial"/>
          <w:sz w:val="24"/>
          <w14:ligatures w14:val="none"/>
        </w:rPr>
        <w:t xml:space="preserve"> and </w:t>
      </w:r>
      <w:r>
        <w:rPr>
          <w:rFonts w:ascii="Arial" w:hAnsi="Arial" w:cs="Arial"/>
          <w:sz w:val="24"/>
        </w:rPr>
        <w:t>|</w:t>
      </w:r>
      <w:r>
        <w:rPr>
          <w:rFonts w:ascii="Arial" w:hAnsi="Arial" w:cs="Arial"/>
          <w:i/>
          <w:iCs/>
          <w:sz w:val="24"/>
        </w:rPr>
        <w:t>r</w:t>
      </w:r>
      <w:r>
        <w:rPr>
          <w:rFonts w:ascii="Arial" w:hAnsi="Arial" w:cs="Arial"/>
          <w:sz w:val="24"/>
        </w:rPr>
        <w:t>| &gt; 0.6</w:t>
      </w:r>
      <w:r>
        <w:rPr>
          <w:rFonts w:ascii="Arial" w:hAnsi="Arial" w:cs="Arial"/>
          <w:sz w:val="24"/>
          <w14:ligatures w14:val="none"/>
        </w:rPr>
        <w:t>.</w:t>
      </w:r>
    </w:p>
    <w:p w:rsidR="00DD44A9" w:rsidRDefault="00DD44A9">
      <w:pPr>
        <w:spacing w:after="0" w:line="360" w:lineRule="auto"/>
        <w:jc w:val="both"/>
        <w:rPr>
          <w:rFonts w:ascii="Arial" w:hAnsi="Arial" w:cs="Arial"/>
          <w:sz w:val="24"/>
        </w:rPr>
        <w:sectPr w:rsidR="00DD44A9" w:rsidSect="0024204D">
          <w:pgSz w:w="16838" w:h="11906" w:orient="landscape"/>
          <w:pgMar w:top="1797" w:right="1440" w:bottom="1797" w:left="1440" w:header="851" w:footer="992" w:gutter="0"/>
          <w:lnNumType w:countBy="1" w:restart="continuous"/>
          <w:cols w:space="425"/>
          <w:docGrid w:type="lines" w:linePitch="312"/>
        </w:sectPr>
      </w:pPr>
    </w:p>
    <w:p w:rsidR="00DD44A9" w:rsidRDefault="00000000">
      <w:pPr>
        <w:spacing w:after="0" w:line="360" w:lineRule="auto"/>
        <w:jc w:val="center"/>
        <w:rPr>
          <w:rFonts w:ascii="Arial" w:hAnsi="Arial" w:cs="Arial"/>
          <w:sz w:val="24"/>
        </w:rPr>
      </w:pPr>
      <w:r>
        <w:rPr>
          <w:rFonts w:ascii="Arial" w:hAnsi="Arial" w:cs="Arial"/>
          <w:noProof/>
          <w:sz w:val="24"/>
        </w:rPr>
        <w:lastRenderedPageBreak/>
        <w:drawing>
          <wp:inline distT="0" distB="0" distL="114300" distR="114300">
            <wp:extent cx="7016750" cy="4046855"/>
            <wp:effectExtent l="0" t="0" r="0" b="0"/>
            <wp:docPr id="3" name="图片 2" descr="五角星网络计算_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五角星网络计算_00(3)"/>
                    <pic:cNvPicPr>
                      <a:picLocks noChangeAspect="1"/>
                    </pic:cNvPicPr>
                  </pic:nvPicPr>
                  <pic:blipFill>
                    <a:blip r:embed="rId10"/>
                    <a:stretch>
                      <a:fillRect/>
                    </a:stretch>
                  </pic:blipFill>
                  <pic:spPr>
                    <a:xfrm>
                      <a:off x="0" y="0"/>
                      <a:ext cx="7055749" cy="4069421"/>
                    </a:xfrm>
                    <a:prstGeom prst="rect">
                      <a:avLst/>
                    </a:prstGeom>
                  </pic:spPr>
                </pic:pic>
              </a:graphicData>
            </a:graphic>
          </wp:inline>
        </w:drawing>
      </w:r>
    </w:p>
    <w:p w:rsidR="00DD44A9" w:rsidRDefault="00000000">
      <w:pPr>
        <w:spacing w:after="0" w:line="360" w:lineRule="auto"/>
        <w:jc w:val="both"/>
        <w:outlineLvl w:val="1"/>
        <w:rPr>
          <w:rFonts w:ascii="Arial" w:hAnsi="Arial" w:cs="Arial"/>
          <w:b/>
          <w:sz w:val="24"/>
        </w:rPr>
      </w:pPr>
      <w:r>
        <w:rPr>
          <w:rFonts w:ascii="Arial" w:hAnsi="Arial" w:cs="Arial"/>
          <w:b/>
          <w:bCs/>
          <w:sz w:val="24"/>
          <w14:ligatures w14:val="none"/>
        </w:rPr>
        <w:t>Figure S</w:t>
      </w:r>
      <w:r>
        <w:rPr>
          <w:rFonts w:ascii="Arial" w:hAnsi="Arial" w:cs="Arial" w:hint="eastAsia"/>
          <w:b/>
          <w:bCs/>
          <w:sz w:val="24"/>
          <w14:ligatures w14:val="none"/>
        </w:rPr>
        <w:t>3</w:t>
      </w:r>
      <w:r>
        <w:rPr>
          <w:rFonts w:ascii="Arial" w:hAnsi="Arial" w:cs="Arial"/>
          <w:b/>
          <w:bCs/>
          <w:sz w:val="24"/>
          <w14:ligatures w14:val="none"/>
        </w:rPr>
        <w:t>.</w:t>
      </w:r>
      <w:r>
        <w:rPr>
          <w:rFonts w:ascii="Arial" w:hAnsi="Arial" w:cs="Arial"/>
          <w:sz w:val="24"/>
          <w14:ligatures w14:val="none"/>
        </w:rPr>
        <w:t xml:space="preserve"> </w:t>
      </w:r>
      <w:r>
        <w:rPr>
          <w:rFonts w:ascii="Arial" w:hAnsi="Arial" w:cs="Arial" w:hint="eastAsia"/>
          <w:sz w:val="24"/>
          <w14:ligatures w14:val="none"/>
        </w:rPr>
        <w:t>The c</w:t>
      </w:r>
      <w:r>
        <w:rPr>
          <w:rFonts w:ascii="Arial" w:hAnsi="Arial" w:cs="Arial"/>
          <w:sz w:val="24"/>
          <w14:ligatures w14:val="none"/>
        </w:rPr>
        <w:t>o-occurrence network</w:t>
      </w:r>
      <w:r>
        <w:rPr>
          <w:rFonts w:ascii="Arial" w:hAnsi="Arial" w:cs="Arial" w:hint="eastAsia"/>
          <w:sz w:val="24"/>
          <w14:ligatures w14:val="none"/>
        </w:rPr>
        <w:t>s</w:t>
      </w:r>
      <w:r>
        <w:rPr>
          <w:rFonts w:ascii="Arial" w:hAnsi="Arial" w:cs="Arial"/>
          <w:sz w:val="24"/>
          <w14:ligatures w14:val="none"/>
        </w:rPr>
        <w:t xml:space="preserve"> of five land-use types revealing soil potential multitrophic community interactions. Each node represent</w:t>
      </w:r>
      <w:r>
        <w:rPr>
          <w:rFonts w:ascii="Arial" w:hAnsi="Arial" w:cs="Arial" w:hint="eastAsia"/>
          <w:sz w:val="24"/>
          <w14:ligatures w14:val="none"/>
        </w:rPr>
        <w:t>s</w:t>
      </w:r>
      <w:r>
        <w:rPr>
          <w:rFonts w:ascii="Arial" w:hAnsi="Arial" w:cs="Arial"/>
          <w:sz w:val="24"/>
          <w14:ligatures w14:val="none"/>
        </w:rPr>
        <w:t xml:space="preserve"> an ASV. The nodes </w:t>
      </w:r>
      <w:r>
        <w:rPr>
          <w:rFonts w:ascii="Arial" w:hAnsi="Arial" w:cs="Arial" w:hint="eastAsia"/>
          <w:sz w:val="24"/>
          <w14:ligatures w14:val="none"/>
        </w:rPr>
        <w:t>are</w:t>
      </w:r>
      <w:r>
        <w:rPr>
          <w:rFonts w:ascii="Arial" w:hAnsi="Arial" w:cs="Arial"/>
          <w:sz w:val="24"/>
          <w14:ligatures w14:val="none"/>
        </w:rPr>
        <w:t xml:space="preserve"> clustered according to the category of kingdom and marked with grey (nematode), wathet (arthropod), red (protozoa), yellow (fungi), and blue (bacteria). Each link between the same and different kingdom represent</w:t>
      </w:r>
      <w:r>
        <w:rPr>
          <w:rFonts w:ascii="Arial" w:hAnsi="Arial" w:cs="Arial" w:hint="eastAsia"/>
          <w:sz w:val="24"/>
          <w14:ligatures w14:val="none"/>
        </w:rPr>
        <w:t>s</w:t>
      </w:r>
      <w:r>
        <w:rPr>
          <w:rFonts w:ascii="Arial" w:hAnsi="Arial" w:cs="Arial"/>
          <w:sz w:val="24"/>
          <w14:ligatures w14:val="none"/>
        </w:rPr>
        <w:t xml:space="preserve"> a </w:t>
      </w:r>
      <w:r>
        <w:rPr>
          <w:rFonts w:ascii="Arial" w:hAnsi="Arial" w:cs="Arial"/>
          <w:sz w:val="24"/>
          <w14:ligatures w14:val="none"/>
        </w:rPr>
        <w:lastRenderedPageBreak/>
        <w:t>significant pairwise association between them (</w:t>
      </w:r>
      <w:r>
        <w:rPr>
          <w:rFonts w:ascii="Arial" w:hAnsi="Arial" w:cs="Arial"/>
          <w:i/>
          <w:iCs/>
          <w:sz w:val="24"/>
          <w14:ligatures w14:val="none"/>
        </w:rPr>
        <w:t>P</w:t>
      </w:r>
      <w:r>
        <w:rPr>
          <w:rFonts w:ascii="Arial" w:hAnsi="Arial" w:cs="Arial"/>
          <w:sz w:val="24"/>
          <w14:ligatures w14:val="none"/>
        </w:rPr>
        <w:t xml:space="preserve"> &lt; 0.05). Purple links represent within trophic associations (potential within trophic interactions), while red links represent cross trophic association (potential cross trophic interactions). The solid and dashed lines represent positive and negative associations between nodes, respectively. The thickness of links represents the proportion of a certain type of association.</w:t>
      </w:r>
    </w:p>
    <w:p w:rsidR="00DD44A9" w:rsidRDefault="00000000">
      <w:pPr>
        <w:widowControl/>
        <w:spacing w:after="0" w:line="360" w:lineRule="auto"/>
        <w:jc w:val="center"/>
        <w:rPr>
          <w:rFonts w:ascii="Arial" w:hAnsi="Arial" w:cs="Arial"/>
          <w:b/>
          <w:sz w:val="24"/>
        </w:rPr>
      </w:pPr>
      <w:r>
        <w:rPr>
          <w:rFonts w:ascii="Arial" w:hAnsi="Arial" w:cs="Arial"/>
          <w:b/>
          <w:noProof/>
          <w:sz w:val="24"/>
        </w:rPr>
        <w:drawing>
          <wp:inline distT="0" distB="0" distL="114300" distR="114300">
            <wp:extent cx="5358765" cy="3554730"/>
            <wp:effectExtent l="0" t="0" r="0" b="7620"/>
            <wp:docPr id="10" name="图片 10" descr="eDNA图片(1)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eDNA图片(1)_00(1)"/>
                    <pic:cNvPicPr>
                      <a:picLocks noChangeAspect="1"/>
                    </pic:cNvPicPr>
                  </pic:nvPicPr>
                  <pic:blipFill>
                    <a:blip r:embed="rId11"/>
                    <a:srcRect l="6102" t="9066" r="9231" b="16062"/>
                    <a:stretch>
                      <a:fillRect/>
                    </a:stretch>
                  </pic:blipFill>
                  <pic:spPr>
                    <a:xfrm>
                      <a:off x="0" y="0"/>
                      <a:ext cx="5391129" cy="3575931"/>
                    </a:xfrm>
                    <a:prstGeom prst="rect">
                      <a:avLst/>
                    </a:prstGeom>
                  </pic:spPr>
                </pic:pic>
              </a:graphicData>
            </a:graphic>
          </wp:inline>
        </w:drawing>
      </w:r>
    </w:p>
    <w:p w:rsidR="00DD44A9" w:rsidRDefault="00000000">
      <w:pPr>
        <w:widowControl/>
        <w:spacing w:after="0" w:line="360" w:lineRule="auto"/>
        <w:jc w:val="both"/>
        <w:outlineLvl w:val="1"/>
        <w:rPr>
          <w:rFonts w:ascii="Arial" w:hAnsi="Arial" w:cs="Arial"/>
          <w:b/>
          <w:sz w:val="24"/>
        </w:rPr>
        <w:sectPr w:rsidR="00DD44A9">
          <w:pgSz w:w="16838" w:h="11906" w:orient="landscape"/>
          <w:pgMar w:top="1797" w:right="1440" w:bottom="1797" w:left="1440" w:header="851" w:footer="992" w:gutter="0"/>
          <w:lnNumType w:countBy="1" w:restart="continuous"/>
          <w:cols w:space="425"/>
          <w:docGrid w:type="lines" w:linePitch="312"/>
        </w:sectPr>
      </w:pPr>
      <w:r>
        <w:rPr>
          <w:rFonts w:ascii="Arial" w:hAnsi="Arial" w:cs="Arial"/>
          <w:b/>
          <w:sz w:val="24"/>
        </w:rPr>
        <w:t>Figure S</w:t>
      </w:r>
      <w:r>
        <w:rPr>
          <w:rFonts w:ascii="Arial" w:hAnsi="Arial" w:cs="Arial" w:hint="eastAsia"/>
          <w:b/>
          <w:sz w:val="24"/>
        </w:rPr>
        <w:t>4</w:t>
      </w:r>
      <w:r>
        <w:rPr>
          <w:rFonts w:ascii="Arial" w:hAnsi="Arial" w:cs="Arial"/>
          <w:b/>
          <w:sz w:val="24"/>
        </w:rPr>
        <w:t xml:space="preserve">. </w:t>
      </w:r>
      <w:r>
        <w:rPr>
          <w:rFonts w:ascii="Arial" w:hAnsi="Arial" w:cs="Arial"/>
          <w:sz w:val="24"/>
        </w:rPr>
        <w:t>Variation in the Shannon index of soil multitrophic communities across the five land-use types.</w:t>
      </w:r>
    </w:p>
    <w:p w:rsidR="00DD44A9" w:rsidRDefault="00000000">
      <w:pPr>
        <w:spacing w:after="0" w:line="360" w:lineRule="auto"/>
        <w:jc w:val="both"/>
        <w:outlineLvl w:val="1"/>
        <w:rPr>
          <w:rFonts w:ascii="Arial" w:hAnsi="Arial" w:cs="Arial"/>
          <w:b/>
          <w:bCs/>
          <w:sz w:val="24"/>
        </w:rPr>
      </w:pPr>
      <w:r>
        <w:rPr>
          <w:rFonts w:ascii="Arial" w:hAnsi="Arial" w:cs="Arial"/>
          <w:b/>
          <w:bCs/>
          <w:sz w:val="24"/>
        </w:rPr>
        <w:lastRenderedPageBreak/>
        <w:t>References</w:t>
      </w:r>
    </w:p>
    <w:p w:rsidR="00DD44A9" w:rsidRDefault="00000000">
      <w:pPr>
        <w:pStyle w:val="EndNoteBibliography"/>
        <w:spacing w:after="0" w:line="360" w:lineRule="auto"/>
        <w:ind w:left="480" w:hangingChars="200" w:hanging="480"/>
        <w:jc w:val="both"/>
        <w:rPr>
          <w:rFonts w:ascii="Arial" w:hAnsi="Arial" w:cs="Arial"/>
          <w:sz w:val="24"/>
        </w:rPr>
      </w:pPr>
      <w:r>
        <w:rPr>
          <w:rFonts w:ascii="Arial" w:hAnsi="Arial" w:cs="Arial"/>
          <w:sz w:val="24"/>
        </w:rPr>
        <w:fldChar w:fldCharType="begin"/>
      </w:r>
      <w:r>
        <w:rPr>
          <w:rFonts w:ascii="Arial" w:hAnsi="Arial" w:cs="Arial"/>
          <w:sz w:val="24"/>
        </w:rPr>
        <w:instrText xml:space="preserve"> ADDIN EN.REFLIST </w:instrText>
      </w:r>
      <w:r>
        <w:rPr>
          <w:rFonts w:ascii="Arial" w:hAnsi="Arial" w:cs="Arial"/>
          <w:sz w:val="24"/>
        </w:rPr>
        <w:fldChar w:fldCharType="separate"/>
      </w:r>
      <w:r>
        <w:rPr>
          <w:rFonts w:ascii="Arial" w:hAnsi="Arial" w:cs="Arial"/>
          <w:sz w:val="24"/>
        </w:rPr>
        <w:t>Fei, Y., Huang, S., Zhang, H., Tong, Y., Wen, D., Xia, X., Wang, H., Luo, Y., Barcelo, D., 2020. Response of soil enzyme activities and bacterial communities to the accumulation of microplastics in an acid cropped soil. Sci. Total Environ. 707, 135634.</w:t>
      </w:r>
    </w:p>
    <w:p w:rsidR="00DD44A9" w:rsidRDefault="00000000">
      <w:pPr>
        <w:pStyle w:val="EndNoteBibliography"/>
        <w:spacing w:after="0" w:line="360" w:lineRule="auto"/>
        <w:ind w:left="480" w:hangingChars="200" w:hanging="480"/>
        <w:jc w:val="both"/>
        <w:rPr>
          <w:rFonts w:ascii="Arial" w:hAnsi="Arial" w:cs="Arial"/>
          <w:sz w:val="24"/>
        </w:rPr>
      </w:pPr>
      <w:r>
        <w:rPr>
          <w:rFonts w:ascii="Arial" w:hAnsi="Arial" w:cs="Arial"/>
          <w:sz w:val="24"/>
        </w:rPr>
        <w:t>Liu, Y.-R., Delgado-Baquerizo, M., Wang, J.-T., Hu, H.-W., Yang, Z., He, J.-Z., 2018. New insights into the role of microbial community composition in driving soil respiration rates. Soil Biol. Biochem. 118, 35-41.</w:t>
      </w:r>
    </w:p>
    <w:p w:rsidR="00DD44A9" w:rsidRDefault="00000000">
      <w:pPr>
        <w:spacing w:after="0" w:line="360" w:lineRule="auto"/>
        <w:ind w:left="480" w:hangingChars="200" w:hanging="480"/>
        <w:jc w:val="both"/>
        <w:rPr>
          <w:rFonts w:ascii="Arial" w:hAnsi="Arial" w:cs="Arial"/>
          <w:sz w:val="24"/>
        </w:rPr>
      </w:pPr>
      <w:r>
        <w:rPr>
          <w:rFonts w:ascii="Arial" w:hAnsi="Arial" w:cs="Arial"/>
          <w:sz w:val="24"/>
        </w:rPr>
        <w:fldChar w:fldCharType="end"/>
      </w:r>
    </w:p>
    <w:sectPr w:rsidR="00DD44A9">
      <w:pgSz w:w="11906" w:h="16838"/>
      <w:pgMar w:top="1440" w:right="1797" w:bottom="1440" w:left="1797" w:header="851" w:footer="992" w:gutter="0"/>
      <w:lnNumType w:countBy="1" w:restart="continuous"/>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D37B65" w:rsidRDefault="00D37B65">
      <w:pPr>
        <w:spacing w:line="240" w:lineRule="auto"/>
      </w:pPr>
      <w:r>
        <w:separator/>
      </w:r>
    </w:p>
  </w:endnote>
  <w:endnote w:type="continuationSeparator" w:id="0">
    <w:p w:rsidR="00D37B65" w:rsidRDefault="00D37B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9817650"/>
      <w:docPartObj>
        <w:docPartGallery w:val="AutoText"/>
      </w:docPartObj>
    </w:sdtPr>
    <w:sdtContent>
      <w:p w:rsidR="00DD44A9" w:rsidRDefault="00000000">
        <w:pPr>
          <w:pStyle w:val="a3"/>
          <w:jc w:val="center"/>
        </w:pPr>
        <w:r>
          <w:fldChar w:fldCharType="begin"/>
        </w:r>
        <w:r>
          <w:instrText>PAGE   \* MERGEFORMAT</w:instrText>
        </w:r>
        <w:r>
          <w:fldChar w:fldCharType="separate"/>
        </w:r>
        <w:r>
          <w:rPr>
            <w:lang w:val="zh-CN"/>
          </w:rPr>
          <w:t>2</w:t>
        </w:r>
        <w:r>
          <w:fldChar w:fldCharType="end"/>
        </w:r>
      </w:p>
    </w:sdtContent>
  </w:sdt>
  <w:p w:rsidR="00DD44A9" w:rsidRDefault="00DD44A9">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D37B65" w:rsidRDefault="00D37B65">
      <w:pPr>
        <w:spacing w:after="0"/>
      </w:pPr>
      <w:r>
        <w:separator/>
      </w:r>
    </w:p>
  </w:footnote>
  <w:footnote w:type="continuationSeparator" w:id="0">
    <w:p w:rsidR="00D37B65" w:rsidRDefault="00D37B65">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bordersDoNotSurroundHeader/>
  <w:bordersDoNotSurroundFooter/>
  <w:proofState w:spelling="clean" w:grammar="clean"/>
  <w:defaultTabStop w:val="420"/>
  <w:drawingGridHorizontalSpacing w:val="11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1D2F"/>
    <w:rsid w:val="00051D2F"/>
    <w:rsid w:val="00082C01"/>
    <w:rsid w:val="000D2C89"/>
    <w:rsid w:val="00183D1E"/>
    <w:rsid w:val="0022357D"/>
    <w:rsid w:val="0024204D"/>
    <w:rsid w:val="003C074A"/>
    <w:rsid w:val="004111C4"/>
    <w:rsid w:val="004E651F"/>
    <w:rsid w:val="00641804"/>
    <w:rsid w:val="007051D1"/>
    <w:rsid w:val="007E02AB"/>
    <w:rsid w:val="009C2BB8"/>
    <w:rsid w:val="00D37B65"/>
    <w:rsid w:val="00D872B6"/>
    <w:rsid w:val="00DA2007"/>
    <w:rsid w:val="00DA58D8"/>
    <w:rsid w:val="00DD44A9"/>
    <w:rsid w:val="00E57F34"/>
    <w:rsid w:val="00E64D9A"/>
    <w:rsid w:val="00F37316"/>
    <w:rsid w:val="00F545EC"/>
    <w:rsid w:val="50946DF5"/>
    <w:rsid w:val="780113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DACEC1"/>
  <w15:docId w15:val="{BB44CA4D-55AF-49BC-8F55-076D94602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uiPriority="1" w:unhideWhenUsed="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spacing w:after="160" w:line="278" w:lineRule="auto"/>
    </w:pPr>
    <w:rPr>
      <w:kern w:val="2"/>
      <w:sz w:val="22"/>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pPr>
      <w:tabs>
        <w:tab w:val="center" w:pos="4153"/>
        <w:tab w:val="right" w:pos="8306"/>
      </w:tabs>
      <w:snapToGrid w:val="0"/>
      <w:spacing w:line="240" w:lineRule="auto"/>
    </w:pPr>
    <w:rPr>
      <w:sz w:val="18"/>
      <w:szCs w:val="18"/>
    </w:rPr>
  </w:style>
  <w:style w:type="paragraph" w:styleId="a5">
    <w:name w:val="header"/>
    <w:basedOn w:val="a"/>
    <w:link w:val="a6"/>
    <w:pPr>
      <w:tabs>
        <w:tab w:val="center" w:pos="4153"/>
        <w:tab w:val="right" w:pos="8306"/>
      </w:tabs>
      <w:snapToGrid w:val="0"/>
      <w:spacing w:line="240" w:lineRule="auto"/>
      <w:jc w:val="center"/>
    </w:pPr>
    <w:rPr>
      <w:sz w:val="18"/>
      <w:szCs w:val="18"/>
    </w:rPr>
  </w:style>
  <w:style w:type="character" w:styleId="a7">
    <w:name w:val="line number"/>
    <w:basedOn w:val="a0"/>
  </w:style>
  <w:style w:type="paragraph" w:customStyle="1" w:styleId="EndNoteBibliography">
    <w:name w:val="EndNote Bibliography"/>
    <w:basedOn w:val="a"/>
    <w:qFormat/>
    <w:pPr>
      <w:spacing w:line="240" w:lineRule="auto"/>
      <w:jc w:val="center"/>
    </w:pPr>
    <w:rPr>
      <w:rFonts w:ascii="等线" w:eastAsia="等线" w:hAnsi="等线"/>
    </w:rPr>
  </w:style>
  <w:style w:type="character" w:customStyle="1" w:styleId="a6">
    <w:name w:val="页眉 字符"/>
    <w:basedOn w:val="a0"/>
    <w:link w:val="a5"/>
    <w:rPr>
      <w:kern w:val="2"/>
      <w:sz w:val="18"/>
      <w:szCs w:val="18"/>
      <w14:ligatures w14:val="standardContextual"/>
    </w:rPr>
  </w:style>
  <w:style w:type="character" w:customStyle="1" w:styleId="a4">
    <w:name w:val="页脚 字符"/>
    <w:basedOn w:val="a0"/>
    <w:link w:val="a3"/>
    <w:uiPriority w:val="99"/>
    <w:rPr>
      <w:kern w:val="2"/>
      <w:sz w:val="18"/>
      <w:szCs w:val="18"/>
      <w14:ligatures w14:val="standardContextual"/>
    </w:rPr>
  </w:style>
  <w:style w:type="character" w:styleId="a8">
    <w:name w:val="Hyperlink"/>
    <w:basedOn w:val="a0"/>
    <w:qFormat/>
    <w:rsid w:val="00DA58D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du@iue.ac.cn" TargetMode="External"/><Relationship Id="rId11" Type="http://schemas.openxmlformats.org/officeDocument/2006/relationships/image" Target="media/image4.png"/><Relationship Id="rId5" Type="http://schemas.openxmlformats.org/officeDocument/2006/relationships/endnotes" Target="endnotes.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6</Pages>
  <Words>467</Words>
  <Characters>2668</Characters>
  <Application>Microsoft Office Word</Application>
  <DocSecurity>0</DocSecurity>
  <Lines>22</Lines>
  <Paragraphs>6</Paragraphs>
  <ScaleCrop>false</ScaleCrop>
  <Company/>
  <LinksUpToDate>false</LinksUpToDate>
  <CharactersWithSpaces>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Shuai Du</cp:lastModifiedBy>
  <cp:revision>15</cp:revision>
  <dcterms:created xsi:type="dcterms:W3CDTF">2024-12-05T02:48:00Z</dcterms:created>
  <dcterms:modified xsi:type="dcterms:W3CDTF">2024-12-05T09:19:00Z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886868AE6E09435CA5844733C5246914_12</vt:lpwstr>
  </property>
</Properties>
</file>