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16DCC9" w14:textId="1B0638EA" w:rsidR="00A839EA" w:rsidRPr="000C097D" w:rsidRDefault="009B4F69" w:rsidP="0067359F">
      <w:pPr>
        <w:pStyle w:val="1"/>
        <w:spacing w:beforeLines="50" w:before="156" w:afterLines="50" w:after="156" w:line="360" w:lineRule="auto"/>
        <w:rPr>
          <w:sz w:val="24"/>
          <w:szCs w:val="24"/>
        </w:rPr>
      </w:pPr>
      <w:r w:rsidRPr="000C097D">
        <w:rPr>
          <w:sz w:val="24"/>
          <w:szCs w:val="24"/>
        </w:rPr>
        <w:t>S</w:t>
      </w:r>
      <w:r w:rsidR="00386941" w:rsidRPr="000C097D">
        <w:rPr>
          <w:sz w:val="24"/>
          <w:szCs w:val="24"/>
        </w:rPr>
        <w:t>upplementary Material</w:t>
      </w:r>
    </w:p>
    <w:p w14:paraId="4317DE7E" w14:textId="74D61F64" w:rsidR="00AD2562" w:rsidRPr="000C097D" w:rsidRDefault="00B00225" w:rsidP="00C7567A">
      <w:pPr>
        <w:adjustRightInd w:val="0"/>
        <w:snapToGrid w:val="0"/>
        <w:spacing w:line="480" w:lineRule="auto"/>
        <w:rPr>
          <w:sz w:val="24"/>
          <w:szCs w:val="24"/>
        </w:rPr>
      </w:pPr>
      <w:r w:rsidRPr="000C097D">
        <w:rPr>
          <w:b/>
          <w:bCs/>
          <w:sz w:val="24"/>
          <w:szCs w:val="24"/>
        </w:rPr>
        <w:t>Table S</w:t>
      </w:r>
      <w:r w:rsidR="004F3196" w:rsidRPr="000C097D">
        <w:rPr>
          <w:b/>
          <w:bCs/>
          <w:sz w:val="24"/>
          <w:szCs w:val="24"/>
        </w:rPr>
        <w:t>1</w:t>
      </w:r>
      <w:r w:rsidR="00AF45FE" w:rsidRPr="000C097D">
        <w:rPr>
          <w:sz w:val="24"/>
          <w:szCs w:val="24"/>
        </w:rPr>
        <w:t xml:space="preserve"> A summary of sequence information and classification at different taxonomical levels.</w:t>
      </w:r>
    </w:p>
    <w:p w14:paraId="2BDC4974" w14:textId="0EB4EA92" w:rsidR="00AF45FE" w:rsidRPr="000C097D" w:rsidRDefault="00AF45FE" w:rsidP="00C7567A">
      <w:pPr>
        <w:adjustRightInd w:val="0"/>
        <w:snapToGrid w:val="0"/>
        <w:spacing w:line="480" w:lineRule="auto"/>
        <w:rPr>
          <w:kern w:val="0"/>
          <w:sz w:val="24"/>
          <w:szCs w:val="24"/>
        </w:rPr>
      </w:pPr>
      <w:r w:rsidRPr="000C097D">
        <w:rPr>
          <w:b/>
          <w:sz w:val="24"/>
          <w:szCs w:val="24"/>
        </w:rPr>
        <w:t>Table S</w:t>
      </w:r>
      <w:r w:rsidR="004F3196" w:rsidRPr="000C097D">
        <w:rPr>
          <w:b/>
          <w:sz w:val="24"/>
          <w:szCs w:val="24"/>
        </w:rPr>
        <w:t>2</w:t>
      </w:r>
      <w:r w:rsidRPr="000C097D">
        <w:rPr>
          <w:b/>
          <w:kern w:val="0"/>
          <w:sz w:val="24"/>
          <w:szCs w:val="24"/>
        </w:rPr>
        <w:t xml:space="preserve"> </w:t>
      </w:r>
      <w:r w:rsidRPr="000C097D">
        <w:rPr>
          <w:kern w:val="0"/>
          <w:sz w:val="24"/>
          <w:szCs w:val="24"/>
        </w:rPr>
        <w:t xml:space="preserve">Network topological properties of </w:t>
      </w:r>
      <w:r w:rsidRPr="000C097D">
        <w:rPr>
          <w:rFonts w:eastAsia="等线"/>
          <w:kern w:val="0"/>
          <w:sz w:val="24"/>
          <w:szCs w:val="24"/>
        </w:rPr>
        <w:t>the methanogenic and methanotrophic networks</w:t>
      </w:r>
      <w:r w:rsidRPr="000C097D">
        <w:rPr>
          <w:kern w:val="0"/>
          <w:sz w:val="24"/>
          <w:szCs w:val="24"/>
        </w:rPr>
        <w:t>.</w:t>
      </w:r>
    </w:p>
    <w:p w14:paraId="35CCCC6B" w14:textId="77777777" w:rsidR="00F23973" w:rsidRPr="000C097D" w:rsidRDefault="00F23973" w:rsidP="00C7567A">
      <w:pPr>
        <w:adjustRightInd w:val="0"/>
        <w:snapToGrid w:val="0"/>
        <w:spacing w:line="480" w:lineRule="auto"/>
        <w:rPr>
          <w:sz w:val="24"/>
          <w:szCs w:val="24"/>
        </w:rPr>
      </w:pPr>
      <w:r w:rsidRPr="000C097D">
        <w:rPr>
          <w:b/>
          <w:bCs/>
          <w:sz w:val="24"/>
          <w:szCs w:val="24"/>
        </w:rPr>
        <w:t>Fig. S1</w:t>
      </w:r>
      <w:r w:rsidRPr="000C097D">
        <w:rPr>
          <w:sz w:val="24"/>
          <w:szCs w:val="24"/>
        </w:rPr>
        <w:t xml:space="preserve"> SPEC-OCCU plots show the specialist species of three earthworm treatments (EF, MJ and CK) at different temperatures (14.2 °C and 17.2 °C). CK: control treatment; EF:</w:t>
      </w:r>
      <w:r w:rsidRPr="000C097D">
        <w:rPr>
          <w:i/>
          <w:iCs/>
          <w:sz w:val="24"/>
          <w:szCs w:val="24"/>
        </w:rPr>
        <w:t xml:space="preserve"> Eisenia foetida</w:t>
      </w:r>
      <w:r w:rsidRPr="000C097D">
        <w:rPr>
          <w:sz w:val="24"/>
          <w:szCs w:val="24"/>
        </w:rPr>
        <w:t xml:space="preserve">-induced; MJ: </w:t>
      </w:r>
      <w:r w:rsidRPr="000C097D">
        <w:rPr>
          <w:i/>
          <w:iCs/>
          <w:sz w:val="24"/>
          <w:szCs w:val="24"/>
        </w:rPr>
        <w:t>Moniligaster japonicus</w:t>
      </w:r>
      <w:r w:rsidRPr="000C097D">
        <w:rPr>
          <w:sz w:val="24"/>
          <w:szCs w:val="24"/>
        </w:rPr>
        <w:t>-induced.</w:t>
      </w:r>
    </w:p>
    <w:p w14:paraId="7E79DEF0" w14:textId="77777777" w:rsidR="009141D7" w:rsidRPr="000C097D" w:rsidRDefault="009141D7" w:rsidP="00C7567A">
      <w:pPr>
        <w:adjustRightInd w:val="0"/>
        <w:snapToGrid w:val="0"/>
        <w:spacing w:line="480" w:lineRule="auto"/>
        <w:rPr>
          <w:sz w:val="24"/>
          <w:szCs w:val="24"/>
        </w:rPr>
      </w:pPr>
      <w:r w:rsidRPr="000C097D">
        <w:rPr>
          <w:b/>
          <w:bCs/>
          <w:color w:val="000000" w:themeColor="text1"/>
          <w:sz w:val="24"/>
          <w:szCs w:val="24"/>
        </w:rPr>
        <w:t>Fig.</w:t>
      </w:r>
      <w:r w:rsidRPr="000C097D">
        <w:rPr>
          <w:b/>
          <w:bCs/>
          <w:sz w:val="24"/>
          <w:szCs w:val="24"/>
        </w:rPr>
        <w:t xml:space="preserve"> S2 </w:t>
      </w:r>
      <w:r w:rsidRPr="000C097D">
        <w:rPr>
          <w:color w:val="000000" w:themeColor="text1"/>
          <w:sz w:val="24"/>
          <w:szCs w:val="24"/>
        </w:rPr>
        <w:t xml:space="preserve">Correlations between soil methanogenic </w:t>
      </w:r>
      <w:r w:rsidRPr="000C097D">
        <w:rPr>
          <w:rFonts w:eastAsia="等线"/>
          <w:color w:val="000000" w:themeColor="text1"/>
          <w:kern w:val="0"/>
          <w:sz w:val="24"/>
          <w:szCs w:val="24"/>
        </w:rPr>
        <w:t xml:space="preserve">and </w:t>
      </w:r>
      <w:r w:rsidRPr="000C097D">
        <w:rPr>
          <w:color w:val="000000" w:themeColor="text1"/>
          <w:sz w:val="24"/>
          <w:szCs w:val="24"/>
        </w:rPr>
        <w:t xml:space="preserve">methanotrophic </w:t>
      </w:r>
      <w:r w:rsidRPr="000C097D">
        <w:rPr>
          <w:rFonts w:eastAsia="等线"/>
          <w:color w:val="000000" w:themeColor="text1"/>
          <w:kern w:val="0"/>
          <w:sz w:val="24"/>
          <w:szCs w:val="24"/>
        </w:rPr>
        <w:t xml:space="preserve">communities </w:t>
      </w:r>
      <w:r w:rsidRPr="000C097D">
        <w:rPr>
          <w:color w:val="000000" w:themeColor="text1"/>
          <w:sz w:val="24"/>
          <w:szCs w:val="24"/>
        </w:rPr>
        <w:t>with environmental factor by mantel tests based on Pearson correlations. Edge widths correspond to r value and edge color indicate statistical significance. Pairwise comparisons between environmental factors are shown on a color gradient and boxes containing Pearson's correlation coefficients *</w:t>
      </w:r>
      <w:r w:rsidRPr="000C097D">
        <w:rPr>
          <w:i/>
          <w:iCs/>
          <w:color w:val="000000" w:themeColor="text1"/>
          <w:sz w:val="24"/>
          <w:szCs w:val="24"/>
        </w:rPr>
        <w:t>p</w:t>
      </w:r>
      <w:r w:rsidRPr="000C097D">
        <w:rPr>
          <w:color w:val="000000" w:themeColor="text1"/>
          <w:sz w:val="24"/>
          <w:szCs w:val="24"/>
        </w:rPr>
        <w:t xml:space="preserve"> &lt; 0.05 and **</w:t>
      </w:r>
      <w:r w:rsidRPr="000C097D">
        <w:rPr>
          <w:i/>
          <w:iCs/>
          <w:color w:val="000000" w:themeColor="text1"/>
          <w:sz w:val="24"/>
          <w:szCs w:val="24"/>
        </w:rPr>
        <w:t>p</w:t>
      </w:r>
      <w:r w:rsidRPr="000C097D">
        <w:rPr>
          <w:color w:val="000000" w:themeColor="text1"/>
          <w:sz w:val="24"/>
          <w:szCs w:val="24"/>
        </w:rPr>
        <w:t xml:space="preserve"> &lt; 0.01</w:t>
      </w:r>
    </w:p>
    <w:p w14:paraId="1DBB3E6A" w14:textId="370618AD" w:rsidR="002545D9" w:rsidRPr="00F10757" w:rsidRDefault="002545D9">
      <w:pPr>
        <w:widowControl/>
        <w:jc w:val="left"/>
        <w:rPr>
          <w:sz w:val="22"/>
          <w:szCs w:val="22"/>
        </w:rPr>
      </w:pPr>
      <w:r w:rsidRPr="00F10757">
        <w:rPr>
          <w:sz w:val="22"/>
          <w:szCs w:val="22"/>
        </w:rPr>
        <w:br w:type="page"/>
      </w:r>
    </w:p>
    <w:p w14:paraId="1CA29C10" w14:textId="51455D73" w:rsidR="006A40FD" w:rsidRPr="000C097D" w:rsidRDefault="0062048E" w:rsidP="006A40FD">
      <w:pPr>
        <w:adjustRightInd w:val="0"/>
        <w:snapToGrid w:val="0"/>
        <w:spacing w:line="480" w:lineRule="auto"/>
        <w:rPr>
          <w:sz w:val="24"/>
          <w:szCs w:val="24"/>
        </w:rPr>
      </w:pPr>
      <w:r w:rsidRPr="000C097D">
        <w:rPr>
          <w:b/>
          <w:bCs/>
          <w:sz w:val="24"/>
          <w:szCs w:val="24"/>
        </w:rPr>
        <w:lastRenderedPageBreak/>
        <w:t>Table S</w:t>
      </w:r>
      <w:r w:rsidRPr="000C097D">
        <w:rPr>
          <w:rFonts w:hint="eastAsia"/>
          <w:b/>
          <w:bCs/>
          <w:sz w:val="24"/>
          <w:szCs w:val="24"/>
        </w:rPr>
        <w:t>1</w:t>
      </w:r>
      <w:r w:rsidRPr="000C097D">
        <w:rPr>
          <w:sz w:val="24"/>
          <w:szCs w:val="24"/>
        </w:rPr>
        <w:t xml:space="preserve"> A summary of sequence information and classification at different taxonomical levels</w:t>
      </w:r>
    </w:p>
    <w:tbl>
      <w:tblPr>
        <w:tblW w:w="5891" w:type="pct"/>
        <w:jc w:val="center"/>
        <w:tblLayout w:type="fixed"/>
        <w:tblLook w:val="04A0" w:firstRow="1" w:lastRow="0" w:firstColumn="1" w:lastColumn="0" w:noHBand="0" w:noVBand="1"/>
      </w:tblPr>
      <w:tblGrid>
        <w:gridCol w:w="1845"/>
        <w:gridCol w:w="1667"/>
        <w:gridCol w:w="836"/>
        <w:gridCol w:w="1000"/>
        <w:gridCol w:w="834"/>
        <w:gridCol w:w="838"/>
        <w:gridCol w:w="1022"/>
        <w:gridCol w:w="820"/>
        <w:gridCol w:w="924"/>
      </w:tblGrid>
      <w:tr w:rsidR="00EF78CB" w:rsidRPr="00575FA4" w14:paraId="5707D02B" w14:textId="77777777" w:rsidTr="00EF78CB">
        <w:trPr>
          <w:trHeight w:val="438"/>
          <w:jc w:val="center"/>
        </w:trPr>
        <w:tc>
          <w:tcPr>
            <w:tcW w:w="9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49D061" w14:textId="08C11A4F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CBE66B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Total sequence number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534DCA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OTUs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DC440E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Phylum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2BA8B9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Class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F4A0AA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Order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C48355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Family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EF2B19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Genus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55220B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Species</w:t>
            </w:r>
          </w:p>
        </w:tc>
      </w:tr>
      <w:tr w:rsidR="00EF78CB" w:rsidRPr="00575FA4" w14:paraId="12D1EBD2" w14:textId="77777777" w:rsidTr="00EF78CB">
        <w:trPr>
          <w:trHeight w:val="438"/>
          <w:jc w:val="center"/>
        </w:trPr>
        <w:tc>
          <w:tcPr>
            <w:tcW w:w="9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C9E918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Methanogens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03801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1,084,146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7142A0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408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15B9CF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5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861132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10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4E5A38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15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E7F2E1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24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5D8818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30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3AB8D8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45</w:t>
            </w:r>
          </w:p>
        </w:tc>
      </w:tr>
      <w:tr w:rsidR="00EF78CB" w:rsidRPr="00575FA4" w14:paraId="07B437B7" w14:textId="77777777" w:rsidTr="00EF78CB">
        <w:trPr>
          <w:trHeight w:val="438"/>
          <w:jc w:val="center"/>
        </w:trPr>
        <w:tc>
          <w:tcPr>
            <w:tcW w:w="9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50975B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 xml:space="preserve">Methanotrophs </w:t>
            </w: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CB3D27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1,043,490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F5B266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1,456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C9B37D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F7CAB4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2844D0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11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E4CF48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11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F0D067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17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77D1B0" w14:textId="77777777" w:rsidR="006A40FD" w:rsidRPr="00575FA4" w:rsidRDefault="006A40F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kern w:val="0"/>
                <w:sz w:val="20"/>
                <w:szCs w:val="20"/>
              </w:rPr>
              <w:t>24</w:t>
            </w:r>
          </w:p>
        </w:tc>
      </w:tr>
    </w:tbl>
    <w:p w14:paraId="1EB860C7" w14:textId="41A85D53" w:rsidR="00835E57" w:rsidRPr="00F10757" w:rsidRDefault="00835E57">
      <w:pPr>
        <w:widowControl/>
        <w:jc w:val="left"/>
        <w:rPr>
          <w:b/>
          <w:bCs/>
          <w:sz w:val="22"/>
          <w:szCs w:val="22"/>
        </w:rPr>
      </w:pPr>
      <w:r w:rsidRPr="00F10757">
        <w:rPr>
          <w:b/>
          <w:bCs/>
          <w:sz w:val="22"/>
          <w:szCs w:val="22"/>
        </w:rPr>
        <w:br w:type="page"/>
      </w:r>
    </w:p>
    <w:p w14:paraId="77B0B651" w14:textId="244CCFDA" w:rsidR="00CF4BED" w:rsidRPr="000C097D" w:rsidRDefault="000D53F6" w:rsidP="00CF4BED">
      <w:pPr>
        <w:widowControl/>
        <w:adjustRightInd w:val="0"/>
        <w:snapToGrid w:val="0"/>
        <w:spacing w:line="480" w:lineRule="auto"/>
        <w:rPr>
          <w:kern w:val="0"/>
          <w:sz w:val="24"/>
          <w:szCs w:val="24"/>
        </w:rPr>
      </w:pPr>
      <w:r w:rsidRPr="000C097D">
        <w:rPr>
          <w:b/>
          <w:sz w:val="24"/>
          <w:szCs w:val="24"/>
        </w:rPr>
        <w:lastRenderedPageBreak/>
        <w:t>Table S</w:t>
      </w:r>
      <w:r w:rsidRPr="000C097D">
        <w:rPr>
          <w:rFonts w:hint="eastAsia"/>
          <w:b/>
          <w:sz w:val="24"/>
          <w:szCs w:val="24"/>
        </w:rPr>
        <w:t>2</w:t>
      </w:r>
      <w:r w:rsidRPr="000C097D">
        <w:rPr>
          <w:b/>
          <w:kern w:val="0"/>
          <w:sz w:val="24"/>
          <w:szCs w:val="24"/>
        </w:rPr>
        <w:t xml:space="preserve"> </w:t>
      </w:r>
      <w:r w:rsidRPr="000C097D">
        <w:rPr>
          <w:kern w:val="0"/>
          <w:sz w:val="24"/>
          <w:szCs w:val="24"/>
        </w:rPr>
        <w:t xml:space="preserve">Network topological properties of </w:t>
      </w:r>
      <w:r w:rsidRPr="000C097D">
        <w:rPr>
          <w:rFonts w:eastAsia="等线"/>
          <w:kern w:val="0"/>
          <w:sz w:val="24"/>
          <w:szCs w:val="24"/>
        </w:rPr>
        <w:t>the methanogenic and methanotrophic networks</w:t>
      </w:r>
    </w:p>
    <w:tbl>
      <w:tblPr>
        <w:tblW w:w="10719" w:type="dxa"/>
        <w:jc w:val="center"/>
        <w:tblLayout w:type="fixed"/>
        <w:tblLook w:val="04A0" w:firstRow="1" w:lastRow="0" w:firstColumn="1" w:lastColumn="0" w:noHBand="0" w:noVBand="1"/>
      </w:tblPr>
      <w:tblGrid>
        <w:gridCol w:w="800"/>
        <w:gridCol w:w="105"/>
        <w:gridCol w:w="666"/>
        <w:gridCol w:w="746"/>
        <w:gridCol w:w="957"/>
        <w:gridCol w:w="1147"/>
        <w:gridCol w:w="1209"/>
        <w:gridCol w:w="251"/>
        <w:gridCol w:w="773"/>
        <w:gridCol w:w="747"/>
        <w:gridCol w:w="957"/>
        <w:gridCol w:w="1147"/>
        <w:gridCol w:w="1207"/>
        <w:gridCol w:w="7"/>
      </w:tblGrid>
      <w:tr w:rsidR="00CF4BED" w:rsidRPr="00575FA4" w14:paraId="1F6F8C6B" w14:textId="77777777" w:rsidTr="00746535">
        <w:trPr>
          <w:trHeight w:val="419"/>
          <w:jc w:val="center"/>
        </w:trPr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4F3D95" w14:textId="2F0118E0" w:rsidR="00CF4BED" w:rsidRPr="00575FA4" w:rsidRDefault="00CF4BE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FA5637" w14:textId="77777777" w:rsidR="00CF4BED" w:rsidRPr="00575FA4" w:rsidRDefault="00CF4BE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Methanogenic network</w:t>
            </w:r>
          </w:p>
        </w:tc>
        <w:tc>
          <w:tcPr>
            <w:tcW w:w="2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CA7B10" w14:textId="582423AA" w:rsidR="00CF4BED" w:rsidRPr="00575FA4" w:rsidRDefault="00CF4BED" w:rsidP="00240326">
            <w:pPr>
              <w:widowControl/>
              <w:adjustRightInd w:val="0"/>
              <w:snapToGrid w:val="0"/>
              <w:jc w:val="left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8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DFCAB0" w14:textId="77777777" w:rsidR="00CF4BED" w:rsidRPr="00575FA4" w:rsidRDefault="00CF4BE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Methanotrophic network</w:t>
            </w:r>
          </w:p>
        </w:tc>
      </w:tr>
      <w:tr w:rsidR="00CF4BED" w:rsidRPr="00575FA4" w14:paraId="1EC771DD" w14:textId="77777777" w:rsidTr="00746535">
        <w:trPr>
          <w:gridAfter w:val="1"/>
          <w:wAfter w:w="6" w:type="dxa"/>
          <w:trHeight w:val="932"/>
          <w:jc w:val="center"/>
        </w:trPr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6AAD7B" w14:textId="6DC16308" w:rsidR="00CF4BED" w:rsidRPr="00575FA4" w:rsidRDefault="00CF4BE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8DFB89" w14:textId="77777777" w:rsidR="00CF4BED" w:rsidRPr="00575FA4" w:rsidRDefault="00CF4BE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Nodes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F784EC" w14:textId="77777777" w:rsidR="00CF4BED" w:rsidRPr="00575FA4" w:rsidRDefault="00CF4BE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Edges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B31684" w14:textId="77777777" w:rsidR="00CF4BED" w:rsidRPr="00575FA4" w:rsidRDefault="00CF4BE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Average path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73BC6A" w14:textId="77777777" w:rsidR="00CF4BED" w:rsidRPr="00575FA4" w:rsidRDefault="00CF4BE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Average Clustering coefficient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100F04" w14:textId="77777777" w:rsidR="00CF4BED" w:rsidRPr="00575FA4" w:rsidRDefault="00CF4BE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Modularity (Module number)</w:t>
            </w:r>
          </w:p>
        </w:tc>
        <w:tc>
          <w:tcPr>
            <w:tcW w:w="2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1CE47F" w14:textId="7D7905DF" w:rsidR="00CF4BED" w:rsidRPr="00575FA4" w:rsidRDefault="00CF4BE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76A006" w14:textId="77777777" w:rsidR="00CF4BED" w:rsidRPr="00575FA4" w:rsidRDefault="00CF4BE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Nodes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E5CF62" w14:textId="77777777" w:rsidR="00CF4BED" w:rsidRPr="00575FA4" w:rsidRDefault="00CF4BE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Edges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51CE34" w14:textId="77777777" w:rsidR="00CF4BED" w:rsidRPr="00575FA4" w:rsidRDefault="00CF4BE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Average path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604E13" w14:textId="77777777" w:rsidR="00CF4BED" w:rsidRPr="00575FA4" w:rsidRDefault="00CF4BE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Average Clustering coefficient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9FF6B0" w14:textId="77777777" w:rsidR="00CF4BED" w:rsidRPr="00575FA4" w:rsidRDefault="00CF4BED" w:rsidP="00240326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Modularity (Module number)</w:t>
            </w:r>
          </w:p>
        </w:tc>
      </w:tr>
      <w:tr w:rsidR="00CF4BED" w:rsidRPr="00575FA4" w14:paraId="41808735" w14:textId="77777777" w:rsidTr="00746535">
        <w:trPr>
          <w:gridAfter w:val="1"/>
          <w:wAfter w:w="7" w:type="dxa"/>
          <w:trHeight w:val="301"/>
          <w:jc w:val="center"/>
        </w:trPr>
        <w:tc>
          <w:tcPr>
            <w:tcW w:w="90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680067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14.2°C CK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45673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130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523E3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2981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E9873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1.660 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B5D94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0.414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1BC87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0.139 </w:t>
            </w:r>
          </w:p>
        </w:tc>
        <w:tc>
          <w:tcPr>
            <w:tcW w:w="2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AA3EA3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1EAE0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143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C7E27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4739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04B6C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1.549 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A6359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0.376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22EF7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0.123 </w:t>
            </w:r>
          </w:p>
        </w:tc>
      </w:tr>
      <w:tr w:rsidR="00CF4BED" w:rsidRPr="00575FA4" w14:paraId="4BF81857" w14:textId="77777777" w:rsidTr="00746535">
        <w:trPr>
          <w:gridAfter w:val="1"/>
          <w:wAfter w:w="7" w:type="dxa"/>
          <w:trHeight w:val="301"/>
          <w:jc w:val="center"/>
        </w:trPr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CFCF0C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14.2°C EF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6F48D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144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07BFE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4085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1B701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1.616 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6AB9C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0.407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23818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0.128 </w:t>
            </w: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EEC1F1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3107E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150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C98B9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5241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BE114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1.550 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67716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0.384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35105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0.125 </w:t>
            </w:r>
          </w:p>
        </w:tc>
      </w:tr>
      <w:tr w:rsidR="00CF4BED" w:rsidRPr="00575FA4" w14:paraId="200882D8" w14:textId="77777777" w:rsidTr="00746535">
        <w:trPr>
          <w:gridAfter w:val="1"/>
          <w:wAfter w:w="7" w:type="dxa"/>
          <w:trHeight w:val="301"/>
          <w:jc w:val="center"/>
        </w:trPr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CA8E43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14.2°C MJ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04CDA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155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0F69F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4507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23123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1.634 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40F5D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0.423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E422C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0.130 </w:t>
            </w: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D4E3A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EE268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137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099BA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4731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66EA1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1.508 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EEC36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0.438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87F4D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0.129 </w:t>
            </w:r>
          </w:p>
        </w:tc>
      </w:tr>
      <w:tr w:rsidR="00CF4BED" w:rsidRPr="00575FA4" w14:paraId="7DBFEA8B" w14:textId="77777777" w:rsidTr="00746535">
        <w:trPr>
          <w:gridAfter w:val="1"/>
          <w:wAfter w:w="7" w:type="dxa"/>
          <w:trHeight w:val="301"/>
          <w:jc w:val="center"/>
        </w:trPr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905218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17.2°C CK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A09FC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138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DC2EB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3519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B8375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1.638 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EE5A3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0.427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C78A8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0.142 </w:t>
            </w: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1D81B9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674FF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174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30580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7256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6AF14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1.539 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786E0" w14:textId="70F481AA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 w:hint="eastAsia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0.38</w:t>
            </w:r>
            <w:r w:rsidR="00F168F2">
              <w:rPr>
                <w:rFonts w:eastAsia="等线" w:hint="eastAsia"/>
                <w:color w:val="000000" w:themeColor="text1"/>
                <w:kern w:val="0"/>
                <w:sz w:val="20"/>
                <w:szCs w:val="20"/>
              </w:rPr>
              <w:t>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E0343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0.120 </w:t>
            </w:r>
          </w:p>
        </w:tc>
      </w:tr>
      <w:tr w:rsidR="00CF4BED" w:rsidRPr="00575FA4" w14:paraId="29CA0536" w14:textId="77777777" w:rsidTr="00746535">
        <w:trPr>
          <w:gridAfter w:val="1"/>
          <w:wAfter w:w="7" w:type="dxa"/>
          <w:trHeight w:val="301"/>
          <w:jc w:val="center"/>
        </w:trPr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95C218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17.2°C EF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3E643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143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5867D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4089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51D7D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1.613 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9011A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0.406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C213B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0.119 </w:t>
            </w: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33A5A8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6F3F9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146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A7E68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4903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04BA7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1.556 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3007C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0.409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68570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0.129 </w:t>
            </w:r>
          </w:p>
        </w:tc>
      </w:tr>
      <w:tr w:rsidR="00CF4BED" w:rsidRPr="00575FA4" w14:paraId="510E2474" w14:textId="77777777" w:rsidTr="00746535">
        <w:trPr>
          <w:gridAfter w:val="1"/>
          <w:wAfter w:w="7" w:type="dxa"/>
          <w:trHeight w:val="311"/>
          <w:jc w:val="center"/>
        </w:trPr>
        <w:tc>
          <w:tcPr>
            <w:tcW w:w="9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36B545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17.2°C MJ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D4EAF0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148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45CEFA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4227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224C32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1.624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D21246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0.371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13E7DD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0.115 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B2DA6F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72A34C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168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EF85AF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6565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E853B5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1.554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E00506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>0.352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2D687C" w14:textId="77777777" w:rsidR="00CF4BED" w:rsidRPr="00575FA4" w:rsidRDefault="00CF4BED" w:rsidP="009A02AA">
            <w:pPr>
              <w:widowControl/>
              <w:adjustRightInd w:val="0"/>
              <w:snapToGrid w:val="0"/>
              <w:jc w:val="center"/>
              <w:rPr>
                <w:rFonts w:eastAsia="等线"/>
                <w:color w:val="000000" w:themeColor="text1"/>
                <w:kern w:val="0"/>
                <w:sz w:val="20"/>
                <w:szCs w:val="20"/>
              </w:rPr>
            </w:pPr>
            <w:r w:rsidRPr="00575FA4">
              <w:rPr>
                <w:rFonts w:eastAsia="等线"/>
                <w:color w:val="000000" w:themeColor="text1"/>
                <w:kern w:val="0"/>
                <w:sz w:val="20"/>
                <w:szCs w:val="20"/>
              </w:rPr>
              <w:t xml:space="preserve">0.114 </w:t>
            </w:r>
          </w:p>
        </w:tc>
      </w:tr>
    </w:tbl>
    <w:p w14:paraId="5E2EF3C2" w14:textId="77777777" w:rsidR="003801BC" w:rsidRDefault="00142B64" w:rsidP="00F51FD6">
      <w:pPr>
        <w:widowControl/>
        <w:adjustRightInd w:val="0"/>
        <w:snapToGrid w:val="0"/>
        <w:spacing w:line="480" w:lineRule="auto"/>
        <w:rPr>
          <w:rFonts w:eastAsia="等线"/>
          <w:color w:val="000000" w:themeColor="text1"/>
          <w:kern w:val="0"/>
          <w:sz w:val="22"/>
          <w:szCs w:val="22"/>
        </w:rPr>
        <w:sectPr w:rsidR="003801BC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10757">
        <w:rPr>
          <w:rFonts w:eastAsia="等线"/>
          <w:color w:val="000000" w:themeColor="text1"/>
          <w:sz w:val="22"/>
          <w:szCs w:val="22"/>
        </w:rPr>
        <w:t>CK:</w:t>
      </w:r>
      <w:r w:rsidRPr="00F10757">
        <w:rPr>
          <w:sz w:val="22"/>
          <w:szCs w:val="22"/>
        </w:rPr>
        <w:t xml:space="preserve"> </w:t>
      </w:r>
      <w:r w:rsidRPr="00F10757">
        <w:rPr>
          <w:rFonts w:eastAsia="等线"/>
          <w:color w:val="000000" w:themeColor="text1"/>
          <w:sz w:val="22"/>
          <w:szCs w:val="22"/>
        </w:rPr>
        <w:t>control treatment; EF:</w:t>
      </w:r>
      <w:r w:rsidRPr="00F10757">
        <w:rPr>
          <w:rFonts w:eastAsia="等线"/>
          <w:i/>
          <w:iCs/>
          <w:color w:val="000000" w:themeColor="text1"/>
          <w:kern w:val="0"/>
          <w:sz w:val="22"/>
          <w:szCs w:val="22"/>
        </w:rPr>
        <w:t xml:space="preserve"> Eisenia foetida-</w:t>
      </w:r>
      <w:r w:rsidRPr="00F10757">
        <w:rPr>
          <w:rFonts w:eastAsia="等线"/>
          <w:color w:val="000000" w:themeColor="text1"/>
          <w:kern w:val="0"/>
          <w:sz w:val="22"/>
          <w:szCs w:val="22"/>
        </w:rPr>
        <w:t>induced</w:t>
      </w:r>
      <w:r w:rsidRPr="00F10757">
        <w:rPr>
          <w:rFonts w:eastAsia="等线"/>
          <w:color w:val="000000" w:themeColor="text1"/>
          <w:sz w:val="22"/>
          <w:szCs w:val="22"/>
        </w:rPr>
        <w:t>; MJ:</w:t>
      </w:r>
      <w:r w:rsidRPr="00F10757">
        <w:rPr>
          <w:rFonts w:eastAsia="等线"/>
          <w:i/>
          <w:iCs/>
          <w:color w:val="000000" w:themeColor="text1"/>
          <w:kern w:val="0"/>
          <w:sz w:val="22"/>
          <w:szCs w:val="22"/>
        </w:rPr>
        <w:t xml:space="preserve"> Moniligaster japonicus-</w:t>
      </w:r>
      <w:r w:rsidRPr="00F10757">
        <w:rPr>
          <w:rFonts w:eastAsia="等线"/>
          <w:color w:val="000000" w:themeColor="text1"/>
          <w:kern w:val="0"/>
          <w:sz w:val="22"/>
          <w:szCs w:val="22"/>
        </w:rPr>
        <w:t>induced</w:t>
      </w:r>
    </w:p>
    <w:p w14:paraId="3E87C25D" w14:textId="425CF157" w:rsidR="00C15E76" w:rsidRPr="00F10757" w:rsidRDefault="00C15E76" w:rsidP="00C15E76">
      <w:pPr>
        <w:adjustRightInd w:val="0"/>
        <w:snapToGrid w:val="0"/>
        <w:spacing w:line="480" w:lineRule="auto"/>
        <w:jc w:val="center"/>
        <w:rPr>
          <w:sz w:val="22"/>
          <w:szCs w:val="22"/>
        </w:rPr>
      </w:pPr>
      <w:r w:rsidRPr="00F10757">
        <w:rPr>
          <w:noProof/>
          <w:sz w:val="22"/>
          <w:szCs w:val="22"/>
        </w:rPr>
        <w:lastRenderedPageBreak/>
        <w:drawing>
          <wp:inline distT="0" distB="0" distL="0" distR="0" wp14:anchorId="34E722E5" wp14:editId="22327DD7">
            <wp:extent cx="5271770" cy="3296920"/>
            <wp:effectExtent l="0" t="0" r="508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329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84019" w14:textId="77777777" w:rsidR="00C15E76" w:rsidRPr="00F10757" w:rsidRDefault="00C15E76" w:rsidP="00C15E76">
      <w:pPr>
        <w:adjustRightInd w:val="0"/>
        <w:snapToGrid w:val="0"/>
        <w:spacing w:line="480" w:lineRule="auto"/>
        <w:jc w:val="center"/>
        <w:rPr>
          <w:sz w:val="22"/>
          <w:szCs w:val="22"/>
        </w:rPr>
      </w:pPr>
      <w:r w:rsidRPr="00F10757">
        <w:rPr>
          <w:noProof/>
          <w:sz w:val="22"/>
          <w:szCs w:val="22"/>
        </w:rPr>
        <w:drawing>
          <wp:inline distT="0" distB="0" distL="0" distR="0" wp14:anchorId="061261FF" wp14:editId="0A4632A8">
            <wp:extent cx="5269230" cy="3089275"/>
            <wp:effectExtent l="0" t="0" r="762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308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0008DF" w14:textId="14A7D6AF" w:rsidR="000C097D" w:rsidRDefault="00AD0290" w:rsidP="00C15E76">
      <w:pPr>
        <w:adjustRightInd w:val="0"/>
        <w:snapToGrid w:val="0"/>
        <w:spacing w:line="480" w:lineRule="auto"/>
        <w:rPr>
          <w:sz w:val="24"/>
          <w:szCs w:val="24"/>
        </w:rPr>
      </w:pPr>
      <w:r w:rsidRPr="000C097D">
        <w:rPr>
          <w:b/>
          <w:bCs/>
          <w:sz w:val="24"/>
          <w:szCs w:val="24"/>
        </w:rPr>
        <w:t>Fig</w:t>
      </w:r>
      <w:r w:rsidR="005B765C" w:rsidRPr="000C097D">
        <w:rPr>
          <w:rFonts w:hint="eastAsia"/>
          <w:b/>
          <w:bCs/>
          <w:sz w:val="24"/>
          <w:szCs w:val="24"/>
        </w:rPr>
        <w:t>.</w:t>
      </w:r>
      <w:r w:rsidRPr="000C097D">
        <w:rPr>
          <w:b/>
          <w:bCs/>
          <w:sz w:val="24"/>
          <w:szCs w:val="24"/>
        </w:rPr>
        <w:t xml:space="preserve"> S</w:t>
      </w:r>
      <w:r w:rsidR="00F51FD6" w:rsidRPr="000C097D">
        <w:rPr>
          <w:rFonts w:hint="eastAsia"/>
          <w:b/>
          <w:bCs/>
          <w:sz w:val="24"/>
          <w:szCs w:val="24"/>
        </w:rPr>
        <w:t>1</w:t>
      </w:r>
      <w:r w:rsidRPr="000C097D">
        <w:rPr>
          <w:sz w:val="24"/>
          <w:szCs w:val="24"/>
        </w:rPr>
        <w:t xml:space="preserve"> SPEC-OCCU plots show the specialist species of three earthworm treatments (EF, MJ and CK) at different temperatures (14.2 °C and 17.2 °C)</w:t>
      </w:r>
      <w:r w:rsidR="00A12B87" w:rsidRPr="000C097D">
        <w:rPr>
          <w:sz w:val="24"/>
          <w:szCs w:val="24"/>
        </w:rPr>
        <w:t xml:space="preserve">. </w:t>
      </w:r>
      <w:r w:rsidR="000331B6" w:rsidRPr="000C097D">
        <w:rPr>
          <w:sz w:val="24"/>
          <w:szCs w:val="24"/>
        </w:rPr>
        <w:t>CK: control treatment; EF:</w:t>
      </w:r>
      <w:r w:rsidR="000331B6" w:rsidRPr="000C097D">
        <w:rPr>
          <w:i/>
          <w:iCs/>
          <w:sz w:val="24"/>
          <w:szCs w:val="24"/>
        </w:rPr>
        <w:t xml:space="preserve"> Eisenia foetida</w:t>
      </w:r>
      <w:r w:rsidR="000331B6" w:rsidRPr="000C097D">
        <w:rPr>
          <w:sz w:val="24"/>
          <w:szCs w:val="24"/>
        </w:rPr>
        <w:t xml:space="preserve">-induced; MJ: </w:t>
      </w:r>
      <w:r w:rsidR="000331B6" w:rsidRPr="000C097D">
        <w:rPr>
          <w:i/>
          <w:iCs/>
          <w:sz w:val="24"/>
          <w:szCs w:val="24"/>
        </w:rPr>
        <w:t>Moniligaster japonicus</w:t>
      </w:r>
      <w:r w:rsidR="000331B6" w:rsidRPr="000C097D">
        <w:rPr>
          <w:sz w:val="24"/>
          <w:szCs w:val="24"/>
        </w:rPr>
        <w:t>-induced</w:t>
      </w:r>
      <w:r w:rsidR="00444B28" w:rsidRPr="000C097D">
        <w:rPr>
          <w:rFonts w:hint="eastAsia"/>
          <w:sz w:val="24"/>
          <w:szCs w:val="24"/>
        </w:rPr>
        <w:t>.</w:t>
      </w:r>
    </w:p>
    <w:p w14:paraId="05E3AE0D" w14:textId="77777777" w:rsidR="000C097D" w:rsidRDefault="000C097D">
      <w:pPr>
        <w:widowControl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1DB35DEC" w14:textId="77777777" w:rsidR="003E0761" w:rsidRDefault="003E0761" w:rsidP="003E0761">
      <w:pPr>
        <w:widowControl/>
        <w:adjustRightInd w:val="0"/>
        <w:snapToGrid w:val="0"/>
        <w:spacing w:line="480" w:lineRule="auto"/>
        <w:jc w:val="center"/>
        <w:rPr>
          <w:color w:val="000000" w:themeColor="text1"/>
          <w:sz w:val="24"/>
          <w:szCs w:val="24"/>
        </w:rPr>
      </w:pPr>
      <w:r w:rsidRPr="00B6603E">
        <w:rPr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424B5039" wp14:editId="5E517CDD">
            <wp:extent cx="5274310" cy="2919095"/>
            <wp:effectExtent l="0" t="0" r="2540" b="0"/>
            <wp:docPr id="107028385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1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5FA7C1" w14:textId="53B4CB3C" w:rsidR="003E0761" w:rsidRPr="00F10757" w:rsidRDefault="003E0761" w:rsidP="000C097D">
      <w:pPr>
        <w:adjustRightInd w:val="0"/>
        <w:snapToGrid w:val="0"/>
        <w:spacing w:line="480" w:lineRule="auto"/>
        <w:rPr>
          <w:sz w:val="22"/>
          <w:szCs w:val="22"/>
        </w:rPr>
      </w:pPr>
      <w:r w:rsidRPr="00C17547">
        <w:rPr>
          <w:b/>
          <w:bCs/>
          <w:color w:val="000000" w:themeColor="text1"/>
          <w:sz w:val="24"/>
          <w:szCs w:val="24"/>
        </w:rPr>
        <w:t>Fig.</w:t>
      </w:r>
      <w:r w:rsidRPr="00C17547">
        <w:rPr>
          <w:b/>
          <w:bCs/>
          <w:sz w:val="24"/>
          <w:szCs w:val="24"/>
        </w:rPr>
        <w:t xml:space="preserve"> </w:t>
      </w:r>
      <w:r w:rsidR="006F4B40">
        <w:rPr>
          <w:rFonts w:hint="eastAsia"/>
          <w:b/>
          <w:bCs/>
          <w:sz w:val="24"/>
          <w:szCs w:val="24"/>
        </w:rPr>
        <w:t>S2</w:t>
      </w:r>
      <w:r w:rsidRPr="00C17547">
        <w:rPr>
          <w:rFonts w:hint="eastAsia"/>
          <w:b/>
          <w:bCs/>
          <w:sz w:val="24"/>
          <w:szCs w:val="24"/>
        </w:rPr>
        <w:t xml:space="preserve"> </w:t>
      </w:r>
      <w:r w:rsidRPr="00C17547">
        <w:rPr>
          <w:color w:val="000000" w:themeColor="text1"/>
          <w:sz w:val="24"/>
          <w:szCs w:val="24"/>
        </w:rPr>
        <w:t>Correlations between soil</w:t>
      </w:r>
      <w:r w:rsidRPr="00C17547">
        <w:rPr>
          <w:rFonts w:hint="eastAsia"/>
          <w:color w:val="000000" w:themeColor="text1"/>
          <w:sz w:val="24"/>
          <w:szCs w:val="24"/>
        </w:rPr>
        <w:t xml:space="preserve"> </w:t>
      </w:r>
      <w:r w:rsidRPr="00C17547">
        <w:rPr>
          <w:color w:val="000000" w:themeColor="text1"/>
          <w:sz w:val="24"/>
          <w:szCs w:val="24"/>
        </w:rPr>
        <w:t>methanogenic</w:t>
      </w:r>
      <w:r w:rsidRPr="00C17547">
        <w:rPr>
          <w:rFonts w:hint="eastAsia"/>
          <w:color w:val="000000" w:themeColor="text1"/>
          <w:sz w:val="24"/>
          <w:szCs w:val="24"/>
        </w:rPr>
        <w:t xml:space="preserve"> </w:t>
      </w:r>
      <w:r w:rsidRPr="00C17547">
        <w:rPr>
          <w:rFonts w:eastAsia="等线" w:hint="eastAsia"/>
          <w:color w:val="000000" w:themeColor="text1"/>
          <w:kern w:val="0"/>
          <w:sz w:val="24"/>
          <w:szCs w:val="24"/>
        </w:rPr>
        <w:t xml:space="preserve">and </w:t>
      </w:r>
      <w:r w:rsidRPr="00C17547">
        <w:rPr>
          <w:color w:val="000000" w:themeColor="text1"/>
          <w:sz w:val="24"/>
          <w:szCs w:val="24"/>
        </w:rPr>
        <w:t>methanotrophic</w:t>
      </w:r>
      <w:r w:rsidRPr="00C17547">
        <w:rPr>
          <w:rFonts w:hint="eastAsia"/>
          <w:color w:val="000000" w:themeColor="text1"/>
          <w:sz w:val="24"/>
          <w:szCs w:val="24"/>
        </w:rPr>
        <w:t xml:space="preserve"> </w:t>
      </w:r>
      <w:r w:rsidRPr="00C17547">
        <w:rPr>
          <w:rFonts w:eastAsia="等线"/>
          <w:color w:val="000000" w:themeColor="text1"/>
          <w:kern w:val="0"/>
          <w:sz w:val="24"/>
          <w:szCs w:val="24"/>
        </w:rPr>
        <w:t>communities</w:t>
      </w:r>
      <w:r w:rsidRPr="00C17547">
        <w:rPr>
          <w:rFonts w:eastAsia="等线" w:hint="eastAsia"/>
          <w:color w:val="000000" w:themeColor="text1"/>
          <w:kern w:val="0"/>
          <w:sz w:val="24"/>
          <w:szCs w:val="24"/>
        </w:rPr>
        <w:t xml:space="preserve"> </w:t>
      </w:r>
      <w:r w:rsidRPr="00C17547">
        <w:rPr>
          <w:color w:val="000000" w:themeColor="text1"/>
          <w:sz w:val="24"/>
          <w:szCs w:val="24"/>
        </w:rPr>
        <w:t>with environmental factor</w:t>
      </w:r>
      <w:r w:rsidRPr="00C17547">
        <w:rPr>
          <w:rFonts w:hint="eastAsia"/>
          <w:color w:val="000000" w:themeColor="text1"/>
          <w:sz w:val="24"/>
          <w:szCs w:val="24"/>
        </w:rPr>
        <w:t xml:space="preserve"> </w:t>
      </w:r>
      <w:r w:rsidRPr="00C17547">
        <w:rPr>
          <w:color w:val="000000" w:themeColor="text1"/>
          <w:sz w:val="24"/>
          <w:szCs w:val="24"/>
        </w:rPr>
        <w:t>by mantel tests based on Pearson correlations.</w:t>
      </w:r>
      <w:r w:rsidRPr="00C17547">
        <w:rPr>
          <w:rFonts w:hint="eastAsia"/>
          <w:color w:val="000000" w:themeColor="text1"/>
          <w:sz w:val="24"/>
          <w:szCs w:val="24"/>
        </w:rPr>
        <w:t xml:space="preserve"> </w:t>
      </w:r>
      <w:r w:rsidRPr="00C17547">
        <w:rPr>
          <w:color w:val="000000" w:themeColor="text1"/>
          <w:sz w:val="24"/>
          <w:szCs w:val="24"/>
        </w:rPr>
        <w:t>Edge</w:t>
      </w:r>
      <w:r w:rsidRPr="00C17547">
        <w:rPr>
          <w:rFonts w:hint="eastAsia"/>
          <w:color w:val="000000" w:themeColor="text1"/>
          <w:sz w:val="24"/>
          <w:szCs w:val="24"/>
        </w:rPr>
        <w:t xml:space="preserve"> </w:t>
      </w:r>
      <w:r w:rsidRPr="00C17547">
        <w:rPr>
          <w:color w:val="000000" w:themeColor="text1"/>
          <w:sz w:val="24"/>
          <w:szCs w:val="24"/>
        </w:rPr>
        <w:t>widths correspond to r value and edge color indicate statistical</w:t>
      </w:r>
      <w:r w:rsidRPr="00C17547">
        <w:rPr>
          <w:rFonts w:hint="eastAsia"/>
          <w:color w:val="000000" w:themeColor="text1"/>
          <w:sz w:val="24"/>
          <w:szCs w:val="24"/>
        </w:rPr>
        <w:t xml:space="preserve"> </w:t>
      </w:r>
      <w:r w:rsidRPr="00C17547">
        <w:rPr>
          <w:color w:val="000000" w:themeColor="text1"/>
          <w:sz w:val="24"/>
          <w:szCs w:val="24"/>
        </w:rPr>
        <w:t>significance. Pairwise comparisons between environmental factors are</w:t>
      </w:r>
      <w:r w:rsidRPr="00C17547">
        <w:rPr>
          <w:rFonts w:hint="eastAsia"/>
          <w:color w:val="000000" w:themeColor="text1"/>
          <w:sz w:val="24"/>
          <w:szCs w:val="24"/>
        </w:rPr>
        <w:t xml:space="preserve"> </w:t>
      </w:r>
      <w:r w:rsidRPr="00C17547">
        <w:rPr>
          <w:color w:val="000000" w:themeColor="text1"/>
          <w:sz w:val="24"/>
          <w:szCs w:val="24"/>
        </w:rPr>
        <w:t>shown on a color gradient and boxes containing Pearson's correlation</w:t>
      </w:r>
      <w:r w:rsidRPr="00C17547">
        <w:rPr>
          <w:rFonts w:hint="eastAsia"/>
          <w:color w:val="000000" w:themeColor="text1"/>
          <w:sz w:val="24"/>
          <w:szCs w:val="24"/>
        </w:rPr>
        <w:t xml:space="preserve"> </w:t>
      </w:r>
      <w:r w:rsidRPr="00C17547">
        <w:rPr>
          <w:color w:val="000000" w:themeColor="text1"/>
          <w:sz w:val="24"/>
          <w:szCs w:val="24"/>
        </w:rPr>
        <w:t>coefficients *</w:t>
      </w:r>
      <w:r w:rsidRPr="0085506B">
        <w:rPr>
          <w:i/>
          <w:iCs/>
          <w:color w:val="000000" w:themeColor="text1"/>
          <w:sz w:val="24"/>
          <w:szCs w:val="24"/>
        </w:rPr>
        <w:t>p</w:t>
      </w:r>
      <w:r w:rsidRPr="00C17547">
        <w:rPr>
          <w:color w:val="000000" w:themeColor="text1"/>
          <w:sz w:val="24"/>
          <w:szCs w:val="24"/>
        </w:rPr>
        <w:t xml:space="preserve"> &lt; 0.05 and **</w:t>
      </w:r>
      <w:r w:rsidRPr="006B6741">
        <w:rPr>
          <w:i/>
          <w:iCs/>
          <w:color w:val="000000" w:themeColor="text1"/>
          <w:sz w:val="24"/>
          <w:szCs w:val="24"/>
        </w:rPr>
        <w:t>p</w:t>
      </w:r>
      <w:r w:rsidRPr="00C17547">
        <w:rPr>
          <w:color w:val="000000" w:themeColor="text1"/>
          <w:sz w:val="24"/>
          <w:szCs w:val="24"/>
        </w:rPr>
        <w:t xml:space="preserve"> &lt; 0.01</w:t>
      </w:r>
    </w:p>
    <w:sectPr w:rsidR="003E0761" w:rsidRPr="00F10757" w:rsidSect="006722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BA5615" w14:textId="77777777" w:rsidR="00C34127" w:rsidRDefault="00C34127" w:rsidP="00386941">
      <w:r>
        <w:separator/>
      </w:r>
    </w:p>
  </w:endnote>
  <w:endnote w:type="continuationSeparator" w:id="0">
    <w:p w14:paraId="4B631877" w14:textId="77777777" w:rsidR="00C34127" w:rsidRDefault="00C34127" w:rsidP="00386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588266" w14:textId="77777777" w:rsidR="00C34127" w:rsidRDefault="00C34127" w:rsidP="00386941">
      <w:r>
        <w:separator/>
      </w:r>
    </w:p>
  </w:footnote>
  <w:footnote w:type="continuationSeparator" w:id="0">
    <w:p w14:paraId="322537CA" w14:textId="77777777" w:rsidR="00C34127" w:rsidRDefault="00C34127" w:rsidP="003869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A38"/>
    <w:rsid w:val="000019C4"/>
    <w:rsid w:val="00012AB8"/>
    <w:rsid w:val="000331B6"/>
    <w:rsid w:val="000471A6"/>
    <w:rsid w:val="000679B0"/>
    <w:rsid w:val="00086814"/>
    <w:rsid w:val="000C030F"/>
    <w:rsid w:val="000C097D"/>
    <w:rsid w:val="000C399A"/>
    <w:rsid w:val="000D53F6"/>
    <w:rsid w:val="000E7817"/>
    <w:rsid w:val="0010726B"/>
    <w:rsid w:val="00142B64"/>
    <w:rsid w:val="00154D21"/>
    <w:rsid w:val="001D1E2E"/>
    <w:rsid w:val="00202CAC"/>
    <w:rsid w:val="00207A38"/>
    <w:rsid w:val="00213ECC"/>
    <w:rsid w:val="002401E8"/>
    <w:rsid w:val="00242C0B"/>
    <w:rsid w:val="002545D9"/>
    <w:rsid w:val="002778C6"/>
    <w:rsid w:val="002861DD"/>
    <w:rsid w:val="002E40AF"/>
    <w:rsid w:val="003801BC"/>
    <w:rsid w:val="00386941"/>
    <w:rsid w:val="003B35D4"/>
    <w:rsid w:val="003C4597"/>
    <w:rsid w:val="003D50DB"/>
    <w:rsid w:val="003E0761"/>
    <w:rsid w:val="003F3DE2"/>
    <w:rsid w:val="00415CE4"/>
    <w:rsid w:val="0041625F"/>
    <w:rsid w:val="00420972"/>
    <w:rsid w:val="00423FEF"/>
    <w:rsid w:val="00444B28"/>
    <w:rsid w:val="00466105"/>
    <w:rsid w:val="00471376"/>
    <w:rsid w:val="0047291E"/>
    <w:rsid w:val="00480ABE"/>
    <w:rsid w:val="004E746A"/>
    <w:rsid w:val="004F3196"/>
    <w:rsid w:val="005041DC"/>
    <w:rsid w:val="005067BD"/>
    <w:rsid w:val="00521F8E"/>
    <w:rsid w:val="00556A3A"/>
    <w:rsid w:val="00563EA1"/>
    <w:rsid w:val="00572336"/>
    <w:rsid w:val="00575FA4"/>
    <w:rsid w:val="00576172"/>
    <w:rsid w:val="00585043"/>
    <w:rsid w:val="005856C1"/>
    <w:rsid w:val="005A13E8"/>
    <w:rsid w:val="005B487D"/>
    <w:rsid w:val="005B765C"/>
    <w:rsid w:val="005F420F"/>
    <w:rsid w:val="0062048E"/>
    <w:rsid w:val="00633389"/>
    <w:rsid w:val="00641F0B"/>
    <w:rsid w:val="00650528"/>
    <w:rsid w:val="006722B1"/>
    <w:rsid w:val="0067359F"/>
    <w:rsid w:val="006830F9"/>
    <w:rsid w:val="00690693"/>
    <w:rsid w:val="006A210F"/>
    <w:rsid w:val="006A39EF"/>
    <w:rsid w:val="006A40FD"/>
    <w:rsid w:val="006C578D"/>
    <w:rsid w:val="006F4B40"/>
    <w:rsid w:val="00721554"/>
    <w:rsid w:val="00722DE4"/>
    <w:rsid w:val="0073113A"/>
    <w:rsid w:val="0073494F"/>
    <w:rsid w:val="00737BD7"/>
    <w:rsid w:val="00746535"/>
    <w:rsid w:val="007679E1"/>
    <w:rsid w:val="0077493A"/>
    <w:rsid w:val="007D2274"/>
    <w:rsid w:val="007E0257"/>
    <w:rsid w:val="007E3F2B"/>
    <w:rsid w:val="007E4661"/>
    <w:rsid w:val="007F5702"/>
    <w:rsid w:val="00830BA7"/>
    <w:rsid w:val="00835E57"/>
    <w:rsid w:val="00871E25"/>
    <w:rsid w:val="00871EC9"/>
    <w:rsid w:val="00875F96"/>
    <w:rsid w:val="0088562B"/>
    <w:rsid w:val="008C43B8"/>
    <w:rsid w:val="008E1BC2"/>
    <w:rsid w:val="009141D7"/>
    <w:rsid w:val="009250CD"/>
    <w:rsid w:val="00945168"/>
    <w:rsid w:val="00995866"/>
    <w:rsid w:val="009A02AA"/>
    <w:rsid w:val="009A18B0"/>
    <w:rsid w:val="009B4F69"/>
    <w:rsid w:val="009B77B1"/>
    <w:rsid w:val="009D4519"/>
    <w:rsid w:val="009E7A7F"/>
    <w:rsid w:val="00A12B87"/>
    <w:rsid w:val="00A207CD"/>
    <w:rsid w:val="00A426E4"/>
    <w:rsid w:val="00A53B8B"/>
    <w:rsid w:val="00A61B98"/>
    <w:rsid w:val="00A81540"/>
    <w:rsid w:val="00A839EA"/>
    <w:rsid w:val="00AD0290"/>
    <w:rsid w:val="00AD2562"/>
    <w:rsid w:val="00AE3661"/>
    <w:rsid w:val="00AF45FE"/>
    <w:rsid w:val="00B00225"/>
    <w:rsid w:val="00B115C7"/>
    <w:rsid w:val="00B144F7"/>
    <w:rsid w:val="00B36F93"/>
    <w:rsid w:val="00B47A86"/>
    <w:rsid w:val="00B75370"/>
    <w:rsid w:val="00B82A7F"/>
    <w:rsid w:val="00BB1E37"/>
    <w:rsid w:val="00BE5EC7"/>
    <w:rsid w:val="00BF5E13"/>
    <w:rsid w:val="00C15E76"/>
    <w:rsid w:val="00C34127"/>
    <w:rsid w:val="00C7567A"/>
    <w:rsid w:val="00CF16D0"/>
    <w:rsid w:val="00CF4BED"/>
    <w:rsid w:val="00D269C4"/>
    <w:rsid w:val="00D41641"/>
    <w:rsid w:val="00D47BEA"/>
    <w:rsid w:val="00D80FD2"/>
    <w:rsid w:val="00D94B91"/>
    <w:rsid w:val="00D94D85"/>
    <w:rsid w:val="00DB6010"/>
    <w:rsid w:val="00DF7919"/>
    <w:rsid w:val="00E34130"/>
    <w:rsid w:val="00EA0B56"/>
    <w:rsid w:val="00EE5C3A"/>
    <w:rsid w:val="00EF1B08"/>
    <w:rsid w:val="00EF6B10"/>
    <w:rsid w:val="00EF78CB"/>
    <w:rsid w:val="00F10757"/>
    <w:rsid w:val="00F12583"/>
    <w:rsid w:val="00F168F2"/>
    <w:rsid w:val="00F23973"/>
    <w:rsid w:val="00F4788F"/>
    <w:rsid w:val="00F51FD6"/>
    <w:rsid w:val="00F5407A"/>
    <w:rsid w:val="00F73D2B"/>
    <w:rsid w:val="00F77038"/>
    <w:rsid w:val="00FA6E00"/>
    <w:rsid w:val="00FB1B12"/>
    <w:rsid w:val="00FC3A9C"/>
    <w:rsid w:val="00FD5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E1D3AA3"/>
  <w15:chartTrackingRefBased/>
  <w15:docId w15:val="{B5A147D2-BFA8-4528-9775-CAA56009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微软雅黑" w:hAnsi="Times New Roman" w:cs="Times New Roman"/>
        <w:color w:val="000000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97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7291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69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8694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869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86941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47291E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380</Words>
  <Characters>2170</Characters>
  <Application>Microsoft Office Word</Application>
  <DocSecurity>0</DocSecurity>
  <Lines>18</Lines>
  <Paragraphs>5</Paragraphs>
  <ScaleCrop>false</ScaleCrop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康 蛋</dc:creator>
  <cp:keywords/>
  <dc:description/>
  <cp:lastModifiedBy>蛋 康</cp:lastModifiedBy>
  <cp:revision>164</cp:revision>
  <dcterms:created xsi:type="dcterms:W3CDTF">2023-03-15T05:50:00Z</dcterms:created>
  <dcterms:modified xsi:type="dcterms:W3CDTF">2024-05-24T15:05:00Z</dcterms:modified>
</cp:coreProperties>
</file>