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CDF42" w14:textId="0AD3E6BC" w:rsidR="004C05E6" w:rsidRPr="009156AE" w:rsidRDefault="004C05E6" w:rsidP="004C05E6">
      <w:pPr>
        <w:jc w:val="center"/>
        <w:rPr>
          <w:rFonts w:ascii="Times New Roman" w:hAnsi="Times New Roman" w:cs="Times New Roman"/>
        </w:rPr>
      </w:pPr>
      <w:r w:rsidRPr="009156AE">
        <w:rPr>
          <w:rFonts w:ascii="Times New Roman" w:hAnsi="Times New Roman" w:cs="Times New Roman"/>
          <w:noProof/>
        </w:rPr>
        <w:drawing>
          <wp:inline distT="0" distB="0" distL="0" distR="0" wp14:anchorId="656F2311" wp14:editId="73A13750">
            <wp:extent cx="2714625" cy="2510585"/>
            <wp:effectExtent l="0" t="0" r="0" b="444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51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DDCFD" w14:textId="3FA1F22A" w:rsidR="001D0523" w:rsidRPr="00A94346" w:rsidRDefault="004C05E6" w:rsidP="004C05E6">
      <w:pPr>
        <w:jc w:val="both"/>
        <w:rPr>
          <w:rFonts w:ascii="Times New Roman" w:hAnsi="Times New Roman" w:cs="Times New Roman"/>
          <w:lang w:val="en-US"/>
        </w:rPr>
      </w:pPr>
      <w:r w:rsidRPr="00A94346">
        <w:rPr>
          <w:rFonts w:ascii="Times New Roman" w:hAnsi="Times New Roman" w:cs="Times New Roman"/>
          <w:b/>
          <w:lang w:val="en-US"/>
        </w:rPr>
        <w:t xml:space="preserve">Fig </w:t>
      </w:r>
      <w:r w:rsidR="001D0523" w:rsidRPr="00A94346">
        <w:rPr>
          <w:rFonts w:ascii="Times New Roman" w:hAnsi="Times New Roman" w:cs="Times New Roman"/>
          <w:b/>
          <w:lang w:val="en-US"/>
        </w:rPr>
        <w:t>S1</w:t>
      </w:r>
      <w:r w:rsidRPr="00A94346">
        <w:rPr>
          <w:rFonts w:ascii="Times New Roman" w:hAnsi="Times New Roman" w:cs="Times New Roman"/>
          <w:lang w:val="en-US"/>
        </w:rPr>
        <w:t xml:space="preserve"> Concentration of environmental DNA extracted in the biochar amended (dark grey) and the control soil (light grey) for non-inoculated (No </w:t>
      </w:r>
      <w:proofErr w:type="spellStart"/>
      <w:r w:rsidRPr="00A94346">
        <w:rPr>
          <w:rFonts w:ascii="Times New Roman" w:hAnsi="Times New Roman" w:cs="Times New Roman"/>
          <w:lang w:val="en-US"/>
        </w:rPr>
        <w:t>Inoc</w:t>
      </w:r>
      <w:proofErr w:type="spellEnd"/>
      <w:r w:rsidRPr="00A94346">
        <w:rPr>
          <w:rFonts w:ascii="Times New Roman" w:hAnsi="Times New Roman" w:cs="Times New Roman"/>
          <w:lang w:val="en-US"/>
        </w:rPr>
        <w:t xml:space="preserve">), inoculated with </w:t>
      </w:r>
      <w:r w:rsidRPr="00A94346">
        <w:rPr>
          <w:rFonts w:ascii="Times New Roman" w:hAnsi="Times New Roman" w:cs="Times New Roman"/>
          <w:i/>
          <w:iCs/>
          <w:lang w:val="en-US"/>
        </w:rPr>
        <w:t xml:space="preserve">Bacillus </w:t>
      </w:r>
      <w:proofErr w:type="spellStart"/>
      <w:r w:rsidRPr="00A94346">
        <w:rPr>
          <w:rFonts w:ascii="Times New Roman" w:hAnsi="Times New Roman" w:cs="Times New Roman"/>
          <w:i/>
          <w:iCs/>
          <w:lang w:val="en-US"/>
        </w:rPr>
        <w:t>velezensis</w:t>
      </w:r>
      <w:proofErr w:type="spellEnd"/>
      <w:r w:rsidRPr="00A94346">
        <w:rPr>
          <w:rFonts w:ascii="Times New Roman" w:hAnsi="Times New Roman" w:cs="Times New Roman"/>
          <w:lang w:val="en-US"/>
        </w:rPr>
        <w:t xml:space="preserve"> (+ Bac) or </w:t>
      </w:r>
      <w:r w:rsidRPr="00A94346">
        <w:rPr>
          <w:rFonts w:ascii="Times New Roman" w:hAnsi="Times New Roman" w:cs="Times New Roman"/>
          <w:i/>
          <w:iCs/>
          <w:lang w:val="en-US"/>
        </w:rPr>
        <w:t xml:space="preserve">Trichoderma virens </w:t>
      </w:r>
      <w:r w:rsidRPr="00A94346">
        <w:rPr>
          <w:rFonts w:ascii="Times New Roman" w:hAnsi="Times New Roman" w:cs="Times New Roman"/>
          <w:lang w:val="en-US"/>
        </w:rPr>
        <w:t xml:space="preserve">(+ </w:t>
      </w:r>
      <w:proofErr w:type="spellStart"/>
      <w:r w:rsidRPr="00A94346">
        <w:rPr>
          <w:rFonts w:ascii="Times New Roman" w:hAnsi="Times New Roman" w:cs="Times New Roman"/>
          <w:lang w:val="en-US"/>
        </w:rPr>
        <w:t>Tric</w:t>
      </w:r>
      <w:proofErr w:type="spellEnd"/>
      <w:r w:rsidRPr="00A94346">
        <w:rPr>
          <w:rFonts w:ascii="Times New Roman" w:hAnsi="Times New Roman" w:cs="Times New Roman"/>
          <w:lang w:val="en-US"/>
        </w:rPr>
        <w:t>). Data are the mean and standard deviation of 3 replicates</w:t>
      </w:r>
      <w:r w:rsidR="008F4191">
        <w:rPr>
          <w:rFonts w:ascii="Times New Roman" w:hAnsi="Times New Roman" w:cs="Times New Roman"/>
          <w:lang w:val="en-US"/>
        </w:rPr>
        <w:t xml:space="preserve">. No </w:t>
      </w:r>
      <w:r w:rsidR="008F4191" w:rsidRPr="008F4191">
        <w:rPr>
          <w:rFonts w:ascii="Times New Roman" w:hAnsi="Times New Roman" w:cs="Times New Roman"/>
          <w:lang w:val="en-US"/>
        </w:rPr>
        <w:t>significant differences (P&lt;0.05) among treatments</w:t>
      </w:r>
      <w:r w:rsidR="008F4191">
        <w:rPr>
          <w:rFonts w:ascii="Times New Roman" w:hAnsi="Times New Roman" w:cs="Times New Roman"/>
          <w:lang w:val="en-US"/>
        </w:rPr>
        <w:t xml:space="preserve"> were found. </w:t>
      </w:r>
    </w:p>
    <w:p w14:paraId="5486C441" w14:textId="77777777" w:rsidR="001D0523" w:rsidRPr="00A94346" w:rsidRDefault="001D0523" w:rsidP="001D0523">
      <w:pPr>
        <w:jc w:val="both"/>
        <w:rPr>
          <w:rFonts w:ascii="Times New Roman" w:hAnsi="Times New Roman" w:cs="Times New Roman"/>
          <w:lang w:val="en-US"/>
        </w:rPr>
      </w:pPr>
      <w:r w:rsidRPr="00A94346">
        <w:rPr>
          <w:rFonts w:ascii="Times New Roman" w:hAnsi="Times New Roman" w:cs="Times New Roman"/>
          <w:lang w:val="en-US"/>
        </w:rPr>
        <w:br w:type="page"/>
      </w:r>
    </w:p>
    <w:p w14:paraId="66D080D6" w14:textId="019444BC" w:rsidR="001D0523" w:rsidRPr="009156AE" w:rsidRDefault="00B625F0" w:rsidP="00B625F0">
      <w:pPr>
        <w:jc w:val="center"/>
        <w:rPr>
          <w:rFonts w:ascii="Times New Roman" w:hAnsi="Times New Roman" w:cs="Times New Roman"/>
        </w:rPr>
      </w:pPr>
      <w:r w:rsidRPr="00B625F0">
        <w:rPr>
          <w:noProof/>
        </w:rPr>
        <w:lastRenderedPageBreak/>
        <w:drawing>
          <wp:inline distT="0" distB="0" distL="0" distR="0" wp14:anchorId="5393A594" wp14:editId="38301B42">
            <wp:extent cx="5060748" cy="2419243"/>
            <wp:effectExtent l="0" t="0" r="6985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144" cy="242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E610D" w14:textId="77777777" w:rsidR="001D0523" w:rsidRPr="009156AE" w:rsidRDefault="001D0523" w:rsidP="001D0523">
      <w:pPr>
        <w:jc w:val="both"/>
        <w:rPr>
          <w:rFonts w:ascii="Times New Roman" w:hAnsi="Times New Roman" w:cs="Times New Roman"/>
        </w:rPr>
      </w:pPr>
    </w:p>
    <w:p w14:paraId="3628878F" w14:textId="5547DBEC" w:rsidR="001D0523" w:rsidRPr="00A94346" w:rsidRDefault="001D0523" w:rsidP="001D0523">
      <w:pPr>
        <w:jc w:val="both"/>
        <w:rPr>
          <w:rFonts w:ascii="Times New Roman" w:hAnsi="Times New Roman" w:cs="Times New Roman"/>
          <w:lang w:val="en-US"/>
        </w:rPr>
      </w:pPr>
      <w:r w:rsidRPr="00A94346">
        <w:rPr>
          <w:rFonts w:ascii="Times New Roman" w:hAnsi="Times New Roman" w:cs="Times New Roman"/>
          <w:b/>
          <w:lang w:val="en-US"/>
        </w:rPr>
        <w:t>Fig S2</w:t>
      </w:r>
      <w:r w:rsidRPr="00A94346">
        <w:rPr>
          <w:rFonts w:ascii="Times New Roman" w:hAnsi="Times New Roman" w:cs="Times New Roman"/>
          <w:lang w:val="en-US"/>
        </w:rPr>
        <w:t xml:space="preserve"> </w:t>
      </w:r>
      <w:r w:rsidR="00B625F0" w:rsidRPr="00A94346">
        <w:rPr>
          <w:rFonts w:ascii="Times New Roman" w:hAnsi="Times New Roman" w:cs="Times New Roman"/>
          <w:lang w:val="en-US"/>
        </w:rPr>
        <w:t>Bacterial T-RF</w:t>
      </w:r>
      <w:r w:rsidRPr="00A94346">
        <w:rPr>
          <w:rFonts w:ascii="Times New Roman" w:hAnsi="Times New Roman" w:cs="Times New Roman"/>
          <w:lang w:val="en-US"/>
        </w:rPr>
        <w:t xml:space="preserve"> (</w:t>
      </w:r>
      <w:r w:rsidR="00B625F0" w:rsidRPr="00A94346">
        <w:rPr>
          <w:rFonts w:ascii="Times New Roman" w:hAnsi="Times New Roman" w:cs="Times New Roman"/>
          <w:lang w:val="en-US"/>
        </w:rPr>
        <w:t>left</w:t>
      </w:r>
      <w:r w:rsidRPr="00A94346">
        <w:rPr>
          <w:rFonts w:ascii="Times New Roman" w:hAnsi="Times New Roman" w:cs="Times New Roman"/>
          <w:lang w:val="en-US"/>
        </w:rPr>
        <w:t>)</w:t>
      </w:r>
      <w:r w:rsidR="00B625F0" w:rsidRPr="00A94346">
        <w:rPr>
          <w:rFonts w:ascii="Times New Roman" w:hAnsi="Times New Roman" w:cs="Times New Roman"/>
          <w:lang w:val="en-US"/>
        </w:rPr>
        <w:t xml:space="preserve"> and fungal ARISA fragments (right) </w:t>
      </w:r>
      <w:r w:rsidRPr="00A94346">
        <w:rPr>
          <w:rFonts w:ascii="Times New Roman" w:hAnsi="Times New Roman" w:cs="Times New Roman"/>
          <w:lang w:val="en-US"/>
        </w:rPr>
        <w:t xml:space="preserve">in the biochar amended (dark grey) and the control soil (light grey) for non-inoculated (No </w:t>
      </w:r>
      <w:proofErr w:type="spellStart"/>
      <w:r w:rsidRPr="00A94346">
        <w:rPr>
          <w:rFonts w:ascii="Times New Roman" w:hAnsi="Times New Roman" w:cs="Times New Roman"/>
          <w:lang w:val="en-US"/>
        </w:rPr>
        <w:t>Inoc</w:t>
      </w:r>
      <w:proofErr w:type="spellEnd"/>
      <w:r w:rsidRPr="00A94346">
        <w:rPr>
          <w:rFonts w:ascii="Times New Roman" w:hAnsi="Times New Roman" w:cs="Times New Roman"/>
          <w:lang w:val="en-US"/>
        </w:rPr>
        <w:t xml:space="preserve">), inoculated with </w:t>
      </w:r>
      <w:r w:rsidRPr="00A94346">
        <w:rPr>
          <w:rFonts w:ascii="Times New Roman" w:hAnsi="Times New Roman" w:cs="Times New Roman"/>
          <w:i/>
          <w:iCs/>
          <w:lang w:val="en-US"/>
        </w:rPr>
        <w:t xml:space="preserve">Bacillus </w:t>
      </w:r>
      <w:proofErr w:type="spellStart"/>
      <w:r w:rsidRPr="00A94346">
        <w:rPr>
          <w:rFonts w:ascii="Times New Roman" w:hAnsi="Times New Roman" w:cs="Times New Roman"/>
          <w:i/>
          <w:iCs/>
          <w:lang w:val="en-US"/>
        </w:rPr>
        <w:t>velezensis</w:t>
      </w:r>
      <w:proofErr w:type="spellEnd"/>
      <w:r w:rsidRPr="00A94346">
        <w:rPr>
          <w:rFonts w:ascii="Times New Roman" w:hAnsi="Times New Roman" w:cs="Times New Roman"/>
          <w:lang w:val="en-US"/>
        </w:rPr>
        <w:t xml:space="preserve"> (+ Bac) or </w:t>
      </w:r>
      <w:r w:rsidRPr="00A94346">
        <w:rPr>
          <w:rFonts w:ascii="Times New Roman" w:hAnsi="Times New Roman" w:cs="Times New Roman"/>
          <w:i/>
          <w:iCs/>
          <w:lang w:val="en-US"/>
        </w:rPr>
        <w:t xml:space="preserve">Trichoderma virens </w:t>
      </w:r>
      <w:r w:rsidRPr="00A94346">
        <w:rPr>
          <w:rFonts w:ascii="Times New Roman" w:hAnsi="Times New Roman" w:cs="Times New Roman"/>
          <w:lang w:val="en-US"/>
        </w:rPr>
        <w:t xml:space="preserve">(+ </w:t>
      </w:r>
      <w:proofErr w:type="spellStart"/>
      <w:r w:rsidRPr="00A94346">
        <w:rPr>
          <w:rFonts w:ascii="Times New Roman" w:hAnsi="Times New Roman" w:cs="Times New Roman"/>
          <w:lang w:val="en-US"/>
        </w:rPr>
        <w:t>Tric</w:t>
      </w:r>
      <w:proofErr w:type="spellEnd"/>
      <w:r w:rsidRPr="00A94346">
        <w:rPr>
          <w:rFonts w:ascii="Times New Roman" w:hAnsi="Times New Roman" w:cs="Times New Roman"/>
          <w:lang w:val="en-US"/>
        </w:rPr>
        <w:t xml:space="preserve">). Data are the mean and standard deviation of 3 replicates.  Different letters indicate </w:t>
      </w:r>
      <w:bookmarkStart w:id="0" w:name="_Hlk222219486"/>
      <w:r w:rsidRPr="00A94346">
        <w:rPr>
          <w:rFonts w:ascii="Times New Roman" w:hAnsi="Times New Roman" w:cs="Times New Roman"/>
          <w:lang w:val="en-US"/>
        </w:rPr>
        <w:t>significant differences (</w:t>
      </w:r>
      <w:r w:rsidRPr="00A94346">
        <w:rPr>
          <w:rFonts w:ascii="Times New Roman" w:hAnsi="Times New Roman" w:cs="Times New Roman"/>
          <w:i/>
          <w:iCs/>
          <w:lang w:val="en-US"/>
        </w:rPr>
        <w:t>P</w:t>
      </w:r>
      <w:r w:rsidRPr="00A94346">
        <w:rPr>
          <w:rFonts w:ascii="Times New Roman" w:hAnsi="Times New Roman" w:cs="Times New Roman"/>
          <w:lang w:val="en-US"/>
        </w:rPr>
        <w:t xml:space="preserve">&lt;0.05) among treatments </w:t>
      </w:r>
      <w:bookmarkEnd w:id="0"/>
      <w:r w:rsidRPr="00A94346">
        <w:rPr>
          <w:rFonts w:ascii="Times New Roman" w:hAnsi="Times New Roman" w:cs="Times New Roman"/>
          <w:lang w:val="en-US"/>
        </w:rPr>
        <w:t>by the post hoc LSD test</w:t>
      </w:r>
    </w:p>
    <w:p w14:paraId="24D7C65C" w14:textId="4BE54AEC" w:rsidR="001D0523" w:rsidRPr="00A94346" w:rsidRDefault="001D0523">
      <w:pPr>
        <w:rPr>
          <w:rFonts w:ascii="Times New Roman" w:hAnsi="Times New Roman" w:cs="Times New Roman"/>
          <w:lang w:val="en-US"/>
        </w:rPr>
      </w:pPr>
    </w:p>
    <w:p w14:paraId="39D4DCD4" w14:textId="77777777" w:rsidR="001D0523" w:rsidRPr="00A94346" w:rsidRDefault="001D0523">
      <w:pPr>
        <w:rPr>
          <w:rFonts w:ascii="Times New Roman" w:hAnsi="Times New Roman" w:cs="Times New Roman"/>
          <w:lang w:val="en-US"/>
        </w:rPr>
      </w:pPr>
    </w:p>
    <w:p w14:paraId="02F65E02" w14:textId="7958413A" w:rsidR="00B625F0" w:rsidRPr="00A94346" w:rsidRDefault="00B625F0">
      <w:pPr>
        <w:rPr>
          <w:rFonts w:ascii="Times New Roman" w:hAnsi="Times New Roman" w:cs="Times New Roman"/>
          <w:lang w:val="en-US"/>
        </w:rPr>
      </w:pPr>
      <w:r w:rsidRPr="00A94346">
        <w:rPr>
          <w:rFonts w:ascii="Times New Roman" w:hAnsi="Times New Roman" w:cs="Times New Roman"/>
          <w:lang w:val="en-US"/>
        </w:rPr>
        <w:br w:type="page"/>
      </w:r>
    </w:p>
    <w:p w14:paraId="15AF3A64" w14:textId="6D00A771" w:rsidR="00B625F0" w:rsidRPr="009156AE" w:rsidRDefault="005F1DF0" w:rsidP="00B625F0">
      <w:pPr>
        <w:jc w:val="center"/>
        <w:rPr>
          <w:rFonts w:ascii="Times New Roman" w:hAnsi="Times New Roman" w:cs="Times New Roman"/>
        </w:rPr>
      </w:pPr>
      <w:r w:rsidRPr="005F1DF0">
        <w:rPr>
          <w:noProof/>
        </w:rPr>
        <w:lastRenderedPageBreak/>
        <w:drawing>
          <wp:inline distT="0" distB="0" distL="0" distR="0" wp14:anchorId="5B9A2CEE" wp14:editId="0D509C10">
            <wp:extent cx="4800600" cy="2279479"/>
            <wp:effectExtent l="0" t="0" r="0" b="698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873" cy="228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FB9A2" w14:textId="77777777" w:rsidR="00B625F0" w:rsidRPr="009156AE" w:rsidRDefault="00B625F0" w:rsidP="00B625F0">
      <w:pPr>
        <w:jc w:val="both"/>
        <w:rPr>
          <w:rFonts w:ascii="Times New Roman" w:hAnsi="Times New Roman" w:cs="Times New Roman"/>
        </w:rPr>
      </w:pPr>
    </w:p>
    <w:p w14:paraId="39617B9B" w14:textId="09ABB56F" w:rsidR="00B625F0" w:rsidRPr="00A94346" w:rsidRDefault="00B625F0" w:rsidP="00B625F0">
      <w:pPr>
        <w:jc w:val="both"/>
        <w:rPr>
          <w:rFonts w:ascii="Times New Roman" w:hAnsi="Times New Roman" w:cs="Times New Roman"/>
          <w:lang w:val="en-US"/>
        </w:rPr>
      </w:pPr>
      <w:r w:rsidRPr="00A94346">
        <w:rPr>
          <w:rFonts w:ascii="Times New Roman" w:hAnsi="Times New Roman" w:cs="Times New Roman"/>
          <w:b/>
          <w:lang w:val="en-US"/>
        </w:rPr>
        <w:t>Fig S3</w:t>
      </w:r>
      <w:r w:rsidRPr="00A94346">
        <w:rPr>
          <w:rFonts w:ascii="Times New Roman" w:hAnsi="Times New Roman" w:cs="Times New Roman"/>
          <w:lang w:val="en-US"/>
        </w:rPr>
        <w:t xml:space="preserve"> Bacterial (left) and fungal (right) genotyping evenness in the biochar amended (dark grey) and the control soil (light grey) for non-inoculated (No </w:t>
      </w:r>
      <w:proofErr w:type="spellStart"/>
      <w:r w:rsidRPr="00A94346">
        <w:rPr>
          <w:rFonts w:ascii="Times New Roman" w:hAnsi="Times New Roman" w:cs="Times New Roman"/>
          <w:lang w:val="en-US"/>
        </w:rPr>
        <w:t>Inoc</w:t>
      </w:r>
      <w:proofErr w:type="spellEnd"/>
      <w:r w:rsidRPr="00A94346">
        <w:rPr>
          <w:rFonts w:ascii="Times New Roman" w:hAnsi="Times New Roman" w:cs="Times New Roman"/>
          <w:lang w:val="en-US"/>
        </w:rPr>
        <w:t xml:space="preserve">), inoculated with </w:t>
      </w:r>
      <w:r w:rsidRPr="00A94346">
        <w:rPr>
          <w:rFonts w:ascii="Times New Roman" w:hAnsi="Times New Roman" w:cs="Times New Roman"/>
          <w:i/>
          <w:iCs/>
          <w:lang w:val="en-US"/>
        </w:rPr>
        <w:t xml:space="preserve">Bacillus </w:t>
      </w:r>
      <w:proofErr w:type="spellStart"/>
      <w:r w:rsidRPr="00A94346">
        <w:rPr>
          <w:rFonts w:ascii="Times New Roman" w:hAnsi="Times New Roman" w:cs="Times New Roman"/>
          <w:i/>
          <w:iCs/>
          <w:lang w:val="en-US"/>
        </w:rPr>
        <w:t>velezensis</w:t>
      </w:r>
      <w:proofErr w:type="spellEnd"/>
      <w:r w:rsidRPr="00A94346">
        <w:rPr>
          <w:rFonts w:ascii="Times New Roman" w:hAnsi="Times New Roman" w:cs="Times New Roman"/>
          <w:lang w:val="en-US"/>
        </w:rPr>
        <w:t xml:space="preserve"> (+ Bac) or </w:t>
      </w:r>
      <w:r w:rsidRPr="00A94346">
        <w:rPr>
          <w:rFonts w:ascii="Times New Roman" w:hAnsi="Times New Roman" w:cs="Times New Roman"/>
          <w:i/>
          <w:iCs/>
          <w:lang w:val="en-US"/>
        </w:rPr>
        <w:t xml:space="preserve">Trichoderma virens </w:t>
      </w:r>
      <w:r w:rsidRPr="00A94346">
        <w:rPr>
          <w:rFonts w:ascii="Times New Roman" w:hAnsi="Times New Roman" w:cs="Times New Roman"/>
          <w:lang w:val="en-US"/>
        </w:rPr>
        <w:t xml:space="preserve">(+ </w:t>
      </w:r>
      <w:proofErr w:type="spellStart"/>
      <w:r w:rsidRPr="00A94346">
        <w:rPr>
          <w:rFonts w:ascii="Times New Roman" w:hAnsi="Times New Roman" w:cs="Times New Roman"/>
          <w:lang w:val="en-US"/>
        </w:rPr>
        <w:t>Tric</w:t>
      </w:r>
      <w:proofErr w:type="spellEnd"/>
      <w:r w:rsidRPr="00A94346">
        <w:rPr>
          <w:rFonts w:ascii="Times New Roman" w:hAnsi="Times New Roman" w:cs="Times New Roman"/>
          <w:lang w:val="en-US"/>
        </w:rPr>
        <w:t>). Data are the mean and standard deviation of 3 replicates.  Different letters indicate significant differences (</w:t>
      </w:r>
      <w:r w:rsidRPr="00A94346">
        <w:rPr>
          <w:rFonts w:ascii="Times New Roman" w:hAnsi="Times New Roman" w:cs="Times New Roman"/>
          <w:i/>
          <w:iCs/>
          <w:lang w:val="en-US"/>
        </w:rPr>
        <w:t>P</w:t>
      </w:r>
      <w:r w:rsidRPr="00A94346">
        <w:rPr>
          <w:rFonts w:ascii="Times New Roman" w:hAnsi="Times New Roman" w:cs="Times New Roman"/>
          <w:lang w:val="en-US"/>
        </w:rPr>
        <w:t>&lt;0.05) among treatments by the post hoc LSD test</w:t>
      </w:r>
    </w:p>
    <w:p w14:paraId="49CB41FC" w14:textId="77777777" w:rsidR="001D0523" w:rsidRPr="00A94346" w:rsidRDefault="001D0523">
      <w:pPr>
        <w:rPr>
          <w:rFonts w:ascii="Times New Roman" w:hAnsi="Times New Roman" w:cs="Times New Roman"/>
          <w:lang w:val="en-US"/>
        </w:rPr>
      </w:pPr>
    </w:p>
    <w:p w14:paraId="04E17431" w14:textId="77777777" w:rsidR="001D0523" w:rsidRPr="009156AE" w:rsidRDefault="001D0523" w:rsidP="001D0523">
      <w:pPr>
        <w:jc w:val="center"/>
        <w:rPr>
          <w:rFonts w:ascii="Times New Roman" w:hAnsi="Times New Roman" w:cs="Times New Roman"/>
        </w:rPr>
      </w:pPr>
      <w:r w:rsidRPr="009156AE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07293E7" wp14:editId="06A0DB3D">
            <wp:extent cx="2882803" cy="6657109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834" cy="6664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33B30" w14:textId="36622DF7" w:rsidR="001D0523" w:rsidRPr="00A94346" w:rsidRDefault="001D0523" w:rsidP="001D0523">
      <w:pPr>
        <w:jc w:val="both"/>
        <w:rPr>
          <w:rFonts w:ascii="Times New Roman" w:hAnsi="Times New Roman" w:cs="Times New Roman"/>
          <w:lang w:val="en-US"/>
        </w:rPr>
      </w:pPr>
      <w:r w:rsidRPr="00A94346">
        <w:rPr>
          <w:rFonts w:ascii="Times New Roman" w:hAnsi="Times New Roman" w:cs="Times New Roman"/>
          <w:b/>
          <w:lang w:val="en-US"/>
        </w:rPr>
        <w:t>Fig S</w:t>
      </w:r>
      <w:r w:rsidR="005F1DF0" w:rsidRPr="00A94346">
        <w:rPr>
          <w:rFonts w:ascii="Times New Roman" w:hAnsi="Times New Roman" w:cs="Times New Roman"/>
          <w:b/>
          <w:lang w:val="en-US"/>
        </w:rPr>
        <w:t>4</w:t>
      </w:r>
      <w:r w:rsidRPr="00A94346">
        <w:rPr>
          <w:rFonts w:ascii="Times New Roman" w:hAnsi="Times New Roman" w:cs="Times New Roman"/>
          <w:lang w:val="en-US"/>
        </w:rPr>
        <w:t xml:space="preserve"> Average well color development after 8 days of incubation (A), catabolic richness (B) and metabolic evenness (C) measured with the </w:t>
      </w:r>
      <w:proofErr w:type="spellStart"/>
      <w:r w:rsidRPr="00A94346">
        <w:rPr>
          <w:rFonts w:ascii="Times New Roman" w:hAnsi="Times New Roman" w:cs="Times New Roman"/>
          <w:lang w:val="en-US"/>
        </w:rPr>
        <w:t>Biolog</w:t>
      </w:r>
      <w:proofErr w:type="spellEnd"/>
      <w:r w:rsidRPr="00A94346">
        <w:rPr>
          <w:rFonts w:ascii="Times New Roman" w:hAnsi="Times New Roman" w:cs="Times New Roman"/>
          <w:lang w:val="en-US"/>
        </w:rPr>
        <w:t xml:space="preserve">® technics in the biochar amended (dark grey) and the control soil (light grey) for non-inoculated (No </w:t>
      </w:r>
      <w:proofErr w:type="spellStart"/>
      <w:r w:rsidRPr="00A94346">
        <w:rPr>
          <w:rFonts w:ascii="Times New Roman" w:hAnsi="Times New Roman" w:cs="Times New Roman"/>
          <w:lang w:val="en-US"/>
        </w:rPr>
        <w:t>Inoc</w:t>
      </w:r>
      <w:proofErr w:type="spellEnd"/>
      <w:r w:rsidRPr="00A94346">
        <w:rPr>
          <w:rFonts w:ascii="Times New Roman" w:hAnsi="Times New Roman" w:cs="Times New Roman"/>
          <w:lang w:val="en-US"/>
        </w:rPr>
        <w:t xml:space="preserve">), inoculated with </w:t>
      </w:r>
      <w:r w:rsidRPr="00A94346">
        <w:rPr>
          <w:rFonts w:ascii="Times New Roman" w:hAnsi="Times New Roman" w:cs="Times New Roman"/>
          <w:i/>
          <w:iCs/>
          <w:lang w:val="en-US"/>
        </w:rPr>
        <w:t xml:space="preserve">Bacillus </w:t>
      </w:r>
      <w:proofErr w:type="spellStart"/>
      <w:r w:rsidRPr="00A94346">
        <w:rPr>
          <w:rFonts w:ascii="Times New Roman" w:hAnsi="Times New Roman" w:cs="Times New Roman"/>
          <w:i/>
          <w:iCs/>
          <w:lang w:val="en-US"/>
        </w:rPr>
        <w:t>velezensis</w:t>
      </w:r>
      <w:proofErr w:type="spellEnd"/>
      <w:r w:rsidRPr="00A94346">
        <w:rPr>
          <w:rFonts w:ascii="Times New Roman" w:hAnsi="Times New Roman" w:cs="Times New Roman"/>
          <w:lang w:val="en-US"/>
        </w:rPr>
        <w:t xml:space="preserve"> (+ Bac) or </w:t>
      </w:r>
      <w:r w:rsidRPr="00A94346">
        <w:rPr>
          <w:rFonts w:ascii="Times New Roman" w:hAnsi="Times New Roman" w:cs="Times New Roman"/>
          <w:i/>
          <w:iCs/>
          <w:lang w:val="en-US"/>
        </w:rPr>
        <w:t xml:space="preserve">Trichoderma virens </w:t>
      </w:r>
      <w:r w:rsidRPr="00A94346">
        <w:rPr>
          <w:rFonts w:ascii="Times New Roman" w:hAnsi="Times New Roman" w:cs="Times New Roman"/>
          <w:lang w:val="en-US"/>
        </w:rPr>
        <w:t xml:space="preserve">(+ </w:t>
      </w:r>
      <w:proofErr w:type="spellStart"/>
      <w:r w:rsidRPr="00A94346">
        <w:rPr>
          <w:rFonts w:ascii="Times New Roman" w:hAnsi="Times New Roman" w:cs="Times New Roman"/>
          <w:lang w:val="en-US"/>
        </w:rPr>
        <w:t>Tric</w:t>
      </w:r>
      <w:proofErr w:type="spellEnd"/>
      <w:r w:rsidRPr="00A94346">
        <w:rPr>
          <w:rFonts w:ascii="Times New Roman" w:hAnsi="Times New Roman" w:cs="Times New Roman"/>
          <w:lang w:val="en-US"/>
        </w:rPr>
        <w:t xml:space="preserve">). Data are the mean and standard deviation of 3 replicates.  </w:t>
      </w:r>
      <w:bookmarkStart w:id="1" w:name="_Hlk220258210"/>
      <w:r w:rsidRPr="00A94346">
        <w:rPr>
          <w:rFonts w:ascii="Times New Roman" w:hAnsi="Times New Roman" w:cs="Times New Roman"/>
          <w:lang w:val="en-US"/>
        </w:rPr>
        <w:t>Different letters indicate significant differences (</w:t>
      </w:r>
      <w:r w:rsidRPr="00A94346">
        <w:rPr>
          <w:rFonts w:ascii="Times New Roman" w:hAnsi="Times New Roman" w:cs="Times New Roman"/>
          <w:i/>
          <w:iCs/>
          <w:lang w:val="en-US"/>
        </w:rPr>
        <w:t>P</w:t>
      </w:r>
      <w:r w:rsidRPr="00A94346">
        <w:rPr>
          <w:rFonts w:ascii="Times New Roman" w:hAnsi="Times New Roman" w:cs="Times New Roman"/>
          <w:lang w:val="en-US"/>
        </w:rPr>
        <w:t>&lt;0.05) among treatments by the post hoc LSD test</w:t>
      </w:r>
    </w:p>
    <w:bookmarkEnd w:id="1"/>
    <w:p w14:paraId="28B9A013" w14:textId="77777777" w:rsidR="004C05E6" w:rsidRPr="00A94346" w:rsidRDefault="004C05E6" w:rsidP="004C05E6">
      <w:pPr>
        <w:jc w:val="both"/>
        <w:rPr>
          <w:rFonts w:ascii="Times New Roman" w:hAnsi="Times New Roman" w:cs="Times New Roman"/>
          <w:lang w:val="en-US"/>
        </w:rPr>
      </w:pPr>
    </w:p>
    <w:p w14:paraId="5A93B2F8" w14:textId="77777777" w:rsidR="004C05E6" w:rsidRPr="00A94346" w:rsidRDefault="004C05E6" w:rsidP="004C05E6">
      <w:pPr>
        <w:jc w:val="center"/>
        <w:rPr>
          <w:rFonts w:ascii="Times New Roman" w:hAnsi="Times New Roman" w:cs="Times New Roman"/>
          <w:lang w:val="en-US"/>
        </w:rPr>
      </w:pPr>
    </w:p>
    <w:p w14:paraId="6F45C4DC" w14:textId="77777777" w:rsidR="004C05E6" w:rsidRPr="00A94346" w:rsidRDefault="004C05E6" w:rsidP="004C05E6">
      <w:pPr>
        <w:rPr>
          <w:rFonts w:ascii="Times New Roman" w:hAnsi="Times New Roman" w:cs="Times New Roman"/>
          <w:lang w:val="en-US"/>
        </w:rPr>
      </w:pPr>
    </w:p>
    <w:p w14:paraId="6EA91238" w14:textId="629E13EC" w:rsidR="004C05E6" w:rsidRPr="00A94346" w:rsidRDefault="004C05E6">
      <w:pPr>
        <w:rPr>
          <w:rFonts w:ascii="Times New Roman" w:hAnsi="Times New Roman" w:cs="Times New Roman"/>
          <w:bCs/>
          <w:lang w:val="en-US"/>
        </w:rPr>
      </w:pPr>
    </w:p>
    <w:p w14:paraId="12AA33A9" w14:textId="42090522" w:rsidR="00302C73" w:rsidRPr="00A94346" w:rsidRDefault="004C05E6" w:rsidP="001D0523">
      <w:pPr>
        <w:rPr>
          <w:rFonts w:ascii="Times New Roman" w:hAnsi="Times New Roman" w:cs="Times New Roman"/>
          <w:bCs/>
          <w:sz w:val="16"/>
          <w:szCs w:val="16"/>
          <w:lang w:val="en-US"/>
        </w:rPr>
      </w:pPr>
      <w:r w:rsidRPr="00A94346">
        <w:rPr>
          <w:rFonts w:ascii="Times New Roman" w:hAnsi="Times New Roman" w:cs="Times New Roman"/>
          <w:bCs/>
          <w:lang w:val="en-US"/>
        </w:rPr>
        <w:br w:type="page"/>
      </w:r>
      <w:r w:rsidR="00302C73" w:rsidRPr="00A94346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Tab. </w:t>
      </w:r>
      <w:r w:rsidR="001D0523" w:rsidRPr="00A94346">
        <w:rPr>
          <w:rFonts w:ascii="Times New Roman" w:hAnsi="Times New Roman" w:cs="Times New Roman"/>
          <w:b/>
          <w:sz w:val="24"/>
          <w:szCs w:val="24"/>
          <w:lang w:val="en-US"/>
        </w:rPr>
        <w:t>S1</w:t>
      </w:r>
      <w:r w:rsidR="00302C73" w:rsidRPr="00A9434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1D0523" w:rsidRPr="00A94346">
        <w:rPr>
          <w:rFonts w:ascii="Times New Roman" w:hAnsi="Times New Roman" w:cs="Times New Roman"/>
          <w:bCs/>
          <w:sz w:val="24"/>
          <w:szCs w:val="24"/>
          <w:lang w:val="en-US"/>
        </w:rPr>
        <w:t>Comparison of</w:t>
      </w:r>
      <w:r w:rsidR="00302C73" w:rsidRPr="00A9434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results obtained in this study </w:t>
      </w:r>
      <w:r w:rsidR="001D0523" w:rsidRPr="00A94346">
        <w:rPr>
          <w:rFonts w:ascii="Times New Roman" w:hAnsi="Times New Roman" w:cs="Times New Roman"/>
          <w:bCs/>
          <w:sz w:val="24"/>
          <w:szCs w:val="24"/>
          <w:lang w:val="en-US"/>
        </w:rPr>
        <w:t>to</w:t>
      </w:r>
      <w:r w:rsidR="00302C73" w:rsidRPr="00A94346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findings reported in the cited literature</w:t>
      </w:r>
    </w:p>
    <w:tbl>
      <w:tblPr>
        <w:tblW w:w="913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418"/>
        <w:gridCol w:w="1823"/>
        <w:gridCol w:w="2289"/>
        <w:gridCol w:w="1904"/>
      </w:tblGrid>
      <w:tr w:rsidR="00302C73" w:rsidRPr="00A94346" w14:paraId="1C0FAFCA" w14:textId="77777777" w:rsidTr="000B748A">
        <w:trPr>
          <w:tblHeader/>
          <w:tblCellSpacing w:w="15" w:type="dxa"/>
        </w:trPr>
        <w:tc>
          <w:tcPr>
            <w:tcW w:w="165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68C8781" w14:textId="77777777" w:rsidR="00302C73" w:rsidRPr="00A94346" w:rsidRDefault="00302C73" w:rsidP="000B748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Domain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83720AC" w14:textId="77777777" w:rsidR="00302C73" w:rsidRPr="00A94346" w:rsidRDefault="00302C73" w:rsidP="000B748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Parameter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5ED6B41" w14:textId="77777777" w:rsidR="00302C73" w:rsidRPr="00A94346" w:rsidRDefault="00302C73" w:rsidP="000B748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fr-FR"/>
              </w:rPr>
              <w:t>This study (olive-pomace biochar)</w:t>
            </w:r>
          </w:p>
        </w:tc>
        <w:tc>
          <w:tcPr>
            <w:tcW w:w="225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03897B9" w14:textId="77777777" w:rsidR="00302C73" w:rsidRPr="00A94346" w:rsidRDefault="00302C73" w:rsidP="000B748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it-IT" w:eastAsia="fr-FR"/>
              </w:rPr>
            </w:pPr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it-IT" w:eastAsia="fr-FR"/>
              </w:rPr>
              <w:t xml:space="preserve">Effect reported </w:t>
            </w:r>
          </w:p>
          <w:p w14:paraId="06215878" w14:textId="77777777" w:rsidR="00302C73" w:rsidRPr="00A94346" w:rsidRDefault="00302C73" w:rsidP="000B748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it-IT" w:eastAsia="fr-FR"/>
              </w:rPr>
            </w:pPr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it-IT" w:eastAsia="fr-FR"/>
              </w:rPr>
              <w:t>in cited literature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84BB947" w14:textId="77777777" w:rsidR="00302C73" w:rsidRPr="00A94346" w:rsidRDefault="00302C73" w:rsidP="000B748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Key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references</w:t>
            </w:r>
            <w:proofErr w:type="spellEnd"/>
          </w:p>
        </w:tc>
      </w:tr>
      <w:tr w:rsidR="00302C73" w:rsidRPr="00A94346" w14:paraId="4B977411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20D78771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Microbial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loading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on biochar</w:t>
            </w:r>
          </w:p>
        </w:tc>
        <w:tc>
          <w:tcPr>
            <w:tcW w:w="1388" w:type="dxa"/>
            <w:vAlign w:val="center"/>
            <w:hideMark/>
          </w:tcPr>
          <w:p w14:paraId="0773B03A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fr-FR"/>
              </w:rPr>
              <w:t xml:space="preserve">Bacillus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fr-FR"/>
              </w:rPr>
              <w:t>velezensis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initial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density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C3C610E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3.8 × 10⁸ CFU g⁻¹ biochar</w:t>
            </w:r>
          </w:p>
        </w:tc>
        <w:tc>
          <w:tcPr>
            <w:tcW w:w="2259" w:type="dxa"/>
            <w:vAlign w:val="center"/>
            <w:hideMark/>
          </w:tcPr>
          <w:p w14:paraId="33645AEF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Effective carrier threshold ≥10⁸ CFU g⁻¹; commonly reported ranges 10⁷–10⁸ CFU g⁻¹</w:t>
            </w:r>
          </w:p>
        </w:tc>
        <w:tc>
          <w:tcPr>
            <w:tcW w:w="0" w:type="auto"/>
            <w:vAlign w:val="center"/>
            <w:hideMark/>
          </w:tcPr>
          <w:p w14:paraId="2C015E9D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Vanek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&amp;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Thies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(2016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Köves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et al. (2025)</w:t>
            </w:r>
          </w:p>
        </w:tc>
      </w:tr>
      <w:tr w:rsidR="00302C73" w:rsidRPr="00A94346" w14:paraId="7E83373D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0C4C9183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1388" w:type="dxa"/>
            <w:vAlign w:val="center"/>
            <w:hideMark/>
          </w:tcPr>
          <w:p w14:paraId="70770031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fr-FR"/>
              </w:rPr>
              <w:t xml:space="preserve">B.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fr-FR"/>
              </w:rPr>
              <w:t>velezensis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viability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(24 h)</w:t>
            </w:r>
          </w:p>
        </w:tc>
        <w:tc>
          <w:tcPr>
            <w:tcW w:w="0" w:type="auto"/>
            <w:vAlign w:val="center"/>
            <w:hideMark/>
          </w:tcPr>
          <w:p w14:paraId="204F3B15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~76 %</w:t>
            </w:r>
          </w:p>
        </w:tc>
        <w:tc>
          <w:tcPr>
            <w:tcW w:w="2259" w:type="dxa"/>
            <w:vAlign w:val="center"/>
            <w:hideMark/>
          </w:tcPr>
          <w:p w14:paraId="1A9A6208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Short-term viability typically ~60–75 % for biochar-based carriers</w:t>
            </w:r>
          </w:p>
        </w:tc>
        <w:tc>
          <w:tcPr>
            <w:tcW w:w="0" w:type="auto"/>
            <w:vAlign w:val="center"/>
            <w:hideMark/>
          </w:tcPr>
          <w:p w14:paraId="2FAF98BC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Köves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et al. (2025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Lebrun et al. (2021)</w:t>
            </w:r>
          </w:p>
        </w:tc>
      </w:tr>
      <w:tr w:rsidR="00302C73" w:rsidRPr="00A94346" w14:paraId="03A914FB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0AEB224A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1388" w:type="dxa"/>
            <w:vAlign w:val="center"/>
            <w:hideMark/>
          </w:tcPr>
          <w:p w14:paraId="798F1F8F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fr-FR"/>
              </w:rPr>
              <w:t>Trichoderma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fr-FR"/>
              </w:rPr>
              <w:t xml:space="preserve"> virens</w:t>
            </w: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initial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density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2BAB760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5.6 × 10⁹ spores g⁻¹ biochar</w:t>
            </w:r>
          </w:p>
        </w:tc>
        <w:tc>
          <w:tcPr>
            <w:tcW w:w="2259" w:type="dxa"/>
            <w:vAlign w:val="center"/>
            <w:hideMark/>
          </w:tcPr>
          <w:p w14:paraId="50198C41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Typical fungal loadings on biochar range from 10⁷ to 10⁹ spores g⁻¹</w:t>
            </w:r>
          </w:p>
        </w:tc>
        <w:tc>
          <w:tcPr>
            <w:tcW w:w="0" w:type="auto"/>
            <w:vAlign w:val="center"/>
            <w:hideMark/>
          </w:tcPr>
          <w:p w14:paraId="7F268429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Vecstaudza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et al. (2018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França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et al. (2022)</w:t>
            </w:r>
          </w:p>
        </w:tc>
      </w:tr>
      <w:tr w:rsidR="00302C73" w:rsidRPr="00A94346" w14:paraId="70428330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08968CDF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1388" w:type="dxa"/>
            <w:vAlign w:val="center"/>
            <w:hideMark/>
          </w:tcPr>
          <w:p w14:paraId="12A6F685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fr-FR"/>
              </w:rPr>
              <w:t>T. virens</w:t>
            </w: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viability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(5 d)</w:t>
            </w:r>
          </w:p>
        </w:tc>
        <w:tc>
          <w:tcPr>
            <w:tcW w:w="0" w:type="auto"/>
            <w:vAlign w:val="center"/>
            <w:hideMark/>
          </w:tcPr>
          <w:p w14:paraId="2A4C05F0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~88 %</w:t>
            </w:r>
          </w:p>
        </w:tc>
        <w:tc>
          <w:tcPr>
            <w:tcW w:w="2259" w:type="dxa"/>
            <w:vAlign w:val="center"/>
            <w:hideMark/>
          </w:tcPr>
          <w:p w14:paraId="418C95D0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 xml:space="preserve">High fungal viability reported for porous, low-temperature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biochars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95C2D4B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Vecstaudza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et al. (2018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de Medeiros et al. (2023)</w:t>
            </w:r>
          </w:p>
        </w:tc>
      </w:tr>
      <w:tr w:rsidR="00302C73" w:rsidRPr="00A94346" w14:paraId="011C1927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42AFCCB0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Microbial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persistence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in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soil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(30 d)</w:t>
            </w:r>
          </w:p>
        </w:tc>
        <w:tc>
          <w:tcPr>
            <w:tcW w:w="1388" w:type="dxa"/>
            <w:vAlign w:val="center"/>
            <w:hideMark/>
          </w:tcPr>
          <w:p w14:paraId="6D4C4657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en-US" w:eastAsia="fr-FR"/>
              </w:rPr>
              <w:t xml:space="preserve">B.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en-US" w:eastAsia="fr-FR"/>
              </w:rPr>
              <w:t>velezensis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 xml:space="preserve"> density, direct inoculation</w:t>
            </w:r>
          </w:p>
        </w:tc>
        <w:tc>
          <w:tcPr>
            <w:tcW w:w="0" w:type="auto"/>
            <w:vAlign w:val="center"/>
            <w:hideMark/>
          </w:tcPr>
          <w:p w14:paraId="22335F9C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1.7 × 10⁸ CFU g⁻¹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soil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(≈45 %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viability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</w:t>
            </w:r>
          </w:p>
        </w:tc>
        <w:tc>
          <w:tcPr>
            <w:tcW w:w="2259" w:type="dxa"/>
            <w:vAlign w:val="center"/>
            <w:hideMark/>
          </w:tcPr>
          <w:p w14:paraId="27E79BA5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Strong post-application declines commonly observed without carrier protection</w:t>
            </w:r>
          </w:p>
        </w:tc>
        <w:tc>
          <w:tcPr>
            <w:tcW w:w="0" w:type="auto"/>
            <w:vAlign w:val="center"/>
            <w:hideMark/>
          </w:tcPr>
          <w:p w14:paraId="7B4AD6B7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Lebrun et al. (2021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de-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Bashan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et al. (2024)</w:t>
            </w:r>
          </w:p>
        </w:tc>
      </w:tr>
      <w:tr w:rsidR="00302C73" w:rsidRPr="00A94346" w14:paraId="7246B80F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2DFDAB96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1388" w:type="dxa"/>
            <w:vAlign w:val="center"/>
            <w:hideMark/>
          </w:tcPr>
          <w:p w14:paraId="77AC58BB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en-US" w:eastAsia="fr-FR"/>
              </w:rPr>
              <w:t xml:space="preserve">B.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en-US" w:eastAsia="fr-FR"/>
              </w:rPr>
              <w:t>velezensis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 xml:space="preserve"> density, inoculated biochar</w:t>
            </w:r>
          </w:p>
        </w:tc>
        <w:tc>
          <w:tcPr>
            <w:tcW w:w="0" w:type="auto"/>
            <w:vAlign w:val="center"/>
            <w:hideMark/>
          </w:tcPr>
          <w:p w14:paraId="29D4EEF7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4.8 × 10⁸ CFU g⁻¹ soil (≈126 % of initial)</w:t>
            </w:r>
          </w:p>
        </w:tc>
        <w:tc>
          <w:tcPr>
            <w:tcW w:w="2259" w:type="dxa"/>
            <w:vAlign w:val="center"/>
            <w:hideMark/>
          </w:tcPr>
          <w:p w14:paraId="68E040AF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Carrier-based systems generally maintain populations close to initial levels</w:t>
            </w:r>
          </w:p>
        </w:tc>
        <w:tc>
          <w:tcPr>
            <w:tcW w:w="0" w:type="auto"/>
            <w:vAlign w:val="center"/>
            <w:hideMark/>
          </w:tcPr>
          <w:p w14:paraId="7E1E7A4C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Lebrun et al. (2021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Köves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et al. (2025)</w:t>
            </w:r>
          </w:p>
        </w:tc>
      </w:tr>
      <w:tr w:rsidR="00302C73" w:rsidRPr="00A94346" w14:paraId="38F96878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1E0FFA6F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1388" w:type="dxa"/>
            <w:vAlign w:val="center"/>
            <w:hideMark/>
          </w:tcPr>
          <w:p w14:paraId="660725DA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en-US" w:eastAsia="fr-FR"/>
              </w:rPr>
              <w:t>T. virens</w:t>
            </w: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 xml:space="preserve"> density, direct inoculation</w:t>
            </w:r>
          </w:p>
        </w:tc>
        <w:tc>
          <w:tcPr>
            <w:tcW w:w="0" w:type="auto"/>
            <w:vAlign w:val="center"/>
            <w:hideMark/>
          </w:tcPr>
          <w:p w14:paraId="3B43F882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5.5 × 10⁸ spores g⁻¹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soil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(≈10 %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viability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</w:t>
            </w:r>
          </w:p>
        </w:tc>
        <w:tc>
          <w:tcPr>
            <w:tcW w:w="2259" w:type="dxa"/>
            <w:vAlign w:val="center"/>
            <w:hideMark/>
          </w:tcPr>
          <w:p w14:paraId="39A164AD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Low fungal persistence commonly reported without carrier support</w:t>
            </w:r>
          </w:p>
        </w:tc>
        <w:tc>
          <w:tcPr>
            <w:tcW w:w="0" w:type="auto"/>
            <w:vAlign w:val="center"/>
            <w:hideMark/>
          </w:tcPr>
          <w:p w14:paraId="7FA00554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Vecstaudza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et al. (2018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Kumari et al. (2025)</w:t>
            </w:r>
          </w:p>
        </w:tc>
      </w:tr>
      <w:tr w:rsidR="00302C73" w:rsidRPr="00A94346" w14:paraId="688AB76D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53298E4C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1388" w:type="dxa"/>
            <w:vAlign w:val="center"/>
            <w:hideMark/>
          </w:tcPr>
          <w:p w14:paraId="7C44D71E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val="en-US" w:eastAsia="fr-FR"/>
              </w:rPr>
              <w:t>T. virens</w:t>
            </w: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 xml:space="preserve"> density, inoculated biochar</w:t>
            </w:r>
          </w:p>
        </w:tc>
        <w:tc>
          <w:tcPr>
            <w:tcW w:w="0" w:type="auto"/>
            <w:vAlign w:val="center"/>
            <w:hideMark/>
          </w:tcPr>
          <w:p w14:paraId="77FD8E1C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9.6 × 10⁸ spores g⁻¹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soil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(≈17 %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viability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</w:t>
            </w:r>
          </w:p>
        </w:tc>
        <w:tc>
          <w:tcPr>
            <w:tcW w:w="2259" w:type="dxa"/>
            <w:vAlign w:val="center"/>
            <w:hideMark/>
          </w:tcPr>
          <w:p w14:paraId="5541BDE2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Biochar carriers typically increase fungal persistence by 1.5–2×</w:t>
            </w:r>
          </w:p>
        </w:tc>
        <w:tc>
          <w:tcPr>
            <w:tcW w:w="0" w:type="auto"/>
            <w:vAlign w:val="center"/>
            <w:hideMark/>
          </w:tcPr>
          <w:p w14:paraId="561E6EBA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Vecstaudza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et al. (2018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de Medeiros et al. (2023)</w:t>
            </w:r>
          </w:p>
        </w:tc>
      </w:tr>
      <w:tr w:rsidR="00302C73" w:rsidRPr="00A94346" w14:paraId="4F1CCA07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2CABB2FB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Soil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physicochemical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response</w:t>
            </w:r>
            <w:proofErr w:type="spellEnd"/>
          </w:p>
        </w:tc>
        <w:tc>
          <w:tcPr>
            <w:tcW w:w="1388" w:type="dxa"/>
            <w:vAlign w:val="center"/>
            <w:hideMark/>
          </w:tcPr>
          <w:p w14:paraId="51FE0D9E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Soil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pH change</w:t>
            </w:r>
          </w:p>
        </w:tc>
        <w:tc>
          <w:tcPr>
            <w:tcW w:w="0" w:type="auto"/>
            <w:vAlign w:val="center"/>
            <w:hideMark/>
          </w:tcPr>
          <w:p w14:paraId="1A5D3659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7.66 → 7.97–8.10 (+0.3 to +0.4)</w:t>
            </w:r>
          </w:p>
        </w:tc>
        <w:tc>
          <w:tcPr>
            <w:tcW w:w="2259" w:type="dxa"/>
            <w:vAlign w:val="center"/>
            <w:hideMark/>
          </w:tcPr>
          <w:p w14:paraId="04FAC6E8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Biochar-induced pH increases commonly range from +0.2 to +0.5 units</w:t>
            </w:r>
          </w:p>
        </w:tc>
        <w:tc>
          <w:tcPr>
            <w:tcW w:w="0" w:type="auto"/>
            <w:vAlign w:val="center"/>
            <w:hideMark/>
          </w:tcPr>
          <w:p w14:paraId="23AD6C34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Huang et al. (2023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Gao et al. (2019)</w:t>
            </w:r>
          </w:p>
        </w:tc>
      </w:tr>
      <w:tr w:rsidR="00302C73" w:rsidRPr="00A94346" w14:paraId="73D47BC7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1E7F3ECB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1388" w:type="dxa"/>
            <w:vAlign w:val="center"/>
            <w:hideMark/>
          </w:tcPr>
          <w:p w14:paraId="1298B9D5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Electrical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conductivity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81DC9D1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2.7–2.9 → 3.4–3.8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dS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m⁻¹</w:t>
            </w:r>
          </w:p>
        </w:tc>
        <w:tc>
          <w:tcPr>
            <w:tcW w:w="2259" w:type="dxa"/>
            <w:vAlign w:val="center"/>
            <w:hideMark/>
          </w:tcPr>
          <w:p w14:paraId="79D41B8F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 xml:space="preserve">EC increases frequently observed with ash-rich agro-industrial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biochars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9322579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Gao et al. (2017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Huang et al. (2023)</w:t>
            </w:r>
          </w:p>
        </w:tc>
      </w:tr>
      <w:tr w:rsidR="00302C73" w:rsidRPr="00A94346" w14:paraId="3BF80994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399D85EB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Microbial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abundance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(DNA-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based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)</w:t>
            </w:r>
          </w:p>
        </w:tc>
        <w:tc>
          <w:tcPr>
            <w:tcW w:w="1388" w:type="dxa"/>
            <w:vAlign w:val="center"/>
            <w:hideMark/>
          </w:tcPr>
          <w:p w14:paraId="6B274F53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Bacterial abundance (16S rRNA genes)</w:t>
            </w:r>
          </w:p>
        </w:tc>
        <w:tc>
          <w:tcPr>
            <w:tcW w:w="0" w:type="auto"/>
            <w:vAlign w:val="center"/>
            <w:hideMark/>
          </w:tcPr>
          <w:p w14:paraId="5E1B23E1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Up to 2.5 × 10¹⁰ copies g⁻¹ soil</w:t>
            </w:r>
          </w:p>
        </w:tc>
        <w:tc>
          <w:tcPr>
            <w:tcW w:w="2259" w:type="dxa"/>
            <w:vAlign w:val="center"/>
            <w:hideMark/>
          </w:tcPr>
          <w:p w14:paraId="523C4AF9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it-IT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it-IT" w:eastAsia="fr-FR"/>
              </w:rPr>
              <w:t>Elevated bacterial gene copy numbers reported in inoculated biochar systems</w:t>
            </w:r>
          </w:p>
        </w:tc>
        <w:tc>
          <w:tcPr>
            <w:tcW w:w="0" w:type="auto"/>
            <w:vAlign w:val="center"/>
            <w:hideMark/>
          </w:tcPr>
          <w:p w14:paraId="6E15234C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Lebrun et al. (2021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Sharma et al. (2025)</w:t>
            </w:r>
          </w:p>
        </w:tc>
      </w:tr>
      <w:tr w:rsidR="00302C73" w:rsidRPr="00A94346" w14:paraId="7EA845F0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35944D0E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1388" w:type="dxa"/>
            <w:vAlign w:val="center"/>
            <w:hideMark/>
          </w:tcPr>
          <w:p w14:paraId="155CE735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Fungal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abundance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(ITS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genes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281E9CEB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Up to 9.0 × 10⁸ copies g⁻¹ soil</w:t>
            </w:r>
          </w:p>
        </w:tc>
        <w:tc>
          <w:tcPr>
            <w:tcW w:w="2259" w:type="dxa"/>
            <w:vAlign w:val="center"/>
            <w:hideMark/>
          </w:tcPr>
          <w:p w14:paraId="3976B3D8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Biochar stabilizes or moderately enhances fungal abundance</w:t>
            </w:r>
          </w:p>
        </w:tc>
        <w:tc>
          <w:tcPr>
            <w:tcW w:w="0" w:type="auto"/>
            <w:vAlign w:val="center"/>
            <w:hideMark/>
          </w:tcPr>
          <w:p w14:paraId="19DE4275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Vecstaudza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et al. (2018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Sharma et al. (2025)</w:t>
            </w:r>
          </w:p>
        </w:tc>
      </w:tr>
      <w:tr w:rsidR="00302C73" w:rsidRPr="00A94346" w14:paraId="3467F607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188FF450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Microbial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functional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activity</w:t>
            </w:r>
            <w:proofErr w:type="spellEnd"/>
          </w:p>
        </w:tc>
        <w:tc>
          <w:tcPr>
            <w:tcW w:w="1388" w:type="dxa"/>
            <w:vAlign w:val="center"/>
            <w:hideMark/>
          </w:tcPr>
          <w:p w14:paraId="659C58BB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AWCD (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Biolog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®)</w:t>
            </w:r>
          </w:p>
        </w:tc>
        <w:tc>
          <w:tcPr>
            <w:tcW w:w="0" w:type="auto"/>
            <w:vAlign w:val="center"/>
            <w:hideMark/>
          </w:tcPr>
          <w:p w14:paraId="3A04FC90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0.45–0.95</w:t>
            </w:r>
          </w:p>
        </w:tc>
        <w:tc>
          <w:tcPr>
            <w:tcW w:w="2259" w:type="dxa"/>
            <w:vAlign w:val="center"/>
            <w:hideMark/>
          </w:tcPr>
          <w:p w14:paraId="6C59F91A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AWCD values &gt;0.6–0.7 indicate high catabolic activity</w:t>
            </w:r>
          </w:p>
        </w:tc>
        <w:tc>
          <w:tcPr>
            <w:tcW w:w="0" w:type="auto"/>
            <w:vAlign w:val="center"/>
            <w:hideMark/>
          </w:tcPr>
          <w:p w14:paraId="52B63DA6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Lebrun et al. (2021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Huang et al. (2023)</w:t>
            </w:r>
          </w:p>
        </w:tc>
      </w:tr>
      <w:tr w:rsidR="00302C73" w:rsidRPr="00A94346" w14:paraId="592C6DC8" w14:textId="77777777" w:rsidTr="000B748A">
        <w:trPr>
          <w:tblCellSpacing w:w="15" w:type="dxa"/>
        </w:trPr>
        <w:tc>
          <w:tcPr>
            <w:tcW w:w="1655" w:type="dxa"/>
            <w:vAlign w:val="center"/>
            <w:hideMark/>
          </w:tcPr>
          <w:p w14:paraId="13563387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</w:p>
        </w:tc>
        <w:tc>
          <w:tcPr>
            <w:tcW w:w="1388" w:type="dxa"/>
            <w:vAlign w:val="center"/>
            <w:hideMark/>
          </w:tcPr>
          <w:p w14:paraId="6D03725F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Catabolic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richness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847866C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Up to 29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substrates</w:t>
            </w:r>
            <w:proofErr w:type="spellEnd"/>
          </w:p>
        </w:tc>
        <w:tc>
          <w:tcPr>
            <w:tcW w:w="2259" w:type="dxa"/>
            <w:vAlign w:val="center"/>
            <w:hideMark/>
          </w:tcPr>
          <w:p w14:paraId="2AFCA3E5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Biochar amendments often broaden substrate utilization profiles</w:t>
            </w:r>
          </w:p>
        </w:tc>
        <w:tc>
          <w:tcPr>
            <w:tcW w:w="0" w:type="auto"/>
            <w:vAlign w:val="center"/>
            <w:hideMark/>
          </w:tcPr>
          <w:p w14:paraId="392846AF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Sharma et al. (2025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Gao et al. (2017)</w:t>
            </w:r>
          </w:p>
        </w:tc>
      </w:tr>
      <w:tr w:rsidR="00302C73" w:rsidRPr="00A94346" w14:paraId="23B3F6EA" w14:textId="77777777" w:rsidTr="000B748A">
        <w:trPr>
          <w:tblCellSpacing w:w="15" w:type="dxa"/>
        </w:trPr>
        <w:tc>
          <w:tcPr>
            <w:tcW w:w="1655" w:type="dxa"/>
            <w:tcBorders>
              <w:bottom w:val="single" w:sz="4" w:space="0" w:color="auto"/>
            </w:tcBorders>
            <w:vAlign w:val="center"/>
            <w:hideMark/>
          </w:tcPr>
          <w:p w14:paraId="187C7311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>Overall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fr-FR"/>
              </w:rPr>
              <w:t xml:space="preserve"> performance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vAlign w:val="center"/>
            <w:hideMark/>
          </w:tcPr>
          <w:p w14:paraId="79570BBE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Biochar carrier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efficiency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1B6A7D8C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High loading, high short-term viability, improved soil persistence</w:t>
            </w:r>
          </w:p>
        </w:tc>
        <w:tc>
          <w:tcPr>
            <w:tcW w:w="2259" w:type="dxa"/>
            <w:tcBorders>
              <w:bottom w:val="single" w:sz="4" w:space="0" w:color="auto"/>
            </w:tcBorders>
            <w:vAlign w:val="center"/>
            <w:hideMark/>
          </w:tcPr>
          <w:p w14:paraId="5F5F31B5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</w:pPr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fr-FR"/>
              </w:rPr>
              <w:t>Biochar recognized as an effective microbial carrier through habitat protection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6202E264" w14:textId="77777777" w:rsidR="00302C73" w:rsidRPr="00A94346" w:rsidRDefault="00302C73" w:rsidP="000B748A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</w:pP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Vanek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&amp;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Thies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(2016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França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et al. (2022</w:t>
            </w:r>
            <w:proofErr w:type="gram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);</w:t>
            </w:r>
            <w:proofErr w:type="gram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de-</w:t>
            </w:r>
            <w:proofErr w:type="spellStart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>Bashan</w:t>
            </w:r>
            <w:proofErr w:type="spellEnd"/>
            <w:r w:rsidRPr="00A94346">
              <w:rPr>
                <w:rFonts w:ascii="Times New Roman" w:eastAsia="Times New Roman" w:hAnsi="Times New Roman" w:cs="Times New Roman"/>
                <w:sz w:val="18"/>
                <w:szCs w:val="18"/>
                <w:lang w:eastAsia="fr-FR"/>
              </w:rPr>
              <w:t xml:space="preserve"> et al. (2024)</w:t>
            </w:r>
          </w:p>
        </w:tc>
      </w:tr>
    </w:tbl>
    <w:p w14:paraId="4A1427A7" w14:textId="77777777" w:rsidR="00302C73" w:rsidRPr="009156AE" w:rsidRDefault="00302C73" w:rsidP="00302C73">
      <w:pPr>
        <w:tabs>
          <w:tab w:val="left" w:pos="7120"/>
        </w:tabs>
        <w:rPr>
          <w:rFonts w:ascii="Times New Roman" w:hAnsi="Times New Roman" w:cs="Times New Roman"/>
          <w:sz w:val="16"/>
          <w:szCs w:val="16"/>
        </w:rPr>
      </w:pPr>
    </w:p>
    <w:sectPr w:rsidR="00302C73" w:rsidRPr="0091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EB8"/>
    <w:rsid w:val="00012DED"/>
    <w:rsid w:val="000639C7"/>
    <w:rsid w:val="000A6C1E"/>
    <w:rsid w:val="000C33CE"/>
    <w:rsid w:val="000E3FF7"/>
    <w:rsid w:val="00191DD9"/>
    <w:rsid w:val="001D0523"/>
    <w:rsid w:val="001F3199"/>
    <w:rsid w:val="002139C3"/>
    <w:rsid w:val="00270375"/>
    <w:rsid w:val="00290C5D"/>
    <w:rsid w:val="00302C73"/>
    <w:rsid w:val="003257AC"/>
    <w:rsid w:val="0033451E"/>
    <w:rsid w:val="00437EB8"/>
    <w:rsid w:val="0044766C"/>
    <w:rsid w:val="0048714F"/>
    <w:rsid w:val="004C05E6"/>
    <w:rsid w:val="004D1F38"/>
    <w:rsid w:val="004D31C6"/>
    <w:rsid w:val="00533440"/>
    <w:rsid w:val="005B244D"/>
    <w:rsid w:val="005B63FE"/>
    <w:rsid w:val="005F1DF0"/>
    <w:rsid w:val="006760B8"/>
    <w:rsid w:val="00685676"/>
    <w:rsid w:val="006C3476"/>
    <w:rsid w:val="006C77F7"/>
    <w:rsid w:val="00753A06"/>
    <w:rsid w:val="007F6AC6"/>
    <w:rsid w:val="008F4191"/>
    <w:rsid w:val="00903DD6"/>
    <w:rsid w:val="009156AE"/>
    <w:rsid w:val="00973C83"/>
    <w:rsid w:val="009E1BF3"/>
    <w:rsid w:val="00A403ED"/>
    <w:rsid w:val="00A94346"/>
    <w:rsid w:val="00B625F0"/>
    <w:rsid w:val="00B75230"/>
    <w:rsid w:val="00BF05D4"/>
    <w:rsid w:val="00C84688"/>
    <w:rsid w:val="00CD438E"/>
    <w:rsid w:val="00D51F12"/>
    <w:rsid w:val="00D52DD5"/>
    <w:rsid w:val="00DA35F7"/>
    <w:rsid w:val="00E069C6"/>
    <w:rsid w:val="00F9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7288C"/>
  <w15:chartTrackingRefBased/>
  <w15:docId w15:val="{10BAE74C-8B70-47BF-BB1E-633845BB2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Tableausimple2">
    <w:name w:val="Plain Table 2"/>
    <w:basedOn w:val="TableauNormal"/>
    <w:uiPriority w:val="42"/>
    <w:rsid w:val="00973C83"/>
    <w:pPr>
      <w:spacing w:after="0" w:line="240" w:lineRule="auto"/>
    </w:pPr>
    <w:rPr>
      <w:kern w:val="2"/>
      <w:sz w:val="24"/>
      <w:szCs w:val="24"/>
      <w14:ligatures w14:val="standardContextual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8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724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IRD</Company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LERCH</dc:creator>
  <cp:keywords/>
  <dc:description/>
  <cp:lastModifiedBy>LERCH Thomas</cp:lastModifiedBy>
  <cp:revision>2</cp:revision>
  <dcterms:created xsi:type="dcterms:W3CDTF">2026-02-17T10:18:00Z</dcterms:created>
  <dcterms:modified xsi:type="dcterms:W3CDTF">2026-02-17T10:18:00Z</dcterms:modified>
</cp:coreProperties>
</file>