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26601">
      <w:pPr>
        <w:spacing w:line="480" w:lineRule="auto"/>
        <w:jc w:val="left"/>
        <w:rPr>
          <w:rFonts w:ascii="Times New Roman" w:hAnsi="Times New Roman" w:eastAsia="黑体" w:cs="Times New Roman"/>
          <w:b/>
          <w:bCs/>
          <w:color w:val="auto"/>
          <w:sz w:val="24"/>
        </w:rPr>
      </w:pPr>
      <w:r>
        <w:rPr>
          <w:rFonts w:hint="eastAsia" w:ascii="Times New Roman" w:hAnsi="Times New Roman" w:eastAsia="黑体" w:cs="Times New Roman"/>
          <w:b/>
          <w:bCs/>
          <w:color w:val="auto"/>
          <w:sz w:val="24"/>
        </w:rPr>
        <w:t xml:space="preserve">Supplementary materials to </w:t>
      </w:r>
    </w:p>
    <w:p w14:paraId="1A58B554">
      <w:pPr>
        <w:spacing w:line="480" w:lineRule="auto"/>
        <w:jc w:val="center"/>
        <w:rPr>
          <w:rFonts w:hint="eastAsia" w:ascii="Times New Roman" w:hAnsi="Times New Roman" w:eastAsia="黑体" w:cs="Times New Roman"/>
          <w:b/>
          <w:bCs/>
          <w:color w:val="auto"/>
        </w:rPr>
      </w:pPr>
      <w:r>
        <w:rPr>
          <w:rFonts w:hint="eastAsia" w:ascii="Times New Roman" w:hAnsi="Times New Roman" w:eastAsia="黑体" w:cs="Times New Roman"/>
          <w:b/>
          <w:bCs/>
          <w:color w:val="auto"/>
          <w:sz w:val="24"/>
        </w:rPr>
        <w:t xml:space="preserve">Microecological mechanism behind the alleviation of </w:t>
      </w:r>
      <w:r>
        <w:rPr>
          <w:rFonts w:ascii="Times New Roman" w:hAnsi="Times New Roman" w:cs="Times New Roman"/>
          <w:b/>
          <w:color w:val="auto"/>
          <w:sz w:val="24"/>
        </w:rPr>
        <w:t>common bean root rot</w:t>
      </w:r>
      <w:r>
        <w:rPr>
          <w:rFonts w:ascii="Times New Roman" w:hAnsi="Times New Roman" w:eastAsia="黑体" w:cs="Times New Roman"/>
          <w:b/>
          <w:bCs/>
          <w:color w:val="auto"/>
          <w:sz w:val="24"/>
        </w:rPr>
        <w:t xml:space="preserve"> disease</w:t>
      </w:r>
      <w:r>
        <w:rPr>
          <w:rFonts w:hint="eastAsia" w:ascii="Times New Roman" w:hAnsi="Times New Roman" w:eastAsia="黑体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Times New Roman" w:hAnsi="Times New Roman" w:eastAsia="黑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following seven continuous cropping cycles</w:t>
      </w:r>
    </w:p>
    <w:p w14:paraId="51D8C44F">
      <w:pPr>
        <w:spacing w:line="480" w:lineRule="auto"/>
        <w:rPr>
          <w:rFonts w:ascii="Times New Roman" w:hAnsi="Times New Roman" w:eastAsia="黑体" w:cs="Times New Roman"/>
          <w:b/>
          <w:bCs/>
          <w:color w:val="auto"/>
          <w:sz w:val="24"/>
        </w:rPr>
      </w:pPr>
    </w:p>
    <w:p w14:paraId="14309E10">
      <w:pPr>
        <w:kinsoku w:val="0"/>
        <w:autoSpaceDE w:val="0"/>
        <w:autoSpaceDN w:val="0"/>
        <w:spacing w:line="480" w:lineRule="auto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>Li Yang</w:t>
      </w:r>
      <w:r>
        <w:rPr>
          <w:rFonts w:ascii="Times New Roman" w:hAnsi="Times New Roman" w:eastAsia="Times New Roman" w:cs="Times New Roman"/>
          <w:color w:val="auto"/>
          <w:vertAlign w:val="superscript"/>
        </w:rPr>
        <w:t>1,2</w:t>
      </w:r>
      <w:r>
        <w:rPr>
          <w:rFonts w:ascii="Times New Roman" w:hAnsi="Times New Roman" w:eastAsia="Times New Roman" w:cs="Times New Roman"/>
          <w:color w:val="auto"/>
        </w:rPr>
        <w:t xml:space="preserve">, </w:t>
      </w:r>
      <w:r>
        <w:rPr>
          <w:rFonts w:ascii="Times New Roman" w:hAnsi="Times New Roman" w:eastAsia="Verdana-BoldItalic" w:cs="Times New Roman"/>
          <w:iCs/>
          <w:color w:val="auto"/>
        </w:rPr>
        <w:t>Adegb</w:t>
      </w:r>
      <w:r>
        <w:rPr>
          <w:rFonts w:ascii="Times New Roman" w:hAnsi="Times New Roman" w:cs="Times New Roman"/>
          <w:color w:val="auto"/>
        </w:rPr>
        <w:t>oyega Adeniji</w:t>
      </w:r>
      <w:r>
        <w:rPr>
          <w:rFonts w:ascii="Times New Roman" w:hAnsi="Times New Roman" w:eastAsia="Times New Roman" w:cs="Times New Roman"/>
          <w:color w:val="auto"/>
          <w:vertAlign w:val="superscript"/>
        </w:rPr>
        <w:t>1</w:t>
      </w:r>
      <w:r>
        <w:rPr>
          <w:rFonts w:ascii="Times New Roman" w:hAnsi="Times New Roman" w:eastAsia="Times New Roman" w:cs="Times New Roman"/>
          <w:color w:val="auto"/>
        </w:rPr>
        <w:t xml:space="preserve">, </w:t>
      </w:r>
      <w:r>
        <w:rPr>
          <w:rFonts w:hint="eastAsia" w:ascii="Times New Roman" w:hAnsi="Times New Roman" w:eastAsia="Times New Roman" w:cs="Times New Roman"/>
          <w:color w:val="auto"/>
        </w:rPr>
        <w:t>Ziten</w:t>
      </w:r>
      <w:r>
        <w:rPr>
          <w:rFonts w:hint="eastAsia" w:ascii="Times New Roman" w:hAnsi="Times New Roman" w:eastAsia="Times New Roman" w:cs="Times New Roman"/>
          <w:color w:val="auto"/>
          <w:highlight w:val="none"/>
        </w:rPr>
        <w:t>g Zhou</w:t>
      </w:r>
      <w:r>
        <w:rPr>
          <w:rFonts w:hint="eastAsia" w:ascii="Times New Roman" w:hAnsi="Times New Roman" w:cs="Times New Roman"/>
          <w:color w:val="auto"/>
          <w:highlight w:val="none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color w:val="auto"/>
          <w:highlight w:val="none"/>
        </w:rPr>
        <w:t xml:space="preserve">, </w:t>
      </w:r>
      <w:r>
        <w:rPr>
          <w:rFonts w:ascii="Times New Roman" w:hAnsi="Times New Roman" w:cs="Times New Roman"/>
          <w:color w:val="auto"/>
          <w:highlight w:val="none"/>
        </w:rPr>
        <w:t>G</w:t>
      </w:r>
      <w:r>
        <w:rPr>
          <w:rFonts w:hint="eastAsia" w:ascii="Times New Roman" w:hAnsi="Times New Roman" w:cs="Times New Roman"/>
          <w:color w:val="auto"/>
          <w:highlight w:val="none"/>
        </w:rPr>
        <w:t>antsetseg Ganbaatar</w:t>
      </w:r>
      <w:r>
        <w:rPr>
          <w:rFonts w:ascii="Times New Roman" w:hAnsi="Times New Roman" w:eastAsia="Times New Roman" w:cs="Times New Roman"/>
          <w:color w:val="auto"/>
          <w:highlight w:val="none"/>
          <w:vertAlign w:val="superscript"/>
        </w:rPr>
        <w:t>1</w:t>
      </w:r>
      <w:r>
        <w:rPr>
          <w:rFonts w:hint="eastAsia" w:ascii="Times New Roman" w:hAnsi="Times New Roman" w:cs="Times New Roman"/>
          <w:color w:val="auto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color w:val="auto"/>
          <w:highlight w:val="none"/>
        </w:rPr>
        <w:t>Xiao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>h</w:t>
      </w:r>
      <w:r>
        <w:rPr>
          <w:rFonts w:ascii="Times New Roman" w:hAnsi="Times New Roman" w:eastAsia="Times New Roman" w:cs="Times New Roman"/>
          <w:color w:val="auto"/>
          <w:highlight w:val="none"/>
        </w:rPr>
        <w:t>ong Lu</w:t>
      </w:r>
      <w:r>
        <w:rPr>
          <w:rFonts w:ascii="Times New Roman" w:hAnsi="Times New Roman" w:eastAsia="Times New Roman" w:cs="Times New Roman"/>
          <w:color w:val="auto"/>
          <w:highlight w:val="none"/>
          <w:vertAlign w:val="superscript"/>
        </w:rPr>
        <w:t>1</w:t>
      </w:r>
      <w:r>
        <w:rPr>
          <w:rFonts w:ascii="Times New Roman" w:hAnsi="Times New Roman" w:eastAsia="Times New Roman" w:cs="Times New Roman"/>
          <w:color w:val="auto"/>
          <w:highlight w:val="none"/>
        </w:rPr>
        <w:t>,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auto"/>
          <w:highlight w:val="none"/>
        </w:rPr>
        <w:t>Shidong Li</w:t>
      </w:r>
      <w:r>
        <w:rPr>
          <w:rFonts w:ascii="Times New Roman" w:hAnsi="Times New Roman" w:eastAsia="Times New Roman" w:cs="Times New Roman"/>
          <w:color w:val="auto"/>
          <w:highlight w:val="none"/>
          <w:vertAlign w:val="superscript"/>
        </w:rPr>
        <w:t>1</w:t>
      </w:r>
      <w:r>
        <w:rPr>
          <w:rFonts w:ascii="Times New Roman" w:hAnsi="Times New Roman" w:eastAsia="Times New Roman" w:cs="Times New Roman"/>
          <w:color w:val="auto"/>
          <w:highlight w:val="none"/>
        </w:rPr>
        <w:t>, Bo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>m</w:t>
      </w:r>
      <w:r>
        <w:rPr>
          <w:rFonts w:ascii="Times New Roman" w:hAnsi="Times New Roman" w:eastAsia="Times New Roman" w:cs="Times New Roman"/>
          <w:color w:val="auto"/>
          <w:highlight w:val="none"/>
        </w:rPr>
        <w:t xml:space="preserve">ing </w:t>
      </w:r>
      <w:r>
        <w:rPr>
          <w:rFonts w:ascii="Times New Roman" w:hAnsi="Times New Roman" w:cs="Times New Roman"/>
          <w:color w:val="auto"/>
          <w:highlight w:val="none"/>
        </w:rPr>
        <w:t>Wu</w:t>
      </w:r>
      <w:r>
        <w:rPr>
          <w:rFonts w:hint="eastAsia" w:ascii="Times New Roman" w:hAnsi="Times New Roman" w:cs="Times New Roman"/>
          <w:color w:val="auto"/>
          <w:highlight w:val="none"/>
          <w:vertAlign w:val="superscript"/>
        </w:rPr>
        <w:t>2</w:t>
      </w:r>
      <w:r>
        <w:rPr>
          <w:rFonts w:ascii="Times New Roman" w:hAnsi="Times New Roman" w:cs="Times New Roman"/>
          <w:color w:val="auto"/>
          <w:highlight w:val="none"/>
        </w:rPr>
        <w:t>,</w:t>
      </w:r>
      <w:r>
        <w:rPr>
          <w:rFonts w:ascii="Times New Roman" w:hAnsi="Times New Roman" w:eastAsia="Times New Roman" w:cs="Times New Roman"/>
          <w:color w:val="auto"/>
          <w:highlight w:val="none"/>
        </w:rPr>
        <w:t xml:space="preserve"> Guang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>nan Zhang</w:t>
      </w:r>
      <w:r>
        <w:rPr>
          <w:rFonts w:hint="eastAsia" w:ascii="Times New Roman" w:hAnsi="Times New Roman" w:cs="Times New Roman" w:eastAsiaTheme="minorEastAsia"/>
          <w:color w:val="auto"/>
          <w:highlight w:val="none"/>
          <w:vertAlign w:val="superscript"/>
          <w:lang w:val="en-US" w:eastAsia="zh-CN"/>
        </w:rPr>
        <w:t>4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>, Qiwen Zhong</w:t>
      </w:r>
      <w:r>
        <w:rPr>
          <w:rFonts w:hint="eastAsia" w:ascii="Times New Roman" w:hAnsi="Times New Roman" w:cs="Times New Roman" w:eastAsiaTheme="minorEastAsia"/>
          <w:color w:val="auto"/>
          <w:highlight w:val="none"/>
          <w:vertAlign w:val="superscript"/>
          <w:lang w:val="en-US" w:eastAsia="zh-CN"/>
        </w:rPr>
        <w:t>4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>, Qi Wang</w:t>
      </w:r>
      <w:r>
        <w:rPr>
          <w:rFonts w:hint="eastAsia" w:ascii="Times New Roman" w:hAnsi="Times New Roman" w:cs="Times New Roman" w:eastAsiaTheme="minorEastAsia"/>
          <w:color w:val="auto"/>
          <w:highlight w:val="none"/>
          <w:vertAlign w:val="superscript"/>
        </w:rPr>
        <w:t>5</w:t>
      </w:r>
      <w:r>
        <w:rPr>
          <w:rFonts w:hint="eastAsia" w:ascii="Times New Roman" w:hAnsi="Times New Roman" w:cs="Times New Roman" w:eastAsiaTheme="minorEastAsia"/>
          <w:color w:val="auto"/>
          <w:highlight w:val="none"/>
        </w:rPr>
        <w:t xml:space="preserve">, </w:t>
      </w:r>
      <w:r>
        <w:rPr>
          <w:rFonts w:ascii="Times New Roman" w:hAnsi="Times New Roman" w:cs="Times New Roman"/>
          <w:color w:val="auto"/>
          <w:highlight w:val="none"/>
        </w:rPr>
        <w:t>Rong</w:t>
      </w:r>
      <w:r>
        <w:rPr>
          <w:rFonts w:hint="eastAsia" w:ascii="Times New Roman" w:hAnsi="Times New Roman" w:cs="Times New Roman"/>
          <w:color w:val="auto"/>
          <w:highlight w:val="none"/>
        </w:rPr>
        <w:t>j</w:t>
      </w:r>
      <w:r>
        <w:rPr>
          <w:rFonts w:ascii="Times New Roman" w:hAnsi="Times New Roman" w:cs="Times New Roman"/>
          <w:color w:val="auto"/>
          <w:highlight w:val="none"/>
        </w:rPr>
        <w:t>u</w:t>
      </w:r>
      <w:r>
        <w:rPr>
          <w:rFonts w:ascii="Times New Roman" w:hAnsi="Times New Roman" w:cs="Times New Roman"/>
          <w:color w:val="auto"/>
        </w:rPr>
        <w:t>n Guo</w:t>
      </w:r>
      <w:r>
        <w:rPr>
          <w:rFonts w:ascii="Times New Roman" w:hAnsi="Times New Roman" w:eastAsia="Times New Roman" w:cs="Times New Roman"/>
          <w:color w:val="auto"/>
          <w:vertAlign w:val="superscript"/>
        </w:rPr>
        <w:t>1†</w:t>
      </w:r>
    </w:p>
    <w:p w14:paraId="49549F47">
      <w:pPr>
        <w:spacing w:line="480" w:lineRule="auto"/>
        <w:rPr>
          <w:rFonts w:ascii="Times New Roman" w:hAnsi="Times New Roman" w:eastAsia="Verdana-BoldItalic" w:cs="Times New Roman"/>
          <w:b/>
          <w:iCs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  <w:vertAlign w:val="superscript"/>
        </w:rPr>
        <w:t xml:space="preserve">1 </w:t>
      </w:r>
      <w:r>
        <w:rPr>
          <w:rFonts w:ascii="Times New Roman" w:hAnsi="Times New Roman" w:cs="Times New Roman"/>
          <w:color w:val="auto"/>
          <w:sz w:val="24"/>
        </w:rPr>
        <w:t>State Key Laboratory for Biology of Plant Diseases and Insect Pests, Institute of Plant Protection, Chinese Academy of Agricultural Sciences, Beijing 100193</w:t>
      </w:r>
      <w:r>
        <w:rPr>
          <w:rFonts w:hint="eastAsia" w:ascii="Times New Roman" w:hAnsi="Times New Roman" w:cs="Times New Roman"/>
          <w:color w:val="auto"/>
          <w:sz w:val="24"/>
        </w:rPr>
        <w:t>,</w:t>
      </w:r>
      <w:r>
        <w:rPr>
          <w:rFonts w:ascii="Times New Roman" w:hAnsi="Times New Roman" w:cs="Times New Roman"/>
          <w:color w:val="auto"/>
          <w:sz w:val="24"/>
        </w:rPr>
        <w:t xml:space="preserve"> China;</w:t>
      </w:r>
      <w:r>
        <w:rPr>
          <w:rFonts w:ascii="Times New Roman" w:hAnsi="Times New Roman" w:eastAsia="Verdana-BoldItalic" w:cs="Times New Roman"/>
          <w:b/>
          <w:iCs/>
          <w:color w:val="auto"/>
          <w:sz w:val="24"/>
        </w:rPr>
        <w:t xml:space="preserve"> </w:t>
      </w:r>
    </w:p>
    <w:p w14:paraId="34180F11">
      <w:pPr>
        <w:spacing w:line="480" w:lineRule="auto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eastAsia="Verdana-BoldItalic" w:cs="Times New Roman"/>
          <w:bCs/>
          <w:iCs/>
          <w:color w:val="auto"/>
          <w:sz w:val="24"/>
          <w:vertAlign w:val="superscript"/>
        </w:rPr>
        <w:t xml:space="preserve">2 </w:t>
      </w:r>
      <w:r>
        <w:rPr>
          <w:rFonts w:ascii="Times New Roman" w:hAnsi="Times New Roman" w:cs="Times New Roman"/>
          <w:color w:val="auto"/>
          <w:sz w:val="24"/>
        </w:rPr>
        <w:t>Department of Plant Pathology, China Agricultural University, Beijing 100193, China.</w:t>
      </w:r>
    </w:p>
    <w:p w14:paraId="74FA64E6">
      <w:pPr>
        <w:spacing w:line="480" w:lineRule="auto"/>
        <w:ind w:left="120" w:hanging="120" w:hangingChars="50"/>
        <w:jc w:val="both"/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</w:pPr>
      <w:r>
        <w:rPr>
          <w:rFonts w:ascii="Times New Roman" w:hAnsi="Times New Roman" w:cs="Times New Roman"/>
          <w:color w:val="auto"/>
          <w:sz w:val="24"/>
          <w:highlight w:val="none"/>
          <w:vertAlign w:val="superscript"/>
        </w:rPr>
        <w:t>3</w:t>
      </w:r>
      <w:r>
        <w:rPr>
          <w:rFonts w:hint="default" w:ascii="Times New Roman" w:hAnsi="Times New Roman" w:cs="Times New Roman"/>
          <w:color w:val="auto"/>
          <w:sz w:val="24"/>
          <w:highlight w:val="none"/>
          <w:vertAlign w:val="superscript"/>
          <w:lang w:val="en-US"/>
        </w:rPr>
        <w:t xml:space="preserve"> 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>Institute of Biological Sciences and Technology, Guangxi Academy of Sciences, Nanning</w:t>
      </w:r>
      <w:r>
        <w:rPr>
          <w:rFonts w:ascii="Times New Roman" w:hAnsi="Times New Roman" w:cs="Times New Roman"/>
          <w:color w:val="auto"/>
          <w:sz w:val="24"/>
          <w:highlight w:val="none"/>
        </w:rPr>
        <w:t xml:space="preserve"> 530007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>, China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;</w:t>
      </w:r>
    </w:p>
    <w:p w14:paraId="0AD9AEB0">
      <w:pPr>
        <w:spacing w:line="480" w:lineRule="auto"/>
        <w:ind w:left="120" w:hanging="120" w:hangingChars="50"/>
        <w:jc w:val="both"/>
        <w:rPr>
          <w:rFonts w:hint="eastAsia" w:ascii="Times New Roman" w:hAnsi="Times New Roman" w:cs="Times New Roman"/>
          <w:color w:val="auto"/>
          <w:sz w:val="24"/>
          <w:highlight w:val="none"/>
        </w:rPr>
      </w:pPr>
      <w:r>
        <w:rPr>
          <w:rFonts w:hint="eastAsia" w:ascii="Times New Roman" w:hAnsi="Times New Roman" w:cs="Times New Roman"/>
          <w:color w:val="auto"/>
          <w:sz w:val="24"/>
          <w:highlight w:val="none"/>
          <w:vertAlign w:val="superscript"/>
        </w:rPr>
        <w:t>4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 xml:space="preserve"> </w:t>
      </w:r>
      <w:r>
        <w:rPr>
          <w:rFonts w:ascii="Times New Roman" w:hAnsi="Times New Roman" w:cs="Times New Roman"/>
          <w:color w:val="auto"/>
          <w:sz w:val="24"/>
          <w:highlight w:val="none"/>
        </w:rPr>
        <w:t>Academy of Agriculture and Forestry Sciences, Qinghai University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>, Qinghai 810016, China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;</w:t>
      </w:r>
    </w:p>
    <w:p w14:paraId="62AA6EAD">
      <w:pPr>
        <w:spacing w:line="480" w:lineRule="auto"/>
        <w:ind w:left="120" w:hanging="120" w:hangingChars="50"/>
        <w:jc w:val="both"/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highlight w:val="none"/>
          <w:vertAlign w:val="superscript"/>
        </w:rPr>
        <w:t>5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 xml:space="preserve"> China Science and Technology Exchange Center; Beijing 100045, PR China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.</w:t>
      </w:r>
    </w:p>
    <w:p w14:paraId="2835CA11">
      <w:pPr>
        <w:spacing w:line="480" w:lineRule="auto"/>
        <w:ind w:left="120" w:hanging="120" w:hangingChars="50"/>
        <w:rPr>
          <w:rFonts w:hint="eastAsia" w:ascii="Times New Roman" w:hAnsi="Times New Roman" w:cs="Times New Roman"/>
          <w:color w:val="auto"/>
          <w:sz w:val="24"/>
          <w:lang w:val="en-US" w:eastAsia="zh-CN"/>
        </w:rPr>
      </w:pPr>
    </w:p>
    <w:p w14:paraId="25299C89">
      <w:pPr>
        <w:spacing w:line="480" w:lineRule="auto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eastAsia="Verdana-BoldItalic" w:cs="Times New Roman"/>
          <w:b/>
          <w:iCs/>
          <w:color w:val="auto"/>
          <w:sz w:val="24"/>
        </w:rPr>
        <w:t>Corresponding author</w:t>
      </w:r>
      <w:r>
        <w:rPr>
          <w:rFonts w:ascii="Times New Roman" w:hAnsi="Times New Roman" w:cs="Times New Roman"/>
          <w:color w:val="auto"/>
          <w:sz w:val="24"/>
        </w:rPr>
        <w:t>: guorongjun@caas.cn (R.G.)</w:t>
      </w:r>
    </w:p>
    <w:p w14:paraId="3CBF523D">
      <w:pPr>
        <w:spacing w:line="480" w:lineRule="auto"/>
        <w:rPr>
          <w:rFonts w:ascii="Times New Roman" w:hAnsi="Times New Roman" w:cs="Times New Roman"/>
          <w:color w:val="auto"/>
          <w:sz w:val="24"/>
        </w:rPr>
      </w:pPr>
    </w:p>
    <w:p w14:paraId="45516769">
      <w:pPr>
        <w:spacing w:line="480" w:lineRule="auto"/>
        <w:rPr>
          <w:rFonts w:hint="eastAsia" w:ascii="Times New Roman" w:hAnsi="Times New Roman" w:cs="Times New Roman"/>
          <w:color w:val="auto"/>
          <w:sz w:val="24"/>
        </w:rPr>
      </w:pPr>
      <w:r>
        <w:rPr>
          <w:rFonts w:hint="eastAsia" w:ascii="Times New Roman" w:hAnsi="Times New Roman" w:cs="Times New Roman"/>
          <w:color w:val="auto"/>
          <w:sz w:val="24"/>
          <w:highlight w:val="none"/>
        </w:rPr>
        <w:t>T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/>
        </w:rPr>
        <w:t>hree</w:t>
      </w:r>
      <w:r>
        <w:rPr>
          <w:rFonts w:hint="eastAsia" w:ascii="Times New Roman" w:hAnsi="Times New Roman" w:cs="Times New Roman"/>
          <w:color w:val="auto"/>
          <w:sz w:val="24"/>
          <w:highlight w:val="none"/>
        </w:rPr>
        <w:t xml:space="preserve"> tables </w:t>
      </w:r>
      <w:r>
        <w:rPr>
          <w:rFonts w:hint="eastAsia" w:ascii="Times New Roman" w:hAnsi="Times New Roman" w:cs="Times New Roman"/>
          <w:color w:val="auto"/>
          <w:sz w:val="24"/>
        </w:rPr>
        <w:t>and two figures</w:t>
      </w:r>
    </w:p>
    <w:p w14:paraId="3B44A7F8">
      <w:pPr>
        <w:spacing w:line="480" w:lineRule="auto"/>
        <w:rPr>
          <w:rFonts w:hint="eastAsia" w:ascii="Times New Roman" w:hAnsi="Times New Roman" w:cs="Times New Roman"/>
          <w:color w:val="auto"/>
          <w:sz w:val="24"/>
        </w:rPr>
      </w:pPr>
    </w:p>
    <w:p w14:paraId="3E0B07E9">
      <w:pPr>
        <w:spacing w:line="480" w:lineRule="auto"/>
        <w:rPr>
          <w:rFonts w:hint="eastAsia" w:ascii="Times New Roman" w:hAnsi="Times New Roman" w:cs="Times New Roman"/>
          <w:color w:val="auto"/>
          <w:sz w:val="24"/>
        </w:rPr>
      </w:pPr>
    </w:p>
    <w:p w14:paraId="17685B21">
      <w:pPr>
        <w:spacing w:line="480" w:lineRule="auto"/>
        <w:rPr>
          <w:rFonts w:hint="eastAsia" w:ascii="Times New Roman" w:hAnsi="Times New Roman" w:cs="Times New Roman"/>
          <w:color w:val="auto"/>
          <w:sz w:val="24"/>
        </w:rPr>
      </w:pPr>
    </w:p>
    <w:p w14:paraId="5BCD1EEA">
      <w:pPr>
        <w:spacing w:line="480" w:lineRule="auto"/>
        <w:rPr>
          <w:rFonts w:hint="eastAsia" w:ascii="Times New Roman" w:hAnsi="Times New Roman" w:cs="Times New Roman"/>
          <w:color w:val="auto"/>
          <w:sz w:val="24"/>
        </w:rPr>
      </w:pPr>
    </w:p>
    <w:p w14:paraId="63F9D6C6"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eastAsia="黑体" w:cs="Times New Roman"/>
          <w:b/>
          <w:bCs/>
          <w:color w:val="auto"/>
          <w:highlight w:val="none"/>
          <w:shd w:val="clear" w:color="auto" w:fill="FFFFFF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highlight w:val="none"/>
          <w:lang w:bidi="ar"/>
        </w:rPr>
        <w:t xml:space="preserve">Supplementary </w:t>
      </w:r>
      <w:r>
        <w:rPr>
          <w:rFonts w:ascii="Times New Roman" w:hAnsi="Times New Roman" w:eastAsia="宋体" w:cs="Times New Roman"/>
          <w:b/>
          <w:bCs/>
          <w:color w:val="auto"/>
          <w:kern w:val="0"/>
          <w:sz w:val="24"/>
          <w:highlight w:val="none"/>
          <w:shd w:val="clear" w:color="auto" w:fill="FFFFFF"/>
          <w:lang w:bidi="ar"/>
        </w:rPr>
        <w:t>Table S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24"/>
          <w:highlight w:val="none"/>
          <w:shd w:val="clear" w:color="auto" w:fill="FFFFFF"/>
          <w:lang w:val="en-US" w:bidi="ar"/>
        </w:rPr>
        <w:t>1</w:t>
      </w:r>
      <w:r>
        <w:rPr>
          <w:rFonts w:hint="eastAsia" w:ascii="Times New Roman" w:hAnsi="Times New Roman" w:eastAsia="宋体" w:cs="Times New Roman"/>
          <w:b/>
          <w:bCs/>
          <w:color w:val="auto"/>
          <w:kern w:val="0"/>
          <w:sz w:val="24"/>
          <w:highlight w:val="none"/>
          <w:shd w:val="clear" w:color="auto" w:fill="FFFFFF"/>
          <w:lang w:bidi="ar"/>
        </w:rPr>
        <w:t>.</w:t>
      </w:r>
      <w:r>
        <w:rPr>
          <w:rFonts w:ascii="Times New Roman" w:hAnsi="Times New Roman" w:eastAsia="宋体" w:cs="Times New Roman"/>
          <w:b/>
          <w:bCs/>
          <w:color w:val="auto"/>
          <w:kern w:val="0"/>
          <w:sz w:val="24"/>
          <w:highlight w:val="none"/>
          <w:shd w:val="clear" w:color="auto" w:fill="FFFFFF"/>
          <w:lang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highlight w:val="none"/>
          <w:shd w:val="clear" w:color="auto" w:fill="FFFFFF"/>
          <w:lang w:val="en-US" w:bidi="ar"/>
        </w:rPr>
        <w:t>T</w:t>
      </w:r>
      <w:r>
        <w:rPr>
          <w:rFonts w:ascii="Times New Roman" w:hAnsi="Times New Roman" w:eastAsia="宋体" w:cs="Times New Roman"/>
          <w:color w:val="auto"/>
          <w:kern w:val="0"/>
          <w:sz w:val="24"/>
          <w:highlight w:val="none"/>
          <w:shd w:val="clear" w:color="auto" w:fill="FFFFFF"/>
          <w:lang w:bidi="ar"/>
        </w:rPr>
        <w:t xml:space="preserve">he 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highlight w:val="none"/>
          <w:shd w:val="clear" w:color="auto" w:fill="FFFFFF"/>
          <w:lang w:val="en-US" w:bidi="ar"/>
        </w:rPr>
        <w:t>data of average disease severity (</w:t>
      </w:r>
      <w:r>
        <w:rPr>
          <w:rFonts w:ascii="Times New Roman" w:hAnsi="Times New Roman" w:eastAsia="黑体" w:cs="Times New Roman"/>
          <w:color w:val="auto"/>
          <w:kern w:val="0"/>
          <w:sz w:val="24"/>
          <w:highlight w:val="none"/>
          <w:shd w:val="clear" w:color="auto" w:fill="FFFFFF"/>
          <w:lang w:bidi="ar"/>
        </w:rPr>
        <w:t>AveDS</w:t>
      </w:r>
      <w:r>
        <w:rPr>
          <w:rFonts w:hint="default" w:ascii="Times New Roman" w:hAnsi="Times New Roman" w:eastAsia="黑体" w:cs="Times New Roman"/>
          <w:color w:val="auto"/>
          <w:kern w:val="0"/>
          <w:sz w:val="24"/>
          <w:highlight w:val="none"/>
          <w:shd w:val="clear" w:color="auto" w:fill="FFFFFF"/>
          <w:lang w:val="en-US" w:bidi="ar"/>
        </w:rPr>
        <w:t>)</w:t>
      </w:r>
      <w:r>
        <w:rPr>
          <w:rFonts w:ascii="Times New Roman" w:hAnsi="Times New Roman" w:eastAsia="宋体" w:cs="Times New Roman"/>
          <w:color w:val="auto"/>
          <w:kern w:val="0"/>
          <w:sz w:val="24"/>
          <w:highlight w:val="none"/>
          <w:shd w:val="clear" w:color="auto" w:fill="FFFFFF"/>
          <w:lang w:bidi="ar"/>
        </w:rPr>
        <w:t xml:space="preserve"> of different cropping cycles of common bean</w:t>
      </w:r>
    </w:p>
    <w:tbl>
      <w:tblPr>
        <w:tblStyle w:val="5"/>
        <w:tblW w:w="559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0"/>
        <w:gridCol w:w="2019"/>
      </w:tblGrid>
      <w:tr w14:paraId="57AC8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358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4B5BEFF">
            <w:pPr>
              <w:widowControl/>
              <w:jc w:val="center"/>
              <w:rPr>
                <w:rFonts w:hint="default" w:ascii="Times New Roman Bold" w:hAnsi="Times New Roman Bold" w:eastAsia="宋体" w:cs="Times New Roman Bold"/>
                <w:b/>
                <w:bCs w:val="0"/>
                <w:color w:val="auto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24"/>
                <w:shd w:val="clear" w:color="auto" w:fill="FFFFFF"/>
                <w:lang w:bidi="ar"/>
              </w:rPr>
              <w:br w:type="page"/>
            </w:r>
            <w:r>
              <w:rPr>
                <w:rFonts w:hint="default" w:ascii="Times New Roman Bold" w:hAnsi="Times New Roman Bold" w:eastAsia="宋体" w:cs="Times New Roman Bold"/>
                <w:b/>
                <w:bCs w:val="0"/>
                <w:color w:val="auto"/>
                <w:kern w:val="0"/>
                <w:sz w:val="24"/>
                <w:lang w:val="en-US" w:eastAsia="zh-CN" w:bidi="ar"/>
              </w:rPr>
              <w:t>Cropping cycle</w:t>
            </w:r>
          </w:p>
        </w:tc>
        <w:tc>
          <w:tcPr>
            <w:tcW w:w="2019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760B816">
            <w:pPr>
              <w:jc w:val="center"/>
              <w:rPr>
                <w:rFonts w:hint="default" w:ascii="Times New Roman Bold" w:hAnsi="Times New Roman Bold" w:eastAsia="宋体" w:cs="Times New Roman Bold"/>
                <w:b/>
                <w:bCs w:val="0"/>
                <w:color w:val="auto"/>
                <w:kern w:val="0"/>
                <w:sz w:val="24"/>
                <w:lang w:bidi="ar"/>
              </w:rPr>
            </w:pPr>
            <w:r>
              <w:rPr>
                <w:rFonts w:hint="default" w:ascii="Times New Roman Bold" w:hAnsi="Times New Roman Bold" w:eastAsia="宋体" w:cs="Times New Roman Bold"/>
                <w:b/>
                <w:bCs w:val="0"/>
                <w:color w:val="auto"/>
                <w:kern w:val="0"/>
                <w:sz w:val="24"/>
                <w:lang w:val="en-US" w:eastAsia="zh-CN" w:bidi="ar"/>
              </w:rPr>
              <w:t>AveDS</w:t>
            </w:r>
          </w:p>
        </w:tc>
      </w:tr>
      <w:tr w14:paraId="124E4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F211F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BE9AE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0.79</w:t>
            </w:r>
          </w:p>
        </w:tc>
      </w:tr>
      <w:tr w14:paraId="7DE7F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67B54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2032D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0.82</w:t>
            </w:r>
          </w:p>
        </w:tc>
      </w:tr>
      <w:tr w14:paraId="6F5BE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C0B440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E6EB8A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0.87</w:t>
            </w:r>
          </w:p>
        </w:tc>
      </w:tr>
      <w:tr w14:paraId="713E4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3EB58D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B15D05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0.21</w:t>
            </w:r>
          </w:p>
        </w:tc>
      </w:tr>
      <w:tr w14:paraId="18D76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35A5A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46B8C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0.69</w:t>
            </w:r>
          </w:p>
        </w:tc>
      </w:tr>
      <w:tr w14:paraId="1B99A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E750F7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443D09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0.26</w:t>
            </w:r>
          </w:p>
        </w:tc>
      </w:tr>
      <w:tr w14:paraId="5A8E4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45C61B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ABEC9D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0.69</w:t>
            </w:r>
          </w:p>
        </w:tc>
      </w:tr>
      <w:tr w14:paraId="6AD9C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1732F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731372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0.45</w:t>
            </w:r>
          </w:p>
        </w:tc>
      </w:tr>
      <w:tr w14:paraId="20F37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8943FC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A389DA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0.87</w:t>
            </w:r>
          </w:p>
        </w:tc>
      </w:tr>
      <w:tr w14:paraId="053A4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F130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7692C3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2.03</w:t>
            </w:r>
          </w:p>
        </w:tc>
      </w:tr>
      <w:tr w14:paraId="2F842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FB1E08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27C15C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1.36</w:t>
            </w:r>
          </w:p>
        </w:tc>
      </w:tr>
      <w:tr w14:paraId="497B6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45DA80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34B79E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1.75</w:t>
            </w:r>
          </w:p>
        </w:tc>
      </w:tr>
      <w:tr w14:paraId="0619F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A11CE9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4CF051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4.07</w:t>
            </w:r>
          </w:p>
        </w:tc>
      </w:tr>
      <w:tr w14:paraId="2CF3A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658C3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E1D9A0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4.11</w:t>
            </w:r>
          </w:p>
        </w:tc>
      </w:tr>
      <w:tr w14:paraId="40DF8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D9722E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6C0A3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3.15</w:t>
            </w:r>
          </w:p>
        </w:tc>
      </w:tr>
      <w:tr w14:paraId="30C31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A59C1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549E03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3.33</w:t>
            </w:r>
          </w:p>
        </w:tc>
      </w:tr>
      <w:tr w14:paraId="56380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41C763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567FD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3.94</w:t>
            </w:r>
          </w:p>
        </w:tc>
      </w:tr>
      <w:tr w14:paraId="1CA5B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26548A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BD20CB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3.03</w:t>
            </w:r>
          </w:p>
        </w:tc>
      </w:tr>
      <w:tr w14:paraId="66AAC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E87ABF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FD379C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1.28</w:t>
            </w:r>
          </w:p>
        </w:tc>
      </w:tr>
      <w:tr w14:paraId="5DA45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AA449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F41A7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1.00</w:t>
            </w:r>
          </w:p>
        </w:tc>
      </w:tr>
      <w:tr w14:paraId="62C89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AC8801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3F40A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1.63</w:t>
            </w:r>
          </w:p>
        </w:tc>
      </w:tr>
      <w:tr w14:paraId="62BA9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A5384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4637CC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1.38</w:t>
            </w:r>
          </w:p>
        </w:tc>
      </w:tr>
      <w:tr w14:paraId="37EEB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C9FC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D924E4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1.30</w:t>
            </w:r>
          </w:p>
        </w:tc>
      </w:tr>
      <w:tr w14:paraId="111F5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BE2DA33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42B31B6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kern w:val="0"/>
                <w:sz w:val="24"/>
                <w:lang w:val="en-US" w:eastAsia="zh-CN" w:bidi="ar"/>
              </w:rPr>
              <w:t>1.00</w:t>
            </w:r>
          </w:p>
        </w:tc>
      </w:tr>
    </w:tbl>
    <w:p w14:paraId="61AEF755">
      <w:pPr>
        <w:widowControl/>
        <w:autoSpaceDE w:val="0"/>
        <w:autoSpaceDN w:val="0"/>
        <w:adjustRightInd w:val="0"/>
        <w:snapToGrid w:val="0"/>
        <w:spacing w:line="480" w:lineRule="auto"/>
        <w:ind w:firstLine="1320" w:firstLineChars="550"/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</w:pPr>
      <w:r>
        <w:rPr>
          <w:rFonts w:ascii="Times New Roman" w:hAnsi="Times New Roman" w:eastAsia="黑体" w:cs="Times New Roman"/>
          <w:color w:val="auto"/>
          <w:kern w:val="0"/>
          <w:sz w:val="24"/>
          <w:shd w:val="clear" w:color="auto" w:fill="FFFFFF"/>
          <w:lang w:bidi="ar"/>
        </w:rPr>
        <w:t>AveDS,</w:t>
      </w: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t xml:space="preserve"> average disease severity.</w:t>
      </w:r>
    </w:p>
    <w:p w14:paraId="7C20AFD7">
      <w:pP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</w:pP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br w:type="page"/>
      </w:r>
    </w:p>
    <w:p w14:paraId="3696B59A"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eastAsia="黑体" w:cs="Times New Roman"/>
          <w:b/>
          <w:bCs/>
          <w:color w:val="auto"/>
          <w:shd w:val="clear" w:color="auto" w:fill="FFFFFF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Supplementary </w:t>
      </w:r>
      <w:r>
        <w:rPr>
          <w:rFonts w:ascii="Times New Roman" w:hAnsi="Times New Roman" w:eastAsia="宋体" w:cs="Times New Roman"/>
          <w:b/>
          <w:bCs/>
          <w:color w:val="auto"/>
          <w:kern w:val="0"/>
          <w:sz w:val="24"/>
          <w:shd w:val="clear" w:color="auto" w:fill="FFFFFF"/>
          <w:lang w:bidi="ar"/>
        </w:rPr>
        <w:t>Table S</w:t>
      </w:r>
      <w:r>
        <w:rPr>
          <w:rFonts w:hint="default" w:ascii="Times New Roman" w:hAnsi="Times New Roman" w:eastAsia="宋体" w:cs="Times New Roman"/>
          <w:b/>
          <w:bCs/>
          <w:color w:val="auto"/>
          <w:kern w:val="0"/>
          <w:sz w:val="24"/>
          <w:highlight w:val="none"/>
          <w:shd w:val="clear" w:color="auto" w:fill="FFFFFF"/>
          <w:lang w:val="en-US" w:bidi="ar"/>
        </w:rPr>
        <w:t>2</w:t>
      </w:r>
      <w:r>
        <w:rPr>
          <w:rFonts w:hint="eastAsia" w:ascii="Times New Roman" w:hAnsi="Times New Roman" w:eastAsia="宋体" w:cs="Times New Roman"/>
          <w:b/>
          <w:bCs/>
          <w:color w:val="auto"/>
          <w:kern w:val="0"/>
          <w:sz w:val="24"/>
          <w:shd w:val="clear" w:color="auto" w:fill="FFFFFF"/>
          <w:lang w:bidi="ar"/>
        </w:rPr>
        <w:t>.</w:t>
      </w:r>
      <w:r>
        <w:rPr>
          <w:rFonts w:ascii="Times New Roman" w:hAnsi="Times New Roman" w:eastAsia="宋体" w:cs="Times New Roman"/>
          <w:b/>
          <w:bCs/>
          <w:color w:val="auto"/>
          <w:kern w:val="0"/>
          <w:sz w:val="24"/>
          <w:shd w:val="clear" w:color="auto" w:fill="FFFFFF"/>
          <w:lang w:bidi="ar"/>
        </w:rPr>
        <w:t xml:space="preserve"> </w:t>
      </w: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t xml:space="preserve">Variance analysis of the </w:t>
      </w:r>
      <w:r>
        <w:rPr>
          <w:rFonts w:ascii="Times New Roman" w:hAnsi="Times New Roman" w:eastAsia="黑体" w:cs="Times New Roman"/>
          <w:color w:val="auto"/>
          <w:kern w:val="0"/>
          <w:sz w:val="24"/>
          <w:shd w:val="clear" w:color="auto" w:fill="FFFFFF"/>
          <w:lang w:bidi="ar"/>
        </w:rPr>
        <w:t>Log</w:t>
      </w: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t xml:space="preserve"> (</w:t>
      </w:r>
      <w:r>
        <w:rPr>
          <w:rFonts w:ascii="Times New Roman" w:hAnsi="Times New Roman" w:eastAsia="黑体" w:cs="Times New Roman"/>
          <w:color w:val="auto"/>
          <w:kern w:val="0"/>
          <w:sz w:val="24"/>
          <w:shd w:val="clear" w:color="auto" w:fill="FFFFFF"/>
          <w:lang w:bidi="ar"/>
        </w:rPr>
        <w:t>AveDS</w:t>
      </w: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t>) of different cropping cycles of common bean</w:t>
      </w:r>
    </w:p>
    <w:tbl>
      <w:tblPr>
        <w:tblStyle w:val="5"/>
        <w:tblW w:w="8672" w:type="dxa"/>
        <w:jc w:val="center"/>
        <w:tblBorders>
          <w:top w:val="single" w:color="auto" w:sz="4" w:space="0"/>
          <w:left w:val="none" w:color="auto" w:sz="6" w:space="0"/>
          <w:bottom w:val="single" w:color="auto" w:sz="4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915"/>
        <w:gridCol w:w="1416"/>
        <w:gridCol w:w="1416"/>
        <w:gridCol w:w="1416"/>
        <w:gridCol w:w="1416"/>
      </w:tblGrid>
      <w:tr w14:paraId="78005112">
        <w:tblPrEx>
          <w:tblBorders>
            <w:top w:val="single" w:color="auto" w:sz="4" w:space="0"/>
            <w:left w:val="none" w:color="auto" w:sz="6" w:space="0"/>
            <w:bottom w:val="single" w:color="auto" w:sz="4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0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897429A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Source of variation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773E9A8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Df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92A2289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Sum Sq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5D13D7E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Mean Sq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174BCC7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F value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689B9B4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Pr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（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&gt;F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）</w:t>
            </w:r>
          </w:p>
        </w:tc>
      </w:tr>
      <w:tr w14:paraId="7E0EDAB8">
        <w:tblPrEx>
          <w:tblBorders>
            <w:top w:val="single" w:color="auto" w:sz="4" w:space="0"/>
            <w:left w:val="none" w:color="auto" w:sz="6" w:space="0"/>
            <w:bottom w:val="single" w:color="auto" w:sz="4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20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4B95F5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Cropping cycle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D0B916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7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C74F3C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2.634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FA2619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0.376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3201EA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23.190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B7A33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&lt;0.001</w:t>
            </w:r>
          </w:p>
        </w:tc>
      </w:tr>
      <w:tr w14:paraId="2A7DC58E">
        <w:tblPrEx>
          <w:tblBorders>
            <w:top w:val="single" w:color="auto" w:sz="4" w:space="0"/>
            <w:left w:val="none" w:color="auto" w:sz="6" w:space="0"/>
            <w:bottom w:val="single" w:color="auto" w:sz="4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0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3BA320B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Residual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2031314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16</w:t>
            </w: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8A79236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0.260</w:t>
            </w: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A57A2B9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4"/>
                <w:lang w:bidi="ar"/>
              </w:rPr>
              <w:t>0.016</w:t>
            </w: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2B42A0A">
            <w:pPr>
              <w:widowControl/>
              <w:spacing w:line="480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45F0E3F">
            <w:pPr>
              <w:widowControl/>
              <w:spacing w:line="480" w:lineRule="auto"/>
              <w:rPr>
                <w:rFonts w:ascii="Times New Roman" w:hAnsi="Times New Roman" w:eastAsia="Times New Roman" w:cs="Times New Roman"/>
                <w:color w:val="auto"/>
              </w:rPr>
            </w:pPr>
          </w:p>
        </w:tc>
      </w:tr>
    </w:tbl>
    <w:p w14:paraId="0B027808">
      <w:pPr>
        <w:widowControl/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eastAsia="黑体" w:cs="Times New Roman"/>
          <w:color w:val="auto"/>
          <w:kern w:val="0"/>
          <w:sz w:val="24"/>
          <w:shd w:val="clear" w:color="auto" w:fill="FFFFFF"/>
          <w:lang w:bidi="ar"/>
        </w:rPr>
        <w:t>AveDS,</w:t>
      </w:r>
      <w:r>
        <w:rPr>
          <w:rFonts w:ascii="Times New Roman" w:hAnsi="Times New Roman" w:eastAsia="宋体" w:cs="Times New Roman"/>
          <w:color w:val="auto"/>
          <w:kern w:val="0"/>
          <w:sz w:val="24"/>
          <w:shd w:val="clear" w:color="auto" w:fill="FFFFFF"/>
          <w:lang w:bidi="ar"/>
        </w:rPr>
        <w:t xml:space="preserve"> average disease severity.</w:t>
      </w:r>
    </w:p>
    <w:p w14:paraId="4F017914">
      <w:pPr>
        <w:widowControl/>
        <w:jc w:val="lef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br w:type="page"/>
      </w: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Supplementary </w:t>
      </w:r>
      <w:r>
        <w:rPr>
          <w:rFonts w:hint="eastAsia" w:ascii="Times New Roman" w:hAnsi="Times New Roman" w:eastAsia="宋体" w:cs="Times New Roman"/>
          <w:b/>
          <w:color w:val="auto"/>
          <w:kern w:val="0"/>
          <w:sz w:val="24"/>
          <w:lang w:bidi="ar"/>
        </w:rPr>
        <w:t>Table</w:t>
      </w: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 S</w:t>
      </w:r>
      <w:r>
        <w:rPr>
          <w:rFonts w:hint="default" w:ascii="Times New Roman" w:hAnsi="Times New Roman" w:eastAsia="宋体" w:cs="Times New Roman"/>
          <w:b/>
          <w:color w:val="auto"/>
          <w:kern w:val="0"/>
          <w:sz w:val="24"/>
          <w:highlight w:val="none"/>
          <w:lang w:val="en-US" w:bidi="ar"/>
        </w:rPr>
        <w:t>3</w:t>
      </w:r>
      <w:r>
        <w:rPr>
          <w:rFonts w:hint="eastAsia" w:ascii="Times New Roman" w:hAnsi="Times New Roman" w:eastAsia="宋体" w:cs="Times New Roman"/>
          <w:b/>
          <w:color w:val="auto"/>
          <w:kern w:val="0"/>
          <w:sz w:val="24"/>
          <w:lang w:bidi="ar"/>
        </w:rPr>
        <w:t>.</w:t>
      </w: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32"/>
        </w:rPr>
        <w:t xml:space="preserve">Function prediction of the ASVs using the </w:t>
      </w:r>
      <w:r>
        <w:rPr>
          <w:rFonts w:ascii="Times New Roman" w:hAnsi="Times New Roman" w:eastAsia="宋体" w:cs="Times New Roman"/>
          <w:color w:val="auto"/>
          <w:kern w:val="0"/>
          <w:sz w:val="24"/>
          <w:lang w:bidi="ar"/>
        </w:rPr>
        <w:t>FUNGuild</w:t>
      </w:r>
    </w:p>
    <w:tbl>
      <w:tblPr>
        <w:tblStyle w:val="5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2419"/>
        <w:gridCol w:w="5164"/>
      </w:tblGrid>
      <w:tr w14:paraId="39FBF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C63E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2CE0B6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Genus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18D7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FUNGuild</w:t>
            </w:r>
          </w:p>
        </w:tc>
      </w:tr>
      <w:tr w14:paraId="311B6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BEF0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ASV108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8BD4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CA05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057A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82A0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ASV131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C7F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Thielavia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64B1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Dung Saprotroph-Undefined Saprotroph</w:t>
            </w:r>
          </w:p>
        </w:tc>
      </w:tr>
      <w:tr w14:paraId="1B244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21C8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ASV132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D63F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Ascobolus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91AF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Dung Saprotroph-Wood Saprotroph</w:t>
            </w:r>
          </w:p>
        </w:tc>
      </w:tr>
      <w:tr w14:paraId="0CD34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5853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ASV136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0065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Basidiomycota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2458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306CF2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58BF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ASV160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6B4E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Thanatephorus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740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21564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120D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ASV191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116C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Neocosmospora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687A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5E5DB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B40B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ASV196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82F9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Gibberella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E73D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16E7FB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E779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ASV233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4373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Penicillium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D078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2E209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6F73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ASV316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A057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Chytridiomycota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BE70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37900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2200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ASV327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745A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Botrytis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BFBA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72CE3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E725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ASV331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640F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Chaetomium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7E46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Pathogen-Dung Saprotroph-Endophyte-Epiphyte-Plant Saprotroph-Wood Saprotroph</w:t>
            </w:r>
          </w:p>
        </w:tc>
      </w:tr>
      <w:tr w14:paraId="0D85E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8935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ASV334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81C7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Neocosmospora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C1AC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774B7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AD67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ASV336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1618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Acremonium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FC98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Pathogen-Endophyte-Fungal Parasite-Plant Pathogen-Wood Saprotroph</w:t>
            </w:r>
          </w:p>
        </w:tc>
      </w:tr>
      <w:tr w14:paraId="2700F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13C8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ASV340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8167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fungi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CF3D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6F649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A727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ASV342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D917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Acremonium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8E0D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Pathogen-Endophyte-Fungal Parasite-Plant Pathogen-Wood Saprotroph</w:t>
            </w:r>
          </w:p>
        </w:tc>
      </w:tr>
      <w:tr w14:paraId="268D05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F16A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ASV346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5FAD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Acremonium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0045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Pathogen-Endophyte-Fungal Parasite-Plant Pathogen-Wood Saprotroph</w:t>
            </w:r>
          </w:p>
        </w:tc>
      </w:tr>
      <w:tr w14:paraId="58C25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5A33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ASV353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9351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Sordariomycetes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477F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47FE4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FA72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ASV354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9A1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Neocosmospora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D4C3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76CE2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2697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ASV357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294B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Mortierellomycota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4BBD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06C6A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72CB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ASV362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A3E5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Nectriaceae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6151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05EDA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1CE2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ASV371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0849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Thanatephorus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6E3E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50E0EF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D6D2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ASV375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D75C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1A46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77618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D366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ASV385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DB96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4F2E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3B378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8124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ASV399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12A6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Sarocladium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0823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0AA26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AEA9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ASV400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A0EF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Gibellulopsis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D718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51A33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8131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ASV409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D1AC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Olpidium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DEC7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Parasite-Fungal Parasite</w:t>
            </w:r>
          </w:p>
        </w:tc>
      </w:tr>
      <w:tr w14:paraId="768256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819D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ASV412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758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Cladosporium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3F68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Pathogen-Wood Saprotroph</w:t>
            </w:r>
          </w:p>
        </w:tc>
      </w:tr>
      <w:tr w14:paraId="1F6AD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3D2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ASV416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688E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Fusariella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CF62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1C6DB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9623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ASV424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64B7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Penicillium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5C16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0D173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D07A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ASV472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66E8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Plectosphaerella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8C77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37909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4486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ASV474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9E37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Fusarium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7E11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Pathogen-Soil Saprotroph-Wood Saprotroph</w:t>
            </w:r>
          </w:p>
        </w:tc>
      </w:tr>
      <w:tr w14:paraId="625B60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55D4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ASV479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BB5C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Stachybotrys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AF6A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36618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42E8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ASV490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5E37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Acremonium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CFD0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Pathogen-Endophyte-Fungal Parasite-Plant Pathogen-Wood Saprotroph</w:t>
            </w:r>
          </w:p>
        </w:tc>
      </w:tr>
      <w:tr w14:paraId="22EF25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D2B3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ASV502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13D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Stachybotrys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3EC9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27396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6A6E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ASV505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E229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Chaetomium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4AA3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Pathogen-Dung Saprotroph-Endophyte-Epiphyte-Plant Saprotroph-Wood Saprotroph</w:t>
            </w:r>
          </w:p>
        </w:tc>
      </w:tr>
      <w:tr w14:paraId="22960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3172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ASV506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78FA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Cladosporiaceae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EDF7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Pathogen-Wood Saprotroph</w:t>
            </w:r>
          </w:p>
        </w:tc>
      </w:tr>
      <w:tr w14:paraId="5ADE3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C1E4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ASV514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0DCE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fungi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AEA4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7A523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D655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ASV515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D6E8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Olpidium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9E5C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Parasite-Fungal Parasite</w:t>
            </w:r>
          </w:p>
        </w:tc>
      </w:tr>
      <w:tr w14:paraId="5BE4C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E7F9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ASV518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9255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Sporidiobolus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732A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Pathogen-Undefined Saprotroph</w:t>
            </w:r>
          </w:p>
        </w:tc>
      </w:tr>
      <w:tr w14:paraId="74D0A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AD54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ASV552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D327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unclassified fungi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AB2E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70214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938D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ASV553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2536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Cryptococcus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3E36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Fungal Parasite-Undefined Saprotroph</w:t>
            </w:r>
          </w:p>
        </w:tc>
      </w:tr>
      <w:tr w14:paraId="6A9B9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1ABB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ASV556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93D6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Basidiomycota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AF80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40098D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47E8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ASV564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AD35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Acremonium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F150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Pathogen-Endophyte-Fungal Parasite-Plant Pathogen-Wood Saprotroph</w:t>
            </w:r>
          </w:p>
        </w:tc>
      </w:tr>
      <w:tr w14:paraId="6D8C7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7110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ASV565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9C34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Nectriaceae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7E51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3023C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4EB4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ASV570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0465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Humicola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85E4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Saprotroph-Wood Saprotroph</w:t>
            </w:r>
          </w:p>
        </w:tc>
      </w:tr>
      <w:tr w14:paraId="3B47D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430A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ASV572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3CF3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Verticillium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3DDD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Endophyte-Fungal Parasite-Plant Pathogen</w:t>
            </w:r>
          </w:p>
        </w:tc>
      </w:tr>
      <w:tr w14:paraId="58BFFB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DDA2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ASV581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00D7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Cladosporium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AE0C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Pathogen-Wood Saprotroph</w:t>
            </w:r>
          </w:p>
        </w:tc>
      </w:tr>
      <w:tr w14:paraId="564AA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1477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ASV583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6A85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Fusarium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08B8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Pathogen-Soil Saprotroph-Wood Saprotroph</w:t>
            </w:r>
          </w:p>
        </w:tc>
      </w:tr>
      <w:tr w14:paraId="5002A3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E596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ASV587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D8BC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Plectosphaerella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E292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6D57E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3A2F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ASV589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BF0C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Neocosmospora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B8D6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2AC1B1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B2E1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ASV601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827D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Dactylonectria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8345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5350FA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33DF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ASV603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F761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Basidiomycota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B016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5E67A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EAF5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ASV605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7904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Alternaria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01E5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Pathogen-Endophyte-Plant Pathogen-Wood Saprotroph</w:t>
            </w:r>
          </w:p>
        </w:tc>
      </w:tr>
      <w:tr w14:paraId="0C10E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8242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ASV607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94B0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93C4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3D2FA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AC3F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ASV610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3125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Clonostachys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A66C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18D4F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0FE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ASV636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5139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124D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06D0C7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C162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ASV638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9BC2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Corynespora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83D4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Undefined Saprotroph</w:t>
            </w:r>
          </w:p>
        </w:tc>
      </w:tr>
      <w:tr w14:paraId="519C0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1E41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ASV640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BE2F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Olpidium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6161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Parasite-Fungal Parasite</w:t>
            </w:r>
          </w:p>
        </w:tc>
      </w:tr>
      <w:tr w14:paraId="1BB2C2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4C19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ASV641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72A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Thanatephorus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D4899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3D8BE0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54927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ASV642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6634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fungi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D843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6346B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F522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ASV661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DBD5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Fusarium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83E3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Pathogen-Soil Saprotroph-Wood Saprotroph</w:t>
            </w:r>
          </w:p>
        </w:tc>
      </w:tr>
      <w:tr w14:paraId="612A4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ED07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ASV669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DE7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Cladosporium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BE89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Pathogen-Endophyte-Lichen Parasite-Plant Pathogen-Wood Saprotroph</w:t>
            </w:r>
          </w:p>
        </w:tc>
      </w:tr>
      <w:tr w14:paraId="3252D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740F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ASV670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5E56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Thielavia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E25C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Dung Saprotroph-Undefined Saprotroph</w:t>
            </w:r>
          </w:p>
        </w:tc>
      </w:tr>
      <w:tr w14:paraId="25466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E0A1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ASV686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904A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nclassified fungi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DDBB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6C5040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019C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ASV687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C2B4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Funneliformis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74FA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Arbuscular Mycorrhizal</w:t>
            </w:r>
          </w:p>
        </w:tc>
      </w:tr>
      <w:tr w14:paraId="0DCA4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F9BF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ASV716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688EB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Plectosphaerella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9698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78FE8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642B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ASV718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CDC0C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Sclerotiniaceae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B18A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Plant Pathogen</w:t>
            </w:r>
          </w:p>
        </w:tc>
      </w:tr>
      <w:tr w14:paraId="1464F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D091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ASV723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7C31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1778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4A0F3C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5D2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ASV733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F7403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Mortierella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6AAF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Endophyte-Litter Saprotroph-Soil Saprotroph-Undefined Saprotroph</w:t>
            </w:r>
          </w:p>
        </w:tc>
      </w:tr>
      <w:tr w14:paraId="79A00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508A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ASV739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45EF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lang w:val="en-US" w:eastAsia="zh-CN" w:bidi="ar"/>
              </w:rPr>
              <w:t>u</w:t>
            </w:r>
            <w:bookmarkStart w:id="0" w:name="_GoBack"/>
            <w:bookmarkEnd w:id="0"/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 xml:space="preserve">nclassified </w:t>
            </w: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Ceratobasidiaceae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532B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Endomycorrhizal-Plant Pathogen-Undefined Saprotroph</w:t>
            </w:r>
          </w:p>
        </w:tc>
      </w:tr>
      <w:tr w14:paraId="6D01E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1E17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ASV788</w:t>
            </w:r>
          </w:p>
        </w:tc>
        <w:tc>
          <w:tcPr>
            <w:tcW w:w="1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824A4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i/>
                <w:iCs/>
                <w:color w:val="auto"/>
                <w:kern w:val="0"/>
                <w:sz w:val="18"/>
                <w:szCs w:val="18"/>
                <w:lang w:bidi="ar"/>
              </w:rPr>
              <w:t>Chaetomium</w:t>
            </w:r>
          </w:p>
        </w:tc>
        <w:tc>
          <w:tcPr>
            <w:tcW w:w="3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E45A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18"/>
                <w:szCs w:val="18"/>
                <w:lang w:bidi="ar"/>
              </w:rPr>
              <w:t>Animal Pathogen-Dung Saprotroph-Endophyte-Epiphyte-Plant Saprotroph-Wood Saprotroph</w:t>
            </w:r>
          </w:p>
        </w:tc>
      </w:tr>
    </w:tbl>
    <w:p w14:paraId="4EF1F7D7">
      <w:pPr>
        <w:rPr>
          <w:color w:val="auto"/>
        </w:rPr>
      </w:pPr>
      <w:r>
        <w:rPr>
          <w:color w:val="auto"/>
        </w:rPr>
        <w:br w:type="page"/>
      </w:r>
    </w:p>
    <w:p w14:paraId="48ACF787">
      <w:pPr>
        <w:widowControl/>
        <w:spacing w:line="480" w:lineRule="auto"/>
        <w:jc w:val="center"/>
        <w:rPr>
          <w:rFonts w:hint="eastAsia" w:ascii="Times New Roman" w:hAnsi="Times New Roman" w:cs="Times New Roman" w:eastAsiaTheme="minorEastAsia"/>
          <w:b/>
          <w:color w:val="auto"/>
          <w:lang w:eastAsia="zh-CN"/>
        </w:rPr>
      </w:pPr>
      <w:r>
        <w:rPr>
          <w:rFonts w:hint="eastAsia" w:ascii="Times New Roman" w:hAnsi="Times New Roman" w:cs="Times New Roman" w:eastAsiaTheme="minorEastAsia"/>
          <w:b/>
          <w:color w:val="auto"/>
          <w:lang w:eastAsia="zh-CN"/>
        </w:rPr>
        <w:drawing>
          <wp:inline distT="0" distB="0" distL="114300" distR="114300">
            <wp:extent cx="5269230" cy="4667250"/>
            <wp:effectExtent l="0" t="0" r="13970" b="6350"/>
            <wp:docPr id="3" name="图片 3" descr="fig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56BEE">
      <w:pPr>
        <w:widowControl/>
        <w:spacing w:line="480" w:lineRule="auto"/>
        <w:rPr>
          <w:rFonts w:ascii="Times New Roman" w:hAnsi="Times New Roman" w:cs="宋体"/>
          <w:bCs/>
          <w:color w:val="auto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>Supplementary Fig.</w:t>
      </w:r>
      <w:r>
        <w:rPr>
          <w:rFonts w:hint="eastAsia"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 </w:t>
      </w: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S1. </w:t>
      </w:r>
      <w:r>
        <w:rPr>
          <w:rFonts w:hint="eastAsia" w:ascii="Times New Roman" w:hAnsi="Times New Roman" w:eastAsia="宋体" w:cs="宋体"/>
          <w:bCs/>
          <w:color w:val="auto"/>
          <w:kern w:val="0"/>
          <w:sz w:val="24"/>
          <w:lang w:bidi="ar"/>
        </w:rPr>
        <w:t>A</w:t>
      </w:r>
      <w:r>
        <w:rPr>
          <w:rFonts w:ascii="Times New Roman" w:hAnsi="Times New Roman" w:eastAsia="宋体" w:cs="宋体"/>
          <w:bCs/>
          <w:color w:val="auto"/>
          <w:kern w:val="0"/>
          <w:sz w:val="24"/>
          <w:lang w:bidi="ar"/>
        </w:rPr>
        <w:t xml:space="preserve">lpha diversity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of 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the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>bacterial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(A and B) and fungal (C and D)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>communit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ies of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different common bean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shd w:val="clear" w:color="auto" w:fill="FFFFFF"/>
          <w:lang w:bidi="ar"/>
        </w:rPr>
        <w:t>cropping cycles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</w:t>
      </w:r>
      <w:r>
        <w:rPr>
          <w:rFonts w:ascii="Times New Roman" w:hAnsi="Times New Roman" w:eastAsia="宋体" w:cs="宋体"/>
          <w:bCs/>
          <w:color w:val="auto"/>
          <w:kern w:val="0"/>
          <w:sz w:val="24"/>
          <w:lang w:bidi="ar"/>
        </w:rPr>
        <w:t xml:space="preserve">as </w:t>
      </w:r>
      <w:r>
        <w:rPr>
          <w:rFonts w:hint="eastAsia" w:ascii="Times New Roman" w:hAnsi="Times New Roman" w:eastAsia="宋体" w:cs="宋体"/>
          <w:bCs/>
          <w:color w:val="auto"/>
          <w:kern w:val="0"/>
          <w:sz w:val="24"/>
          <w:lang w:bidi="ar"/>
        </w:rPr>
        <w:t>indicated</w:t>
      </w:r>
      <w:r>
        <w:rPr>
          <w:rFonts w:ascii="Times New Roman" w:hAnsi="Times New Roman" w:eastAsia="宋体" w:cs="宋体"/>
          <w:bCs/>
          <w:color w:val="auto"/>
          <w:kern w:val="0"/>
          <w:sz w:val="24"/>
          <w:lang w:bidi="ar"/>
        </w:rPr>
        <w:t xml:space="preserve"> by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the Sobs and Shannon ind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>ice</w:t>
      </w:r>
      <w:r>
        <w:rPr>
          <w:rFonts w:ascii="Times New Roman" w:hAnsi="Times New Roman" w:eastAsia="宋体" w:cs="宋体"/>
          <w:bCs/>
          <w:color w:val="auto"/>
          <w:kern w:val="0"/>
          <w:sz w:val="24"/>
          <w:lang w:bidi="ar"/>
        </w:rPr>
        <w:t>.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The data were analyzed by a Kruskal-Wallis test. </w:t>
      </w:r>
    </w:p>
    <w:p w14:paraId="29FAFD43">
      <w:pPr>
        <w:widowControl/>
        <w:jc w:val="left"/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br w:type="page"/>
      </w:r>
    </w:p>
    <w:p w14:paraId="75882C68">
      <w:pPr>
        <w:widowControl/>
        <w:spacing w:line="480" w:lineRule="auto"/>
        <w:jc w:val="center"/>
        <w:rPr>
          <w:rFonts w:hint="default" w:ascii="Times New Roman" w:hAnsi="Times New Roman" w:cs="Times New Roman" w:eastAsiaTheme="minorEastAsia"/>
          <w:color w:val="auto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lang w:val="en-US" w:eastAsia="zh-CN"/>
        </w:rPr>
        <w:drawing>
          <wp:inline distT="0" distB="0" distL="114300" distR="114300">
            <wp:extent cx="5271770" cy="2948305"/>
            <wp:effectExtent l="0" t="0" r="11430" b="23495"/>
            <wp:docPr id="1" name="图片 1" descr="Figs2-24.12.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s2-24.12.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487D4">
      <w:pPr>
        <w:widowControl/>
        <w:spacing w:line="480" w:lineRule="auto"/>
        <w:rPr>
          <w:color w:val="auto"/>
        </w:rPr>
      </w:pP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>Supplementary Fig.</w:t>
      </w:r>
      <w:r>
        <w:rPr>
          <w:rFonts w:hint="eastAsia" w:ascii="Times New Roman" w:hAnsi="Times New Roman" w:eastAsia="宋体" w:cs="Times New Roman"/>
          <w:b/>
          <w:color w:val="auto"/>
          <w:kern w:val="0"/>
          <w:sz w:val="24"/>
          <w:lang w:bidi="ar"/>
        </w:rPr>
        <w:t xml:space="preserve"> </w:t>
      </w:r>
      <w:r>
        <w:rPr>
          <w:rFonts w:ascii="Times New Roman" w:hAnsi="Times New Roman" w:eastAsia="宋体" w:cs="Times New Roman"/>
          <w:b/>
          <w:color w:val="auto"/>
          <w:kern w:val="0"/>
          <w:sz w:val="24"/>
          <w:lang w:bidi="ar"/>
        </w:rPr>
        <w:t>S2.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Compositional shifts and assembly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of 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the functional 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>fung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>al communities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>over seven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cropping cycle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>s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inferred by</w:t>
      </w:r>
      <w:r>
        <w:rPr>
          <w:rFonts w:hint="eastAsia"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the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lang w:bidi="ar"/>
        </w:rPr>
        <w:t xml:space="preserve"> FUNGuild</w:t>
      </w:r>
      <w:r>
        <w:rPr>
          <w:rFonts w:ascii="Times New Roman" w:hAnsi="Times New Roman" w:eastAsia="宋体" w:cs="Times New Roman"/>
          <w:bCs/>
          <w:color w:val="auto"/>
          <w:kern w:val="0"/>
          <w:sz w:val="24"/>
          <w:shd w:val="clear" w:color="auto" w:fill="FFFFFF"/>
          <w:lang w:bidi="ar"/>
        </w:rPr>
        <w:t>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-BoldItalic">
    <w:altName w:val="宋体"/>
    <w:panose1 w:val="020B0804030504040204"/>
    <w:charset w:val="86"/>
    <w:family w:val="auto"/>
    <w:pitch w:val="default"/>
    <w:sig w:usb0="00000000" w:usb1="00000000" w:usb2="00000010" w:usb3="00000000" w:csb0="2000019F" w:csb1="00000000"/>
  </w:font>
  <w:font w:name="Times New Roman Bold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0NDhmZGY0ODg4YmE1NGEyMWY5MGE2YTlkOTA3ZGYifQ=="/>
  </w:docVars>
  <w:rsids>
    <w:rsidRoot w:val="67FF2A36"/>
    <w:rsid w:val="000645E0"/>
    <w:rsid w:val="000D23B9"/>
    <w:rsid w:val="000D2855"/>
    <w:rsid w:val="003626F5"/>
    <w:rsid w:val="003C5242"/>
    <w:rsid w:val="00496115"/>
    <w:rsid w:val="00663091"/>
    <w:rsid w:val="006E37B6"/>
    <w:rsid w:val="009626A7"/>
    <w:rsid w:val="00A05150"/>
    <w:rsid w:val="00A71C4B"/>
    <w:rsid w:val="00B145C5"/>
    <w:rsid w:val="00B55F80"/>
    <w:rsid w:val="00C42CCB"/>
    <w:rsid w:val="00D574B0"/>
    <w:rsid w:val="00EE288A"/>
    <w:rsid w:val="16CB1E6E"/>
    <w:rsid w:val="1DD86D4B"/>
    <w:rsid w:val="2BB452B7"/>
    <w:rsid w:val="3DB3CD21"/>
    <w:rsid w:val="3DBF3854"/>
    <w:rsid w:val="3EAFBB3E"/>
    <w:rsid w:val="3FE07E89"/>
    <w:rsid w:val="45AF0A60"/>
    <w:rsid w:val="4BD19B66"/>
    <w:rsid w:val="4CF93E41"/>
    <w:rsid w:val="67FF2A36"/>
    <w:rsid w:val="67FF6D32"/>
    <w:rsid w:val="6BFD4AD9"/>
    <w:rsid w:val="6D13FE19"/>
    <w:rsid w:val="6E4D5EDF"/>
    <w:rsid w:val="6FBC22DB"/>
    <w:rsid w:val="71460C66"/>
    <w:rsid w:val="757708EB"/>
    <w:rsid w:val="778E2F6F"/>
    <w:rsid w:val="77BD770E"/>
    <w:rsid w:val="7CBEA6E2"/>
    <w:rsid w:val="7EFF0DA7"/>
    <w:rsid w:val="7F58ED0E"/>
    <w:rsid w:val="7FFFC1DC"/>
    <w:rsid w:val="B556E4AB"/>
    <w:rsid w:val="B7BD9B9A"/>
    <w:rsid w:val="BA998D6C"/>
    <w:rsid w:val="CBECBC2B"/>
    <w:rsid w:val="DD1FDCDB"/>
    <w:rsid w:val="DDBFF842"/>
    <w:rsid w:val="DEFB37D2"/>
    <w:rsid w:val="DFF71451"/>
    <w:rsid w:val="DFFF067B"/>
    <w:rsid w:val="E55D17A5"/>
    <w:rsid w:val="E77E9C1B"/>
    <w:rsid w:val="EB7D1F64"/>
    <w:rsid w:val="EB9D11AE"/>
    <w:rsid w:val="EEDF9F2B"/>
    <w:rsid w:val="EFFFEFDE"/>
    <w:rsid w:val="F97FDD97"/>
    <w:rsid w:val="FBBFE060"/>
    <w:rsid w:val="FD3F3657"/>
    <w:rsid w:val="FDBFFF58"/>
    <w:rsid w:val="FDFF5152"/>
    <w:rsid w:val="FEEABC00"/>
    <w:rsid w:val="FFFBFA29"/>
    <w:rsid w:val="FFFD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i/>
      <w:iCs/>
      <w:color w:val="000000"/>
      <w:sz w:val="22"/>
      <w:szCs w:val="22"/>
      <w:u w:val="none"/>
    </w:rPr>
  </w:style>
  <w:style w:type="character" w:customStyle="1" w:styleId="8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批注框文本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285</Words>
  <Characters>1653</Characters>
  <Lines>40</Lines>
  <Paragraphs>11</Paragraphs>
  <TotalTime>8</TotalTime>
  <ScaleCrop>false</ScaleCrop>
  <LinksUpToDate>false</LinksUpToDate>
  <CharactersWithSpaces>1832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2024-07-09T01:19:00Z</dcterms:created>
  <dc:creator>pheobell</dc:creator>
  <cp:lastModifiedBy>chem</cp:lastModifiedBy>
  <dcterms:modified xsi:type="dcterms:W3CDTF">2025-02-06T09:03:14Z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64FFC95EFE230A3D264A876676122C54_41</vt:lpwstr>
  </property>
  <property fmtid="{D5CDD505-2E9C-101B-9397-08002B2CF9AE}" pid="4" name="KSOTemplateDocerSaveRecord">
    <vt:lpwstr>eyJoZGlkIjoiNWFmMGE3YTE3NzNmNmFkMDFmODk0YzA1MzFlMTEzYzYiLCJ1c2VySWQiOiI3NjU1NjkyMjYifQ==</vt:lpwstr>
  </property>
</Properties>
</file>