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A95" w:rsidRDefault="0065308B">
      <w:pPr>
        <w:spacing w:after="0" w:line="480" w:lineRule="auto"/>
        <w:jc w:val="both"/>
        <w:rPr>
          <w:rFonts w:ascii="Times New Roman" w:hAnsi="Times New Roman" w:cs="Times New Roman"/>
          <w:b/>
          <w:bCs/>
          <w:sz w:val="24"/>
        </w:rPr>
      </w:pPr>
      <w:r>
        <w:rPr>
          <w:rFonts w:ascii="Times New Roman" w:hAnsi="Times New Roman" w:cs="Times New Roman"/>
          <w:b/>
          <w:bCs/>
          <w:sz w:val="24"/>
        </w:rPr>
        <w:t>Supplementary material for</w:t>
      </w:r>
    </w:p>
    <w:p w:rsidR="003D2A95" w:rsidRDefault="0065308B">
      <w:pPr>
        <w:spacing w:after="0" w:line="480" w:lineRule="auto"/>
        <w:jc w:val="both"/>
        <w:rPr>
          <w:rFonts w:ascii="Times New Roman" w:hAnsi="Times New Roman" w:cs="Times New Roman"/>
          <w:b/>
          <w:bCs/>
          <w:sz w:val="24"/>
          <w:lang w:val="en-US"/>
        </w:rPr>
      </w:pPr>
      <w:bookmarkStart w:id="0" w:name="OLE_LINK44"/>
      <w:r>
        <w:rPr>
          <w:rFonts w:ascii="Times New Roman" w:eastAsia="等线" w:hAnsi="Times New Roman" w:cs="Times New Roman"/>
          <w:b/>
          <w:bCs/>
          <w:sz w:val="24"/>
          <w:lang w:val="en-US" w:bidi="ar"/>
        </w:rPr>
        <w:t>Soil arthropod communities are better predictors of soil quality than nematodes in agricultural soils</w:t>
      </w:r>
    </w:p>
    <w:p w:rsidR="003D2A95" w:rsidRDefault="003D2A95">
      <w:pPr>
        <w:spacing w:after="0" w:line="480" w:lineRule="auto"/>
        <w:jc w:val="both"/>
        <w:rPr>
          <w:rFonts w:ascii="Times New Roman" w:hAnsi="Times New Roman" w:cs="Times New Roman"/>
          <w:b/>
          <w:bCs/>
          <w:sz w:val="24"/>
        </w:rPr>
      </w:pPr>
    </w:p>
    <w:bookmarkEnd w:id="0"/>
    <w:p w:rsidR="003D2A95" w:rsidRDefault="0065308B">
      <w:pPr>
        <w:spacing w:after="0" w:line="480" w:lineRule="auto"/>
        <w:jc w:val="both"/>
        <w:rPr>
          <w:rFonts w:ascii="Times New Roman" w:hAnsi="Times New Roman" w:cs="Times New Roman"/>
          <w:i/>
          <w:iCs/>
          <w:sz w:val="24"/>
        </w:rPr>
      </w:pPr>
      <w:r>
        <w:rPr>
          <w:rFonts w:ascii="Times New Roman" w:hAnsi="Times New Roman" w:cs="Times New Roman"/>
          <w:i/>
          <w:iCs/>
          <w:sz w:val="24"/>
        </w:rPr>
        <w:t>Shao-Yang Zhang</w:t>
      </w:r>
      <w:r>
        <w:rPr>
          <w:rFonts w:ascii="Times New Roman" w:hAnsi="Times New Roman" w:cs="Times New Roman"/>
          <w:i/>
          <w:iCs/>
          <w:sz w:val="24"/>
          <w:vertAlign w:val="superscript"/>
        </w:rPr>
        <w:t>1,2#</w:t>
      </w:r>
      <w:r>
        <w:rPr>
          <w:rFonts w:ascii="Times New Roman" w:hAnsi="Times New Roman" w:cs="Times New Roman"/>
          <w:i/>
          <w:iCs/>
          <w:sz w:val="24"/>
        </w:rPr>
        <w:t>, Tian-Lun Zhang</w:t>
      </w:r>
      <w:r>
        <w:rPr>
          <w:rFonts w:ascii="Times New Roman" w:hAnsi="Times New Roman" w:cs="Times New Roman"/>
          <w:i/>
          <w:iCs/>
          <w:sz w:val="24"/>
          <w:vertAlign w:val="superscript"/>
        </w:rPr>
        <w:t>1,2#</w:t>
      </w:r>
      <w:r>
        <w:rPr>
          <w:rFonts w:ascii="Times New Roman" w:hAnsi="Times New Roman" w:cs="Times New Roman"/>
          <w:i/>
          <w:iCs/>
          <w:sz w:val="24"/>
        </w:rPr>
        <w:t>, Shuai Du</w:t>
      </w:r>
      <w:r>
        <w:rPr>
          <w:rFonts w:ascii="Times New Roman" w:hAnsi="Times New Roman" w:cs="Times New Roman"/>
          <w:i/>
          <w:iCs/>
          <w:sz w:val="24"/>
          <w:vertAlign w:val="superscript"/>
        </w:rPr>
        <w:t>1,3*</w:t>
      </w:r>
      <w:r>
        <w:rPr>
          <w:rFonts w:ascii="Times New Roman" w:hAnsi="Times New Roman" w:cs="Times New Roman"/>
          <w:i/>
          <w:iCs/>
          <w:sz w:val="24"/>
        </w:rPr>
        <w:t>, Yu-Qiu Ye</w:t>
      </w:r>
      <w:r>
        <w:rPr>
          <w:rFonts w:ascii="Times New Roman" w:hAnsi="Times New Roman" w:cs="Times New Roman"/>
          <w:i/>
          <w:iCs/>
          <w:sz w:val="24"/>
          <w:vertAlign w:val="superscript"/>
        </w:rPr>
        <w:t>3</w:t>
      </w:r>
      <w:r>
        <w:rPr>
          <w:rFonts w:ascii="Times New Roman" w:hAnsi="Times New Roman" w:cs="Times New Roman"/>
          <w:i/>
          <w:iCs/>
          <w:sz w:val="24"/>
        </w:rPr>
        <w:t>, Dong Zhu</w:t>
      </w:r>
      <w:r>
        <w:rPr>
          <w:rFonts w:ascii="Times New Roman" w:hAnsi="Times New Roman" w:cs="Times New Roman"/>
          <w:i/>
          <w:iCs/>
          <w:sz w:val="24"/>
          <w:vertAlign w:val="superscript"/>
        </w:rPr>
        <w:t>1,2,3*</w:t>
      </w:r>
      <w:r>
        <w:rPr>
          <w:rFonts w:ascii="Times New Roman" w:hAnsi="Times New Roman" w:cs="Times New Roman"/>
          <w:i/>
          <w:iCs/>
          <w:sz w:val="24"/>
        </w:rPr>
        <w:t>, Peter Convey</w:t>
      </w:r>
      <w:r>
        <w:rPr>
          <w:rFonts w:ascii="Times New Roman" w:hAnsi="Times New Roman" w:cs="Times New Roman"/>
          <w:i/>
          <w:iCs/>
          <w:sz w:val="24"/>
          <w:vertAlign w:val="superscript"/>
        </w:rPr>
        <w:t xml:space="preserve"> 4,5,6</w:t>
      </w:r>
    </w:p>
    <w:p w:rsidR="003D2A95" w:rsidRDefault="003D2A95">
      <w:pPr>
        <w:spacing w:after="0" w:line="480" w:lineRule="auto"/>
        <w:jc w:val="both"/>
        <w:rPr>
          <w:rFonts w:ascii="Times New Roman" w:hAnsi="Times New Roman" w:cs="Times New Roman"/>
          <w:sz w:val="24"/>
        </w:rPr>
      </w:pP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 xml:space="preserve">1 </w:t>
      </w:r>
      <w:r>
        <w:rPr>
          <w:rFonts w:ascii="Times New Roman" w:hAnsi="Times New Roman" w:cs="Times New Roman"/>
          <w:sz w:val="24"/>
        </w:rPr>
        <w:t>State Key Laboratory</w:t>
      </w:r>
      <w:r>
        <w:rPr>
          <w:rFonts w:ascii="Times New Roman" w:hAnsi="Times New Roman" w:cs="Times New Roman"/>
          <w:sz w:val="24"/>
        </w:rPr>
        <w:t xml:space="preserve"> of Regional and Urban Ecology, Ningbo Observation and Research Station, Institute of Urban Environment, Chinese Academy of Sciences, Xiamen 361021, China</w:t>
      </w: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 xml:space="preserve">2 </w:t>
      </w:r>
      <w:r>
        <w:rPr>
          <w:rFonts w:ascii="Times New Roman" w:hAnsi="Times New Roman" w:cs="Times New Roman"/>
          <w:sz w:val="24"/>
        </w:rPr>
        <w:t>University of Chinese Academy of Sciences, 19A Yuquan Road, Beijing, 100049, China</w:t>
      </w: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 xml:space="preserve">3 </w:t>
      </w:r>
      <w:r>
        <w:rPr>
          <w:rFonts w:ascii="Times New Roman" w:hAnsi="Times New Roman" w:cs="Times New Roman"/>
          <w:sz w:val="24"/>
        </w:rPr>
        <w:t>Zhejiang Key L</w:t>
      </w:r>
      <w:r>
        <w:rPr>
          <w:rFonts w:ascii="Times New Roman" w:hAnsi="Times New Roman" w:cs="Times New Roman"/>
          <w:sz w:val="24"/>
        </w:rPr>
        <w:t>aboratory of Pollution Control for Port-Petrochemical Industry, CAS Haixi Industrial Technology Innovation Center in Beilun, Ningbo 315830, China</w:t>
      </w: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 xml:space="preserve">4 </w:t>
      </w:r>
      <w:r>
        <w:rPr>
          <w:rFonts w:ascii="Times New Roman" w:hAnsi="Times New Roman" w:cs="Times New Roman"/>
          <w:sz w:val="24"/>
        </w:rPr>
        <w:t>British Antarctic Survey, Natural Environment Research Council, Cambridge CB3 0ET, United Kingdom</w:t>
      </w: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5</w:t>
      </w:r>
      <w:r>
        <w:rPr>
          <w:rFonts w:ascii="Times New Roman" w:hAnsi="Times New Roman" w:cs="Times New Roman"/>
          <w:sz w:val="24"/>
        </w:rPr>
        <w:t xml:space="preserve"> Departme</w:t>
      </w:r>
      <w:r>
        <w:rPr>
          <w:rFonts w:ascii="Times New Roman" w:hAnsi="Times New Roman" w:cs="Times New Roman"/>
          <w:sz w:val="24"/>
        </w:rPr>
        <w:t>nt of Zoology, University of Johannesburg, Auckland Park 2006, South Africa</w:t>
      </w: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6</w:t>
      </w:r>
      <w:r>
        <w:rPr>
          <w:rFonts w:ascii="Times New Roman" w:hAnsi="Times New Roman" w:cs="Times New Roman"/>
          <w:sz w:val="24"/>
        </w:rPr>
        <w:t xml:space="preserve"> School of Biosciences, University of Birmingham, Birmingham B15 2TT, United Kingdom</w:t>
      </w:r>
    </w:p>
    <w:p w:rsidR="003D2A95" w:rsidRDefault="0065308B">
      <w:pPr>
        <w:spacing w:after="0" w:line="480" w:lineRule="auto"/>
        <w:jc w:val="both"/>
        <w:rPr>
          <w:rFonts w:ascii="Times New Roman" w:hAnsi="Times New Roman" w:cs="Times New Roman"/>
          <w:sz w:val="24"/>
        </w:rPr>
      </w:pPr>
      <w:r>
        <w:rPr>
          <w:rFonts w:ascii="Times New Roman" w:hAnsi="Times New Roman" w:cs="Times New Roman"/>
          <w:sz w:val="24"/>
          <w:vertAlign w:val="superscript"/>
        </w:rPr>
        <w:t xml:space="preserve">* </w:t>
      </w:r>
      <w:r>
        <w:rPr>
          <w:rFonts w:ascii="Times New Roman" w:hAnsi="Times New Roman" w:cs="Times New Roman"/>
          <w:sz w:val="24"/>
        </w:rPr>
        <w:t>Correspondence: Shuai Du, sdu@iue.ac.cn; Dong Zhu, dzhu@iue.ac.cn</w:t>
      </w:r>
    </w:p>
    <w:p w:rsidR="003D2A95" w:rsidRDefault="0065308B">
      <w:pPr>
        <w:spacing w:after="0" w:line="480" w:lineRule="auto"/>
        <w:rPr>
          <w:rFonts w:ascii="Times New Roman" w:hAnsi="Times New Roman" w:cs="Times New Roman"/>
          <w:sz w:val="24"/>
        </w:rPr>
      </w:pPr>
      <w:r>
        <w:rPr>
          <w:rFonts w:ascii="Times New Roman" w:hAnsi="Times New Roman" w:cs="Times New Roman"/>
          <w:sz w:val="24"/>
          <w:vertAlign w:val="superscript"/>
        </w:rPr>
        <w:t>#</w:t>
      </w:r>
      <w:r>
        <w:rPr>
          <w:rFonts w:ascii="Times New Roman" w:hAnsi="Times New Roman" w:cs="Times New Roman"/>
          <w:sz w:val="24"/>
        </w:rPr>
        <w:t xml:space="preserve"> These authors contribute</w:t>
      </w:r>
      <w:r>
        <w:rPr>
          <w:rFonts w:ascii="Times New Roman" w:hAnsi="Times New Roman" w:cs="Times New Roman"/>
          <w:sz w:val="24"/>
        </w:rPr>
        <w:t xml:space="preserve"> equally.</w:t>
      </w:r>
    </w:p>
    <w:p w:rsidR="003D2A95" w:rsidRDefault="003D2A95">
      <w:pPr>
        <w:spacing w:after="0" w:line="360" w:lineRule="auto"/>
        <w:jc w:val="both"/>
        <w:rPr>
          <w:rFonts w:ascii="Times New Roman" w:hAnsi="Times New Roman" w:cs="Times New Roman"/>
          <w:b/>
          <w:bCs/>
          <w:sz w:val="24"/>
        </w:rPr>
        <w:sectPr w:rsidR="003D2A95">
          <w:pgSz w:w="11906" w:h="16838"/>
          <w:pgMar w:top="1440" w:right="1800" w:bottom="1440" w:left="1800" w:header="851" w:footer="992" w:gutter="0"/>
          <w:lnNumType w:countBy="1" w:restart="continuous"/>
          <w:cols w:space="425"/>
          <w:docGrid w:type="lines" w:linePitch="312"/>
        </w:sectPr>
      </w:pPr>
    </w:p>
    <w:p w:rsidR="003D2A95" w:rsidRDefault="0065308B">
      <w:pPr>
        <w:spacing w:after="0" w:line="360" w:lineRule="auto"/>
        <w:jc w:val="both"/>
        <w:rPr>
          <w:rFonts w:ascii="Times New Roman" w:hAnsi="Times New Roman" w:cs="Times New Roman"/>
          <w:b/>
          <w:bCs/>
          <w:sz w:val="24"/>
        </w:rPr>
      </w:pPr>
      <w:r>
        <w:rPr>
          <w:rFonts w:ascii="Times New Roman" w:hAnsi="Times New Roman" w:cs="Times New Roman"/>
          <w:b/>
          <w:bCs/>
          <w:sz w:val="24"/>
        </w:rPr>
        <w:lastRenderedPageBreak/>
        <w:t>Supplementary Figures</w:t>
      </w:r>
    </w:p>
    <w:p w:rsidR="003D2A95" w:rsidRDefault="00184B2F">
      <w:pPr>
        <w:spacing w:after="0" w:line="360" w:lineRule="auto"/>
        <w:jc w:val="center"/>
        <w:rPr>
          <w:rFonts w:ascii="Times New Roman" w:hAnsi="Times New Roman" w:cs="Times New Roman"/>
          <w:sz w:val="24"/>
        </w:rPr>
      </w:pPr>
      <w:r>
        <w:rPr>
          <w:noProof/>
          <w:lang w:val="en-US"/>
        </w:rPr>
        <w:drawing>
          <wp:inline distT="0" distB="0" distL="0" distR="0" wp14:anchorId="1A1CCDF9" wp14:editId="5E169343">
            <wp:extent cx="5274310" cy="5526405"/>
            <wp:effectExtent l="0" t="0" r="2540" b="0"/>
            <wp:docPr id="18994596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5526405"/>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S1</w:t>
      </w:r>
      <w:r>
        <w:rPr>
          <w:rFonts w:ascii="Times New Roman" w:hAnsi="Times New Roman" w:cs="Times New Roman" w:hint="eastAsia"/>
          <w:b/>
          <w:bCs/>
          <w:sz w:val="24"/>
          <w:lang w:val="en-US"/>
        </w:rPr>
        <w:t>.</w:t>
      </w:r>
      <w:r>
        <w:rPr>
          <w:rFonts w:ascii="Times New Roman" w:hAnsi="Times New Roman" w:cs="Times New Roman"/>
          <w:sz w:val="24"/>
        </w:rPr>
        <w:t xml:space="preserve"> Geographic location and sampling sites.</w:t>
      </w:r>
      <w:bookmarkStart w:id="1" w:name="_GoBack"/>
      <w:bookmarkEnd w:id="1"/>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3907155" cy="6570980"/>
            <wp:effectExtent l="0" t="0" r="0" b="1270"/>
            <wp:docPr id="1985042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42269"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913377" cy="6581266"/>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S2</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variable values based on random forest regression analyses of arthropod community composition. Dashed black lines represent perfect prediction. Linear regression results, including adjusted R² and slope values, a</w:t>
      </w:r>
      <w:r>
        <w:rPr>
          <w:rFonts w:ascii="Times New Roman" w:hAnsi="Times New Roman" w:cs="Times New Roman"/>
          <w:sz w:val="24"/>
        </w:rPr>
        <w:t>re shown for each plot. BD, bulk density; MBC, microbial biomass carbon; MBN, microbial biomass nitrogen; SR, soil respiration.</w:t>
      </w:r>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3881120" cy="6429375"/>
            <wp:effectExtent l="0" t="0" r="5080" b="0"/>
            <wp:docPr id="117077029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70294"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885074" cy="6435314"/>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S3</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variable values based on random forest regression analyses of nematode com</w:t>
      </w:r>
      <w:r>
        <w:rPr>
          <w:rFonts w:ascii="Times New Roman" w:hAnsi="Times New Roman" w:cs="Times New Roman"/>
          <w:sz w:val="24"/>
        </w:rPr>
        <w:t>munity composition. Dashed black lines represent perfect prediction. Linear regression results, including adjusted R² and slope values, are shown for each plot. BD, bulk density; MBC, microbial biomass carbon; MBN, microbial biomass nitrogen; SR, soil resp</w:t>
      </w:r>
      <w:r>
        <w:rPr>
          <w:rFonts w:ascii="Times New Roman" w:hAnsi="Times New Roman" w:cs="Times New Roman"/>
          <w:sz w:val="24"/>
        </w:rPr>
        <w:t>iration.</w:t>
      </w:r>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050030" cy="6762750"/>
            <wp:effectExtent l="0" t="0" r="7620" b="0"/>
            <wp:docPr id="195353118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31187"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052677" cy="6766654"/>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S4</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degradation index (SDI) values based on random forest regression analyses of arthropod community composition. Dashed black lines represent perfect prediction. Linear regression results, includi</w:t>
      </w:r>
      <w:r>
        <w:rPr>
          <w:rFonts w:ascii="Times New Roman" w:hAnsi="Times New Roman" w:cs="Times New Roman"/>
          <w:sz w:val="24"/>
        </w:rPr>
        <w:t>ng adjusted R² and slope values, are shown for each plot. BD, bulk density; MBC, microbial biomass carbon; MBN, microbial biomass nitrogen; SR, soil respiration.</w:t>
      </w:r>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111625" cy="6915150"/>
            <wp:effectExtent l="0" t="0" r="3175" b="0"/>
            <wp:docPr id="3723756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75630" name="图片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115437" cy="6921079"/>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S5</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degradation index (SDI) values based on </w:t>
      </w:r>
      <w:r>
        <w:rPr>
          <w:rFonts w:ascii="Times New Roman" w:hAnsi="Times New Roman" w:cs="Times New Roman"/>
          <w:sz w:val="24"/>
        </w:rPr>
        <w:t>random forest regression analyses of nematode community composition. Dashed black lines represent perfect prediction. Linear regression results, including adjusted R² and slope values, are shown for each plot. BD, bulk density; MBC, microbial biomass carbo</w:t>
      </w:r>
      <w:r>
        <w:rPr>
          <w:rFonts w:ascii="Times New Roman" w:hAnsi="Times New Roman" w:cs="Times New Roman"/>
          <w:sz w:val="24"/>
        </w:rPr>
        <w:t>n; MBN, microbial biomass nitrogen; SR, soil respiration.</w:t>
      </w:r>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420235" cy="6934200"/>
            <wp:effectExtent l="0" t="0" r="0" b="0"/>
            <wp:docPr id="119918486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84869" name="图片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425647" cy="6942036"/>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S6</w:t>
      </w:r>
      <w:r>
        <w:rPr>
          <w:rFonts w:ascii="Times New Roman" w:hAnsi="Times New Roman" w:cs="Times New Roman" w:hint="eastAsia"/>
          <w:b/>
          <w:bCs/>
          <w:sz w:val="24"/>
          <w:lang w:val="en-US"/>
        </w:rPr>
        <w:t>.</w:t>
      </w:r>
      <w:r>
        <w:rPr>
          <w:rFonts w:ascii="Times New Roman" w:hAnsi="Times New Roman" w:cs="Times New Roman"/>
          <w:sz w:val="24"/>
        </w:rPr>
        <w:t xml:space="preserve"> Network of co-occurring (a) arthropod and (b) nematode ASVs. Nodes represent ASVs, with keystone taxa highlighted as big yellow-bordered circles and coloured by taxonomic order.</w:t>
      </w:r>
    </w:p>
    <w:p w:rsidR="003D2A95" w:rsidRDefault="0065308B">
      <w:pPr>
        <w:widowControl/>
        <w:spacing w:after="0" w:line="360" w:lineRule="auto"/>
        <w:jc w:val="center"/>
        <w:rPr>
          <w:rFonts w:ascii="Times New Roman" w:hAnsi="Times New Roman" w:cs="Times New Roman"/>
          <w:sz w:val="24"/>
        </w:rPr>
      </w:pPr>
      <w:r>
        <w:rPr>
          <w:rFonts w:ascii="Times New Roman" w:hAnsi="Times New Roman" w:cs="Times New Roman"/>
          <w:sz w:val="24"/>
        </w:rPr>
        <w:br w:type="page"/>
      </w:r>
      <w:r>
        <w:rPr>
          <w:rFonts w:ascii="Times New Roman" w:hAnsi="Times New Roman" w:cs="Times New Roman"/>
          <w:noProof/>
          <w:sz w:val="24"/>
          <w:lang w:val="en-US"/>
        </w:rPr>
        <w:lastRenderedPageBreak/>
        <w:drawing>
          <wp:inline distT="0" distB="0" distL="0" distR="0">
            <wp:extent cx="4166235" cy="6924675"/>
            <wp:effectExtent l="0" t="0" r="5715" b="0"/>
            <wp:docPr id="69589624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896247" name="图片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172043" cy="6933288"/>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S7</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variable values based on random forest regression analyses of community composition from arthropod keystone taxa. Dashed black lines represent perfect prediction. Linear regression results, including adjusted </w:t>
      </w:r>
      <w:r>
        <w:rPr>
          <w:rFonts w:ascii="Times New Roman" w:hAnsi="Times New Roman" w:cs="Times New Roman"/>
          <w:sz w:val="24"/>
        </w:rPr>
        <w:t>R² and slope values, are shown for each plot. BD, bulk density; MBC, microbial biomass carbon; MBN, microbial biomass nitrogen; SR, soil respiration.</w:t>
      </w:r>
    </w:p>
    <w:p w:rsidR="003D2A95" w:rsidRDefault="0065308B">
      <w:pPr>
        <w:widowControl/>
        <w:spacing w:after="0" w:line="360" w:lineRule="auto"/>
        <w:jc w:val="center"/>
        <w:rPr>
          <w:rFonts w:ascii="Times New Roman" w:hAnsi="Times New Roman" w:cs="Times New Roman"/>
          <w:sz w:val="24"/>
        </w:rPr>
      </w:pPr>
      <w:r>
        <w:rPr>
          <w:rFonts w:ascii="Times New Roman" w:hAnsi="Times New Roman" w:cs="Times New Roman"/>
          <w:sz w:val="24"/>
        </w:rPr>
        <w:br w:type="page"/>
      </w:r>
      <w:r>
        <w:rPr>
          <w:rFonts w:ascii="Times New Roman" w:hAnsi="Times New Roman" w:cs="Times New Roman"/>
          <w:noProof/>
          <w:sz w:val="24"/>
          <w:lang w:val="en-US"/>
        </w:rPr>
        <w:lastRenderedPageBreak/>
        <w:drawing>
          <wp:inline distT="0" distB="0" distL="0" distR="0">
            <wp:extent cx="4136390" cy="6867525"/>
            <wp:effectExtent l="0" t="0" r="0" b="0"/>
            <wp:docPr id="17247946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94644" name="图片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139653" cy="6871976"/>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S8</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variable values based on random forest regression analyses of community composition from nematode keystone taxa. Dashed black lines represent perfect prediction. Linear regression results, including adjusted R² a</w:t>
      </w:r>
      <w:r>
        <w:rPr>
          <w:rFonts w:ascii="Times New Roman" w:hAnsi="Times New Roman" w:cs="Times New Roman"/>
          <w:sz w:val="24"/>
        </w:rPr>
        <w:t>nd slope values, are shown for each plot. BD, bulk density; MBC, microbial biomass carbon; MBN, microbial biomass nitrogen; SR, soil respiration.</w:t>
      </w:r>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207510" cy="7115175"/>
            <wp:effectExtent l="0" t="0" r="2540" b="0"/>
            <wp:docPr id="35798098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80984" name="图片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207899" cy="7115175"/>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S9</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w:t>
      </w:r>
      <w:bookmarkStart w:id="2" w:name="OLE_LINK32"/>
      <w:r>
        <w:rPr>
          <w:rFonts w:ascii="Times New Roman" w:hAnsi="Times New Roman" w:cs="Times New Roman"/>
          <w:sz w:val="24"/>
        </w:rPr>
        <w:t xml:space="preserve"> soil degradation index (SDI)</w:t>
      </w:r>
      <w:bookmarkEnd w:id="2"/>
      <w:r>
        <w:rPr>
          <w:rFonts w:ascii="Times New Roman" w:hAnsi="Times New Roman" w:cs="Times New Roman"/>
          <w:sz w:val="24"/>
        </w:rPr>
        <w:t xml:space="preserve"> values based on random forest re</w:t>
      </w:r>
      <w:r>
        <w:rPr>
          <w:rFonts w:ascii="Times New Roman" w:hAnsi="Times New Roman" w:cs="Times New Roman"/>
          <w:sz w:val="24"/>
        </w:rPr>
        <w:t>gression analyses of community composition from arthropod keystone taxa. Dashed black lines represent perfect prediction. Linear regression results, including adjusted R² and slope values, are shown for each plot. BD, bulk density; MBC, microbial biomass c</w:t>
      </w:r>
      <w:r>
        <w:rPr>
          <w:rFonts w:ascii="Times New Roman" w:hAnsi="Times New Roman" w:cs="Times New Roman"/>
          <w:sz w:val="24"/>
        </w:rPr>
        <w:t>arbon; MBN, microbial biomass nitrogen; SR, soil respiration.</w:t>
      </w:r>
    </w:p>
    <w:p w:rsidR="003D2A95" w:rsidRDefault="0065308B">
      <w:pPr>
        <w:spacing w:after="0" w:line="360" w:lineRule="auto"/>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192905" cy="7029450"/>
            <wp:effectExtent l="0" t="0" r="0" b="0"/>
            <wp:docPr id="103405288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52880" name="图片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198548" cy="7038072"/>
                    </a:xfrm>
                    <a:prstGeom prst="rect">
                      <a:avLst/>
                    </a:prstGeom>
                    <a:noFill/>
                    <a:ln>
                      <a:noFill/>
                    </a:ln>
                  </pic:spPr>
                </pic:pic>
              </a:graphicData>
            </a:graphic>
          </wp:inline>
        </w:drawing>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 xml:space="preserve"> </w:t>
      </w:r>
      <w:r>
        <w:rPr>
          <w:rFonts w:ascii="Times New Roman" w:hAnsi="Times New Roman" w:cs="Times New Roman"/>
          <w:b/>
          <w:bCs/>
          <w:sz w:val="24"/>
        </w:rPr>
        <w:t>S10</w:t>
      </w:r>
      <w:r>
        <w:rPr>
          <w:rFonts w:ascii="Times New Roman" w:hAnsi="Times New Roman" w:cs="Times New Roman" w:hint="eastAsia"/>
          <w:b/>
          <w:bCs/>
          <w:sz w:val="24"/>
          <w:lang w:val="en-US"/>
        </w:rPr>
        <w:t>.</w:t>
      </w:r>
      <w:r>
        <w:rPr>
          <w:rFonts w:ascii="Times New Roman" w:hAnsi="Times New Roman" w:cs="Times New Roman"/>
          <w:sz w:val="24"/>
        </w:rPr>
        <w:t xml:space="preserve"> Comparison of predicted versus actual soil degradation index (SDI) values based on random forest regression analyses of community composition from nematode keystone taxa. Dashed blac</w:t>
      </w:r>
      <w:r>
        <w:rPr>
          <w:rFonts w:ascii="Times New Roman" w:hAnsi="Times New Roman" w:cs="Times New Roman"/>
          <w:sz w:val="24"/>
        </w:rPr>
        <w:t>k lines represent perfect prediction. Linear regression results, including adjusted R² and slope values, are shown for each plot. BD, bulk density; MBC, microbial biomass carbon; MBN, microbial biomass nitrogen; SR, soil respiration.</w:t>
      </w:r>
    </w:p>
    <w:p w:rsidR="003D2A95" w:rsidRDefault="003D2A95">
      <w:pPr>
        <w:spacing w:after="0" w:line="360" w:lineRule="auto"/>
        <w:jc w:val="both"/>
        <w:rPr>
          <w:rFonts w:ascii="Times New Roman" w:hAnsi="Times New Roman" w:cs="Times New Roman"/>
          <w:sz w:val="24"/>
        </w:rPr>
        <w:sectPr w:rsidR="003D2A95">
          <w:pgSz w:w="11906" w:h="16838"/>
          <w:pgMar w:top="1440" w:right="1800" w:bottom="1440" w:left="1800" w:header="851" w:footer="992" w:gutter="0"/>
          <w:lnNumType w:countBy="1" w:restart="continuous"/>
          <w:cols w:space="425"/>
          <w:docGrid w:type="lines" w:linePitch="312"/>
        </w:sectPr>
      </w:pPr>
      <w:bookmarkStart w:id="3" w:name="OLE_LINK2"/>
    </w:p>
    <w:p w:rsidR="003D2A95" w:rsidRDefault="0065308B">
      <w:pPr>
        <w:spacing w:after="0" w:line="360" w:lineRule="auto"/>
        <w:jc w:val="both"/>
        <w:rPr>
          <w:rFonts w:ascii="Times New Roman" w:hAnsi="Times New Roman" w:cs="Times New Roman"/>
          <w:b/>
          <w:bCs/>
          <w:sz w:val="24"/>
        </w:rPr>
      </w:pPr>
      <w:r>
        <w:rPr>
          <w:rFonts w:ascii="Times New Roman" w:hAnsi="Times New Roman" w:cs="Times New Roman"/>
          <w:b/>
          <w:bCs/>
          <w:sz w:val="24"/>
        </w:rPr>
        <w:lastRenderedPageBreak/>
        <w:t>Su</w:t>
      </w:r>
      <w:r>
        <w:rPr>
          <w:rFonts w:ascii="Times New Roman" w:hAnsi="Times New Roman" w:cs="Times New Roman"/>
          <w:b/>
          <w:bCs/>
          <w:sz w:val="24"/>
        </w:rPr>
        <w:t>pplementary Tables</w:t>
      </w:r>
    </w:p>
    <w:bookmarkEnd w:id="3"/>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t>Table S1</w:t>
      </w:r>
      <w:r>
        <w:rPr>
          <w:rFonts w:ascii="Times New Roman" w:hAnsi="Times New Roman" w:cs="Times New Roman" w:hint="eastAsia"/>
          <w:b/>
          <w:bCs/>
          <w:sz w:val="24"/>
          <w:lang w:val="en-US"/>
        </w:rPr>
        <w:t>.</w:t>
      </w:r>
      <w:r>
        <w:rPr>
          <w:rFonts w:ascii="Times New Roman" w:hAnsi="Times New Roman" w:cs="Times New Roman"/>
          <w:sz w:val="24"/>
        </w:rPr>
        <w:t xml:space="preserve"> Load matrix of the principal components and establishment of the MDS.</w:t>
      </w:r>
    </w:p>
    <w:tbl>
      <w:tblPr>
        <w:tblW w:w="7755" w:type="dxa"/>
        <w:jc w:val="center"/>
        <w:tblLook w:val="04A0" w:firstRow="1" w:lastRow="0" w:firstColumn="1" w:lastColumn="0" w:noHBand="0" w:noVBand="1"/>
      </w:tblPr>
      <w:tblGrid>
        <w:gridCol w:w="2355"/>
        <w:gridCol w:w="1080"/>
        <w:gridCol w:w="1080"/>
        <w:gridCol w:w="1080"/>
        <w:gridCol w:w="1080"/>
        <w:gridCol w:w="1080"/>
      </w:tblGrid>
      <w:tr w:rsidR="003D2A95">
        <w:trPr>
          <w:trHeight w:val="390"/>
          <w:jc w:val="center"/>
        </w:trPr>
        <w:tc>
          <w:tcPr>
            <w:tcW w:w="2355" w:type="dxa"/>
            <w:vMerge w:val="restart"/>
            <w:tcBorders>
              <w:top w:val="single" w:sz="4" w:space="0" w:color="auto"/>
              <w:left w:val="nil"/>
              <w:bottom w:val="single" w:sz="8" w:space="0" w:color="000000"/>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Soil indicators</w:t>
            </w:r>
          </w:p>
        </w:tc>
        <w:tc>
          <w:tcPr>
            <w:tcW w:w="4320" w:type="dxa"/>
            <w:gridSpan w:val="4"/>
            <w:tcBorders>
              <w:top w:val="single" w:sz="4" w:space="0" w:color="auto"/>
              <w:left w:val="nil"/>
              <w:bottom w:val="single" w:sz="8" w:space="0" w:color="auto"/>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Components</w:t>
            </w:r>
          </w:p>
        </w:tc>
        <w:tc>
          <w:tcPr>
            <w:tcW w:w="1080" w:type="dxa"/>
            <w:vMerge w:val="restart"/>
            <w:tcBorders>
              <w:top w:val="single" w:sz="4" w:space="0" w:color="auto"/>
              <w:left w:val="nil"/>
              <w:bottom w:val="single" w:sz="8" w:space="0" w:color="000000"/>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MDS</w:t>
            </w:r>
          </w:p>
        </w:tc>
      </w:tr>
      <w:tr w:rsidR="003D2A95">
        <w:trPr>
          <w:trHeight w:val="390"/>
          <w:jc w:val="center"/>
        </w:trPr>
        <w:tc>
          <w:tcPr>
            <w:tcW w:w="2355" w:type="dxa"/>
            <w:vMerge/>
            <w:tcBorders>
              <w:top w:val="nil"/>
              <w:left w:val="nil"/>
              <w:bottom w:val="single" w:sz="8" w:space="0" w:color="000000"/>
              <w:right w:val="nil"/>
            </w:tcBorders>
            <w:vAlign w:val="center"/>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c>
          <w:tcPr>
            <w:tcW w:w="1080" w:type="dxa"/>
            <w:tcBorders>
              <w:top w:val="nil"/>
              <w:left w:val="nil"/>
              <w:bottom w:val="single" w:sz="8" w:space="0" w:color="auto"/>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PC1</w:t>
            </w:r>
          </w:p>
        </w:tc>
        <w:tc>
          <w:tcPr>
            <w:tcW w:w="1080" w:type="dxa"/>
            <w:tcBorders>
              <w:top w:val="nil"/>
              <w:left w:val="nil"/>
              <w:bottom w:val="single" w:sz="8" w:space="0" w:color="auto"/>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PC2</w:t>
            </w:r>
          </w:p>
        </w:tc>
        <w:tc>
          <w:tcPr>
            <w:tcW w:w="1080" w:type="dxa"/>
            <w:tcBorders>
              <w:top w:val="nil"/>
              <w:left w:val="nil"/>
              <w:bottom w:val="single" w:sz="8" w:space="0" w:color="auto"/>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PC3</w:t>
            </w:r>
          </w:p>
        </w:tc>
        <w:tc>
          <w:tcPr>
            <w:tcW w:w="1080" w:type="dxa"/>
            <w:tcBorders>
              <w:top w:val="nil"/>
              <w:left w:val="nil"/>
              <w:bottom w:val="single" w:sz="8" w:space="0" w:color="auto"/>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PC4</w:t>
            </w:r>
          </w:p>
        </w:tc>
        <w:tc>
          <w:tcPr>
            <w:tcW w:w="1080" w:type="dxa"/>
            <w:vMerge/>
            <w:tcBorders>
              <w:top w:val="nil"/>
              <w:left w:val="nil"/>
              <w:bottom w:val="single" w:sz="8" w:space="0" w:color="000000"/>
              <w:right w:val="nil"/>
            </w:tcBorders>
            <w:vAlign w:val="center"/>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MBC</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-0.2631</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0.3566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0.2507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0.3548</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pH</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0.2088</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0.4099</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0.2518</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0.3202</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MBN</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-0.2727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0.4143</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0.3123</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0.0966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BD</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0.1386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0.233</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-0.1023</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0.0731</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SR</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-0.0478</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0.5257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0.4062</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0.0307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TC</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-0.474</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-0.0977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-0.2922</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0.0265</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SOC</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-0.474</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-0.1135</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-0.398</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0.0219</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DOC</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-0.2817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0.065</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-0.1184</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0.0044</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TN</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-0.476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-0.1409</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-0.552</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-0.0217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DON</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-0.1666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0.2411</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0.1578</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-0.3515</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qCO2</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0.0746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0.234</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-0.056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-0.4904</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EC</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-0.0577</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0.2076</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-0.1038</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-0.625</w:t>
            </w:r>
          </w:p>
        </w:tc>
        <w:tc>
          <w:tcPr>
            <w:tcW w:w="1080" w:type="dxa"/>
            <w:tcBorders>
              <w:top w:val="nil"/>
              <w:left w:val="nil"/>
              <w:bottom w:val="nil"/>
              <w:right w:val="nil"/>
            </w:tcBorders>
            <w:shd w:val="clear" w:color="auto" w:fill="auto"/>
            <w:noWrap/>
            <w:vAlign w:val="bottom"/>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Yes</w:t>
            </w:r>
          </w:p>
        </w:tc>
      </w:tr>
      <w:tr w:rsidR="003D2A95">
        <w:trPr>
          <w:trHeight w:val="375"/>
          <w:jc w:val="center"/>
        </w:trPr>
        <w:tc>
          <w:tcPr>
            <w:tcW w:w="2355"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Eigenvalue</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3.896</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1.7132</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1.3288</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1.0074</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75"/>
          <w:jc w:val="center"/>
        </w:trPr>
        <w:tc>
          <w:tcPr>
            <w:tcW w:w="2355"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 of variance</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32.47</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14.28</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11.07</w:t>
            </w:r>
          </w:p>
        </w:tc>
        <w:tc>
          <w:tcPr>
            <w:tcW w:w="1080" w:type="dxa"/>
            <w:tcBorders>
              <w:top w:val="nil"/>
              <w:left w:val="nil"/>
              <w:bottom w:val="nil"/>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8.4</w:t>
            </w:r>
          </w:p>
        </w:tc>
        <w:tc>
          <w:tcPr>
            <w:tcW w:w="1080" w:type="dxa"/>
            <w:tcBorders>
              <w:top w:val="nil"/>
              <w:left w:val="nil"/>
              <w:bottom w:val="nil"/>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r w:rsidR="003D2A95">
        <w:trPr>
          <w:trHeight w:val="390"/>
          <w:jc w:val="center"/>
        </w:trPr>
        <w:tc>
          <w:tcPr>
            <w:tcW w:w="2355" w:type="dxa"/>
            <w:tcBorders>
              <w:top w:val="nil"/>
              <w:left w:val="nil"/>
              <w:bottom w:val="single" w:sz="8" w:space="0" w:color="auto"/>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Cumulative variance</w:t>
            </w:r>
          </w:p>
        </w:tc>
        <w:tc>
          <w:tcPr>
            <w:tcW w:w="1080" w:type="dxa"/>
            <w:tcBorders>
              <w:top w:val="nil"/>
              <w:left w:val="nil"/>
              <w:bottom w:val="single" w:sz="8" w:space="0" w:color="auto"/>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32.47</w:t>
            </w:r>
          </w:p>
        </w:tc>
        <w:tc>
          <w:tcPr>
            <w:tcW w:w="1080" w:type="dxa"/>
            <w:tcBorders>
              <w:top w:val="nil"/>
              <w:left w:val="nil"/>
              <w:bottom w:val="single" w:sz="8" w:space="0" w:color="auto"/>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46.74</w:t>
            </w:r>
          </w:p>
        </w:tc>
        <w:tc>
          <w:tcPr>
            <w:tcW w:w="1080" w:type="dxa"/>
            <w:tcBorders>
              <w:top w:val="nil"/>
              <w:left w:val="nil"/>
              <w:bottom w:val="single" w:sz="8" w:space="0" w:color="auto"/>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57.82</w:t>
            </w:r>
          </w:p>
        </w:tc>
        <w:tc>
          <w:tcPr>
            <w:tcW w:w="1080" w:type="dxa"/>
            <w:tcBorders>
              <w:top w:val="nil"/>
              <w:left w:val="nil"/>
              <w:bottom w:val="single" w:sz="8" w:space="0" w:color="auto"/>
              <w:right w:val="nil"/>
            </w:tcBorders>
            <w:shd w:val="clear" w:color="auto" w:fill="auto"/>
            <w:noWrap/>
            <w:vAlign w:val="center"/>
          </w:tcPr>
          <w:p w:rsidR="003D2A95" w:rsidRDefault="0065308B">
            <w:pPr>
              <w:widowControl/>
              <w:spacing w:after="0" w:line="360" w:lineRule="auto"/>
              <w:jc w:val="both"/>
              <w:rPr>
                <w:rFonts w:ascii="Times New Roman" w:eastAsia="等线" w:hAnsi="Times New Roman" w:cs="Times New Roman"/>
                <w:color w:val="000000"/>
                <w:kern w:val="0"/>
                <w:sz w:val="24"/>
                <w14:ligatures w14:val="none"/>
              </w:rPr>
            </w:pPr>
            <w:r>
              <w:rPr>
                <w:rFonts w:ascii="Times New Roman" w:eastAsia="等线" w:hAnsi="Times New Roman" w:cs="Times New Roman" w:hint="eastAsia"/>
                <w:color w:val="000000"/>
                <w:kern w:val="0"/>
                <w:sz w:val="24"/>
                <w14:ligatures w14:val="none"/>
              </w:rPr>
              <w:t>66.21</w:t>
            </w:r>
          </w:p>
        </w:tc>
        <w:tc>
          <w:tcPr>
            <w:tcW w:w="1080" w:type="dxa"/>
            <w:tcBorders>
              <w:top w:val="nil"/>
              <w:left w:val="nil"/>
              <w:bottom w:val="single" w:sz="8" w:space="0" w:color="auto"/>
              <w:right w:val="nil"/>
            </w:tcBorders>
            <w:shd w:val="clear" w:color="auto" w:fill="auto"/>
            <w:noWrap/>
            <w:vAlign w:val="bottom"/>
          </w:tcPr>
          <w:p w:rsidR="003D2A95" w:rsidRDefault="003D2A95">
            <w:pPr>
              <w:widowControl/>
              <w:spacing w:after="0" w:line="360" w:lineRule="auto"/>
              <w:jc w:val="both"/>
              <w:rPr>
                <w:rFonts w:ascii="Times New Roman" w:eastAsia="等线" w:hAnsi="Times New Roman" w:cs="Times New Roman"/>
                <w:color w:val="000000"/>
                <w:kern w:val="0"/>
                <w:sz w:val="24"/>
                <w14:ligatures w14:val="none"/>
              </w:rPr>
            </w:pPr>
          </w:p>
        </w:tc>
      </w:tr>
    </w:tbl>
    <w:p w:rsidR="003D2A95" w:rsidRDefault="0065308B">
      <w:pPr>
        <w:spacing w:after="0" w:line="360" w:lineRule="auto"/>
        <w:jc w:val="both"/>
        <w:rPr>
          <w:rFonts w:ascii="Times New Roman" w:hAnsi="Times New Roman" w:cs="Times New Roman"/>
          <w:sz w:val="24"/>
        </w:rPr>
      </w:pPr>
      <w:r>
        <w:rPr>
          <w:rFonts w:ascii="Times New Roman" w:hAnsi="Times New Roman" w:cs="Times New Roman"/>
          <w:sz w:val="24"/>
        </w:rPr>
        <w:t xml:space="preserve">Note: MBC, microbial biomass carbon; MBN, </w:t>
      </w:r>
      <w:r>
        <w:rPr>
          <w:rFonts w:ascii="Times New Roman" w:hAnsi="Times New Roman" w:cs="Times New Roman"/>
          <w:sz w:val="24"/>
        </w:rPr>
        <w:t>microbial biomass nitrogen; BD, bulk density; SR, soil respiration; TC, total carbon; SOC, soil organic carbon; DOC, dissolved organic carbon; TN, total nitrogen; DON, dissolved organic nitrogen; qCO2, metabolic quotient; EC, electrical conductivity.</w:t>
      </w:r>
    </w:p>
    <w:p w:rsidR="003D2A95" w:rsidRDefault="003D2A95">
      <w:pPr>
        <w:spacing w:after="0" w:line="360" w:lineRule="auto"/>
        <w:jc w:val="both"/>
        <w:rPr>
          <w:rFonts w:ascii="Times New Roman" w:hAnsi="Times New Roman" w:cs="Times New Roman"/>
          <w:b/>
          <w:bCs/>
          <w:sz w:val="24"/>
        </w:rPr>
        <w:sectPr w:rsidR="003D2A95">
          <w:pgSz w:w="11906" w:h="16838"/>
          <w:pgMar w:top="1440" w:right="1800" w:bottom="1440" w:left="1800" w:header="851" w:footer="992" w:gutter="0"/>
          <w:lnNumType w:countBy="1" w:restart="continuous"/>
          <w:cols w:space="425"/>
          <w:docGrid w:type="lines" w:linePitch="312"/>
        </w:sectPr>
      </w:pP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lastRenderedPageBreak/>
        <w:t>Table S2</w:t>
      </w:r>
      <w:r>
        <w:rPr>
          <w:rFonts w:ascii="Times New Roman" w:hAnsi="Times New Roman" w:cs="Times New Roman" w:hint="eastAsia"/>
          <w:b/>
          <w:bCs/>
          <w:sz w:val="24"/>
          <w:lang w:val="en-US"/>
        </w:rPr>
        <w:t>.</w:t>
      </w:r>
      <w:r>
        <w:rPr>
          <w:rFonts w:ascii="Times New Roman" w:hAnsi="Times New Roman" w:cs="Times New Roman"/>
          <w:sz w:val="24"/>
        </w:rPr>
        <w:t xml:space="preserve"> Environmental explanation of the changes in arthropod and nematode community by redundancy analysis.</w:t>
      </w:r>
    </w:p>
    <w:tbl>
      <w:tblPr>
        <w:tblW w:w="8778" w:type="dxa"/>
        <w:jc w:val="center"/>
        <w:tblLook w:val="04A0" w:firstRow="1" w:lastRow="0" w:firstColumn="1" w:lastColumn="0" w:noHBand="0" w:noVBand="1"/>
      </w:tblPr>
      <w:tblGrid>
        <w:gridCol w:w="790"/>
        <w:gridCol w:w="996"/>
        <w:gridCol w:w="996"/>
        <w:gridCol w:w="876"/>
        <w:gridCol w:w="805"/>
        <w:gridCol w:w="576"/>
        <w:gridCol w:w="222"/>
        <w:gridCol w:w="790"/>
        <w:gridCol w:w="996"/>
        <w:gridCol w:w="996"/>
        <w:gridCol w:w="876"/>
        <w:gridCol w:w="805"/>
        <w:gridCol w:w="576"/>
      </w:tblGrid>
      <w:tr w:rsidR="003D2A95">
        <w:trPr>
          <w:trHeight w:val="323"/>
          <w:jc w:val="center"/>
        </w:trPr>
        <w:tc>
          <w:tcPr>
            <w:tcW w:w="3792" w:type="dxa"/>
            <w:gridSpan w:val="5"/>
            <w:tcBorders>
              <w:top w:val="single" w:sz="4" w:space="0" w:color="auto"/>
              <w:left w:val="nil"/>
              <w:bottom w:val="single" w:sz="4" w:space="0" w:color="auto"/>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Arthropod</w:t>
            </w:r>
          </w:p>
        </w:tc>
        <w:tc>
          <w:tcPr>
            <w:tcW w:w="486" w:type="dxa"/>
            <w:tcBorders>
              <w:top w:val="single" w:sz="4" w:space="0" w:color="auto"/>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222" w:type="dxa"/>
            <w:tcBorders>
              <w:top w:val="single" w:sz="4" w:space="0" w:color="auto"/>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3792" w:type="dxa"/>
            <w:gridSpan w:val="5"/>
            <w:tcBorders>
              <w:top w:val="single" w:sz="4" w:space="0" w:color="auto"/>
              <w:left w:val="nil"/>
              <w:bottom w:val="single" w:sz="4" w:space="0" w:color="auto"/>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Nematode</w:t>
            </w:r>
          </w:p>
        </w:tc>
        <w:tc>
          <w:tcPr>
            <w:tcW w:w="486" w:type="dxa"/>
            <w:tcBorders>
              <w:top w:val="single" w:sz="4" w:space="0" w:color="auto"/>
              <w:left w:val="nil"/>
              <w:bottom w:val="single" w:sz="4" w:space="0" w:color="auto"/>
              <w:right w:val="nil"/>
            </w:tcBorders>
            <w:shd w:val="clear" w:color="auto" w:fill="auto"/>
            <w:noWrap/>
            <w:vAlign w:val="center"/>
          </w:tcPr>
          <w:p w:rsidR="003D2A95" w:rsidRDefault="003D2A95">
            <w:pPr>
              <w:widowControl/>
              <w:spacing w:after="0" w:line="360" w:lineRule="auto"/>
              <w:jc w:val="center"/>
              <w:rPr>
                <w:rFonts w:ascii="Times New Roman" w:eastAsia="等线" w:hAnsi="Times New Roman" w:cs="Times New Roman"/>
                <w:kern w:val="0"/>
                <w:sz w:val="24"/>
                <w14:ligatures w14:val="none"/>
              </w:rPr>
            </w:pPr>
          </w:p>
        </w:tc>
      </w:tr>
      <w:tr w:rsidR="003D2A95">
        <w:trPr>
          <w:trHeight w:val="323"/>
          <w:jc w:val="center"/>
        </w:trPr>
        <w:tc>
          <w:tcPr>
            <w:tcW w:w="647"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RDA1</w:t>
            </w: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RDA2</w:t>
            </w:r>
          </w:p>
        </w:tc>
        <w:tc>
          <w:tcPr>
            <w:tcW w:w="711"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r2</w:t>
            </w:r>
          </w:p>
        </w:tc>
        <w:tc>
          <w:tcPr>
            <w:tcW w:w="65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Pr(&gt;r)</w:t>
            </w:r>
          </w:p>
        </w:tc>
        <w:tc>
          <w:tcPr>
            <w:tcW w:w="486"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222"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RDA1</w:t>
            </w: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RDA2</w:t>
            </w:r>
          </w:p>
        </w:tc>
        <w:tc>
          <w:tcPr>
            <w:tcW w:w="711"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r2</w:t>
            </w:r>
          </w:p>
        </w:tc>
        <w:tc>
          <w:tcPr>
            <w:tcW w:w="65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Pr(&gt;r)</w:t>
            </w:r>
          </w:p>
        </w:tc>
        <w:tc>
          <w:tcPr>
            <w:tcW w:w="486"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bookmarkStart w:id="4" w:name="OLE_LINK1"/>
            <w:r>
              <w:rPr>
                <w:rFonts w:ascii="Times New Roman" w:eastAsia="等线" w:hAnsi="Times New Roman" w:cs="Times New Roman" w:hint="eastAsia"/>
                <w:kern w:val="0"/>
                <w:sz w:val="24"/>
                <w14:ligatures w14:val="none"/>
              </w:rPr>
              <w:t>SOC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0.9877</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0.15637</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0.2723</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000000" w:fill="FFFFFF"/>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BD</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0.81435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0.58037</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0.3595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DOC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0.84547</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-0.53402</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0.2426</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MBC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0.99905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-0.04367</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0.2352</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TC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0.98484</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0.17348</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0.232</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SR</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0.46045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-0.88769</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0.1463</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TN</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0.9935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0.11384</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0.2129</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Sand</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-0.95444</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0.29841</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0.1153</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Clay</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-0.37156</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0.92841</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0.1247</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Clay</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0.33875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-0.94088</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0.1012</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pH</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-0.51401</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0.85778</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0.1013</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Silt</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0.99958</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0.02887</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0.0871</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000000" w:fill="FFFFFF"/>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000000" w:fill="FFFFFF"/>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BD</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-0.52596</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0.85051</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0.0715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SOC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0.70518</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0.70903</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0.032</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0.003</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SR</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-0.14542</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0.98937</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0.0497</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0.002</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EC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0.85898</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-0.51201</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0.0905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0.005</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Silt</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0.82697</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-0.56225</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0.0473</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TC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0.94505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0.32694</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0.0255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0.005</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MBN</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0.99603</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0.08899</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0.0258</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0.005</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MBN</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0.91157</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-0.41114</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0.0307</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0.007</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Sand</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-0.99124</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-0.13204</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0.0172</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0.02</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TN</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0.94138</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0.33734</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0.0223</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0.01</w:t>
            </w:r>
          </w:p>
        </w:tc>
        <w:tc>
          <w:tcPr>
            <w:tcW w:w="486"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r>
      <w:bookmarkEnd w:id="4"/>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MBC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0.98442</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0.17581</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0.0132</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0.05</w:t>
            </w:r>
          </w:p>
        </w:tc>
        <w:tc>
          <w:tcPr>
            <w:tcW w:w="486"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qCO2</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-0.92129</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-0.38887</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0.0046</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0.208</w:t>
            </w:r>
          </w:p>
        </w:tc>
        <w:tc>
          <w:tcPr>
            <w:tcW w:w="486" w:type="dxa"/>
            <w:tcBorders>
              <w:top w:val="nil"/>
              <w:left w:val="nil"/>
              <w:bottom w:val="nil"/>
              <w:right w:val="nil"/>
            </w:tcBorders>
            <w:shd w:val="clear" w:color="auto" w:fill="auto"/>
            <w:noWrap/>
            <w:vAlign w:val="center"/>
          </w:tcPr>
          <w:p w:rsidR="003D2A95" w:rsidRDefault="003D2A95">
            <w:pPr>
              <w:widowControl/>
              <w:spacing w:after="0" w:line="360" w:lineRule="auto"/>
              <w:jc w:val="center"/>
              <w:rPr>
                <w:rFonts w:ascii="Times New Roman" w:eastAsia="等线" w:hAnsi="Times New Roman" w:cs="Times New Roman"/>
                <w:kern w:val="0"/>
                <w:sz w:val="24"/>
                <w14:ligatures w14:val="none"/>
              </w:rPr>
            </w:pP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EC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-0.66973</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0.7426</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0.0115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0.094</w:t>
            </w:r>
          </w:p>
        </w:tc>
        <w:tc>
          <w:tcPr>
            <w:tcW w:w="486"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Times New Roman"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DOC</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0.33779</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0.94122</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0.0065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0.236</w:t>
            </w:r>
          </w:p>
        </w:tc>
        <w:tc>
          <w:tcPr>
            <w:tcW w:w="486" w:type="dxa"/>
            <w:tcBorders>
              <w:top w:val="nil"/>
              <w:left w:val="nil"/>
              <w:bottom w:val="nil"/>
              <w:right w:val="nil"/>
            </w:tcBorders>
            <w:shd w:val="clear" w:color="auto" w:fill="auto"/>
            <w:noWrap/>
            <w:vAlign w:val="center"/>
          </w:tcPr>
          <w:p w:rsidR="003D2A95" w:rsidRDefault="003D2A95">
            <w:pPr>
              <w:widowControl/>
              <w:spacing w:after="0" w:line="360" w:lineRule="auto"/>
              <w:jc w:val="center"/>
              <w:rPr>
                <w:rFonts w:ascii="Times New Roman" w:eastAsia="等线" w:hAnsi="Times New Roman" w:cs="Times New Roman"/>
                <w:kern w:val="0"/>
                <w:sz w:val="24"/>
                <w14:ligatures w14:val="none"/>
              </w:rPr>
            </w:pPr>
          </w:p>
        </w:tc>
      </w:tr>
      <w:tr w:rsidR="003D2A95">
        <w:trPr>
          <w:trHeight w:val="323"/>
          <w:jc w:val="center"/>
        </w:trPr>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lastRenderedPageBreak/>
              <w:t>DON</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-0.27535</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0.96135</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0.0035</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0.41</w:t>
            </w:r>
          </w:p>
        </w:tc>
        <w:tc>
          <w:tcPr>
            <w:tcW w:w="486"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222" w:type="dxa"/>
            <w:tcBorders>
              <w:top w:val="nil"/>
              <w:left w:val="nil"/>
              <w:bottom w:val="nil"/>
              <w:right w:val="nil"/>
            </w:tcBorders>
            <w:shd w:val="clear" w:color="auto" w:fill="auto"/>
            <w:noWrap/>
            <w:vAlign w:val="bottom"/>
          </w:tcPr>
          <w:p w:rsidR="003D2A95" w:rsidRDefault="003D2A95">
            <w:pPr>
              <w:widowControl/>
              <w:spacing w:after="0" w:line="360" w:lineRule="auto"/>
              <w:jc w:val="center"/>
              <w:rPr>
                <w:rFonts w:ascii="Times New Roman" w:eastAsia="Times New Roman" w:hAnsi="Times New Roman" w:cs="Times New Roman"/>
                <w:kern w:val="0"/>
                <w:sz w:val="24"/>
                <w14:ligatures w14:val="none"/>
              </w:rPr>
            </w:pPr>
          </w:p>
        </w:tc>
        <w:tc>
          <w:tcPr>
            <w:tcW w:w="647" w:type="dxa"/>
            <w:tcBorders>
              <w:top w:val="nil"/>
              <w:left w:val="nil"/>
              <w:bottom w:val="nil"/>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pH</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0.99437</w:t>
            </w:r>
          </w:p>
        </w:tc>
        <w:tc>
          <w:tcPr>
            <w:tcW w:w="88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0.10593</w:t>
            </w:r>
          </w:p>
        </w:tc>
        <w:tc>
          <w:tcPr>
            <w:tcW w:w="711"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0.0061</w:t>
            </w:r>
          </w:p>
        </w:tc>
        <w:tc>
          <w:tcPr>
            <w:tcW w:w="658" w:type="dxa"/>
            <w:tcBorders>
              <w:top w:val="nil"/>
              <w:left w:val="nil"/>
              <w:bottom w:val="nil"/>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0.26</w:t>
            </w:r>
          </w:p>
        </w:tc>
        <w:tc>
          <w:tcPr>
            <w:tcW w:w="486" w:type="dxa"/>
            <w:tcBorders>
              <w:top w:val="nil"/>
              <w:left w:val="nil"/>
              <w:bottom w:val="nil"/>
              <w:right w:val="nil"/>
            </w:tcBorders>
            <w:shd w:val="clear" w:color="auto" w:fill="auto"/>
            <w:noWrap/>
            <w:vAlign w:val="center"/>
          </w:tcPr>
          <w:p w:rsidR="003D2A95" w:rsidRDefault="003D2A95">
            <w:pPr>
              <w:widowControl/>
              <w:spacing w:after="0" w:line="360" w:lineRule="auto"/>
              <w:jc w:val="center"/>
              <w:rPr>
                <w:rFonts w:ascii="Times New Roman" w:eastAsia="等线" w:hAnsi="Times New Roman" w:cs="Times New Roman"/>
                <w:kern w:val="0"/>
                <w:sz w:val="24"/>
                <w14:ligatures w14:val="none"/>
              </w:rPr>
            </w:pPr>
          </w:p>
        </w:tc>
      </w:tr>
      <w:tr w:rsidR="003D2A95">
        <w:trPr>
          <w:trHeight w:val="323"/>
          <w:jc w:val="center"/>
        </w:trPr>
        <w:tc>
          <w:tcPr>
            <w:tcW w:w="647" w:type="dxa"/>
            <w:tcBorders>
              <w:top w:val="nil"/>
              <w:left w:val="nil"/>
              <w:bottom w:val="single" w:sz="4" w:space="0" w:color="auto"/>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qCO2</w:t>
            </w: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-0.93875</w:t>
            </w: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0.34459</w:t>
            </w:r>
          </w:p>
        </w:tc>
        <w:tc>
          <w:tcPr>
            <w:tcW w:w="711"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0.0018</w:t>
            </w:r>
          </w:p>
        </w:tc>
        <w:tc>
          <w:tcPr>
            <w:tcW w:w="65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0.563</w:t>
            </w:r>
          </w:p>
        </w:tc>
        <w:tc>
          <w:tcPr>
            <w:tcW w:w="486"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222" w:type="dxa"/>
            <w:tcBorders>
              <w:top w:val="nil"/>
              <w:left w:val="nil"/>
              <w:bottom w:val="single" w:sz="4" w:space="0" w:color="auto"/>
              <w:right w:val="nil"/>
            </w:tcBorders>
            <w:shd w:val="clear" w:color="auto" w:fill="auto"/>
            <w:noWrap/>
            <w:vAlign w:val="bottom"/>
          </w:tcPr>
          <w:p w:rsidR="003D2A95" w:rsidRDefault="003D2A95">
            <w:pPr>
              <w:widowControl/>
              <w:spacing w:after="0" w:line="360" w:lineRule="auto"/>
              <w:jc w:val="center"/>
              <w:rPr>
                <w:rFonts w:ascii="Times New Roman" w:eastAsia="等线" w:hAnsi="Times New Roman" w:cs="Times New Roman"/>
                <w:kern w:val="0"/>
                <w:sz w:val="24"/>
                <w14:ligatures w14:val="none"/>
              </w:rPr>
            </w:pPr>
          </w:p>
        </w:tc>
        <w:tc>
          <w:tcPr>
            <w:tcW w:w="647" w:type="dxa"/>
            <w:tcBorders>
              <w:top w:val="nil"/>
              <w:left w:val="nil"/>
              <w:bottom w:val="single" w:sz="4" w:space="0" w:color="auto"/>
              <w:right w:val="nil"/>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DON</w:t>
            </w: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-0.87785</w:t>
            </w:r>
          </w:p>
        </w:tc>
        <w:tc>
          <w:tcPr>
            <w:tcW w:w="88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0.47893</w:t>
            </w:r>
          </w:p>
        </w:tc>
        <w:tc>
          <w:tcPr>
            <w:tcW w:w="711"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0.0029</w:t>
            </w:r>
          </w:p>
        </w:tc>
        <w:tc>
          <w:tcPr>
            <w:tcW w:w="658" w:type="dxa"/>
            <w:tcBorders>
              <w:top w:val="nil"/>
              <w:left w:val="nil"/>
              <w:bottom w:val="single" w:sz="4" w:space="0" w:color="auto"/>
              <w:right w:val="nil"/>
            </w:tcBorders>
            <w:shd w:val="clear" w:color="auto" w:fill="auto"/>
            <w:noWrap/>
            <w:vAlign w:val="bottom"/>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0.406</w:t>
            </w:r>
          </w:p>
        </w:tc>
        <w:tc>
          <w:tcPr>
            <w:tcW w:w="486" w:type="dxa"/>
            <w:tcBorders>
              <w:top w:val="nil"/>
              <w:left w:val="nil"/>
              <w:bottom w:val="single" w:sz="4" w:space="0" w:color="auto"/>
              <w:right w:val="nil"/>
            </w:tcBorders>
            <w:shd w:val="clear" w:color="auto" w:fill="auto"/>
            <w:noWrap/>
            <w:vAlign w:val="center"/>
          </w:tcPr>
          <w:p w:rsidR="003D2A95" w:rsidRDefault="003D2A95">
            <w:pPr>
              <w:widowControl/>
              <w:spacing w:after="0" w:line="360" w:lineRule="auto"/>
              <w:jc w:val="center"/>
              <w:rPr>
                <w:rFonts w:ascii="Times New Roman" w:eastAsia="等线" w:hAnsi="Times New Roman" w:cs="Times New Roman"/>
                <w:kern w:val="0"/>
                <w:sz w:val="24"/>
                <w14:ligatures w14:val="none"/>
              </w:rPr>
            </w:pPr>
          </w:p>
        </w:tc>
      </w:tr>
    </w:tbl>
    <w:p w:rsidR="003D2A95" w:rsidRDefault="0065308B">
      <w:pPr>
        <w:spacing w:after="0" w:line="360" w:lineRule="auto"/>
        <w:jc w:val="both"/>
        <w:rPr>
          <w:rFonts w:ascii="Times New Roman" w:hAnsi="Times New Roman" w:cs="Times New Roman"/>
          <w:sz w:val="24"/>
        </w:rPr>
      </w:pPr>
      <w:r>
        <w:rPr>
          <w:rFonts w:ascii="Times New Roman" w:hAnsi="Times New Roman" w:cs="Times New Roman"/>
          <w:sz w:val="24"/>
        </w:rPr>
        <w:t xml:space="preserve">Note: MBC, microbial biomass carbon; MBN, microbial biomass nitrogen; BD, bulk density; SR, soil respiration; TC, total carbon; SOC, soil organic carbon; DOC, dissolved organic carbon; TN, total nitrogen; DON, </w:t>
      </w:r>
      <w:r>
        <w:rPr>
          <w:rFonts w:ascii="Times New Roman" w:hAnsi="Times New Roman" w:cs="Times New Roman"/>
          <w:sz w:val="24"/>
        </w:rPr>
        <w:t>dissolved organic nitrogen; qCO2, metabolic quotient; EC, electrical conductivity.</w:t>
      </w:r>
    </w:p>
    <w:p w:rsidR="003D2A95" w:rsidRDefault="003D2A95">
      <w:pPr>
        <w:spacing w:after="0" w:line="360" w:lineRule="auto"/>
        <w:jc w:val="both"/>
        <w:rPr>
          <w:rFonts w:ascii="Times New Roman" w:hAnsi="Times New Roman" w:cs="Times New Roman"/>
          <w:b/>
          <w:bCs/>
          <w:sz w:val="24"/>
        </w:rPr>
        <w:sectPr w:rsidR="003D2A95">
          <w:pgSz w:w="11906" w:h="16838"/>
          <w:pgMar w:top="1440" w:right="1800" w:bottom="1440" w:left="1800" w:header="851" w:footer="992" w:gutter="0"/>
          <w:lnNumType w:countBy="1" w:restart="continuous"/>
          <w:cols w:space="425"/>
          <w:docGrid w:type="lines" w:linePitch="312"/>
        </w:sectPr>
      </w:pP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lastRenderedPageBreak/>
        <w:t>Table S3</w:t>
      </w:r>
      <w:r>
        <w:rPr>
          <w:rFonts w:ascii="Times New Roman" w:hAnsi="Times New Roman" w:cs="Times New Roman" w:hint="eastAsia"/>
          <w:b/>
          <w:bCs/>
          <w:sz w:val="24"/>
          <w:lang w:val="en-US"/>
        </w:rPr>
        <w:t>.</w:t>
      </w:r>
      <w:r>
        <w:rPr>
          <w:rFonts w:ascii="Times New Roman" w:hAnsi="Times New Roman" w:cs="Times New Roman"/>
          <w:sz w:val="24"/>
        </w:rPr>
        <w:t xml:space="preserve"> Comparison of mean predictive performance (R</w:t>
      </w:r>
      <w:r>
        <w:rPr>
          <w:rFonts w:ascii="Times New Roman" w:hAnsi="Times New Roman" w:cs="Times New Roman"/>
          <w:sz w:val="24"/>
          <w:vertAlign w:val="superscript"/>
        </w:rPr>
        <w:t>2</w:t>
      </w:r>
      <w:r>
        <w:rPr>
          <w:rFonts w:ascii="Times New Roman" w:hAnsi="Times New Roman" w:cs="Times New Roman"/>
          <w:sz w:val="24"/>
        </w:rPr>
        <w:t xml:space="preserve">±SD) of arthropod and nematode based models for four key soil properties (pH, TC, SOC, TN) and </w:t>
      </w:r>
      <w:r>
        <w:rPr>
          <w:rFonts w:ascii="Times New Roman" w:hAnsi="Times New Roman" w:cs="Times New Roman"/>
          <w:sz w:val="24"/>
        </w:rPr>
        <w:t>SDI. Results are shown for using keystone taxa community models. P-values are based on pairwise t-tests.</w:t>
      </w:r>
    </w:p>
    <w:tbl>
      <w:tblPr>
        <w:tblStyle w:val="a7"/>
        <w:tblW w:w="83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701"/>
        <w:gridCol w:w="1701"/>
        <w:gridCol w:w="1019"/>
      </w:tblGrid>
      <w:tr w:rsidR="003D2A95">
        <w:trPr>
          <w:trHeight w:val="246"/>
          <w:jc w:val="center"/>
        </w:trPr>
        <w:tc>
          <w:tcPr>
            <w:tcW w:w="3969" w:type="dxa"/>
            <w:tcBorders>
              <w:top w:val="single" w:sz="4" w:space="0" w:color="auto"/>
              <w:bottom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R</w:t>
            </w:r>
            <w:r>
              <w:rPr>
                <w:rFonts w:ascii="Times New Roman" w:hAnsi="Times New Roman" w:cs="Times New Roman" w:hint="eastAsia"/>
                <w:sz w:val="24"/>
                <w:vertAlign w:val="superscript"/>
              </w:rPr>
              <w:t>2</w:t>
            </w:r>
          </w:p>
        </w:tc>
        <w:tc>
          <w:tcPr>
            <w:tcW w:w="1701" w:type="dxa"/>
            <w:tcBorders>
              <w:top w:val="single" w:sz="4" w:space="0" w:color="auto"/>
              <w:bottom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Arthropod</w:t>
            </w:r>
          </w:p>
        </w:tc>
        <w:tc>
          <w:tcPr>
            <w:tcW w:w="1701" w:type="dxa"/>
            <w:tcBorders>
              <w:top w:val="single" w:sz="4" w:space="0" w:color="auto"/>
              <w:bottom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Nematode</w:t>
            </w:r>
          </w:p>
        </w:tc>
        <w:tc>
          <w:tcPr>
            <w:tcW w:w="1019" w:type="dxa"/>
            <w:tcBorders>
              <w:top w:val="single" w:sz="4" w:space="0" w:color="auto"/>
              <w:bottom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P-value</w:t>
            </w:r>
          </w:p>
        </w:tc>
      </w:tr>
      <w:tr w:rsidR="003D2A95">
        <w:trPr>
          <w:trHeight w:val="606"/>
          <w:jc w:val="center"/>
        </w:trPr>
        <w:tc>
          <w:tcPr>
            <w:tcW w:w="3969" w:type="dxa"/>
            <w:tcBorders>
              <w:top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Soil physicochemical properties</w:t>
            </w:r>
          </w:p>
        </w:tc>
        <w:tc>
          <w:tcPr>
            <w:tcW w:w="1701" w:type="dxa"/>
            <w:tcBorders>
              <w:top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0.61</w:t>
            </w:r>
            <w:r>
              <w:rPr>
                <w:rFonts w:ascii="Times New Roman" w:hAnsi="Times New Roman" w:cs="Times New Roman" w:hint="eastAsia"/>
                <w:sz w:val="24"/>
              </w:rPr>
              <w:t>±</w:t>
            </w:r>
            <w:r>
              <w:rPr>
                <w:rFonts w:ascii="Times New Roman" w:hAnsi="Times New Roman" w:cs="Times New Roman" w:hint="eastAsia"/>
                <w:sz w:val="24"/>
              </w:rPr>
              <w:t>0.04</w:t>
            </w:r>
          </w:p>
        </w:tc>
        <w:tc>
          <w:tcPr>
            <w:tcW w:w="1701" w:type="dxa"/>
            <w:tcBorders>
              <w:top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0.53</w:t>
            </w:r>
            <w:r>
              <w:rPr>
                <w:rFonts w:ascii="Times New Roman" w:hAnsi="Times New Roman" w:cs="Times New Roman" w:hint="eastAsia"/>
                <w:sz w:val="24"/>
              </w:rPr>
              <w:t>±</w:t>
            </w:r>
            <w:r>
              <w:rPr>
                <w:rFonts w:ascii="Times New Roman" w:hAnsi="Times New Roman" w:cs="Times New Roman" w:hint="eastAsia"/>
                <w:sz w:val="24"/>
              </w:rPr>
              <w:t>0.06</w:t>
            </w:r>
          </w:p>
        </w:tc>
        <w:tc>
          <w:tcPr>
            <w:tcW w:w="1019" w:type="dxa"/>
            <w:tcBorders>
              <w:top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0.046</w:t>
            </w:r>
          </w:p>
        </w:tc>
      </w:tr>
      <w:tr w:rsidR="003D2A95">
        <w:trPr>
          <w:trHeight w:val="304"/>
          <w:jc w:val="center"/>
        </w:trPr>
        <w:tc>
          <w:tcPr>
            <w:tcW w:w="396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SDI</w:t>
            </w:r>
          </w:p>
        </w:tc>
        <w:tc>
          <w:tcPr>
            <w:tcW w:w="1701"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0.60</w:t>
            </w:r>
            <w:r>
              <w:rPr>
                <w:rFonts w:ascii="Times New Roman" w:hAnsi="Times New Roman" w:cs="Times New Roman" w:hint="eastAsia"/>
                <w:sz w:val="24"/>
              </w:rPr>
              <w:t>±</w:t>
            </w:r>
            <w:r>
              <w:rPr>
                <w:rFonts w:ascii="Times New Roman" w:hAnsi="Times New Roman" w:cs="Times New Roman" w:hint="eastAsia"/>
                <w:sz w:val="24"/>
              </w:rPr>
              <w:t>0.03</w:t>
            </w:r>
          </w:p>
        </w:tc>
        <w:tc>
          <w:tcPr>
            <w:tcW w:w="1701"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0.54</w:t>
            </w:r>
            <w:r>
              <w:rPr>
                <w:rFonts w:ascii="Times New Roman" w:hAnsi="Times New Roman" w:cs="Times New Roman" w:hint="eastAsia"/>
                <w:sz w:val="24"/>
              </w:rPr>
              <w:t>±</w:t>
            </w:r>
            <w:r>
              <w:rPr>
                <w:rFonts w:ascii="Times New Roman" w:hAnsi="Times New Roman" w:cs="Times New Roman" w:hint="eastAsia"/>
                <w:sz w:val="24"/>
              </w:rPr>
              <w:t>0.05</w:t>
            </w:r>
          </w:p>
        </w:tc>
        <w:tc>
          <w:tcPr>
            <w:tcW w:w="101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0.018</w:t>
            </w:r>
          </w:p>
        </w:tc>
      </w:tr>
      <w:tr w:rsidR="003D2A95">
        <w:trPr>
          <w:trHeight w:val="795"/>
          <w:jc w:val="center"/>
        </w:trPr>
        <w:tc>
          <w:tcPr>
            <w:tcW w:w="396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 xml:space="preserve">Soil physicochemical </w:t>
            </w:r>
            <w:r>
              <w:rPr>
                <w:rFonts w:ascii="Times New Roman" w:hAnsi="Times New Roman" w:cs="Times New Roman" w:hint="eastAsia"/>
                <w:sz w:val="24"/>
              </w:rPr>
              <w:t>properties (keystone taxa only)</w:t>
            </w:r>
          </w:p>
        </w:tc>
        <w:tc>
          <w:tcPr>
            <w:tcW w:w="1701"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0.41</w:t>
            </w:r>
            <w:r>
              <w:rPr>
                <w:rFonts w:ascii="Times New Roman" w:hAnsi="Times New Roman" w:cs="Times New Roman" w:hint="eastAsia"/>
                <w:sz w:val="24"/>
              </w:rPr>
              <w:t>±</w:t>
            </w:r>
            <w:r>
              <w:rPr>
                <w:rFonts w:ascii="Times New Roman" w:hAnsi="Times New Roman" w:cs="Times New Roman" w:hint="eastAsia"/>
                <w:sz w:val="24"/>
              </w:rPr>
              <w:t>0.03</w:t>
            </w:r>
          </w:p>
        </w:tc>
        <w:tc>
          <w:tcPr>
            <w:tcW w:w="1701"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0.09</w:t>
            </w:r>
            <w:r>
              <w:rPr>
                <w:rFonts w:ascii="Times New Roman" w:hAnsi="Times New Roman" w:cs="Times New Roman" w:hint="eastAsia"/>
                <w:sz w:val="24"/>
              </w:rPr>
              <w:t>±</w:t>
            </w:r>
            <w:r>
              <w:rPr>
                <w:rFonts w:ascii="Times New Roman" w:hAnsi="Times New Roman" w:cs="Times New Roman" w:hint="eastAsia"/>
                <w:sz w:val="24"/>
              </w:rPr>
              <w:t>0.04</w:t>
            </w:r>
          </w:p>
        </w:tc>
        <w:tc>
          <w:tcPr>
            <w:tcW w:w="101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0.02</w:t>
            </w:r>
          </w:p>
        </w:tc>
      </w:tr>
      <w:tr w:rsidR="003D2A95">
        <w:trPr>
          <w:trHeight w:val="426"/>
          <w:jc w:val="center"/>
        </w:trPr>
        <w:tc>
          <w:tcPr>
            <w:tcW w:w="396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SDI (keystone taxa only)</w:t>
            </w:r>
          </w:p>
        </w:tc>
        <w:tc>
          <w:tcPr>
            <w:tcW w:w="1701"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0.41</w:t>
            </w:r>
            <w:r>
              <w:rPr>
                <w:rFonts w:ascii="Times New Roman" w:hAnsi="Times New Roman" w:cs="Times New Roman" w:hint="eastAsia"/>
                <w:sz w:val="24"/>
              </w:rPr>
              <w:t>±</w:t>
            </w:r>
            <w:r>
              <w:rPr>
                <w:rFonts w:ascii="Times New Roman" w:hAnsi="Times New Roman" w:cs="Times New Roman" w:hint="eastAsia"/>
                <w:sz w:val="24"/>
              </w:rPr>
              <w:t>0.03</w:t>
            </w:r>
          </w:p>
        </w:tc>
        <w:tc>
          <w:tcPr>
            <w:tcW w:w="1701"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0.09</w:t>
            </w:r>
            <w:r>
              <w:rPr>
                <w:rFonts w:ascii="Times New Roman" w:hAnsi="Times New Roman" w:cs="Times New Roman" w:hint="eastAsia"/>
                <w:sz w:val="24"/>
              </w:rPr>
              <w:t>±</w:t>
            </w:r>
            <w:r>
              <w:rPr>
                <w:rFonts w:ascii="Times New Roman" w:hAnsi="Times New Roman" w:cs="Times New Roman" w:hint="eastAsia"/>
                <w:sz w:val="24"/>
              </w:rPr>
              <w:t>0.04</w:t>
            </w:r>
          </w:p>
        </w:tc>
        <w:tc>
          <w:tcPr>
            <w:tcW w:w="101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0.02</w:t>
            </w:r>
          </w:p>
        </w:tc>
      </w:tr>
      <w:tr w:rsidR="003D2A95">
        <w:trPr>
          <w:trHeight w:val="426"/>
          <w:jc w:val="center"/>
        </w:trPr>
        <w:tc>
          <w:tcPr>
            <w:tcW w:w="3969" w:type="dxa"/>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Keystone vs. full community (soil properties)</w:t>
            </w:r>
          </w:p>
        </w:tc>
        <w:tc>
          <w:tcPr>
            <w:tcW w:w="1701" w:type="dxa"/>
            <w:vAlign w:val="center"/>
          </w:tcPr>
          <w:p w:rsidR="003D2A95" w:rsidRDefault="0065308B">
            <w:pPr>
              <w:spacing w:after="0" w:line="360" w:lineRule="auto"/>
              <w:jc w:val="center"/>
              <w:rPr>
                <w:rFonts w:ascii="Times New Roman" w:hAnsi="Times New Roman" w:cs="Times New Roman"/>
                <w:sz w:val="24"/>
              </w:rPr>
            </w:pPr>
            <w:r>
              <w:rPr>
                <w:rFonts w:ascii="Times New Roman" w:hAnsi="Times New Roman" w:cs="Times New Roman" w:hint="eastAsia"/>
                <w:sz w:val="24"/>
              </w:rPr>
              <w:t>--</w:t>
            </w:r>
          </w:p>
        </w:tc>
        <w:tc>
          <w:tcPr>
            <w:tcW w:w="1701" w:type="dxa"/>
            <w:vAlign w:val="center"/>
          </w:tcPr>
          <w:p w:rsidR="003D2A95" w:rsidRDefault="0065308B">
            <w:pPr>
              <w:spacing w:after="0" w:line="360" w:lineRule="auto"/>
              <w:jc w:val="center"/>
              <w:rPr>
                <w:rFonts w:ascii="Times New Roman" w:hAnsi="Times New Roman" w:cs="Times New Roman"/>
                <w:sz w:val="24"/>
              </w:rPr>
            </w:pPr>
            <w:r>
              <w:rPr>
                <w:rFonts w:ascii="Times New Roman" w:hAnsi="Times New Roman" w:cs="Times New Roman" w:hint="eastAsia"/>
                <w:sz w:val="24"/>
              </w:rPr>
              <w:t>--</w:t>
            </w:r>
          </w:p>
        </w:tc>
        <w:tc>
          <w:tcPr>
            <w:tcW w:w="1019" w:type="dxa"/>
            <w:vAlign w:val="center"/>
          </w:tcPr>
          <w:p w:rsidR="003D2A95" w:rsidRDefault="0065308B">
            <w:pPr>
              <w:spacing w:after="0" w:line="360" w:lineRule="auto"/>
              <w:jc w:val="both"/>
              <w:rPr>
                <w:rFonts w:ascii="Times New Roman" w:hAnsi="Times New Roman" w:cs="Times New Roman"/>
                <w:sz w:val="24"/>
              </w:rPr>
            </w:pPr>
            <w:bookmarkStart w:id="5" w:name="OLE_LINK41"/>
            <w:r>
              <w:rPr>
                <w:rFonts w:ascii="Times New Roman" w:hAnsi="Times New Roman" w:cs="Times New Roman" w:hint="eastAsia"/>
                <w:sz w:val="24"/>
              </w:rPr>
              <w:t>&lt;0.001</w:t>
            </w:r>
            <w:bookmarkEnd w:id="5"/>
          </w:p>
        </w:tc>
      </w:tr>
      <w:tr w:rsidR="003D2A95">
        <w:trPr>
          <w:trHeight w:val="426"/>
          <w:jc w:val="center"/>
        </w:trPr>
        <w:tc>
          <w:tcPr>
            <w:tcW w:w="3969" w:type="dxa"/>
            <w:tcBorders>
              <w:bottom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Keystone vs. full community (SDI)</w:t>
            </w:r>
          </w:p>
        </w:tc>
        <w:tc>
          <w:tcPr>
            <w:tcW w:w="1701" w:type="dxa"/>
            <w:tcBorders>
              <w:bottom w:val="single" w:sz="4" w:space="0" w:color="auto"/>
            </w:tcBorders>
            <w:vAlign w:val="center"/>
          </w:tcPr>
          <w:p w:rsidR="003D2A95" w:rsidRDefault="0065308B">
            <w:pPr>
              <w:spacing w:after="0" w:line="360" w:lineRule="auto"/>
              <w:jc w:val="center"/>
              <w:rPr>
                <w:rFonts w:ascii="Times New Roman" w:hAnsi="Times New Roman" w:cs="Times New Roman"/>
                <w:sz w:val="24"/>
              </w:rPr>
            </w:pPr>
            <w:r>
              <w:rPr>
                <w:rFonts w:ascii="Times New Roman" w:hAnsi="Times New Roman" w:cs="Times New Roman" w:hint="eastAsia"/>
                <w:sz w:val="24"/>
              </w:rPr>
              <w:t>--</w:t>
            </w:r>
          </w:p>
        </w:tc>
        <w:tc>
          <w:tcPr>
            <w:tcW w:w="1701" w:type="dxa"/>
            <w:tcBorders>
              <w:bottom w:val="single" w:sz="4" w:space="0" w:color="auto"/>
            </w:tcBorders>
            <w:vAlign w:val="center"/>
          </w:tcPr>
          <w:p w:rsidR="003D2A95" w:rsidRDefault="0065308B">
            <w:pPr>
              <w:spacing w:after="0" w:line="360" w:lineRule="auto"/>
              <w:jc w:val="center"/>
              <w:rPr>
                <w:rFonts w:ascii="Times New Roman" w:hAnsi="Times New Roman" w:cs="Times New Roman"/>
                <w:sz w:val="24"/>
              </w:rPr>
            </w:pPr>
            <w:r>
              <w:rPr>
                <w:rFonts w:ascii="Times New Roman" w:hAnsi="Times New Roman" w:cs="Times New Roman" w:hint="eastAsia"/>
                <w:sz w:val="24"/>
              </w:rPr>
              <w:t>--</w:t>
            </w:r>
          </w:p>
        </w:tc>
        <w:tc>
          <w:tcPr>
            <w:tcW w:w="1019" w:type="dxa"/>
            <w:tcBorders>
              <w:bottom w:val="single" w:sz="4" w:space="0" w:color="auto"/>
            </w:tcBorders>
            <w:vAlign w:val="center"/>
          </w:tcPr>
          <w:p w:rsidR="003D2A95" w:rsidRDefault="0065308B">
            <w:pPr>
              <w:spacing w:after="0" w:line="360" w:lineRule="auto"/>
              <w:jc w:val="both"/>
              <w:rPr>
                <w:rFonts w:ascii="Times New Roman" w:hAnsi="Times New Roman" w:cs="Times New Roman"/>
                <w:sz w:val="24"/>
              </w:rPr>
            </w:pPr>
            <w:r>
              <w:rPr>
                <w:rFonts w:ascii="Times New Roman" w:hAnsi="Times New Roman" w:cs="Times New Roman" w:hint="eastAsia"/>
                <w:sz w:val="24"/>
              </w:rPr>
              <w:t>&lt;0.001</w:t>
            </w:r>
          </w:p>
        </w:tc>
      </w:tr>
    </w:tbl>
    <w:p w:rsidR="003D2A95" w:rsidRDefault="0065308B">
      <w:pPr>
        <w:spacing w:after="0" w:line="360" w:lineRule="auto"/>
        <w:jc w:val="both"/>
        <w:rPr>
          <w:rFonts w:ascii="Times New Roman" w:hAnsi="Times New Roman" w:cs="Times New Roman"/>
          <w:sz w:val="24"/>
        </w:rPr>
      </w:pPr>
      <w:r>
        <w:rPr>
          <w:rFonts w:ascii="Times New Roman" w:hAnsi="Times New Roman" w:cs="Times New Roman"/>
          <w:sz w:val="24"/>
        </w:rPr>
        <w:t xml:space="preserve">Note: TC, total carbon; SOC, soil </w:t>
      </w:r>
      <w:r>
        <w:rPr>
          <w:rFonts w:ascii="Times New Roman" w:hAnsi="Times New Roman" w:cs="Times New Roman"/>
          <w:sz w:val="24"/>
        </w:rPr>
        <w:t>organic carbon; TN, total nitrogen; SDI, soil degradation index.</w:t>
      </w:r>
    </w:p>
    <w:p w:rsidR="003D2A95" w:rsidRDefault="003D2A95">
      <w:pPr>
        <w:spacing w:after="0" w:line="360" w:lineRule="auto"/>
        <w:jc w:val="both"/>
        <w:rPr>
          <w:rFonts w:ascii="Times New Roman" w:hAnsi="Times New Roman" w:cs="Times New Roman"/>
          <w:b/>
          <w:bCs/>
          <w:sz w:val="24"/>
        </w:rPr>
      </w:pPr>
    </w:p>
    <w:p w:rsidR="003D2A95" w:rsidRDefault="003D2A95">
      <w:pPr>
        <w:spacing w:after="0" w:line="360" w:lineRule="auto"/>
        <w:jc w:val="both"/>
        <w:rPr>
          <w:rFonts w:ascii="Times New Roman" w:hAnsi="Times New Roman" w:cs="Times New Roman"/>
          <w:b/>
          <w:bCs/>
          <w:sz w:val="24"/>
        </w:rPr>
        <w:sectPr w:rsidR="003D2A95">
          <w:pgSz w:w="11906" w:h="16838"/>
          <w:pgMar w:top="1440" w:right="1800" w:bottom="1440" w:left="1800" w:header="851" w:footer="992" w:gutter="0"/>
          <w:lnNumType w:countBy="1" w:restart="continuous"/>
          <w:cols w:space="425"/>
          <w:docGrid w:type="lines" w:linePitch="312"/>
        </w:sectPr>
      </w:pPr>
    </w:p>
    <w:p w:rsidR="003D2A95" w:rsidRDefault="0065308B">
      <w:pPr>
        <w:spacing w:after="0" w:line="360" w:lineRule="auto"/>
        <w:jc w:val="both"/>
        <w:rPr>
          <w:rFonts w:ascii="Times New Roman" w:hAnsi="Times New Roman" w:cs="Times New Roman"/>
          <w:b/>
          <w:bCs/>
          <w:sz w:val="24"/>
        </w:rPr>
      </w:pPr>
      <w:r>
        <w:rPr>
          <w:rFonts w:ascii="Times New Roman" w:hAnsi="Times New Roman" w:cs="Times New Roman"/>
          <w:b/>
          <w:bCs/>
          <w:sz w:val="24"/>
        </w:rPr>
        <w:lastRenderedPageBreak/>
        <w:t>Table S</w:t>
      </w:r>
      <w:r>
        <w:rPr>
          <w:rFonts w:ascii="Times New Roman" w:hAnsi="Times New Roman" w:cs="Times New Roman" w:hint="eastAsia"/>
          <w:b/>
          <w:bCs/>
          <w:sz w:val="24"/>
          <w:lang w:val="en-US"/>
        </w:rPr>
        <w:t>4.</w:t>
      </w:r>
      <w:r>
        <w:rPr>
          <w:rFonts w:ascii="Times New Roman" w:hAnsi="Times New Roman" w:cs="Times New Roman"/>
          <w:sz w:val="24"/>
        </w:rPr>
        <w:t xml:space="preserve"> </w:t>
      </w:r>
      <w:r>
        <w:rPr>
          <w:rFonts w:ascii="Times New Roman" w:hAnsi="Times New Roman" w:cs="Times New Roman" w:hint="eastAsia"/>
          <w:sz w:val="24"/>
        </w:rPr>
        <w:t>Comparison of predictive performance (R</w:t>
      </w:r>
      <w:r>
        <w:rPr>
          <w:rFonts w:ascii="Times New Roman" w:hAnsi="Times New Roman" w:cs="Times New Roman" w:hint="eastAsia"/>
          <w:sz w:val="24"/>
          <w:vertAlign w:val="superscript"/>
          <w:lang w:val="en-US"/>
        </w:rPr>
        <w:t>2</w:t>
      </w:r>
      <w:r>
        <w:rPr>
          <w:rFonts w:ascii="Times New Roman" w:hAnsi="Times New Roman" w:cs="Times New Roman" w:hint="eastAsia"/>
          <w:sz w:val="24"/>
        </w:rPr>
        <w:t>) of random forest models for soil properties based on decomposer and predator groups of arthropods and nematodes.</w:t>
      </w:r>
      <w:r>
        <w:rPr>
          <w:rFonts w:ascii="Times New Roman" w:hAnsi="Times New Roman" w:cs="Times New Roman" w:hint="eastAsia"/>
          <w:sz w:val="24"/>
          <w:lang w:val="en-US"/>
        </w:rPr>
        <w:t xml:space="preserve"> </w:t>
      </w:r>
    </w:p>
    <w:tbl>
      <w:tblPr>
        <w:tblW w:w="8430" w:type="dxa"/>
        <w:jc w:val="center"/>
        <w:tblLayout w:type="fixed"/>
        <w:tblLook w:val="04A0" w:firstRow="1" w:lastRow="0" w:firstColumn="1" w:lastColumn="0" w:noHBand="0" w:noVBand="1"/>
      </w:tblPr>
      <w:tblGrid>
        <w:gridCol w:w="1515"/>
        <w:gridCol w:w="1054"/>
        <w:gridCol w:w="1163"/>
        <w:gridCol w:w="1458"/>
        <w:gridCol w:w="566"/>
        <w:gridCol w:w="1288"/>
        <w:gridCol w:w="1386"/>
      </w:tblGrid>
      <w:tr w:rsidR="003D2A95">
        <w:trPr>
          <w:trHeight w:val="272"/>
          <w:jc w:val="center"/>
        </w:trPr>
        <w:tc>
          <w:tcPr>
            <w:tcW w:w="1515" w:type="dxa"/>
            <w:vMerge w:val="restart"/>
            <w:tcBorders>
              <w:top w:val="single" w:sz="4" w:space="0" w:color="000000"/>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Factors</w:t>
            </w:r>
          </w:p>
        </w:tc>
        <w:tc>
          <w:tcPr>
            <w:tcW w:w="3675" w:type="dxa"/>
            <w:gridSpan w:val="3"/>
            <w:tcBorders>
              <w:top w:val="single" w:sz="4" w:space="0" w:color="000000"/>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Decomposers</w:t>
            </w:r>
          </w:p>
        </w:tc>
        <w:tc>
          <w:tcPr>
            <w:tcW w:w="566" w:type="dxa"/>
            <w:tcBorders>
              <w:top w:val="single" w:sz="4" w:space="0" w:color="000000"/>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2674" w:type="dxa"/>
            <w:gridSpan w:val="2"/>
            <w:tcBorders>
              <w:top w:val="single" w:sz="4" w:space="0" w:color="000000"/>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Predators</w:t>
            </w:r>
          </w:p>
        </w:tc>
      </w:tr>
      <w:tr w:rsidR="003D2A95">
        <w:trPr>
          <w:trHeight w:val="272"/>
          <w:jc w:val="center"/>
        </w:trPr>
        <w:tc>
          <w:tcPr>
            <w:tcW w:w="1515" w:type="dxa"/>
            <w:vMerge/>
            <w:tcBorders>
              <w:top w:val="single" w:sz="4" w:space="0" w:color="000000"/>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163"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R</w:t>
            </w:r>
            <w:r>
              <w:rPr>
                <w:rFonts w:ascii="Times New Roman" w:eastAsia="宋体" w:hAnsi="Times New Roman" w:cs="Times New Roman"/>
                <w:color w:val="000000"/>
                <w:kern w:val="0"/>
                <w:szCs w:val="22"/>
                <w:vertAlign w:val="superscript"/>
                <w:lang w:val="en-US" w:bidi="ar"/>
              </w:rPr>
              <w:t>2</w:t>
            </w:r>
          </w:p>
        </w:tc>
        <w:tc>
          <w:tcPr>
            <w:tcW w:w="1458"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w:t>
            </w:r>
          </w:p>
        </w:tc>
        <w:tc>
          <w:tcPr>
            <w:tcW w:w="566" w:type="dxa"/>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R</w:t>
            </w:r>
            <w:r>
              <w:rPr>
                <w:rFonts w:ascii="Times New Roman" w:eastAsia="宋体" w:hAnsi="Times New Roman" w:cs="Times New Roman"/>
                <w:color w:val="000000"/>
                <w:kern w:val="0"/>
                <w:szCs w:val="22"/>
                <w:vertAlign w:val="superscript"/>
                <w:lang w:val="en-US" w:bidi="ar"/>
              </w:rPr>
              <w:t>2</w:t>
            </w:r>
          </w:p>
        </w:tc>
        <w:tc>
          <w:tcPr>
            <w:tcW w:w="1386"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w:t>
            </w:r>
          </w:p>
        </w:tc>
      </w:tr>
      <w:tr w:rsidR="003D2A95">
        <w:trPr>
          <w:trHeight w:val="272"/>
          <w:jc w:val="center"/>
        </w:trPr>
        <w:tc>
          <w:tcPr>
            <w:tcW w:w="1515" w:type="dxa"/>
            <w:vMerge w:val="restart"/>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Arthropod</w:t>
            </w: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pH</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0.342</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0.091</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0.004</w:t>
            </w:r>
          </w:p>
        </w:tc>
      </w:tr>
      <w:tr w:rsidR="003D2A95">
        <w:trPr>
          <w:trHeight w:val="272"/>
          <w:jc w:val="center"/>
        </w:trPr>
        <w:tc>
          <w:tcPr>
            <w:tcW w:w="1515" w:type="dxa"/>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SOC</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0.278</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0.319</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272"/>
          <w:jc w:val="center"/>
        </w:trPr>
        <w:tc>
          <w:tcPr>
            <w:tcW w:w="1515" w:type="dxa"/>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TN</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0.366</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0.318</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272"/>
          <w:jc w:val="center"/>
        </w:trPr>
        <w:tc>
          <w:tcPr>
            <w:tcW w:w="1515" w:type="dxa"/>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TC</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0.282</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0.357</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272"/>
          <w:jc w:val="center"/>
        </w:trPr>
        <w:tc>
          <w:tcPr>
            <w:tcW w:w="1515" w:type="dxa"/>
            <w:vMerge w:val="restart"/>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Nematode</w:t>
            </w: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pH</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0.299</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0.010</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0.348</w:t>
            </w:r>
          </w:p>
        </w:tc>
      </w:tr>
      <w:tr w:rsidR="003D2A95">
        <w:trPr>
          <w:trHeight w:val="272"/>
          <w:jc w:val="center"/>
        </w:trPr>
        <w:tc>
          <w:tcPr>
            <w:tcW w:w="1515" w:type="dxa"/>
            <w:vMerge/>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SOC</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0.134</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0.004</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0.536</w:t>
            </w:r>
          </w:p>
        </w:tc>
      </w:tr>
      <w:tr w:rsidR="003D2A95">
        <w:trPr>
          <w:trHeight w:val="272"/>
          <w:jc w:val="center"/>
        </w:trPr>
        <w:tc>
          <w:tcPr>
            <w:tcW w:w="1515" w:type="dxa"/>
            <w:vMerge/>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TN</w:t>
            </w:r>
          </w:p>
        </w:tc>
        <w:tc>
          <w:tcPr>
            <w:tcW w:w="1163"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0.177</w:t>
            </w:r>
          </w:p>
        </w:tc>
        <w:tc>
          <w:tcPr>
            <w:tcW w:w="145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0.000</w:t>
            </w:r>
          </w:p>
        </w:tc>
        <w:tc>
          <w:tcPr>
            <w:tcW w:w="1386" w:type="dxa"/>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0.988</w:t>
            </w:r>
          </w:p>
        </w:tc>
      </w:tr>
      <w:tr w:rsidR="003D2A95">
        <w:trPr>
          <w:trHeight w:val="272"/>
          <w:jc w:val="center"/>
        </w:trPr>
        <w:tc>
          <w:tcPr>
            <w:tcW w:w="1515" w:type="dxa"/>
            <w:vMerge/>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054"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TC</w:t>
            </w:r>
          </w:p>
        </w:tc>
        <w:tc>
          <w:tcPr>
            <w:tcW w:w="1163"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0.144</w:t>
            </w:r>
          </w:p>
        </w:tc>
        <w:tc>
          <w:tcPr>
            <w:tcW w:w="1458"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566" w:type="dxa"/>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1288"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0.002</w:t>
            </w:r>
          </w:p>
        </w:tc>
        <w:tc>
          <w:tcPr>
            <w:tcW w:w="1386" w:type="dxa"/>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0.682</w:t>
            </w:r>
          </w:p>
        </w:tc>
      </w:tr>
    </w:tbl>
    <w:p w:rsidR="003D2A95" w:rsidRDefault="0065308B">
      <w:pPr>
        <w:spacing w:after="0" w:line="360" w:lineRule="auto"/>
        <w:jc w:val="both"/>
        <w:rPr>
          <w:rFonts w:ascii="Times New Roman" w:hAnsi="Times New Roman" w:cs="Times New Roman"/>
          <w:sz w:val="24"/>
        </w:rPr>
      </w:pPr>
      <w:r>
        <w:rPr>
          <w:rFonts w:ascii="Times New Roman" w:hAnsi="Times New Roman" w:cs="Times New Roman"/>
          <w:sz w:val="24"/>
        </w:rPr>
        <w:t>Note: TC, total carbon; SOC, soil organic carbon; TN, total nitrogen.</w:t>
      </w:r>
    </w:p>
    <w:p w:rsidR="003D2A95" w:rsidRDefault="003D2A95">
      <w:pPr>
        <w:spacing w:after="0" w:line="360" w:lineRule="auto"/>
        <w:jc w:val="both"/>
        <w:rPr>
          <w:rFonts w:ascii="Times New Roman" w:hAnsi="Times New Roman" w:cs="Times New Roman"/>
          <w:b/>
          <w:bCs/>
          <w:sz w:val="24"/>
        </w:rPr>
        <w:sectPr w:rsidR="003D2A95">
          <w:pgSz w:w="11906" w:h="16838"/>
          <w:pgMar w:top="1440" w:right="1800" w:bottom="1440" w:left="1800" w:header="851" w:footer="992" w:gutter="0"/>
          <w:lnNumType w:countBy="1" w:restart="continuous"/>
          <w:cols w:space="425"/>
          <w:docGrid w:type="lines" w:linePitch="312"/>
        </w:sectPr>
      </w:pPr>
    </w:p>
    <w:p w:rsidR="003D2A95" w:rsidRDefault="0065308B">
      <w:pPr>
        <w:spacing w:after="0" w:line="360" w:lineRule="auto"/>
        <w:jc w:val="both"/>
        <w:rPr>
          <w:rFonts w:ascii="Times New Roman" w:hAnsi="Times New Roman" w:cs="Times New Roman"/>
          <w:b/>
          <w:bCs/>
          <w:sz w:val="24"/>
          <w:lang w:val="en-US"/>
        </w:rPr>
      </w:pPr>
      <w:r>
        <w:rPr>
          <w:rFonts w:ascii="Times New Roman" w:hAnsi="Times New Roman" w:cs="Times New Roman" w:hint="eastAsia"/>
          <w:b/>
          <w:bCs/>
          <w:sz w:val="24"/>
          <w:lang w:val="en-US"/>
        </w:rPr>
        <w:lastRenderedPageBreak/>
        <w:t xml:space="preserve">Table S5. </w:t>
      </w:r>
      <w:r>
        <w:rPr>
          <w:rFonts w:ascii="Times New Roman" w:hAnsi="Times New Roman" w:cs="Times New Roman" w:hint="eastAsia"/>
          <w:sz w:val="24"/>
        </w:rPr>
        <w:t>Comparison of the predictive performance (R</w:t>
      </w:r>
      <w:r>
        <w:rPr>
          <w:rFonts w:ascii="Times New Roman" w:hAnsi="Times New Roman" w:cs="Times New Roman" w:hint="eastAsia"/>
          <w:sz w:val="24"/>
          <w:vertAlign w:val="superscript"/>
          <w:lang w:val="en-US"/>
        </w:rPr>
        <w:t>2</w:t>
      </w:r>
      <w:r>
        <w:rPr>
          <w:rFonts w:ascii="Times New Roman" w:hAnsi="Times New Roman" w:cs="Times New Roman" w:hint="eastAsia"/>
          <w:sz w:val="24"/>
        </w:rPr>
        <w:t xml:space="preserve">) of random forest models for soil </w:t>
      </w:r>
      <w:r>
        <w:rPr>
          <w:rFonts w:ascii="Times New Roman" w:hAnsi="Times New Roman" w:cs="Times New Roman" w:hint="eastAsia"/>
          <w:sz w:val="24"/>
        </w:rPr>
        <w:t>properties based on arthropod and nematode communities at the family and genus levels</w:t>
      </w:r>
      <w:r>
        <w:rPr>
          <w:rFonts w:ascii="Times New Roman" w:hAnsi="Times New Roman" w:cs="Times New Roman" w:hint="eastAsia"/>
          <w:sz w:val="24"/>
          <w:lang w:val="en-US"/>
        </w:rPr>
        <w:t>.</w:t>
      </w:r>
    </w:p>
    <w:tbl>
      <w:tblPr>
        <w:tblW w:w="8258" w:type="dxa"/>
        <w:tblInd w:w="93" w:type="dxa"/>
        <w:tblLook w:val="04A0" w:firstRow="1" w:lastRow="0" w:firstColumn="1" w:lastColumn="0" w:noHBand="0" w:noVBand="1"/>
      </w:tblPr>
      <w:tblGrid>
        <w:gridCol w:w="1339"/>
        <w:gridCol w:w="1107"/>
        <w:gridCol w:w="1033"/>
        <w:gridCol w:w="1532"/>
        <w:gridCol w:w="954"/>
        <w:gridCol w:w="924"/>
        <w:gridCol w:w="1369"/>
      </w:tblGrid>
      <w:tr w:rsidR="003D2A95">
        <w:trPr>
          <w:trHeight w:val="532"/>
        </w:trPr>
        <w:tc>
          <w:tcPr>
            <w:tcW w:w="1339" w:type="dxa"/>
            <w:vMerge w:val="restart"/>
            <w:tcBorders>
              <w:top w:val="single" w:sz="8" w:space="0" w:color="000000"/>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Factors</w:t>
            </w:r>
          </w:p>
        </w:tc>
        <w:tc>
          <w:tcPr>
            <w:tcW w:w="3672" w:type="dxa"/>
            <w:gridSpan w:val="3"/>
            <w:tcBorders>
              <w:top w:val="single" w:sz="8" w:space="0" w:color="000000"/>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Family</w:t>
            </w:r>
          </w:p>
        </w:tc>
        <w:tc>
          <w:tcPr>
            <w:tcW w:w="954" w:type="dxa"/>
            <w:tcBorders>
              <w:top w:val="single" w:sz="8" w:space="0" w:color="000000"/>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2293" w:type="dxa"/>
            <w:gridSpan w:val="2"/>
            <w:tcBorders>
              <w:top w:val="single" w:sz="8" w:space="0" w:color="000000"/>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Genus</w:t>
            </w:r>
          </w:p>
        </w:tc>
      </w:tr>
      <w:tr w:rsidR="003D2A95">
        <w:trPr>
          <w:trHeight w:val="532"/>
        </w:trPr>
        <w:tc>
          <w:tcPr>
            <w:tcW w:w="1339" w:type="dxa"/>
            <w:vMerge/>
            <w:tcBorders>
              <w:top w:val="single" w:sz="8" w:space="0" w:color="000000"/>
              <w:left w:val="nil"/>
              <w:bottom w:val="single" w:sz="8"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single" w:sz="8"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R</w:t>
            </w:r>
            <w:r>
              <w:rPr>
                <w:rStyle w:val="font21"/>
                <w:rFonts w:eastAsia="宋体"/>
                <w:lang w:val="en-US" w:bidi="ar"/>
              </w:rPr>
              <w:t>2</w:t>
            </w:r>
          </w:p>
        </w:tc>
        <w:tc>
          <w:tcPr>
            <w:tcW w:w="0" w:type="auto"/>
            <w:tcBorders>
              <w:top w:val="nil"/>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w:t>
            </w:r>
          </w:p>
        </w:tc>
        <w:tc>
          <w:tcPr>
            <w:tcW w:w="0" w:type="auto"/>
            <w:tcBorders>
              <w:top w:val="nil"/>
              <w:left w:val="nil"/>
              <w:bottom w:val="single" w:sz="8"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R</w:t>
            </w:r>
            <w:r>
              <w:rPr>
                <w:rStyle w:val="font21"/>
                <w:rFonts w:eastAsia="宋体"/>
                <w:lang w:val="en-US" w:bidi="ar"/>
              </w:rPr>
              <w:t>2</w:t>
            </w:r>
          </w:p>
        </w:tc>
        <w:tc>
          <w:tcPr>
            <w:tcW w:w="0" w:type="auto"/>
            <w:tcBorders>
              <w:top w:val="nil"/>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w:t>
            </w:r>
          </w:p>
        </w:tc>
      </w:tr>
      <w:tr w:rsidR="003D2A95">
        <w:trPr>
          <w:trHeight w:val="532"/>
        </w:trPr>
        <w:tc>
          <w:tcPr>
            <w:tcW w:w="0" w:type="auto"/>
            <w:vMerge w:val="restart"/>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Arthropod</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pH</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0.56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0.58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13"/>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SOC</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0.44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0.47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13"/>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TN</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0.51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0.55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13"/>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TC</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0.46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0.48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13"/>
        </w:trPr>
        <w:tc>
          <w:tcPr>
            <w:tcW w:w="0" w:type="auto"/>
            <w:vMerge w:val="restart"/>
            <w:tcBorders>
              <w:top w:val="nil"/>
              <w:left w:val="nil"/>
              <w:bottom w:val="single" w:sz="8"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Nematode</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pH</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0.32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0.29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32"/>
        </w:trPr>
        <w:tc>
          <w:tcPr>
            <w:tcW w:w="0" w:type="auto"/>
            <w:vMerge/>
            <w:tcBorders>
              <w:top w:val="nil"/>
              <w:left w:val="nil"/>
              <w:bottom w:val="single" w:sz="8"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SOC</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0.29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0.24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32"/>
        </w:trPr>
        <w:tc>
          <w:tcPr>
            <w:tcW w:w="0" w:type="auto"/>
            <w:vMerge/>
            <w:tcBorders>
              <w:top w:val="nil"/>
              <w:left w:val="nil"/>
              <w:bottom w:val="single" w:sz="8"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TN</w:t>
            </w: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0.40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nil"/>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0.29 </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r w:rsidR="003D2A95">
        <w:trPr>
          <w:trHeight w:val="552"/>
        </w:trPr>
        <w:tc>
          <w:tcPr>
            <w:tcW w:w="0" w:type="auto"/>
            <w:vMerge/>
            <w:tcBorders>
              <w:top w:val="nil"/>
              <w:left w:val="nil"/>
              <w:bottom w:val="single" w:sz="8"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TC</w:t>
            </w: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0.33 </w:t>
            </w: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c>
          <w:tcPr>
            <w:tcW w:w="0" w:type="auto"/>
            <w:tcBorders>
              <w:top w:val="nil"/>
              <w:left w:val="nil"/>
              <w:bottom w:val="single" w:sz="4" w:space="0" w:color="000000"/>
              <w:right w:val="nil"/>
            </w:tcBorders>
            <w:shd w:val="clear" w:color="auto" w:fill="auto"/>
            <w:noWrap/>
            <w:vAlign w:val="center"/>
          </w:tcPr>
          <w:p w:rsidR="003D2A95" w:rsidRDefault="003D2A95">
            <w:pPr>
              <w:jc w:val="center"/>
              <w:rPr>
                <w:rFonts w:ascii="Times New Roman" w:eastAsia="宋体" w:hAnsi="Times New Roman" w:cs="Times New Roman"/>
                <w:color w:val="000000"/>
                <w:szCs w:val="22"/>
              </w:rPr>
            </w:pP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right"/>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 xml:space="preserve">0.25 </w:t>
            </w: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Cs w:val="22"/>
              </w:rPr>
            </w:pPr>
            <w:r>
              <w:rPr>
                <w:rFonts w:ascii="Times New Roman" w:eastAsia="宋体" w:hAnsi="Times New Roman" w:cs="Times New Roman"/>
                <w:color w:val="000000"/>
                <w:kern w:val="0"/>
                <w:szCs w:val="22"/>
                <w:lang w:val="en-US" w:bidi="ar"/>
              </w:rPr>
              <w:t>&lt; 0.001</w:t>
            </w:r>
          </w:p>
        </w:tc>
      </w:tr>
    </w:tbl>
    <w:p w:rsidR="003D2A95" w:rsidRDefault="0065308B">
      <w:pPr>
        <w:spacing w:after="0" w:line="360" w:lineRule="auto"/>
        <w:jc w:val="both"/>
        <w:rPr>
          <w:rFonts w:ascii="Times New Roman" w:hAnsi="Times New Roman" w:cs="Times New Roman"/>
          <w:b/>
          <w:bCs/>
          <w:sz w:val="24"/>
        </w:rPr>
      </w:pPr>
      <w:r>
        <w:rPr>
          <w:rFonts w:ascii="Times New Roman" w:hAnsi="Times New Roman" w:cs="Times New Roman"/>
          <w:sz w:val="24"/>
        </w:rPr>
        <w:t>Note: TC, total carbon; SOC, soil organic carbon; TN, total nitrogen.</w:t>
      </w:r>
      <w:r>
        <w:rPr>
          <w:rFonts w:ascii="Times New Roman" w:hAnsi="Times New Roman" w:cs="Times New Roman"/>
          <w:b/>
          <w:bCs/>
          <w:sz w:val="24"/>
        </w:rPr>
        <w:br w:type="page"/>
      </w:r>
    </w:p>
    <w:p w:rsidR="003D2A95" w:rsidRDefault="0065308B">
      <w:pPr>
        <w:spacing w:after="0" w:line="360" w:lineRule="auto"/>
        <w:jc w:val="both"/>
        <w:rPr>
          <w:rFonts w:ascii="Times New Roman" w:hAnsi="Times New Roman" w:cs="Times New Roman"/>
          <w:sz w:val="24"/>
        </w:rPr>
      </w:pPr>
      <w:r>
        <w:rPr>
          <w:rFonts w:ascii="Times New Roman" w:hAnsi="Times New Roman" w:cs="Times New Roman"/>
          <w:b/>
          <w:bCs/>
          <w:sz w:val="24"/>
        </w:rPr>
        <w:lastRenderedPageBreak/>
        <w:t>Table S</w:t>
      </w:r>
      <w:r>
        <w:rPr>
          <w:rFonts w:ascii="Times New Roman" w:hAnsi="Times New Roman" w:cs="Times New Roman" w:hint="eastAsia"/>
          <w:b/>
          <w:bCs/>
          <w:sz w:val="24"/>
          <w:lang w:val="en-US"/>
        </w:rPr>
        <w:t>6.</w:t>
      </w:r>
      <w:r>
        <w:rPr>
          <w:rFonts w:ascii="Times New Roman" w:hAnsi="Times New Roman" w:cs="Times New Roman"/>
          <w:sz w:val="24"/>
        </w:rPr>
        <w:t xml:space="preserve"> Distribution frequency of soil health indicators. SHI-MDS, soil health index-minimum data set.</w:t>
      </w:r>
    </w:p>
    <w:tbl>
      <w:tblPr>
        <w:tblW w:w="7790" w:type="dxa"/>
        <w:jc w:val="center"/>
        <w:tblBorders>
          <w:bottom w:val="single" w:sz="4" w:space="0" w:color="auto"/>
        </w:tblBorders>
        <w:tblLook w:val="04A0" w:firstRow="1" w:lastRow="0" w:firstColumn="1" w:lastColumn="0" w:noHBand="0" w:noVBand="1"/>
      </w:tblPr>
      <w:tblGrid>
        <w:gridCol w:w="1578"/>
        <w:gridCol w:w="2449"/>
        <w:gridCol w:w="1419"/>
        <w:gridCol w:w="2344"/>
      </w:tblGrid>
      <w:tr w:rsidR="003D2A95">
        <w:trPr>
          <w:trHeight w:val="592"/>
          <w:jc w:val="center"/>
        </w:trPr>
        <w:tc>
          <w:tcPr>
            <w:tcW w:w="1578" w:type="dxa"/>
            <w:tcBorders>
              <w:top w:val="single" w:sz="4" w:space="0" w:color="auto"/>
              <w:bottom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Grade</w:t>
            </w:r>
          </w:p>
        </w:tc>
        <w:tc>
          <w:tcPr>
            <w:tcW w:w="2449" w:type="dxa"/>
            <w:tcBorders>
              <w:top w:val="single" w:sz="4" w:space="0" w:color="auto"/>
              <w:bottom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Description</w:t>
            </w:r>
          </w:p>
        </w:tc>
        <w:tc>
          <w:tcPr>
            <w:tcW w:w="1419" w:type="dxa"/>
            <w:tcBorders>
              <w:top w:val="single" w:sz="4" w:space="0" w:color="auto"/>
              <w:bottom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SHI-MDS</w:t>
            </w:r>
          </w:p>
        </w:tc>
        <w:tc>
          <w:tcPr>
            <w:tcW w:w="2344" w:type="dxa"/>
            <w:tcBorders>
              <w:top w:val="single" w:sz="4" w:space="0" w:color="auto"/>
              <w:bottom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Proportion</w:t>
            </w:r>
          </w:p>
        </w:tc>
      </w:tr>
      <w:tr w:rsidR="003D2A95">
        <w:trPr>
          <w:trHeight w:val="295"/>
          <w:jc w:val="center"/>
        </w:trPr>
        <w:tc>
          <w:tcPr>
            <w:tcW w:w="1578" w:type="dxa"/>
            <w:tcBorders>
              <w:top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I</w:t>
            </w:r>
          </w:p>
        </w:tc>
        <w:tc>
          <w:tcPr>
            <w:tcW w:w="2449" w:type="dxa"/>
            <w:tcBorders>
              <w:top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Very high</w:t>
            </w:r>
          </w:p>
        </w:tc>
        <w:tc>
          <w:tcPr>
            <w:tcW w:w="1419" w:type="dxa"/>
            <w:tcBorders>
              <w:top w:val="single" w:sz="4" w:space="0" w:color="auto"/>
            </w:tcBorders>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&gt; 0.50</w:t>
            </w:r>
          </w:p>
        </w:tc>
        <w:tc>
          <w:tcPr>
            <w:tcW w:w="2344" w:type="dxa"/>
            <w:tcBorders>
              <w:top w:val="single" w:sz="4" w:space="0" w:color="auto"/>
            </w:tcBorders>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0.67%</w:t>
            </w:r>
          </w:p>
        </w:tc>
      </w:tr>
      <w:tr w:rsidR="003D2A95">
        <w:trPr>
          <w:trHeight w:val="592"/>
          <w:jc w:val="center"/>
        </w:trPr>
        <w:tc>
          <w:tcPr>
            <w:tcW w:w="1578"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II</w:t>
            </w:r>
          </w:p>
        </w:tc>
        <w:tc>
          <w:tcPr>
            <w:tcW w:w="244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High</w:t>
            </w:r>
          </w:p>
        </w:tc>
        <w:tc>
          <w:tcPr>
            <w:tcW w:w="141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0.42 - 0.50</w:t>
            </w:r>
          </w:p>
        </w:tc>
        <w:tc>
          <w:tcPr>
            <w:tcW w:w="2344" w:type="dxa"/>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16.40%</w:t>
            </w:r>
          </w:p>
        </w:tc>
      </w:tr>
      <w:tr w:rsidR="003D2A95">
        <w:trPr>
          <w:trHeight w:val="592"/>
          <w:jc w:val="center"/>
        </w:trPr>
        <w:tc>
          <w:tcPr>
            <w:tcW w:w="1578"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III</w:t>
            </w:r>
          </w:p>
        </w:tc>
        <w:tc>
          <w:tcPr>
            <w:tcW w:w="244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Moderate</w:t>
            </w:r>
          </w:p>
        </w:tc>
        <w:tc>
          <w:tcPr>
            <w:tcW w:w="141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0.36 - 0.42</w:t>
            </w:r>
          </w:p>
        </w:tc>
        <w:tc>
          <w:tcPr>
            <w:tcW w:w="2344" w:type="dxa"/>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73.93%</w:t>
            </w:r>
          </w:p>
        </w:tc>
      </w:tr>
      <w:tr w:rsidR="003D2A95">
        <w:trPr>
          <w:trHeight w:val="592"/>
          <w:jc w:val="center"/>
        </w:trPr>
        <w:tc>
          <w:tcPr>
            <w:tcW w:w="1578"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IV</w:t>
            </w:r>
          </w:p>
        </w:tc>
        <w:tc>
          <w:tcPr>
            <w:tcW w:w="244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Low</w:t>
            </w:r>
          </w:p>
        </w:tc>
        <w:tc>
          <w:tcPr>
            <w:tcW w:w="141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0.28 - 0.36</w:t>
            </w:r>
          </w:p>
        </w:tc>
        <w:tc>
          <w:tcPr>
            <w:tcW w:w="2344" w:type="dxa"/>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7.42%</w:t>
            </w:r>
          </w:p>
        </w:tc>
      </w:tr>
      <w:tr w:rsidR="003D2A95">
        <w:trPr>
          <w:trHeight w:val="295"/>
          <w:jc w:val="center"/>
        </w:trPr>
        <w:tc>
          <w:tcPr>
            <w:tcW w:w="1578"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V</w:t>
            </w:r>
          </w:p>
        </w:tc>
        <w:tc>
          <w:tcPr>
            <w:tcW w:w="244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 xml:space="preserve">Very </w:t>
            </w:r>
            <w:r>
              <w:rPr>
                <w:rFonts w:ascii="Times New Roman" w:eastAsia="等线" w:hAnsi="Times New Roman" w:cs="Times New Roman" w:hint="eastAsia"/>
                <w:kern w:val="0"/>
                <w:sz w:val="24"/>
                <w14:ligatures w14:val="none"/>
              </w:rPr>
              <w:t>low</w:t>
            </w:r>
          </w:p>
        </w:tc>
        <w:tc>
          <w:tcPr>
            <w:tcW w:w="1419" w:type="dxa"/>
            <w:shd w:val="clear" w:color="auto" w:fill="auto"/>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w:t>
            </w:r>
            <w:r>
              <w:rPr>
                <w:rFonts w:ascii="Times New Roman" w:eastAsia="等线" w:hAnsi="Times New Roman" w:cs="Times New Roman" w:hint="eastAsia"/>
                <w:kern w:val="0"/>
                <w:sz w:val="24"/>
                <w14:ligatures w14:val="none"/>
              </w:rPr>
              <w:t xml:space="preserve"> 0.28</w:t>
            </w:r>
          </w:p>
        </w:tc>
        <w:tc>
          <w:tcPr>
            <w:tcW w:w="2344" w:type="dxa"/>
            <w:shd w:val="clear" w:color="auto" w:fill="auto"/>
            <w:noWrap/>
            <w:vAlign w:val="center"/>
          </w:tcPr>
          <w:p w:rsidR="003D2A95" w:rsidRDefault="0065308B">
            <w:pPr>
              <w:widowControl/>
              <w:spacing w:after="0" w:line="360" w:lineRule="auto"/>
              <w:jc w:val="center"/>
              <w:rPr>
                <w:rFonts w:ascii="Times New Roman" w:eastAsia="等线" w:hAnsi="Times New Roman" w:cs="Times New Roman"/>
                <w:kern w:val="0"/>
                <w:sz w:val="24"/>
                <w14:ligatures w14:val="none"/>
              </w:rPr>
            </w:pPr>
            <w:r>
              <w:rPr>
                <w:rFonts w:ascii="Times New Roman" w:eastAsia="等线" w:hAnsi="Times New Roman" w:cs="Times New Roman" w:hint="eastAsia"/>
                <w:kern w:val="0"/>
                <w:sz w:val="24"/>
                <w14:ligatures w14:val="none"/>
              </w:rPr>
              <w:t>1.57%</w:t>
            </w:r>
          </w:p>
        </w:tc>
      </w:tr>
    </w:tbl>
    <w:p w:rsidR="003D2A95" w:rsidRDefault="003D2A95">
      <w:pPr>
        <w:spacing w:after="0" w:line="360" w:lineRule="auto"/>
        <w:jc w:val="both"/>
        <w:rPr>
          <w:rFonts w:ascii="Times New Roman" w:hAnsi="Times New Roman" w:cs="Times New Roman"/>
          <w:sz w:val="24"/>
        </w:rPr>
      </w:pPr>
    </w:p>
    <w:p w:rsidR="003D2A95" w:rsidRDefault="0065308B">
      <w:pPr>
        <w:rPr>
          <w:rFonts w:ascii="Times New Roman" w:hAnsi="Times New Roman" w:cs="Times New Roman"/>
          <w:sz w:val="24"/>
        </w:rPr>
      </w:pPr>
      <w:r>
        <w:rPr>
          <w:rFonts w:ascii="Times New Roman" w:hAnsi="Times New Roman" w:cs="Times New Roman"/>
          <w:sz w:val="24"/>
        </w:rPr>
        <w:br w:type="page"/>
      </w:r>
    </w:p>
    <w:p w:rsidR="003D2A95" w:rsidRDefault="0065308B">
      <w:pPr>
        <w:spacing w:after="0" w:line="360" w:lineRule="auto"/>
        <w:jc w:val="both"/>
        <w:rPr>
          <w:rFonts w:ascii="Times New Roman" w:hAnsi="Times New Roman" w:cs="Times New Roman"/>
          <w:sz w:val="24"/>
          <w:lang w:val="en-US"/>
        </w:rPr>
      </w:pPr>
      <w:r>
        <w:rPr>
          <w:rFonts w:ascii="Times New Roman" w:hAnsi="Times New Roman" w:cs="Times New Roman"/>
          <w:b/>
          <w:bCs/>
          <w:sz w:val="24"/>
        </w:rPr>
        <w:lastRenderedPageBreak/>
        <w:t>Table S</w:t>
      </w:r>
      <w:r>
        <w:rPr>
          <w:rFonts w:ascii="Times New Roman" w:hAnsi="Times New Roman" w:cs="Times New Roman" w:hint="eastAsia"/>
          <w:b/>
          <w:bCs/>
          <w:sz w:val="24"/>
          <w:lang w:val="en-US"/>
        </w:rPr>
        <w:t>7.</w:t>
      </w:r>
      <w:r>
        <w:rPr>
          <w:rFonts w:ascii="Times New Roman" w:hAnsi="Times New Roman" w:cs="Times New Roman"/>
          <w:sz w:val="24"/>
        </w:rPr>
        <w:t xml:space="preserve"> </w:t>
      </w:r>
      <w:r>
        <w:rPr>
          <w:rFonts w:ascii="Times New Roman" w:hAnsi="Times New Roman" w:cs="Times New Roman" w:hint="eastAsia"/>
          <w:sz w:val="24"/>
        </w:rPr>
        <w:t>Comparison of predictive performance (R</w:t>
      </w:r>
      <w:r>
        <w:rPr>
          <w:rFonts w:ascii="Times New Roman" w:hAnsi="Times New Roman" w:cs="Times New Roman" w:hint="eastAsia"/>
          <w:sz w:val="24"/>
          <w:vertAlign w:val="superscript"/>
          <w:lang w:val="en-US"/>
        </w:rPr>
        <w:t>2</w:t>
      </w:r>
      <w:r>
        <w:rPr>
          <w:rFonts w:ascii="Times New Roman" w:hAnsi="Times New Roman" w:cs="Times New Roman" w:hint="eastAsia"/>
          <w:sz w:val="24"/>
        </w:rPr>
        <w:t>) of presence/absence-based arthropod and nematode models for four key soil physicochemical properties (pH, TC, SOC, TN), SDI, and SHI-MDS.</w:t>
      </w:r>
      <w:r>
        <w:rPr>
          <w:rFonts w:ascii="Times New Roman" w:hAnsi="Times New Roman" w:cs="Times New Roman" w:hint="eastAsia"/>
          <w:sz w:val="24"/>
          <w:lang w:val="en-US"/>
        </w:rPr>
        <w:t xml:space="preserve"> </w:t>
      </w:r>
    </w:p>
    <w:tbl>
      <w:tblPr>
        <w:tblW w:w="7776" w:type="dxa"/>
        <w:tblInd w:w="93" w:type="dxa"/>
        <w:tblLook w:val="04A0" w:firstRow="1" w:lastRow="0" w:firstColumn="1" w:lastColumn="0" w:noHBand="0" w:noVBand="1"/>
      </w:tblPr>
      <w:tblGrid>
        <w:gridCol w:w="3721"/>
        <w:gridCol w:w="1347"/>
        <w:gridCol w:w="1361"/>
        <w:gridCol w:w="1347"/>
      </w:tblGrid>
      <w:tr w:rsidR="003D2A95">
        <w:trPr>
          <w:trHeight w:val="270"/>
        </w:trPr>
        <w:tc>
          <w:tcPr>
            <w:tcW w:w="0" w:type="auto"/>
            <w:tcBorders>
              <w:top w:val="single" w:sz="4" w:space="0" w:color="auto"/>
              <w:left w:val="nil"/>
              <w:bottom w:val="single" w:sz="4" w:space="0" w:color="000000"/>
              <w:right w:val="nil"/>
            </w:tcBorders>
            <w:shd w:val="clear" w:color="auto" w:fill="auto"/>
            <w:noWrap/>
            <w:vAlign w:val="center"/>
          </w:tcPr>
          <w:p w:rsidR="003D2A95" w:rsidRDefault="0065308B">
            <w:pPr>
              <w:jc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Factors</w:t>
            </w:r>
          </w:p>
        </w:tc>
        <w:tc>
          <w:tcPr>
            <w:tcW w:w="0" w:type="auto"/>
            <w:tcBorders>
              <w:top w:val="single" w:sz="4" w:space="0" w:color="auto"/>
              <w:left w:val="nil"/>
              <w:bottom w:val="single" w:sz="4" w:space="0" w:color="000000"/>
              <w:right w:val="nil"/>
            </w:tcBorders>
            <w:shd w:val="clear" w:color="auto" w:fill="auto"/>
            <w:noWrap/>
            <w:vAlign w:val="center"/>
          </w:tcPr>
          <w:p w:rsidR="003D2A95" w:rsidRDefault="003D2A95">
            <w:pPr>
              <w:widowControl/>
              <w:jc w:val="center"/>
              <w:textAlignment w:val="center"/>
              <w:rPr>
                <w:rFonts w:ascii="Times New Roman" w:eastAsia="宋体" w:hAnsi="Times New Roman" w:cs="Times New Roman"/>
                <w:color w:val="000000"/>
                <w:sz w:val="24"/>
              </w:rPr>
            </w:pPr>
          </w:p>
        </w:tc>
        <w:tc>
          <w:tcPr>
            <w:tcW w:w="0" w:type="auto"/>
            <w:tcBorders>
              <w:top w:val="single" w:sz="4" w:space="0" w:color="auto"/>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Arthropod</w:t>
            </w:r>
          </w:p>
        </w:tc>
        <w:tc>
          <w:tcPr>
            <w:tcW w:w="0" w:type="auto"/>
            <w:tcBorders>
              <w:top w:val="single" w:sz="4" w:space="0" w:color="auto"/>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Nematode</w:t>
            </w:r>
          </w:p>
        </w:tc>
      </w:tr>
      <w:tr w:rsidR="003D2A95">
        <w:trPr>
          <w:trHeight w:val="270"/>
        </w:trPr>
        <w:tc>
          <w:tcPr>
            <w:tcW w:w="0" w:type="auto"/>
            <w:vMerge w:val="restart"/>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 xml:space="preserve">Soil </w:t>
            </w:r>
            <w:r>
              <w:rPr>
                <w:rFonts w:ascii="Times New Roman" w:eastAsia="宋体" w:hAnsi="Times New Roman" w:cs="Times New Roman"/>
                <w:color w:val="000000"/>
                <w:kern w:val="0"/>
                <w:sz w:val="24"/>
                <w:lang w:val="en-US" w:bidi="ar"/>
              </w:rPr>
              <w:t>Physicochemical Properties</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pH</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lang w:val="en-US"/>
              </w:rPr>
            </w:pPr>
            <w:r>
              <w:rPr>
                <w:rFonts w:ascii="Times New Roman" w:eastAsia="宋体" w:hAnsi="Times New Roman" w:cs="Times New Roman"/>
                <w:color w:val="000000"/>
                <w:kern w:val="0"/>
                <w:sz w:val="24"/>
                <w:lang w:val="en-US" w:bidi="ar"/>
              </w:rPr>
              <w:t>0.387</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0.076</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 w:val="24"/>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SOC</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0.381</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0.067</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 w:val="24"/>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TN</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0.44</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0.065</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 w:val="24"/>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TC</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0.386</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0.059</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val="restart"/>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SDI</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pH</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0.388</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0.074</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 w:val="24"/>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SOC</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0.392</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0.066</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 w:val="24"/>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TN</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0.435</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0.069</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vMerge/>
            <w:tcBorders>
              <w:top w:val="nil"/>
              <w:left w:val="nil"/>
              <w:bottom w:val="nil"/>
              <w:right w:val="nil"/>
            </w:tcBorders>
            <w:shd w:val="clear" w:color="auto" w:fill="auto"/>
            <w:noWrap/>
            <w:vAlign w:val="center"/>
          </w:tcPr>
          <w:p w:rsidR="003D2A95" w:rsidRDefault="003D2A95">
            <w:pPr>
              <w:jc w:val="center"/>
              <w:rPr>
                <w:rFonts w:ascii="Times New Roman" w:eastAsia="宋体" w:hAnsi="Times New Roman" w:cs="Times New Roman"/>
                <w:color w:val="000000"/>
                <w:sz w:val="24"/>
              </w:rPr>
            </w:pP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TC</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0.38</w:t>
            </w:r>
            <w:r>
              <w:rPr>
                <w:rFonts w:ascii="Times New Roman" w:eastAsia="宋体" w:hAnsi="Times New Roman" w:cs="Times New Roman" w:hint="eastAsia"/>
                <w:color w:val="000000"/>
                <w:kern w:val="0"/>
                <w:sz w:val="24"/>
                <w:lang w:val="en-US" w:bidi="ar"/>
              </w:rPr>
              <w:t>**</w:t>
            </w:r>
          </w:p>
        </w:tc>
        <w:tc>
          <w:tcPr>
            <w:tcW w:w="0" w:type="auto"/>
            <w:tcBorders>
              <w:top w:val="nil"/>
              <w:left w:val="nil"/>
              <w:bottom w:val="nil"/>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0.059</w:t>
            </w:r>
            <w:r>
              <w:rPr>
                <w:rFonts w:ascii="Times New Roman" w:eastAsia="宋体" w:hAnsi="Times New Roman" w:cs="Times New Roman" w:hint="eastAsia"/>
                <w:color w:val="000000"/>
                <w:kern w:val="0"/>
                <w:sz w:val="24"/>
                <w:lang w:val="en-US" w:bidi="ar"/>
              </w:rPr>
              <w:t>**</w:t>
            </w:r>
          </w:p>
        </w:tc>
      </w:tr>
      <w:tr w:rsidR="003D2A95">
        <w:trPr>
          <w:trHeight w:val="270"/>
        </w:trPr>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lang w:val="en-US"/>
              </w:rPr>
            </w:pPr>
            <w:r>
              <w:rPr>
                <w:rFonts w:ascii="Times New Roman" w:eastAsia="宋体" w:hAnsi="Times New Roman" w:cs="Times New Roman" w:hint="eastAsia"/>
                <w:color w:val="000000"/>
                <w:kern w:val="0"/>
                <w:sz w:val="24"/>
                <w:lang w:val="en-US" w:bidi="ar"/>
              </w:rPr>
              <w:t>SHI-MDS</w:t>
            </w: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rPr>
            </w:pPr>
            <w:r>
              <w:rPr>
                <w:rFonts w:ascii="Times New Roman" w:eastAsia="宋体" w:hAnsi="Times New Roman" w:cs="Times New Roman"/>
                <w:color w:val="000000"/>
                <w:kern w:val="0"/>
                <w:sz w:val="24"/>
                <w:lang w:val="en-US" w:bidi="ar"/>
              </w:rPr>
              <w:t>SHI-MDS</w:t>
            </w: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lang w:val="en-US"/>
              </w:rPr>
            </w:pPr>
            <w:r>
              <w:rPr>
                <w:rFonts w:ascii="Times New Roman" w:eastAsia="宋体" w:hAnsi="Times New Roman" w:cs="Times New Roman"/>
                <w:color w:val="000000"/>
                <w:kern w:val="0"/>
                <w:sz w:val="24"/>
                <w:lang w:val="en-US" w:bidi="ar"/>
              </w:rPr>
              <w:t>0.391</w:t>
            </w:r>
            <w:r>
              <w:rPr>
                <w:rFonts w:ascii="Times New Roman" w:eastAsia="宋体" w:hAnsi="Times New Roman" w:cs="Times New Roman" w:hint="eastAsia"/>
                <w:color w:val="000000"/>
                <w:kern w:val="0"/>
                <w:sz w:val="24"/>
                <w:lang w:val="en-US" w:bidi="ar"/>
              </w:rPr>
              <w:t>***</w:t>
            </w:r>
          </w:p>
        </w:tc>
        <w:tc>
          <w:tcPr>
            <w:tcW w:w="0" w:type="auto"/>
            <w:tcBorders>
              <w:top w:val="nil"/>
              <w:left w:val="nil"/>
              <w:bottom w:val="single" w:sz="4" w:space="0" w:color="000000"/>
              <w:right w:val="nil"/>
            </w:tcBorders>
            <w:shd w:val="clear" w:color="auto" w:fill="auto"/>
            <w:noWrap/>
            <w:vAlign w:val="center"/>
          </w:tcPr>
          <w:p w:rsidR="003D2A95" w:rsidRDefault="0065308B">
            <w:pPr>
              <w:widowControl/>
              <w:jc w:val="center"/>
              <w:textAlignment w:val="center"/>
              <w:rPr>
                <w:rFonts w:ascii="Times New Roman" w:eastAsia="宋体" w:hAnsi="Times New Roman" w:cs="Times New Roman"/>
                <w:color w:val="000000"/>
                <w:sz w:val="24"/>
                <w:lang w:val="en-US"/>
              </w:rPr>
            </w:pPr>
            <w:r>
              <w:rPr>
                <w:rFonts w:ascii="Times New Roman" w:eastAsia="宋体" w:hAnsi="Times New Roman" w:cs="Times New Roman"/>
                <w:color w:val="000000"/>
                <w:kern w:val="0"/>
                <w:sz w:val="24"/>
                <w:lang w:val="en-US" w:bidi="ar"/>
              </w:rPr>
              <w:t>0.047</w:t>
            </w:r>
            <w:r>
              <w:rPr>
                <w:rFonts w:ascii="Times New Roman" w:eastAsia="宋体" w:hAnsi="Times New Roman" w:cs="Times New Roman" w:hint="eastAsia"/>
                <w:color w:val="000000"/>
                <w:kern w:val="0"/>
                <w:sz w:val="24"/>
                <w:lang w:val="en-US" w:bidi="ar"/>
              </w:rPr>
              <w:t>***</w:t>
            </w:r>
          </w:p>
        </w:tc>
      </w:tr>
    </w:tbl>
    <w:p w:rsidR="003D2A95" w:rsidRDefault="0065308B">
      <w:pPr>
        <w:spacing w:after="0" w:line="360" w:lineRule="auto"/>
        <w:jc w:val="both"/>
        <w:rPr>
          <w:rFonts w:ascii="Times New Roman" w:hAnsi="Times New Roman" w:cs="Times New Roman"/>
          <w:sz w:val="24"/>
          <w:lang w:val="en-US"/>
        </w:rPr>
      </w:pPr>
      <w:r>
        <w:rPr>
          <w:rFonts w:ascii="Times New Roman" w:hAnsi="Times New Roman" w:cs="Times New Roman" w:hint="eastAsia"/>
          <w:sz w:val="24"/>
          <w:lang w:val="en-US"/>
        </w:rPr>
        <w:t>Note:</w:t>
      </w:r>
      <w:r>
        <w:rPr>
          <w:rFonts w:ascii="Times New Roman" w:hAnsi="Times New Roman" w:cs="Times New Roman" w:hint="eastAsia"/>
          <w:b/>
          <w:bCs/>
          <w:sz w:val="24"/>
          <w:lang w:val="en-US"/>
        </w:rPr>
        <w:t xml:space="preserve"> </w:t>
      </w:r>
      <w:r>
        <w:rPr>
          <w:rFonts w:ascii="Times New Roman" w:eastAsia="等线" w:hAnsi="Times New Roman" w:cs="Times New Roman"/>
          <w:sz w:val="24"/>
          <w:lang w:val="en-US" w:bidi="ar"/>
        </w:rPr>
        <w:t xml:space="preserve">TC, total carbon; </w:t>
      </w:r>
      <w:r>
        <w:rPr>
          <w:rFonts w:ascii="Times New Roman" w:eastAsia="等线" w:hAnsi="Times New Roman" w:cs="Times New Roman"/>
          <w:sz w:val="24"/>
          <w:lang w:val="en-US" w:bidi="ar"/>
        </w:rPr>
        <w:t>SOC, soil organic carbon; TN, total nitrogen.</w:t>
      </w:r>
      <w:r>
        <w:rPr>
          <w:rFonts w:ascii="Times New Roman" w:eastAsia="等线" w:hAnsi="Times New Roman" w:cs="Times New Roman" w:hint="eastAsia"/>
          <w:sz w:val="24"/>
          <w:lang w:val="en-US" w:bidi="ar"/>
        </w:rPr>
        <w:t xml:space="preserve"> SDI, soil degradation index; SHI-MDS, </w:t>
      </w:r>
      <w:r>
        <w:rPr>
          <w:rFonts w:ascii="Times New Roman" w:eastAsia="等线" w:hAnsi="Times New Roman" w:cs="Times New Roman"/>
          <w:sz w:val="24"/>
          <w:lang w:val="en-US" w:bidi="ar"/>
        </w:rPr>
        <w:t>soil health index-minimum data set</w:t>
      </w:r>
      <w:r>
        <w:rPr>
          <w:rFonts w:ascii="Times New Roman" w:eastAsia="等线" w:hAnsi="Times New Roman" w:cs="Times New Roman" w:hint="eastAsia"/>
          <w:sz w:val="24"/>
          <w:lang w:val="en-US" w:bidi="ar"/>
        </w:rPr>
        <w:t>. Statistical significance is indicated as follows: * p &lt; 0.05, ** p &lt; 0.01, and *** p &lt; 0.001.</w:t>
      </w:r>
    </w:p>
    <w:p w:rsidR="003D2A95" w:rsidRDefault="003D2A95">
      <w:pPr>
        <w:spacing w:after="0" w:line="360" w:lineRule="auto"/>
        <w:jc w:val="both"/>
        <w:rPr>
          <w:rFonts w:ascii="Times New Roman" w:hAnsi="Times New Roman" w:cs="Times New Roman"/>
          <w:b/>
          <w:bCs/>
          <w:sz w:val="24"/>
          <w:lang w:val="en-US"/>
        </w:rPr>
      </w:pPr>
    </w:p>
    <w:sectPr w:rsidR="003D2A95">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08B" w:rsidRDefault="0065308B">
      <w:pPr>
        <w:spacing w:line="240" w:lineRule="auto"/>
      </w:pPr>
      <w:r>
        <w:separator/>
      </w:r>
    </w:p>
  </w:endnote>
  <w:endnote w:type="continuationSeparator" w:id="0">
    <w:p w:rsidR="0065308B" w:rsidRDefault="006530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08B" w:rsidRDefault="0065308B">
      <w:pPr>
        <w:spacing w:after="0"/>
      </w:pPr>
      <w:r>
        <w:separator/>
      </w:r>
    </w:p>
  </w:footnote>
  <w:footnote w:type="continuationSeparator" w:id="0">
    <w:p w:rsidR="0065308B" w:rsidRDefault="0065308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944"/>
    <w:rsid w:val="00016908"/>
    <w:rsid w:val="00034FFA"/>
    <w:rsid w:val="00063FFA"/>
    <w:rsid w:val="00071601"/>
    <w:rsid w:val="000C205E"/>
    <w:rsid w:val="00120832"/>
    <w:rsid w:val="00184B2F"/>
    <w:rsid w:val="001B0915"/>
    <w:rsid w:val="0022212F"/>
    <w:rsid w:val="0029098E"/>
    <w:rsid w:val="00353246"/>
    <w:rsid w:val="00356763"/>
    <w:rsid w:val="003B3285"/>
    <w:rsid w:val="003D2A95"/>
    <w:rsid w:val="003D60CF"/>
    <w:rsid w:val="00421228"/>
    <w:rsid w:val="004223D4"/>
    <w:rsid w:val="004F6646"/>
    <w:rsid w:val="00526E5C"/>
    <w:rsid w:val="005E3A77"/>
    <w:rsid w:val="0065308B"/>
    <w:rsid w:val="0066479E"/>
    <w:rsid w:val="0069052B"/>
    <w:rsid w:val="007556E4"/>
    <w:rsid w:val="00760CF4"/>
    <w:rsid w:val="00787944"/>
    <w:rsid w:val="007E3687"/>
    <w:rsid w:val="0082042B"/>
    <w:rsid w:val="008571DC"/>
    <w:rsid w:val="00865B7D"/>
    <w:rsid w:val="00877B87"/>
    <w:rsid w:val="008C3E14"/>
    <w:rsid w:val="008E6CDC"/>
    <w:rsid w:val="00974BDB"/>
    <w:rsid w:val="009B1388"/>
    <w:rsid w:val="009B44B6"/>
    <w:rsid w:val="009E1C31"/>
    <w:rsid w:val="00A014BD"/>
    <w:rsid w:val="00A14C68"/>
    <w:rsid w:val="00A82E34"/>
    <w:rsid w:val="00AB1010"/>
    <w:rsid w:val="00AB773C"/>
    <w:rsid w:val="00AC6DE4"/>
    <w:rsid w:val="00AF0BE8"/>
    <w:rsid w:val="00B30EC4"/>
    <w:rsid w:val="00B57077"/>
    <w:rsid w:val="00BB5628"/>
    <w:rsid w:val="00C10827"/>
    <w:rsid w:val="00CA30AD"/>
    <w:rsid w:val="00D121AE"/>
    <w:rsid w:val="00DB411D"/>
    <w:rsid w:val="00DE0B9D"/>
    <w:rsid w:val="00DF48DB"/>
    <w:rsid w:val="00E0138F"/>
    <w:rsid w:val="00E744E2"/>
    <w:rsid w:val="00E7457E"/>
    <w:rsid w:val="00EC69EB"/>
    <w:rsid w:val="00F302D4"/>
    <w:rsid w:val="00F622F5"/>
    <w:rsid w:val="00FB32A8"/>
    <w:rsid w:val="00FE2CF4"/>
    <w:rsid w:val="00FF78C6"/>
    <w:rsid w:val="096643D8"/>
    <w:rsid w:val="195E521C"/>
    <w:rsid w:val="238166D6"/>
    <w:rsid w:val="2D2A7280"/>
    <w:rsid w:val="2EB97741"/>
    <w:rsid w:val="31BE1862"/>
    <w:rsid w:val="33316478"/>
    <w:rsid w:val="36792F63"/>
    <w:rsid w:val="374B785B"/>
    <w:rsid w:val="3A206786"/>
    <w:rsid w:val="4009491A"/>
    <w:rsid w:val="41D47EB1"/>
    <w:rsid w:val="4F566D7A"/>
    <w:rsid w:val="4FE76971"/>
    <w:rsid w:val="514C57F4"/>
    <w:rsid w:val="534C48FE"/>
    <w:rsid w:val="54D44008"/>
    <w:rsid w:val="555869E7"/>
    <w:rsid w:val="5C9F2250"/>
    <w:rsid w:val="629C7631"/>
    <w:rsid w:val="694C07AD"/>
    <w:rsid w:val="6B6A3843"/>
    <w:rsid w:val="6CE24356"/>
    <w:rsid w:val="6E6F0FA4"/>
    <w:rsid w:val="763669CA"/>
    <w:rsid w:val="77A64F39"/>
    <w:rsid w:val="787007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5DF0757-8734-43D1-AD1E-3BC7F5E7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78" w:lineRule="auto"/>
    </w:pPr>
    <w:rPr>
      <w:rFonts w:asciiTheme="minorHAnsi" w:eastAsiaTheme="minorEastAsia" w:hAnsiTheme="minorHAnsi" w:cstheme="minorBidi"/>
      <w:kern w:val="2"/>
      <w:sz w:val="22"/>
      <w:szCs w:val="24"/>
      <w:lang w:val="en-GB"/>
      <w14:ligatures w14:val="standardContextual"/>
    </w:rPr>
  </w:style>
  <w:style w:type="paragraph" w:styleId="1">
    <w:name w:val="heading 1"/>
    <w:basedOn w:val="a"/>
    <w:next w:val="a"/>
    <w:link w:val="1Char"/>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Char"/>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Char"/>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Char"/>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spacing w:line="240" w:lineRule="auto"/>
    </w:pPr>
    <w:rPr>
      <w:sz w:val="18"/>
      <w:szCs w:val="18"/>
    </w:rPr>
  </w:style>
  <w:style w:type="paragraph" w:styleId="a4">
    <w:name w:val="header"/>
    <w:basedOn w:val="a"/>
    <w:link w:val="Char0"/>
    <w:uiPriority w:val="99"/>
    <w:unhideWhenUsed/>
    <w:qFormat/>
    <w:pPr>
      <w:tabs>
        <w:tab w:val="center" w:pos="4153"/>
        <w:tab w:val="right" w:pos="8306"/>
      </w:tabs>
      <w:snapToGrid w:val="0"/>
      <w:spacing w:line="240" w:lineRule="auto"/>
      <w:jc w:val="center"/>
    </w:pPr>
    <w:rPr>
      <w:sz w:val="18"/>
      <w:szCs w:val="18"/>
    </w:rPr>
  </w:style>
  <w:style w:type="paragraph" w:styleId="a5">
    <w:name w:val="Subtitle"/>
    <w:basedOn w:val="a"/>
    <w:next w:val="a"/>
    <w:link w:val="Char1"/>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6">
    <w:name w:val="Title"/>
    <w:basedOn w:val="a"/>
    <w:next w:val="a"/>
    <w:link w:val="Char2"/>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line number"/>
    <w:basedOn w:val="a0"/>
    <w:uiPriority w:val="99"/>
    <w:semiHidden/>
    <w:unhideWhenUsed/>
    <w:qFormat/>
  </w:style>
  <w:style w:type="character" w:styleId="a9">
    <w:name w:val="Hyperlink"/>
    <w:basedOn w:val="a0"/>
    <w:uiPriority w:val="99"/>
    <w:unhideWhenUsed/>
    <w:qFormat/>
    <w:rPr>
      <w:color w:val="0563C1" w:themeColor="hyperlink"/>
      <w:u w:val="single"/>
    </w:rPr>
  </w:style>
  <w:style w:type="character" w:customStyle="1" w:styleId="1Char">
    <w:name w:val="标题 1 Char"/>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Char">
    <w:name w:val="标题 2 Char"/>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Char">
    <w:name w:val="标题 3 Char"/>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Char">
    <w:name w:val="标题 4 Char"/>
    <w:basedOn w:val="a0"/>
    <w:link w:val="4"/>
    <w:uiPriority w:val="9"/>
    <w:semiHidden/>
    <w:qFormat/>
    <w:rPr>
      <w:rFonts w:cstheme="majorBidi"/>
      <w:color w:val="2F5496" w:themeColor="accent1" w:themeShade="BF"/>
      <w:sz w:val="28"/>
      <w:szCs w:val="28"/>
    </w:rPr>
  </w:style>
  <w:style w:type="character" w:customStyle="1" w:styleId="5Char">
    <w:name w:val="标题 5 Char"/>
    <w:basedOn w:val="a0"/>
    <w:link w:val="5"/>
    <w:uiPriority w:val="9"/>
    <w:semiHidden/>
    <w:qFormat/>
    <w:rPr>
      <w:rFonts w:cstheme="majorBidi"/>
      <w:color w:val="2F5496" w:themeColor="accent1" w:themeShade="BF"/>
      <w:sz w:val="24"/>
    </w:rPr>
  </w:style>
  <w:style w:type="character" w:customStyle="1" w:styleId="6Char">
    <w:name w:val="标题 6 Char"/>
    <w:basedOn w:val="a0"/>
    <w:link w:val="6"/>
    <w:uiPriority w:val="9"/>
    <w:semiHidden/>
    <w:qFormat/>
    <w:rPr>
      <w:rFonts w:cstheme="majorBidi"/>
      <w:b/>
      <w:bCs/>
      <w:color w:val="2F5496" w:themeColor="accent1" w:themeShade="BF"/>
    </w:rPr>
  </w:style>
  <w:style w:type="character" w:customStyle="1" w:styleId="7Char">
    <w:name w:val="标题 7 Char"/>
    <w:basedOn w:val="a0"/>
    <w:link w:val="7"/>
    <w:uiPriority w:val="9"/>
    <w:semiHidden/>
    <w:qFormat/>
    <w:rPr>
      <w:rFonts w:cstheme="majorBidi"/>
      <w:b/>
      <w:bCs/>
      <w:color w:val="595959" w:themeColor="text1" w:themeTint="A6"/>
    </w:rPr>
  </w:style>
  <w:style w:type="character" w:customStyle="1" w:styleId="8Char">
    <w:name w:val="标题 8 Char"/>
    <w:basedOn w:val="a0"/>
    <w:link w:val="8"/>
    <w:uiPriority w:val="9"/>
    <w:semiHidden/>
    <w:qFormat/>
    <w:rPr>
      <w:rFonts w:cstheme="majorBidi"/>
      <w:color w:val="595959" w:themeColor="text1" w:themeTint="A6"/>
    </w:rPr>
  </w:style>
  <w:style w:type="character" w:customStyle="1" w:styleId="9Char">
    <w:name w:val="标题 9 Char"/>
    <w:basedOn w:val="a0"/>
    <w:link w:val="9"/>
    <w:uiPriority w:val="9"/>
    <w:semiHidden/>
    <w:qFormat/>
    <w:rPr>
      <w:rFonts w:eastAsiaTheme="majorEastAsia" w:cstheme="majorBidi"/>
      <w:color w:val="595959" w:themeColor="text1" w:themeTint="A6"/>
    </w:rPr>
  </w:style>
  <w:style w:type="character" w:customStyle="1" w:styleId="Char2">
    <w:name w:val="标题 Char"/>
    <w:basedOn w:val="a0"/>
    <w:link w:val="a6"/>
    <w:uiPriority w:val="10"/>
    <w:qFormat/>
    <w:rPr>
      <w:rFonts w:asciiTheme="majorHAnsi" w:eastAsiaTheme="majorEastAsia" w:hAnsiTheme="majorHAnsi" w:cstheme="majorBidi"/>
      <w:spacing w:val="-10"/>
      <w:kern w:val="28"/>
      <w:sz w:val="56"/>
      <w:szCs w:val="56"/>
    </w:rPr>
  </w:style>
  <w:style w:type="character" w:customStyle="1" w:styleId="Char1">
    <w:name w:val="副标题 Char"/>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Char3"/>
    <w:uiPriority w:val="29"/>
    <w:qFormat/>
    <w:pPr>
      <w:spacing w:before="160"/>
      <w:jc w:val="center"/>
    </w:pPr>
    <w:rPr>
      <w:i/>
      <w:iCs/>
      <w:color w:val="404040" w:themeColor="text1" w:themeTint="BF"/>
    </w:rPr>
  </w:style>
  <w:style w:type="character" w:customStyle="1" w:styleId="Char3">
    <w:name w:val="引用 Char"/>
    <w:basedOn w:val="a0"/>
    <w:link w:val="aa"/>
    <w:uiPriority w:val="29"/>
    <w:qFormat/>
    <w:rPr>
      <w:i/>
      <w:iCs/>
      <w:color w:val="404040" w:themeColor="text1" w:themeTint="BF"/>
    </w:rPr>
  </w:style>
  <w:style w:type="paragraph" w:styleId="ab">
    <w:name w:val="List Paragraph"/>
    <w:basedOn w:val="a"/>
    <w:uiPriority w:val="34"/>
    <w:qFormat/>
    <w:pPr>
      <w:ind w:left="720"/>
      <w:contextualSpacing/>
    </w:pPr>
  </w:style>
  <w:style w:type="character" w:customStyle="1" w:styleId="10">
    <w:name w:val="明显强调1"/>
    <w:basedOn w:val="a0"/>
    <w:uiPriority w:val="21"/>
    <w:qFormat/>
    <w:rPr>
      <w:i/>
      <w:iCs/>
      <w:color w:val="2F5496" w:themeColor="accent1" w:themeShade="BF"/>
    </w:rPr>
  </w:style>
  <w:style w:type="paragraph" w:styleId="ac">
    <w:name w:val="Intense Quote"/>
    <w:basedOn w:val="a"/>
    <w:next w:val="a"/>
    <w:link w:val="Char4"/>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明显引用 Char"/>
    <w:basedOn w:val="a0"/>
    <w:link w:val="ac"/>
    <w:uiPriority w:val="30"/>
    <w:qFormat/>
    <w:rPr>
      <w:i/>
      <w:iCs/>
      <w:color w:val="2F5496" w:themeColor="accent1" w:themeShade="BF"/>
    </w:rPr>
  </w:style>
  <w:style w:type="character" w:customStyle="1" w:styleId="11">
    <w:name w:val="明显参考1"/>
    <w:basedOn w:val="a0"/>
    <w:uiPriority w:val="32"/>
    <w:qFormat/>
    <w:rPr>
      <w:b/>
      <w:bCs/>
      <w:smallCaps/>
      <w:color w:val="2F5496" w:themeColor="accent1" w:themeShade="BF"/>
      <w:spacing w:val="5"/>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customStyle="1" w:styleId="12">
    <w:name w:val="修订1"/>
    <w:hidden/>
    <w:uiPriority w:val="99"/>
    <w:unhideWhenUsed/>
    <w:qFormat/>
    <w:rPr>
      <w:rFonts w:asciiTheme="minorHAnsi" w:eastAsiaTheme="minorEastAsia" w:hAnsiTheme="minorHAnsi" w:cstheme="minorBidi"/>
      <w:kern w:val="2"/>
      <w:sz w:val="22"/>
      <w:szCs w:val="24"/>
      <w14:ligatures w14:val="standardContextual"/>
    </w:rPr>
  </w:style>
  <w:style w:type="character" w:customStyle="1" w:styleId="UnresolvedMention">
    <w:name w:val="Unresolved Mention"/>
    <w:basedOn w:val="a0"/>
    <w:uiPriority w:val="99"/>
    <w:semiHidden/>
    <w:unhideWhenUsed/>
    <w:qFormat/>
    <w:rPr>
      <w:color w:val="605E5C"/>
      <w:shd w:val="clear" w:color="auto" w:fill="E1DFDD"/>
    </w:rPr>
  </w:style>
  <w:style w:type="character" w:customStyle="1" w:styleId="font21">
    <w:name w:val="font21"/>
    <w:basedOn w:val="a0"/>
    <w:rPr>
      <w:rFonts w:ascii="Times New Roman" w:hAnsi="Times New Roman" w:cs="Times New Roman" w:hint="default"/>
      <w:color w:val="000000"/>
      <w:sz w:val="22"/>
      <w:szCs w:val="22"/>
      <w:u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image" Target="media/image8.tiff"/><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image" Target="media/image7.tif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tiff"/><Relationship Id="rId5" Type="http://schemas.openxmlformats.org/officeDocument/2006/relationships/endnotes" Target="endnotes.xml"/><Relationship Id="rId15" Type="http://schemas.openxmlformats.org/officeDocument/2006/relationships/image" Target="media/image10.tiff"/><Relationship Id="rId10" Type="http://schemas.openxmlformats.org/officeDocument/2006/relationships/image" Target="media/image5.tiff"/><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image" Target="media/image9.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1494</Words>
  <Characters>8519</Characters>
  <Application>Microsoft Office Word</Application>
  <DocSecurity>0</DocSecurity>
  <Lines>70</Lines>
  <Paragraphs>19</Paragraphs>
  <ScaleCrop>false</ScaleCrop>
  <Company/>
  <LinksUpToDate>false</LinksUpToDate>
  <CharactersWithSpaces>9994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韶阳 张</dc:creator>
  <cp:lastModifiedBy>SEL</cp:lastModifiedBy>
  <cp:revision>3</cp:revision>
  <dcterms:created xsi:type="dcterms:W3CDTF">2025-06-25T07:35:00Z</dcterms:created>
  <dcterms:modified xsi:type="dcterms:W3CDTF">2026-05-15T01:12:00Z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eyJoZGlkIjoiMDVlOTExODQzY2VlYmY4MDk5MjQ5ODVjZTFmNDEzMTciLCJ1c2VySWQiOiIzMTIzNjE2NjkifQ==</vt:lpwstr>
  </property>
  <property fmtid="{D5CDD505-2E9C-101B-9397-08002B2CF9AE}" pid="3" name="KSOProductBuildVer">
    <vt:lpwstr>2052-12.1.0.25865</vt:lpwstr>
  </property>
  <property fmtid="{D5CDD505-2E9C-101B-9397-08002B2CF9AE}" pid="4" name="ICV">
    <vt:lpwstr>E9EDC3DF9AF544A3B0E6C2D64D863E77_12</vt:lpwstr>
  </property>
</Properties>
</file>