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1CB1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5"/>
      <w:r>
        <w:rPr>
          <w:rFonts w:ascii="Times New Roman" w:hAnsi="Times New Roman" w:cs="Times New Roman"/>
          <w:b/>
          <w:bCs/>
          <w:sz w:val="28"/>
          <w:szCs w:val="28"/>
        </w:rPr>
        <w:t>Supporting information for</w:t>
      </w:r>
    </w:p>
    <w:p w14:paraId="3467828F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Distinct responses of soil </w:t>
      </w:r>
      <w:r>
        <w:rPr>
          <w:rFonts w:hint="eastAsia" w:ascii="Times New Roman" w:hAnsi="Times New Roman" w:cs="Times New Roman"/>
          <w:b/>
          <w:bCs/>
          <w:sz w:val="28"/>
          <w:szCs w:val="28"/>
        </w:rPr>
        <w:t xml:space="preserve">carbon-degrading </w:t>
      </w:r>
      <w:r>
        <w:rPr>
          <w:rFonts w:ascii="Times New Roman" w:hAnsi="Times New Roman" w:cs="Times New Roman"/>
          <w:b/>
          <w:bCs/>
          <w:sz w:val="28"/>
          <w:szCs w:val="28"/>
        </w:rPr>
        <w:t>enzym</w:t>
      </w:r>
      <w:r>
        <w:rPr>
          <w:rFonts w:hint="eastAsia"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activities to warming </w:t>
      </w:r>
      <w:r>
        <w:rPr>
          <w:rFonts w:hint="eastAsia" w:ascii="Times New Roman" w:hAnsi="Times New Roman" w:cs="Times New Roman"/>
          <w:b/>
          <w:bCs/>
          <w:sz w:val="28"/>
          <w:szCs w:val="28"/>
        </w:rPr>
        <w:t>in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two alpine meadow ecosystems on the Tibetan Plateau</w:t>
      </w:r>
    </w:p>
    <w:p w14:paraId="02088A8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Running title</w:t>
      </w:r>
      <w:r>
        <w:rPr>
          <w:rFonts w:hint="eastAsia"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Soil enzyme activities in alpine grasslands under warming</w:t>
      </w:r>
    </w:p>
    <w:p w14:paraId="1CB844ED">
      <w:pPr>
        <w:spacing w:line="360" w:lineRule="auto"/>
        <w:rPr>
          <w:rFonts w:ascii="Times New Roman" w:hAnsi="Times New Roman" w:eastAsia="宋体" w:cs="Times New Roman"/>
          <w:sz w:val="24"/>
          <w:lang w:bidi="ar"/>
        </w:rPr>
      </w:pPr>
      <w:r>
        <w:rPr>
          <w:rFonts w:hint="eastAsia" w:ascii="Times New Roman" w:hAnsi="Times New Roman" w:eastAsia="宋体" w:cs="Times New Roman"/>
          <w:sz w:val="24"/>
          <w:lang w:bidi="ar"/>
        </w:rPr>
        <w:t>Xinran Wu</w:t>
      </w: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1,2</w:t>
      </w:r>
      <w:r>
        <w:rPr>
          <w:rFonts w:hint="eastAsia" w:ascii="Times New Roman" w:hAnsi="Times New Roman" w:eastAsia="宋体" w:cs="Times New Roman"/>
          <w:sz w:val="24"/>
          <w:lang w:bidi="ar"/>
        </w:rPr>
        <w:t>, Yuanrui Peng</w:t>
      </w:r>
      <w:r>
        <w:rPr>
          <w:rFonts w:hint="eastAsia" w:ascii="Times New Roman" w:hAnsi="Times New Roman" w:eastAsia="宋体" w:cs="Times New Roman"/>
          <w:sz w:val="24"/>
          <w:vertAlign w:val="superscript"/>
          <w:lang w:bidi="ar"/>
        </w:rPr>
        <w:t>1,2</w:t>
      </w:r>
      <w:r>
        <w:rPr>
          <w:rFonts w:hint="eastAsia" w:ascii="Times New Roman" w:hAnsi="Times New Roman" w:eastAsia="宋体" w:cs="Times New Roman"/>
          <w:sz w:val="24"/>
          <w:lang w:bidi="ar"/>
        </w:rPr>
        <w:t>, Tao Wang</w:t>
      </w:r>
      <w:r>
        <w:rPr>
          <w:rFonts w:hint="eastAsia" w:ascii="Times New Roman" w:hAnsi="Times New Roman" w:eastAsia="宋体" w:cs="Times New Roman"/>
          <w:sz w:val="24"/>
          <w:vertAlign w:val="superscript"/>
          <w:lang w:bidi="ar"/>
        </w:rPr>
        <w:t>1</w:t>
      </w:r>
      <w:r>
        <w:rPr>
          <w:rFonts w:hint="eastAsia" w:ascii="Times New Roman" w:hAnsi="Times New Roman" w:eastAsia="宋体" w:cs="Times New Roman"/>
          <w:sz w:val="24"/>
          <w:lang w:bidi="ar"/>
        </w:rPr>
        <w:t>, N</w:t>
      </w:r>
      <w:r>
        <w:rPr>
          <w:rFonts w:ascii="Times New Roman" w:hAnsi="Times New Roman" w:eastAsia="宋体" w:cs="Times New Roman"/>
          <w:sz w:val="24"/>
          <w:lang w:bidi="ar"/>
        </w:rPr>
        <w:t>oman Ahmad</w:t>
      </w: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3</w:t>
      </w:r>
      <w:r>
        <w:rPr>
          <w:rFonts w:hint="eastAsia" w:ascii="Times New Roman" w:hAnsi="Times New Roman" w:eastAsia="宋体" w:cs="Times New Roman"/>
          <w:sz w:val="24"/>
          <w:lang w:bidi="ar"/>
        </w:rPr>
        <w:t>, Xuesong Bai</w:t>
      </w:r>
      <w:r>
        <w:rPr>
          <w:rFonts w:hint="eastAsia" w:ascii="Times New Roman" w:hAnsi="Times New Roman" w:eastAsia="宋体" w:cs="Times New Roman"/>
          <w:sz w:val="24"/>
          <w:vertAlign w:val="superscript"/>
          <w:lang w:bidi="ar"/>
        </w:rPr>
        <w:t>1</w:t>
      </w:r>
      <w:r>
        <w:rPr>
          <w:rFonts w:hint="eastAsia" w:ascii="Times New Roman" w:hAnsi="Times New Roman" w:eastAsia="宋体" w:cs="Times New Roman"/>
          <w:sz w:val="24"/>
          <w:lang w:bidi="ar"/>
        </w:rPr>
        <w:t>, and Ruiying Chang</w:t>
      </w: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1</w:t>
      </w:r>
      <w:r>
        <w:rPr>
          <w:rFonts w:hint="eastAsia" w:ascii="Times New Roman" w:hAnsi="Times New Roman" w:eastAsia="宋体" w:cs="Times New Roman"/>
          <w:sz w:val="24"/>
          <w:vertAlign w:val="superscript"/>
          <w:lang w:bidi="ar"/>
        </w:rPr>
        <w:t>*</w:t>
      </w:r>
    </w:p>
    <w:p w14:paraId="076A1D54">
      <w:pPr>
        <w:spacing w:line="360" w:lineRule="auto"/>
        <w:rPr>
          <w:rFonts w:ascii="Times New Roman" w:hAnsi="Times New Roman" w:eastAsia="宋体" w:cs="Times New Roman"/>
          <w:sz w:val="24"/>
          <w:lang w:bidi="ar"/>
        </w:rPr>
      </w:pPr>
    </w:p>
    <w:p w14:paraId="6438FBAF">
      <w:pPr>
        <w:spacing w:line="360" w:lineRule="auto"/>
        <w:rPr>
          <w:rFonts w:ascii="Times New Roman" w:hAnsi="Times New Roman" w:eastAsia="宋体" w:cs="Times New Roman"/>
          <w:sz w:val="24"/>
          <w:lang w:bidi="ar"/>
        </w:rPr>
      </w:pP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1</w:t>
      </w:r>
      <w:r>
        <w:rPr>
          <w:rFonts w:ascii="Times New Roman" w:hAnsi="Times New Roman" w:eastAsia="宋体" w:cs="Times New Roman"/>
          <w:sz w:val="24"/>
          <w:lang w:bidi="ar"/>
        </w:rPr>
        <w:t xml:space="preserve">CAS Key Laboratory of Mountain Surface Processes and Ecological Regulation, Institute of Mountain Hazards and Environment, Chinese Academy of Sciences, Chengdu, </w:t>
      </w:r>
      <w:r>
        <w:rPr>
          <w:rFonts w:hint="eastAsia" w:ascii="Times New Roman" w:hAnsi="Times New Roman" w:eastAsia="宋体" w:cs="Times New Roman"/>
          <w:sz w:val="24"/>
          <w:lang w:bidi="ar"/>
        </w:rPr>
        <w:t xml:space="preserve">610041, </w:t>
      </w:r>
      <w:r>
        <w:rPr>
          <w:rFonts w:ascii="Times New Roman" w:hAnsi="Times New Roman" w:eastAsia="宋体" w:cs="Times New Roman"/>
          <w:sz w:val="24"/>
          <w:lang w:bidi="ar"/>
        </w:rPr>
        <w:t xml:space="preserve">China, </w:t>
      </w: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2</w:t>
      </w:r>
      <w:r>
        <w:rPr>
          <w:rFonts w:ascii="Times New Roman" w:hAnsi="Times New Roman" w:eastAsia="宋体" w:cs="Times New Roman"/>
          <w:sz w:val="24"/>
          <w:lang w:bidi="ar"/>
        </w:rPr>
        <w:t xml:space="preserve">College of Resources and Environment, University of Chinese Academy of Sciences, Beijing, </w:t>
      </w:r>
      <w:r>
        <w:rPr>
          <w:rFonts w:hint="eastAsia" w:ascii="Times New Roman" w:hAnsi="Times New Roman" w:eastAsia="宋体" w:cs="Times New Roman"/>
          <w:sz w:val="24"/>
          <w:lang w:bidi="ar"/>
        </w:rPr>
        <w:t xml:space="preserve">100049, </w:t>
      </w:r>
      <w:r>
        <w:rPr>
          <w:rFonts w:ascii="Times New Roman" w:hAnsi="Times New Roman" w:eastAsia="宋体" w:cs="Times New Roman"/>
          <w:sz w:val="24"/>
          <w:lang w:bidi="ar"/>
        </w:rPr>
        <w:t xml:space="preserve">China, </w:t>
      </w:r>
      <w:r>
        <w:rPr>
          <w:rFonts w:ascii="Times New Roman" w:hAnsi="Times New Roman" w:eastAsia="宋体" w:cs="Times New Roman"/>
          <w:sz w:val="24"/>
          <w:vertAlign w:val="superscript"/>
          <w:lang w:bidi="ar"/>
        </w:rPr>
        <w:t>3</w:t>
      </w:r>
      <w:r>
        <w:rPr>
          <w:rFonts w:ascii="Times New Roman" w:hAnsi="Times New Roman" w:eastAsia="宋体" w:cs="Times New Roman"/>
          <w:sz w:val="24"/>
          <w:lang w:bidi="ar"/>
        </w:rPr>
        <w:t>Institute of Soil and Environmental Sciences, University of Agriculture Faisalabad, Faisalabad</w:t>
      </w:r>
      <w:r>
        <w:rPr>
          <w:rFonts w:hint="eastAsia" w:ascii="Times New Roman" w:hAnsi="Times New Roman" w:eastAsia="宋体" w:cs="Times New Roman"/>
          <w:sz w:val="24"/>
          <w:lang w:bidi="ar"/>
        </w:rPr>
        <w:t>,</w:t>
      </w:r>
      <w:r>
        <w:rPr>
          <w:rFonts w:ascii="Times New Roman" w:hAnsi="Times New Roman" w:eastAsia="宋体" w:cs="Times New Roman"/>
          <w:sz w:val="24"/>
          <w:lang w:bidi="ar"/>
        </w:rPr>
        <w:t xml:space="preserve"> 38040, Pakistan</w:t>
      </w:r>
    </w:p>
    <w:p w14:paraId="4999D10A">
      <w:pPr>
        <w:spacing w:line="360" w:lineRule="auto"/>
        <w:rPr>
          <w:rFonts w:ascii="Times New Roman" w:hAnsi="Times New Roman" w:eastAsia="宋体" w:cs="Times New Roman"/>
          <w:sz w:val="24"/>
          <w:lang w:bidi="ar"/>
        </w:rPr>
      </w:pPr>
    </w:p>
    <w:p w14:paraId="791C5345">
      <w:pPr>
        <w:spacing w:line="360" w:lineRule="auto"/>
        <w:rPr>
          <w:rFonts w:ascii="Times New Roman" w:hAnsi="Times New Roman" w:eastAsia="宋体" w:cs="Times New Roman"/>
          <w:sz w:val="24"/>
          <w:lang w:bidi="ar"/>
        </w:rPr>
      </w:pPr>
      <w:r>
        <w:rPr>
          <w:rFonts w:hint="eastAsia" w:ascii="Times New Roman" w:hAnsi="Times New Roman" w:eastAsia="宋体" w:cs="Times New Roman"/>
          <w:sz w:val="24"/>
          <w:lang w:bidi="ar"/>
        </w:rPr>
        <w:t xml:space="preserve">* </w:t>
      </w:r>
      <w:r>
        <w:rPr>
          <w:rFonts w:ascii="Times New Roman" w:hAnsi="Times New Roman" w:eastAsia="宋体" w:cs="Times New Roman"/>
          <w:sz w:val="24"/>
          <w:lang w:bidi="ar"/>
        </w:rPr>
        <w:t>Corresponding author. E-mail addresses: changruiying@imde.ac.cn</w:t>
      </w:r>
    </w:p>
    <w:bookmarkEnd w:id="0"/>
    <w:p w14:paraId="7AF73820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5CD7A62">
      <w:pPr>
        <w:widowControl/>
        <w:spacing w:line="480" w:lineRule="auto"/>
        <w:jc w:val="left"/>
        <w:rPr>
          <w:rFonts w:ascii="Times New Roman" w:hAnsi="Times New Roman" w:eastAsia="宋体" w:cs="Times New Roman"/>
          <w:b/>
          <w:bCs/>
          <w:color w:val="000000"/>
          <w:kern w:val="0"/>
          <w:szCs w:val="21"/>
        </w:rPr>
      </w:pPr>
      <w:r>
        <w:rPr>
          <w:rFonts w:ascii="Times New Roman" w:hAnsi="Times New Roman" w:eastAsia="宋体" w:cs="Times New Roman"/>
          <w:b/>
          <w:bCs/>
          <w:color w:val="000000"/>
          <w:kern w:val="0"/>
          <w:szCs w:val="21"/>
        </w:rPr>
        <w:t xml:space="preserve">Contents for Supporting information:  </w:t>
      </w:r>
    </w:p>
    <w:p w14:paraId="76DCDE5C">
      <w:pPr>
        <w:widowControl/>
        <w:spacing w:line="480" w:lineRule="auto"/>
        <w:jc w:val="left"/>
        <w:rPr>
          <w:rFonts w:ascii="Times New Roman" w:hAnsi="Times New Roman" w:eastAsia="宋体" w:cs="Times New Roman"/>
          <w:color w:val="000000"/>
          <w:kern w:val="0"/>
          <w:szCs w:val="21"/>
        </w:rPr>
      </w:pPr>
      <w:r>
        <w:rPr>
          <w:rFonts w:ascii="Times New Roman" w:hAnsi="Times New Roman" w:eastAsia="宋体" w:cs="Times New Roman"/>
          <w:color w:val="000000"/>
          <w:kern w:val="0"/>
          <w:szCs w:val="21"/>
        </w:rPr>
        <w:t xml:space="preserve">including 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</w:rPr>
        <w:t>1</w:t>
      </w:r>
      <w:r>
        <w:rPr>
          <w:rFonts w:ascii="Times New Roman" w:hAnsi="Times New Roman" w:eastAsia="宋体" w:cs="Times New Roman"/>
          <w:color w:val="000000"/>
          <w:kern w:val="0"/>
          <w:szCs w:val="21"/>
        </w:rPr>
        <w:t xml:space="preserve"> supplementary table and </w:t>
      </w:r>
      <w:r>
        <w:rPr>
          <w:rFonts w:hint="eastAsia" w:ascii="Times New Roman" w:hAnsi="Times New Roman" w:eastAsia="宋体" w:cs="Times New Roman"/>
          <w:color w:val="000000"/>
          <w:kern w:val="0"/>
          <w:szCs w:val="21"/>
          <w:lang w:val="en-US" w:eastAsia="zh-CN"/>
        </w:rPr>
        <w:t>4</w:t>
      </w:r>
      <w:r>
        <w:rPr>
          <w:rFonts w:ascii="Times New Roman" w:hAnsi="Times New Roman" w:eastAsia="宋体" w:cs="Times New Roman"/>
          <w:color w:val="000000"/>
          <w:kern w:val="0"/>
          <w:szCs w:val="21"/>
        </w:rPr>
        <w:t xml:space="preserve"> supplementary figures.</w:t>
      </w:r>
    </w:p>
    <w:p w14:paraId="2EEC07B9">
      <w:pPr>
        <w:widowControl/>
        <w:spacing w:line="480" w:lineRule="auto"/>
        <w:jc w:val="left"/>
        <w:rPr>
          <w:rFonts w:ascii="Times New Roman" w:hAnsi="Times New Roman" w:eastAsia="宋体" w:cs="Times New Roman"/>
          <w:color w:val="000000"/>
          <w:kern w:val="0"/>
          <w:szCs w:val="21"/>
        </w:rPr>
      </w:pPr>
    </w:p>
    <w:p w14:paraId="5C442712">
      <w:pPr>
        <w:pageBreakBefore/>
        <w:spacing w:line="360" w:lineRule="auto"/>
        <w:rPr>
          <w:rFonts w:ascii="Times New Roman" w:hAnsi="Times New Roman" w:cs="Times New Roman"/>
          <w:szCs w:val="21"/>
        </w:rPr>
      </w:pPr>
      <w:bookmarkStart w:id="1" w:name="OLE_LINK2512"/>
      <w:bookmarkStart w:id="2" w:name="OLE_LINK2513"/>
      <w:r>
        <w:rPr>
          <w:rFonts w:ascii="Times New Roman" w:hAnsi="Times New Roman" w:cs="Times New Roman"/>
          <w:b/>
          <w:bCs/>
          <w:szCs w:val="21"/>
        </w:rPr>
        <w:t>Supplementary Table 1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Properties of 5-20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cm soils of alpine meadow and swamp meadow under different warming treatments</w:t>
      </w:r>
    </w:p>
    <w:tbl>
      <w:tblPr>
        <w:tblStyle w:val="6"/>
        <w:tblW w:w="4998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26"/>
        <w:gridCol w:w="885"/>
        <w:gridCol w:w="885"/>
        <w:gridCol w:w="884"/>
        <w:gridCol w:w="884"/>
        <w:gridCol w:w="884"/>
        <w:gridCol w:w="884"/>
        <w:gridCol w:w="884"/>
        <w:gridCol w:w="884"/>
      </w:tblGrid>
      <w:tr w14:paraId="1F64C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D9BC9F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Site</w:t>
            </w:r>
          </w:p>
        </w:tc>
        <w:tc>
          <w:tcPr>
            <w:tcW w:w="42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C9FB5D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Treatment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60FB9E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SOC</w:t>
            </w:r>
          </w:p>
          <w:p w14:paraId="145C4A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(g·kg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-1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3ADAF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DOC</w:t>
            </w:r>
          </w:p>
          <w:p w14:paraId="292EC69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(mg·kg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-1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285E70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MBC</w:t>
            </w:r>
          </w:p>
          <w:p w14:paraId="65FCAC4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(mg·kg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-1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96A8E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SWC</w:t>
            </w:r>
          </w:p>
          <w:p w14:paraId="77E1A3F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（%）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65B467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NH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bscript"/>
                <w:lang w:bidi="ar"/>
              </w:rPr>
              <w:t>4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+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-N</w:t>
            </w:r>
          </w:p>
          <w:p w14:paraId="16AA3A7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(mg·kg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-1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B9294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Fungi/Bacteria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14FD4A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pH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E9D77C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Total bacterial</w:t>
            </w:r>
          </w:p>
          <w:p w14:paraId="0A093C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(nmol·g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vertAlign w:val="superscript"/>
                <w:lang w:bidi="ar"/>
              </w:rPr>
              <w:t>-1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</w:tr>
      <w:tr w14:paraId="05525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</w:tcPr>
          <w:p w14:paraId="7763ABE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alpine meadow</w:t>
            </w:r>
          </w:p>
        </w:tc>
        <w:tc>
          <w:tcPr>
            <w:tcW w:w="42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C7766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CK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6C01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21.17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D4D8D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213.04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8EEAA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127.31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CCAD8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28.63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2A225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4.61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73EE3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0.28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87B8C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8.60 ± </w:t>
            </w:r>
          </w:p>
        </w:tc>
        <w:tc>
          <w:tcPr>
            <w:tcW w:w="519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8BEF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21.82 ± </w:t>
            </w:r>
          </w:p>
        </w:tc>
      </w:tr>
      <w:tr w14:paraId="5E46E0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431A19BD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5A4F6F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A6451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3.73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B66A0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7.50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0EC8D2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14.33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AC2D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1.81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51351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0.16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F0A79">
            <w:pPr>
              <w:widowControl/>
              <w:wordWrap w:val="0"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0.01 a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F1B09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0.14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10EC5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1.74 a </w:t>
            </w:r>
          </w:p>
        </w:tc>
      </w:tr>
      <w:tr w14:paraId="16CCB3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6026335A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8CE0C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LW3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973CE2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27.10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076BB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258.11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BD0FF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170.37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1B776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32.90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C0E5F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6.23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430102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8A804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8.01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67A90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22.76 ± </w:t>
            </w:r>
          </w:p>
        </w:tc>
      </w:tr>
      <w:tr w14:paraId="77323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46104C83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540AD6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30BE5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2.83 ab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3AAC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13.54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BABE6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64.71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282F4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1.70 ab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AB25F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2.21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C46C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94162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0.09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2302E1">
            <w:pPr>
              <w:widowControl/>
              <w:wordWrap w:val="0"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2.40 a</w:t>
            </w:r>
          </w:p>
        </w:tc>
      </w:tr>
      <w:tr w14:paraId="17ED2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5DB89363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FB25C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HW3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E594A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26.92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8444C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257.37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4E462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230.03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E710A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29.63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779F0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7.62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1BC16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0.33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D776A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8.22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0475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12.26 ± </w:t>
            </w:r>
          </w:p>
        </w:tc>
      </w:tr>
      <w:tr w14:paraId="5380B4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7FF7472A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720048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81A4E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3.95 ab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9FBDC2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15.50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F89C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9.11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956A0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2.42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10E34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1.52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D2EF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0.02 b 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2F3E2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0.08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702D2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1.63 a </w:t>
            </w:r>
          </w:p>
        </w:tc>
      </w:tr>
      <w:tr w14:paraId="351E0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0B9F4290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9444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LW6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C8FC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31.16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34FCF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423.83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D88B3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196.51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0578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36.85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0B8F0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7.59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7A81A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CC4DB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8.24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CE36E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18.67 ± </w:t>
            </w:r>
          </w:p>
        </w:tc>
      </w:tr>
      <w:tr w14:paraId="1DAEA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5CE37A80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F717F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11C55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0.93 ab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CB866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7.86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EFC5F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11.59 ab 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8A05B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0.13 ab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0B3DA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0.60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87A8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0.01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9208B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0.06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65A66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2.33 a </w:t>
            </w:r>
          </w:p>
        </w:tc>
      </w:tr>
      <w:tr w14:paraId="4E11E5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</w:tcPr>
          <w:p w14:paraId="4F9543CE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571BE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HW6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D5BC7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33.56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AB00E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393.29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4DC30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327.42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FD71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38.09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2B1DE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6.67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77952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65F41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8.20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50E94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19.72 ± </w:t>
            </w:r>
          </w:p>
        </w:tc>
      </w:tr>
      <w:tr w14:paraId="39CF5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14:paraId="1FA39BCC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9CA511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573B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2.99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E4F49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73.70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883F23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36.76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EB0C5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2.59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452B5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0.45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D6CC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61ACD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0.10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30523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3.19 a </w:t>
            </w:r>
          </w:p>
        </w:tc>
      </w:tr>
      <w:tr w14:paraId="4EAAD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215FF05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swamp meadow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55F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CK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960E2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52.54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AAC99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372.87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5556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292.30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A9B07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73.29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E4E9C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11.36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EA4C5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80856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8.28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8A45F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17.04 ± </w:t>
            </w:r>
          </w:p>
        </w:tc>
      </w:tr>
      <w:tr w14:paraId="431605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B590DB4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6F5AC6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FA5A7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14.89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6D368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105.14 a 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10AA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15.29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931C1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17.54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AA3DC7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4.27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0F2C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0.02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F97C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0.10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AFCB4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2.84 a </w:t>
            </w:r>
          </w:p>
        </w:tc>
      </w:tr>
      <w:tr w14:paraId="359EA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3EE02394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C1BC6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LW3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66B5B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58.82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56A4B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334.15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FAF6B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306.58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D8E28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57.88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77AA3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5.33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C9D0E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60256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8.18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88BBF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24.73 ± </w:t>
            </w:r>
          </w:p>
        </w:tc>
      </w:tr>
      <w:tr w14:paraId="1E7895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230F02B0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E6D835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11A8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12.72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64A75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31.18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52BD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35.54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0CD6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11.50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739AAB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0.79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014DD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0.01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14020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0.09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9EA6F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4.98 a </w:t>
            </w:r>
          </w:p>
        </w:tc>
      </w:tr>
      <w:tr w14:paraId="522B2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131E1A12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DAE94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LW6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33056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36.39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623ED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296.99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12A25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310.20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9C4D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53.87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30FD3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12.48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6E042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0.26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A27E1F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8.13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CD546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15.80 ± </w:t>
            </w:r>
          </w:p>
        </w:tc>
      </w:tr>
      <w:tr w14:paraId="0514D2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5D8661FB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69CE7A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22CE3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0.23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4D56F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13.63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F074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37.23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7B65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3.80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3B84A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1.35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5C81C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0.00 b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EBDFA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0.05 a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F0B9C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0.24 a </w:t>
            </w:r>
          </w:p>
        </w:tc>
      </w:tr>
      <w:tr w14:paraId="4F35B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ACA273F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50410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HW6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DC6D2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49.52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5484C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342.82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699B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235.63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F2D526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60.96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E7CEFA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13.00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FBFAD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0.21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D25EB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8.29 ± 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88B288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21.43 ± </w:t>
            </w:r>
          </w:p>
        </w:tc>
      </w:tr>
      <w:tr w14:paraId="71B385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19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BD1B6CE">
            <w:pPr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75EF732">
            <w:pPr>
              <w:jc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13E0465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11.03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33B5841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40.55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6B58CFC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40.84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DEE4B14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8.35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9C32C90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2.79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F91522E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0.00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50A5539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0.09 a </w:t>
            </w:r>
          </w:p>
        </w:tc>
        <w:tc>
          <w:tcPr>
            <w:tcW w:w="51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874537D">
            <w:pPr>
              <w:widowControl/>
              <w:jc w:val="right"/>
              <w:textAlignment w:val="center"/>
              <w:rPr>
                <w:rFonts w:ascii="Times New Roman" w:hAnsi="Times New Roman" w:eastAsia="宋体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 xml:space="preserve">1.45 a </w:t>
            </w:r>
          </w:p>
        </w:tc>
      </w:tr>
    </w:tbl>
    <w:p w14:paraId="0F147376">
      <w:pPr>
        <w:spacing w:line="360" w:lineRule="auto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i/>
          <w:iCs/>
          <w:szCs w:val="21"/>
        </w:rPr>
        <w:t>Notes:</w:t>
      </w:r>
      <w:r>
        <w:rPr>
          <w:rFonts w:ascii="Times New Roman" w:hAnsi="Times New Roman" w:cs="Times New Roman"/>
          <w:szCs w:val="21"/>
        </w:rPr>
        <w:t xml:space="preserve"> Values not sharing a common lowercase letter indicate a significant difference at a 0.05 level between treatments at the same depth. CK: control treatment; LW3: 3-year </w:t>
      </w:r>
      <w:r>
        <w:rPr>
          <w:rFonts w:hint="eastAsia" w:ascii="Times New Roman" w:hAnsi="Times New Roman" w:cs="Times New Roman"/>
          <w:szCs w:val="21"/>
        </w:rPr>
        <w:t xml:space="preserve">of </w:t>
      </w:r>
      <w:r>
        <w:rPr>
          <w:rFonts w:ascii="Times New Roman" w:hAnsi="Times New Roman" w:cs="Times New Roman"/>
          <w:szCs w:val="21"/>
        </w:rPr>
        <w:t>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LW6: </w:t>
      </w: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 xml:space="preserve">-year </w:t>
      </w:r>
      <w:r>
        <w:rPr>
          <w:rFonts w:hint="eastAsia" w:ascii="Times New Roman" w:hAnsi="Times New Roman" w:cs="Times New Roman"/>
          <w:szCs w:val="21"/>
        </w:rPr>
        <w:t xml:space="preserve">of </w:t>
      </w:r>
      <w:r>
        <w:rPr>
          <w:rFonts w:ascii="Times New Roman" w:hAnsi="Times New Roman" w:cs="Times New Roman"/>
          <w:szCs w:val="21"/>
        </w:rPr>
        <w:t>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HW3: 3-year </w:t>
      </w:r>
      <w:r>
        <w:rPr>
          <w:rFonts w:hint="eastAsia" w:ascii="Times New Roman" w:hAnsi="Times New Roman" w:cs="Times New Roman"/>
          <w:szCs w:val="21"/>
        </w:rPr>
        <w:t xml:space="preserve">of higher </w:t>
      </w:r>
      <w:r>
        <w:rPr>
          <w:rFonts w:ascii="Times New Roman" w:hAnsi="Times New Roman" w:cs="Times New Roman"/>
          <w:szCs w:val="21"/>
        </w:rPr>
        <w:t xml:space="preserve">warming treatment; HW6: </w:t>
      </w: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 xml:space="preserve">-year </w:t>
      </w:r>
      <w:r>
        <w:rPr>
          <w:rFonts w:hint="eastAsia" w:ascii="Times New Roman" w:hAnsi="Times New Roman" w:cs="Times New Roman"/>
          <w:szCs w:val="21"/>
        </w:rPr>
        <w:t xml:space="preserve">of higher </w:t>
      </w:r>
      <w:r>
        <w:rPr>
          <w:rFonts w:ascii="Times New Roman" w:hAnsi="Times New Roman" w:cs="Times New Roman"/>
          <w:szCs w:val="21"/>
        </w:rPr>
        <w:t>warming treatment. Data were presented as mean ± one standard error (n = 3).</w:t>
      </w:r>
    </w:p>
    <w:p w14:paraId="1E9E3D20">
      <w:pPr>
        <w:spacing w:line="360" w:lineRule="auto"/>
        <w:jc w:val="center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5324475" cy="371919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0538" cy="3723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5474E">
      <w:pPr>
        <w:spacing w:line="360" w:lineRule="auto"/>
        <w:rPr>
          <w:rFonts w:hint="eastAsia"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b/>
          <w:bCs/>
          <w:szCs w:val="21"/>
        </w:rPr>
        <w:t>Supplementary Fig. 1</w:t>
      </w:r>
      <w:r>
        <w:rPr>
          <w:rFonts w:hint="eastAsia" w:ascii="Times New Roman" w:hAnsi="Times New Roman" w:cs="Times New Roman"/>
          <w:szCs w:val="21"/>
        </w:rPr>
        <w:t xml:space="preserve"> Comparison of above-ground biomass and below-ground biomass (in the top 20 cm depth) among different treatments</w:t>
      </w:r>
      <w:r>
        <w:rPr>
          <w:rFonts w:ascii="Times New Roman" w:hAnsi="Times New Roman" w:cs="Times New Roman"/>
          <w:szCs w:val="21"/>
        </w:rPr>
        <w:t xml:space="preserve"> in the alpine meadow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(A) and swamp meadow (B)</w:t>
      </w:r>
      <w:r>
        <w:rPr>
          <w:rFonts w:hint="eastAsia" w:ascii="Times New Roman" w:hAnsi="Times New Roman" w:cs="Times New Roman"/>
          <w:szCs w:val="21"/>
        </w:rPr>
        <w:t xml:space="preserve">. Values are the means ± </w:t>
      </w:r>
      <w:r>
        <w:rPr>
          <w:rFonts w:ascii="Times New Roman" w:hAnsi="Times New Roman" w:cs="Times New Roman"/>
          <w:szCs w:val="21"/>
        </w:rPr>
        <w:t>one standard error</w:t>
      </w:r>
      <w:r>
        <w:rPr>
          <w:rFonts w:hint="eastAsia" w:ascii="Times New Roman" w:hAnsi="Times New Roman" w:cs="Times New Roman"/>
          <w:szCs w:val="21"/>
        </w:rPr>
        <w:t xml:space="preserve"> (n = 3 for each treatment). Different lowercase letters mean significant differences among different treatments in the above</w:t>
      </w:r>
      <w:r>
        <w:rPr>
          <w:rFonts w:ascii="Times New Roman" w:hAnsi="Times New Roman" w:cs="Times New Roman"/>
          <w:szCs w:val="21"/>
        </w:rPr>
        <w:t>-</w:t>
      </w:r>
      <w:r>
        <w:rPr>
          <w:rFonts w:hint="eastAsia" w:ascii="Times New Roman" w:hAnsi="Times New Roman" w:cs="Times New Roman"/>
          <w:szCs w:val="21"/>
        </w:rPr>
        <w:t>ground biomass and the below</w:t>
      </w:r>
      <w:r>
        <w:rPr>
          <w:rFonts w:ascii="Times New Roman" w:hAnsi="Times New Roman" w:cs="Times New Roman"/>
          <w:szCs w:val="21"/>
        </w:rPr>
        <w:t>-</w:t>
      </w:r>
      <w:r>
        <w:rPr>
          <w:rFonts w:hint="eastAsia" w:ascii="Times New Roman" w:hAnsi="Times New Roman" w:cs="Times New Roman"/>
          <w:szCs w:val="21"/>
        </w:rPr>
        <w:t>ground biomass.</w:t>
      </w:r>
      <w:r>
        <w:rPr>
          <w:rFonts w:ascii="Times New Roman" w:hAnsi="Times New Roman" w:cs="Times New Roman"/>
          <w:szCs w:val="21"/>
        </w:rPr>
        <w:t xml:space="preserve"> CK: control treatment; LW: 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HW: </w:t>
      </w:r>
      <w:r>
        <w:rPr>
          <w:rFonts w:hint="eastAsia" w:ascii="Times New Roman" w:hAnsi="Times New Roman" w:cs="Times New Roman"/>
          <w:szCs w:val="21"/>
        </w:rPr>
        <w:t xml:space="preserve">higher </w:t>
      </w:r>
      <w:r>
        <w:rPr>
          <w:rFonts w:ascii="Times New Roman" w:hAnsi="Times New Roman" w:cs="Times New Roman"/>
          <w:szCs w:val="21"/>
        </w:rPr>
        <w:t>warming treatment</w:t>
      </w:r>
      <w:r>
        <w:rPr>
          <w:rFonts w:hint="eastAsia" w:ascii="Times New Roman" w:hAnsi="Times New Roman" w:cs="Times New Roman"/>
          <w:szCs w:val="21"/>
        </w:rPr>
        <w:t>.</w:t>
      </w:r>
    </w:p>
    <w:p w14:paraId="610F7AF6">
      <w:pPr>
        <w:spacing w:line="360" w:lineRule="auto"/>
        <w:rPr>
          <w:rFonts w:hint="eastAsia" w:ascii="Times New Roman" w:hAnsi="Times New Roman" w:cs="Times New Roman" w:eastAsiaTheme="minorEastAsia"/>
          <w:b/>
          <w:bCs/>
          <w:sz w:val="18"/>
          <w:szCs w:val="18"/>
          <w:lang w:eastAsia="zh-CN"/>
        </w:rPr>
      </w:pPr>
      <w:r>
        <w:rPr>
          <w:rFonts w:hint="eastAsia" w:ascii="Times New Roman" w:hAnsi="Times New Roman" w:cs="Times New Roman" w:eastAsiaTheme="minorEastAsia"/>
          <w:b/>
          <w:bCs/>
          <w:sz w:val="18"/>
          <w:szCs w:val="18"/>
          <w:lang w:eastAsia="zh-CN"/>
        </w:rPr>
        <w:drawing>
          <wp:inline distT="0" distB="0" distL="114300" distR="114300">
            <wp:extent cx="5205730" cy="7700010"/>
            <wp:effectExtent l="0" t="0" r="4445" b="5715"/>
            <wp:docPr id="1" name="图片 1" descr="酶活性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酶活性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5730" cy="770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6F278">
      <w:pPr>
        <w:spacing w:line="360" w:lineRule="auto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hint="eastAsia" w:ascii="Times New Roman" w:hAnsi="Times New Roman" w:cs="Times New Roman"/>
          <w:b/>
          <w:bCs/>
          <w:szCs w:val="21"/>
        </w:rPr>
        <w:t>Supplementary Fig. 2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Soil extracellular enzyme activities in the surface (0-5 cm) and subsurface (5-20 cm) layers of alpine meadow and swamp meadow under different warming treatments</w:t>
      </w:r>
      <w:r>
        <w:rPr>
          <w:rFonts w:hint="eastAsia"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CK: control treatment; LW3: 3-year </w:t>
      </w:r>
      <w:r>
        <w:rPr>
          <w:rFonts w:hint="eastAsia" w:ascii="Times New Roman" w:hAnsi="Times New Roman" w:cs="Times New Roman"/>
          <w:szCs w:val="21"/>
        </w:rPr>
        <w:t xml:space="preserve">of </w:t>
      </w:r>
      <w:r>
        <w:rPr>
          <w:rFonts w:ascii="Times New Roman" w:hAnsi="Times New Roman" w:cs="Times New Roman"/>
          <w:szCs w:val="21"/>
        </w:rPr>
        <w:t>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LW6: </w:t>
      </w: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 xml:space="preserve">-year </w:t>
      </w:r>
      <w:r>
        <w:rPr>
          <w:rFonts w:hint="eastAsia" w:ascii="Times New Roman" w:hAnsi="Times New Roman" w:cs="Times New Roman"/>
          <w:szCs w:val="21"/>
        </w:rPr>
        <w:t xml:space="preserve">of </w:t>
      </w:r>
      <w:r>
        <w:rPr>
          <w:rFonts w:ascii="Times New Roman" w:hAnsi="Times New Roman" w:cs="Times New Roman"/>
          <w:szCs w:val="21"/>
        </w:rPr>
        <w:t>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HW3: 3-year </w:t>
      </w:r>
      <w:r>
        <w:rPr>
          <w:rFonts w:hint="eastAsia" w:ascii="Times New Roman" w:hAnsi="Times New Roman" w:cs="Times New Roman"/>
          <w:szCs w:val="21"/>
        </w:rPr>
        <w:t xml:space="preserve">of higher </w:t>
      </w:r>
      <w:r>
        <w:rPr>
          <w:rFonts w:ascii="Times New Roman" w:hAnsi="Times New Roman" w:cs="Times New Roman"/>
          <w:szCs w:val="21"/>
        </w:rPr>
        <w:t xml:space="preserve">warming treatment; HW6: </w:t>
      </w:r>
      <w:r>
        <w:rPr>
          <w:rFonts w:hint="eastAsia" w:ascii="Times New Roman" w:hAnsi="Times New Roman" w:cs="Times New Roman"/>
          <w:szCs w:val="21"/>
        </w:rPr>
        <w:t>6</w:t>
      </w:r>
      <w:r>
        <w:rPr>
          <w:rFonts w:ascii="Times New Roman" w:hAnsi="Times New Roman" w:cs="Times New Roman"/>
          <w:szCs w:val="21"/>
        </w:rPr>
        <w:t xml:space="preserve">-year </w:t>
      </w:r>
      <w:r>
        <w:rPr>
          <w:rFonts w:hint="eastAsia" w:ascii="Times New Roman" w:hAnsi="Times New Roman" w:cs="Times New Roman"/>
          <w:szCs w:val="21"/>
        </w:rPr>
        <w:t xml:space="preserve">of higher </w:t>
      </w:r>
      <w:r>
        <w:rPr>
          <w:rFonts w:ascii="Times New Roman" w:hAnsi="Times New Roman" w:cs="Times New Roman"/>
          <w:szCs w:val="21"/>
        </w:rPr>
        <w:t xml:space="preserve">warming treatment. </w:t>
      </w:r>
    </w:p>
    <w:p w14:paraId="53B1B1CB">
      <w:pPr>
        <w:spacing w:line="360" w:lineRule="auto"/>
        <w:rPr>
          <w:rFonts w:hint="eastAsia"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drawing>
          <wp:inline distT="0" distB="0" distL="0" distR="0">
            <wp:extent cx="5274310" cy="4806950"/>
            <wp:effectExtent l="0" t="0" r="2540" b="0"/>
            <wp:docPr id="20528072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80728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0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/>
          <w:b/>
          <w:bCs/>
          <w:szCs w:val="21"/>
        </w:rPr>
        <w:t xml:space="preserve">Supplementary Fig. </w:t>
      </w:r>
      <w:r>
        <w:rPr>
          <w:rFonts w:hint="eastAsia" w:ascii="Times New Roman" w:hAnsi="Times New Roman" w:cs="Times New Roman"/>
          <w:b/>
          <w:bCs/>
          <w:szCs w:val="21"/>
          <w:lang w:val="en-US" w:eastAsia="zh-CN"/>
        </w:rPr>
        <w:t>3</w:t>
      </w:r>
      <w:r>
        <w:rPr>
          <w:rFonts w:hint="eastAsia" w:ascii="Times New Roman" w:hAnsi="Times New Roman" w:cs="Times New Roman"/>
          <w:szCs w:val="21"/>
        </w:rPr>
        <w:t xml:space="preserve"> Pearson correlation between soil properties and soil carbon-degrading enzyme activities under warming in alpine meadow. </w:t>
      </w:r>
      <w:r>
        <w:rPr>
          <w:rFonts w:ascii="Times New Roman" w:hAnsi="Times New Roman" w:cs="Times New Roman"/>
          <w:szCs w:val="21"/>
        </w:rPr>
        <w:t>BG: β-1,4-glucosidase; PER: peroxidases; POX: phenol oxidase; AGB: above-ground biomass; BGB: below-ground biomass; SOC: soil organic carbon; DOC: dissolved organic carbon; MBC: microbial biomass carbon; SWC: soil water content; ST: soil temperature; NH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  <w:vertAlign w:val="superscript"/>
        </w:rPr>
        <w:t>+</w:t>
      </w:r>
      <w:r>
        <w:rPr>
          <w:rFonts w:ascii="Times New Roman" w:hAnsi="Times New Roman" w:cs="Times New Roman"/>
          <w:szCs w:val="21"/>
        </w:rPr>
        <w:t>-N: ammonium nitrogen; F/B: fungal to bacterial PLFAs ratio. *</w:t>
      </w:r>
      <w:r>
        <w:rPr>
          <w:rFonts w:hint="eastAsia" w:ascii="Times New Roman" w:hAnsi="Times New Roman" w:cs="Times New Roman"/>
          <w:szCs w:val="21"/>
        </w:rPr>
        <w:t xml:space="preserve">: </w:t>
      </w:r>
      <w:r>
        <w:rPr>
          <w:rFonts w:hint="eastAsia" w:ascii="Times New Roman" w:hAnsi="Times New Roman" w:cs="Times New Roman"/>
          <w:i/>
          <w:iCs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0.05</w:t>
      </w:r>
      <w:r>
        <w:rPr>
          <w:rFonts w:hint="eastAsia" w:ascii="Times New Roman" w:hAnsi="Times New Roman" w:cs="Times New Roman"/>
          <w:szCs w:val="21"/>
        </w:rPr>
        <w:t xml:space="preserve">; </w:t>
      </w:r>
      <w:r>
        <w:rPr>
          <w:rFonts w:ascii="Times New Roman" w:hAnsi="Times New Roman" w:cs="Times New Roman"/>
          <w:szCs w:val="21"/>
        </w:rPr>
        <w:t>**</w:t>
      </w:r>
      <w:r>
        <w:rPr>
          <w:rFonts w:hint="eastAsia" w:ascii="Times New Roman" w:hAnsi="Times New Roman" w:cs="Times New Roman"/>
          <w:szCs w:val="21"/>
        </w:rPr>
        <w:t xml:space="preserve">: </w:t>
      </w:r>
      <w:r>
        <w:rPr>
          <w:rFonts w:hint="eastAsia" w:ascii="Times New Roman" w:hAnsi="Times New Roman" w:cs="Times New Roman"/>
          <w:i/>
          <w:iCs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</w:t>
      </w:r>
      <w:r>
        <w:rPr>
          <w:rFonts w:hint="eastAsia" w:ascii="Times New Roman" w:hAnsi="Times New Roman" w:cs="Times New Roman"/>
          <w:szCs w:val="21"/>
        </w:rPr>
        <w:t xml:space="preserve">1; </w:t>
      </w:r>
      <w:r>
        <w:rPr>
          <w:rFonts w:ascii="Times New Roman" w:hAnsi="Times New Roman" w:cs="Times New Roman"/>
          <w:szCs w:val="21"/>
        </w:rPr>
        <w:t>***</w:t>
      </w:r>
      <w:r>
        <w:rPr>
          <w:rFonts w:hint="eastAsia" w:ascii="Times New Roman" w:hAnsi="Times New Roman" w:cs="Times New Roman"/>
          <w:szCs w:val="21"/>
        </w:rPr>
        <w:t>:</w:t>
      </w:r>
      <w:r>
        <w:rPr>
          <w:rFonts w:hint="eastAsia" w:ascii="Times New Roman" w:hAnsi="Times New Roman" w:cs="Times New Roman"/>
          <w:i/>
          <w:iCs/>
          <w:szCs w:val="21"/>
        </w:rPr>
        <w:t xml:space="preserve"> p</w:t>
      </w:r>
      <w:r>
        <w:rPr>
          <w:rFonts w:ascii="Times New Roman" w:hAnsi="Times New Roman" w:cs="Times New Roman"/>
          <w:szCs w:val="21"/>
        </w:rPr>
        <w:t xml:space="preserve"> &lt; 0.0</w:t>
      </w:r>
      <w:r>
        <w:rPr>
          <w:rFonts w:hint="eastAsia" w:ascii="Times New Roman" w:hAnsi="Times New Roman" w:cs="Times New Roman"/>
          <w:szCs w:val="21"/>
        </w:rPr>
        <w:t>0</w:t>
      </w:r>
      <w:r>
        <w:rPr>
          <w:rFonts w:ascii="Times New Roman" w:hAnsi="Times New Roman" w:cs="Times New Roman"/>
          <w:szCs w:val="21"/>
        </w:rPr>
        <w:t>5</w:t>
      </w:r>
      <w:r>
        <w:rPr>
          <w:rFonts w:hint="eastAsia" w:ascii="Times New Roman" w:hAnsi="Times New Roman" w:cs="Times New Roman"/>
          <w:szCs w:val="21"/>
        </w:rPr>
        <w:t>.</w:t>
      </w:r>
    </w:p>
    <w:p w14:paraId="55798074">
      <w:pPr>
        <w:spacing w:line="360" w:lineRule="auto"/>
        <w:rPr>
          <w:rFonts w:hint="eastAsia"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drawing>
          <wp:inline distT="0" distB="0" distL="0" distR="0">
            <wp:extent cx="5274310" cy="4780280"/>
            <wp:effectExtent l="0" t="0" r="2540" b="1270"/>
            <wp:docPr id="138692075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920753" name="图片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8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/>
          <w:b/>
          <w:bCs/>
          <w:szCs w:val="21"/>
        </w:rPr>
        <w:t xml:space="preserve">Supplementary Fig. </w:t>
      </w:r>
      <w:r>
        <w:rPr>
          <w:rFonts w:hint="eastAsia" w:ascii="Times New Roman" w:hAnsi="Times New Roman" w:cs="Times New Roman"/>
          <w:b/>
          <w:bCs/>
          <w:szCs w:val="21"/>
          <w:lang w:val="en-US" w:eastAsia="zh-CN"/>
        </w:rPr>
        <w:t>4</w:t>
      </w:r>
      <w:r>
        <w:rPr>
          <w:rFonts w:hint="eastAsia" w:ascii="Times New Roman" w:hAnsi="Times New Roman" w:cs="Times New Roman"/>
          <w:szCs w:val="21"/>
        </w:rPr>
        <w:t xml:space="preserve"> Pearson correlation between soil properties and soil carbon-degrading enzyme activities under warming in swamp meadow. </w:t>
      </w:r>
      <w:r>
        <w:rPr>
          <w:rFonts w:ascii="Times New Roman" w:hAnsi="Times New Roman" w:cs="Times New Roman"/>
          <w:szCs w:val="21"/>
        </w:rPr>
        <w:t>BG: β-1,4-glucosidase; PER: peroxidases; POX: phenol oxidase; AGB: above-ground biomass; BGB: below-ground biomass; SOC: soil organic carbon; DOC: dissolved organic carbon; MBC: microbial biomass carbon; SWC: soil water content; ST: soil temperature; NH</w:t>
      </w:r>
      <w:r>
        <w:rPr>
          <w:rFonts w:ascii="Times New Roman" w:hAnsi="Times New Roman" w:cs="Times New Roman"/>
          <w:szCs w:val="21"/>
          <w:vertAlign w:val="subscript"/>
        </w:rPr>
        <w:t>4</w:t>
      </w:r>
      <w:r>
        <w:rPr>
          <w:rFonts w:ascii="Times New Roman" w:hAnsi="Times New Roman" w:cs="Times New Roman"/>
          <w:szCs w:val="21"/>
          <w:vertAlign w:val="superscript"/>
        </w:rPr>
        <w:t>+</w:t>
      </w:r>
      <w:r>
        <w:rPr>
          <w:rFonts w:ascii="Times New Roman" w:hAnsi="Times New Roman" w:cs="Times New Roman"/>
          <w:szCs w:val="21"/>
        </w:rPr>
        <w:t>-N: ammonium nitrogen; F/B: fungal to bacterial PLFAs ratio. *</w:t>
      </w:r>
      <w:r>
        <w:rPr>
          <w:rFonts w:hint="eastAsia" w:ascii="Times New Roman" w:hAnsi="Times New Roman" w:cs="Times New Roman"/>
          <w:szCs w:val="21"/>
        </w:rPr>
        <w:t xml:space="preserve">: </w:t>
      </w:r>
      <w:r>
        <w:rPr>
          <w:rFonts w:hint="eastAsia" w:ascii="Times New Roman" w:hAnsi="Times New Roman" w:cs="Times New Roman"/>
          <w:i/>
          <w:iCs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0.05</w:t>
      </w:r>
      <w:r>
        <w:rPr>
          <w:rFonts w:hint="eastAsia" w:ascii="Times New Roman" w:hAnsi="Times New Roman" w:cs="Times New Roman"/>
          <w:szCs w:val="21"/>
        </w:rPr>
        <w:t xml:space="preserve">; </w:t>
      </w:r>
      <w:r>
        <w:rPr>
          <w:rFonts w:ascii="Times New Roman" w:hAnsi="Times New Roman" w:cs="Times New Roman"/>
          <w:szCs w:val="21"/>
        </w:rPr>
        <w:t>**</w:t>
      </w:r>
      <w:r>
        <w:rPr>
          <w:rFonts w:hint="eastAsia" w:ascii="Times New Roman" w:hAnsi="Times New Roman" w:cs="Times New Roman"/>
          <w:szCs w:val="21"/>
        </w:rPr>
        <w:t xml:space="preserve">: </w:t>
      </w:r>
      <w:r>
        <w:rPr>
          <w:rFonts w:hint="eastAsia" w:ascii="Times New Roman" w:hAnsi="Times New Roman" w:cs="Times New Roman"/>
          <w:i/>
          <w:iCs/>
          <w:szCs w:val="21"/>
        </w:rPr>
        <w:t>p</w:t>
      </w:r>
      <w:r>
        <w:rPr>
          <w:rFonts w:ascii="Times New Roman" w:hAnsi="Times New Roman" w:cs="Times New Roman"/>
          <w:szCs w:val="21"/>
        </w:rPr>
        <w:t xml:space="preserve"> &lt; 0.0</w:t>
      </w:r>
      <w:r>
        <w:rPr>
          <w:rFonts w:hint="eastAsia" w:ascii="Times New Roman" w:hAnsi="Times New Roman" w:cs="Times New Roman"/>
          <w:szCs w:val="21"/>
        </w:rPr>
        <w:t xml:space="preserve">1; </w:t>
      </w:r>
      <w:r>
        <w:rPr>
          <w:rFonts w:ascii="Times New Roman" w:hAnsi="Times New Roman" w:cs="Times New Roman"/>
          <w:szCs w:val="21"/>
        </w:rPr>
        <w:t>***</w:t>
      </w:r>
      <w:r>
        <w:rPr>
          <w:rFonts w:hint="eastAsia" w:ascii="Times New Roman" w:hAnsi="Times New Roman" w:cs="Times New Roman"/>
          <w:szCs w:val="21"/>
        </w:rPr>
        <w:t>:</w:t>
      </w:r>
      <w:r>
        <w:rPr>
          <w:rFonts w:hint="eastAsia" w:ascii="Times New Roman" w:hAnsi="Times New Roman" w:cs="Times New Roman"/>
          <w:i/>
          <w:iCs/>
          <w:szCs w:val="21"/>
        </w:rPr>
        <w:t xml:space="preserve"> p</w:t>
      </w:r>
      <w:r>
        <w:rPr>
          <w:rFonts w:ascii="Times New Roman" w:hAnsi="Times New Roman" w:cs="Times New Roman"/>
          <w:szCs w:val="21"/>
        </w:rPr>
        <w:t xml:space="preserve"> &lt; 0.0</w:t>
      </w:r>
      <w:r>
        <w:rPr>
          <w:rFonts w:hint="eastAsia" w:ascii="Times New Roman" w:hAnsi="Times New Roman" w:cs="Times New Roman"/>
          <w:szCs w:val="21"/>
        </w:rPr>
        <w:t>0</w:t>
      </w:r>
      <w:r>
        <w:rPr>
          <w:rFonts w:ascii="Times New Roman" w:hAnsi="Times New Roman" w:cs="Times New Roman"/>
          <w:szCs w:val="21"/>
        </w:rPr>
        <w:t>5</w:t>
      </w:r>
      <w:r>
        <w:rPr>
          <w:rFonts w:hint="eastAsia" w:ascii="Times New Roman" w:hAnsi="Times New Roman" w:cs="Times New Roman"/>
          <w:szCs w:val="21"/>
        </w:rPr>
        <w:t>.</w:t>
      </w:r>
      <w:bookmarkEnd w:id="1"/>
      <w:bookmarkEnd w:id="2"/>
    </w:p>
    <w:p w14:paraId="341A6A1F">
      <w:pPr>
        <w:spacing w:line="360" w:lineRule="auto"/>
        <w:jc w:val="center"/>
        <w:rPr>
          <w:rFonts w:hint="eastAsia" w:ascii="Times New Roman" w:hAnsi="Times New Roman" w:cs="Times New Roman" w:eastAsiaTheme="minorEastAsia"/>
          <w:szCs w:val="21"/>
          <w:lang w:eastAsia="zh-CN"/>
        </w:rPr>
      </w:pPr>
      <w:r>
        <w:rPr>
          <w:rFonts w:hint="eastAsia" w:ascii="Times New Roman" w:hAnsi="Times New Roman" w:cs="Times New Roman" w:eastAsiaTheme="minorEastAsia"/>
          <w:szCs w:val="21"/>
          <w:lang w:eastAsia="zh-CN"/>
        </w:rPr>
        <w:drawing>
          <wp:inline distT="0" distB="0" distL="114300" distR="114300">
            <wp:extent cx="4396740" cy="4199255"/>
            <wp:effectExtent l="0" t="0" r="3810" b="1270"/>
            <wp:docPr id="2" name="图片 2" descr="respi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respiration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674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E4E6D">
      <w:pPr>
        <w:spacing w:line="360" w:lineRule="auto"/>
        <w:rPr>
          <w:rFonts w:hint="eastAsia" w:ascii="Times New Roman" w:hAnsi="Times New Roman" w:cs="Times New Roman" w:eastAsiaTheme="minorEastAsia"/>
          <w:szCs w:val="21"/>
          <w:lang w:eastAsia="zh-CN"/>
        </w:rPr>
      </w:pPr>
      <w:r>
        <w:rPr>
          <w:rFonts w:hint="eastAsia" w:ascii="Times New Roman" w:hAnsi="Times New Roman" w:cs="Times New Roman"/>
          <w:b/>
          <w:bCs/>
          <w:szCs w:val="21"/>
        </w:rPr>
        <w:t xml:space="preserve">Supplementary Fig. </w:t>
      </w:r>
      <w:r>
        <w:rPr>
          <w:rFonts w:hint="eastAsia" w:ascii="Times New Roman" w:hAnsi="Times New Roman" w:cs="Times New Roman"/>
          <w:b/>
          <w:bCs/>
          <w:szCs w:val="21"/>
          <w:lang w:val="en-US" w:eastAsia="zh-CN"/>
        </w:rPr>
        <w:t>5</w:t>
      </w:r>
      <w:r>
        <w:rPr>
          <w:rFonts w:hint="eastAsia"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 xml:space="preserve">Soil </w:t>
      </w:r>
      <w:r>
        <w:rPr>
          <w:rFonts w:hint="eastAsia" w:ascii="Times New Roman" w:hAnsi="Times New Roman" w:cs="Times New Roman"/>
          <w:szCs w:val="21"/>
        </w:rPr>
        <w:t>respiration</w:t>
      </w:r>
      <w:r>
        <w:rPr>
          <w:rFonts w:ascii="Times New Roman" w:hAnsi="Times New Roman" w:cs="Times New Roman"/>
          <w:szCs w:val="21"/>
        </w:rPr>
        <w:t xml:space="preserve"> of alpine meadow and swamp meadow under different warming treatments</w:t>
      </w:r>
      <w:r>
        <w:rPr>
          <w:rFonts w:hint="eastAsia" w:ascii="Times New Roman" w:hAnsi="Times New Roman" w:cs="Times New Roman"/>
          <w:szCs w:val="21"/>
        </w:rPr>
        <w:t>.</w:t>
      </w:r>
      <w:r>
        <w:rPr>
          <w:rFonts w:hint="eastAsia" w:ascii="Times New Roman" w:hAnsi="Times New Roman" w:cs="Times New Roman"/>
          <w:szCs w:val="21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szCs w:val="21"/>
        </w:rPr>
        <w:t xml:space="preserve">Different lowercase letters mean significant differences among different treatments in </w:t>
      </w:r>
      <w:r>
        <w:rPr>
          <w:rFonts w:hint="eastAsia" w:ascii="Times New Roman" w:hAnsi="Times New Roman" w:cs="Times New Roman"/>
          <w:szCs w:val="21"/>
          <w:lang w:val="en-US" w:eastAsia="zh-CN"/>
        </w:rPr>
        <w:t>s</w:t>
      </w:r>
      <w:r>
        <w:rPr>
          <w:rFonts w:ascii="Times New Roman" w:hAnsi="Times New Roman" w:cs="Times New Roman"/>
          <w:szCs w:val="21"/>
        </w:rPr>
        <w:t xml:space="preserve">oil </w:t>
      </w:r>
      <w:r>
        <w:rPr>
          <w:rFonts w:hint="eastAsia" w:ascii="Times New Roman" w:hAnsi="Times New Roman" w:cs="Times New Roman"/>
          <w:szCs w:val="21"/>
        </w:rPr>
        <w:t>respirati</w:t>
      </w:r>
      <w:bookmarkStart w:id="3" w:name="_GoBack"/>
      <w:bookmarkEnd w:id="3"/>
      <w:r>
        <w:rPr>
          <w:rFonts w:hint="eastAsia" w:ascii="Times New Roman" w:hAnsi="Times New Roman" w:cs="Times New Roman"/>
          <w:szCs w:val="21"/>
        </w:rPr>
        <w:t>on.</w:t>
      </w:r>
      <w:r>
        <w:rPr>
          <w:rFonts w:ascii="Times New Roman" w:hAnsi="Times New Roman" w:cs="Times New Roman"/>
          <w:szCs w:val="21"/>
        </w:rPr>
        <w:t xml:space="preserve"> CK: control treatment; LW: low</w:t>
      </w:r>
      <w:r>
        <w:rPr>
          <w:rFonts w:hint="eastAsia" w:ascii="Times New Roman" w:hAnsi="Times New Roman" w:cs="Times New Roman"/>
          <w:szCs w:val="21"/>
        </w:rPr>
        <w:t xml:space="preserve">er </w:t>
      </w:r>
      <w:r>
        <w:rPr>
          <w:rFonts w:ascii="Times New Roman" w:hAnsi="Times New Roman" w:cs="Times New Roman"/>
          <w:szCs w:val="21"/>
        </w:rPr>
        <w:t xml:space="preserve">warming treatment; HW: </w:t>
      </w:r>
      <w:r>
        <w:rPr>
          <w:rFonts w:hint="eastAsia" w:ascii="Times New Roman" w:hAnsi="Times New Roman" w:cs="Times New Roman"/>
          <w:szCs w:val="21"/>
        </w:rPr>
        <w:t xml:space="preserve">higher </w:t>
      </w:r>
      <w:r>
        <w:rPr>
          <w:rFonts w:ascii="Times New Roman" w:hAnsi="Times New Roman" w:cs="Times New Roman"/>
          <w:szCs w:val="21"/>
        </w:rPr>
        <w:t>warming treatment</w:t>
      </w:r>
      <w:r>
        <w:rPr>
          <w:rFonts w:hint="eastAsia" w:ascii="Times New Roman" w:hAnsi="Times New Roman" w:cs="Times New Roman"/>
          <w:szCs w:val="21"/>
        </w:rPr>
        <w:t>.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6712316"/>
      <w:docPartObj>
        <w:docPartGallery w:val="autotext"/>
      </w:docPartObj>
    </w:sdtPr>
    <w:sdtEndPr>
      <w:rPr>
        <w:rFonts w:ascii="Times New Roman" w:hAnsi="Times New Roman" w:cs="Times New Roman"/>
      </w:rPr>
    </w:sdtEndPr>
    <w:sdtContent>
      <w:p w14:paraId="13DF1280">
        <w:pPr>
          <w:pStyle w:val="3"/>
          <w:ind w:firstLine="420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t>S</w:t>
        </w: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lang w:val="zh-CN"/>
          </w:rPr>
          <w:t>2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703F0342">
    <w:pPr>
      <w:pStyle w:val="3"/>
      <w:rPr>
        <w:rFonts w:ascii="Times New Roman" w:hAnsi="Times New Roman" w:cs="Times New Roma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A3ODk1ODg1NjliNjNiYzNmYzQyMTVlYmUyYjI4MTcifQ=="/>
  </w:docVars>
  <w:rsids>
    <w:rsidRoot w:val="00BF06AF"/>
    <w:rsid w:val="0000559C"/>
    <w:rsid w:val="00005B13"/>
    <w:rsid w:val="00013EB3"/>
    <w:rsid w:val="000215B2"/>
    <w:rsid w:val="0002447F"/>
    <w:rsid w:val="00025134"/>
    <w:rsid w:val="000374EB"/>
    <w:rsid w:val="00043982"/>
    <w:rsid w:val="00043F2F"/>
    <w:rsid w:val="00052174"/>
    <w:rsid w:val="00070620"/>
    <w:rsid w:val="00070A87"/>
    <w:rsid w:val="000A70BA"/>
    <w:rsid w:val="000B337C"/>
    <w:rsid w:val="000B4F17"/>
    <w:rsid w:val="000C6448"/>
    <w:rsid w:val="000F0AF9"/>
    <w:rsid w:val="001101A7"/>
    <w:rsid w:val="00112595"/>
    <w:rsid w:val="00115C72"/>
    <w:rsid w:val="001316F1"/>
    <w:rsid w:val="00141372"/>
    <w:rsid w:val="001836A8"/>
    <w:rsid w:val="001B3BC8"/>
    <w:rsid w:val="001B6508"/>
    <w:rsid w:val="001C4A0D"/>
    <w:rsid w:val="001D2DF2"/>
    <w:rsid w:val="001D7D31"/>
    <w:rsid w:val="001E046E"/>
    <w:rsid w:val="001E329A"/>
    <w:rsid w:val="001E5BD6"/>
    <w:rsid w:val="001F27CB"/>
    <w:rsid w:val="00205017"/>
    <w:rsid w:val="002060B1"/>
    <w:rsid w:val="0022025B"/>
    <w:rsid w:val="00234E7D"/>
    <w:rsid w:val="00260F02"/>
    <w:rsid w:val="00264723"/>
    <w:rsid w:val="00265222"/>
    <w:rsid w:val="002668C0"/>
    <w:rsid w:val="00296C26"/>
    <w:rsid w:val="002B1295"/>
    <w:rsid w:val="002B376C"/>
    <w:rsid w:val="002C4012"/>
    <w:rsid w:val="00305B7D"/>
    <w:rsid w:val="00307B6C"/>
    <w:rsid w:val="00316EA5"/>
    <w:rsid w:val="003250C5"/>
    <w:rsid w:val="003534F9"/>
    <w:rsid w:val="00354B78"/>
    <w:rsid w:val="003575DD"/>
    <w:rsid w:val="00362A7E"/>
    <w:rsid w:val="003649A2"/>
    <w:rsid w:val="00365417"/>
    <w:rsid w:val="00372F49"/>
    <w:rsid w:val="00377880"/>
    <w:rsid w:val="003A47DB"/>
    <w:rsid w:val="003C3D85"/>
    <w:rsid w:val="003D70D7"/>
    <w:rsid w:val="003E762A"/>
    <w:rsid w:val="003F4974"/>
    <w:rsid w:val="00424FE9"/>
    <w:rsid w:val="00425244"/>
    <w:rsid w:val="0043084F"/>
    <w:rsid w:val="004547B5"/>
    <w:rsid w:val="0046207C"/>
    <w:rsid w:val="00465F7A"/>
    <w:rsid w:val="0049671A"/>
    <w:rsid w:val="004C38D8"/>
    <w:rsid w:val="004D78D1"/>
    <w:rsid w:val="004E7A5C"/>
    <w:rsid w:val="004F34A5"/>
    <w:rsid w:val="005159D1"/>
    <w:rsid w:val="005331DD"/>
    <w:rsid w:val="00533893"/>
    <w:rsid w:val="00542385"/>
    <w:rsid w:val="00547455"/>
    <w:rsid w:val="005675D1"/>
    <w:rsid w:val="0057034D"/>
    <w:rsid w:val="005759BC"/>
    <w:rsid w:val="005A4E7D"/>
    <w:rsid w:val="005A7193"/>
    <w:rsid w:val="005C1542"/>
    <w:rsid w:val="005D0383"/>
    <w:rsid w:val="005D1748"/>
    <w:rsid w:val="005D36D6"/>
    <w:rsid w:val="005E0F2C"/>
    <w:rsid w:val="005E76D5"/>
    <w:rsid w:val="005F6FEB"/>
    <w:rsid w:val="006221FF"/>
    <w:rsid w:val="00624731"/>
    <w:rsid w:val="00636060"/>
    <w:rsid w:val="00637159"/>
    <w:rsid w:val="0065107F"/>
    <w:rsid w:val="00654E37"/>
    <w:rsid w:val="00660532"/>
    <w:rsid w:val="00661CE3"/>
    <w:rsid w:val="00675CDD"/>
    <w:rsid w:val="00692267"/>
    <w:rsid w:val="00697B4F"/>
    <w:rsid w:val="00697F70"/>
    <w:rsid w:val="006A4F8C"/>
    <w:rsid w:val="006A6F28"/>
    <w:rsid w:val="006A79CB"/>
    <w:rsid w:val="006B4213"/>
    <w:rsid w:val="006D0F14"/>
    <w:rsid w:val="006D2A50"/>
    <w:rsid w:val="006D33DC"/>
    <w:rsid w:val="006D476F"/>
    <w:rsid w:val="006D7D1B"/>
    <w:rsid w:val="006E0893"/>
    <w:rsid w:val="006F7792"/>
    <w:rsid w:val="007050D6"/>
    <w:rsid w:val="00706B35"/>
    <w:rsid w:val="0071186D"/>
    <w:rsid w:val="0074001A"/>
    <w:rsid w:val="00752FDA"/>
    <w:rsid w:val="0075434F"/>
    <w:rsid w:val="007621AB"/>
    <w:rsid w:val="00763C99"/>
    <w:rsid w:val="007654A0"/>
    <w:rsid w:val="0077622A"/>
    <w:rsid w:val="00782A82"/>
    <w:rsid w:val="007A5280"/>
    <w:rsid w:val="007C36BA"/>
    <w:rsid w:val="007D26EB"/>
    <w:rsid w:val="007F400A"/>
    <w:rsid w:val="008031A5"/>
    <w:rsid w:val="008375BE"/>
    <w:rsid w:val="00852236"/>
    <w:rsid w:val="008577B8"/>
    <w:rsid w:val="00862BE5"/>
    <w:rsid w:val="00875C4A"/>
    <w:rsid w:val="0088137D"/>
    <w:rsid w:val="00885951"/>
    <w:rsid w:val="00897496"/>
    <w:rsid w:val="008A4F1F"/>
    <w:rsid w:val="008C1265"/>
    <w:rsid w:val="008C410E"/>
    <w:rsid w:val="008F1338"/>
    <w:rsid w:val="008F2AB7"/>
    <w:rsid w:val="0090393F"/>
    <w:rsid w:val="009042E1"/>
    <w:rsid w:val="00931312"/>
    <w:rsid w:val="009313A9"/>
    <w:rsid w:val="00950747"/>
    <w:rsid w:val="0096361C"/>
    <w:rsid w:val="0096655F"/>
    <w:rsid w:val="00971799"/>
    <w:rsid w:val="00977347"/>
    <w:rsid w:val="00980561"/>
    <w:rsid w:val="00986C83"/>
    <w:rsid w:val="00992946"/>
    <w:rsid w:val="009A7019"/>
    <w:rsid w:val="009C7B43"/>
    <w:rsid w:val="009E1278"/>
    <w:rsid w:val="009E1E0F"/>
    <w:rsid w:val="009E7453"/>
    <w:rsid w:val="009F56FC"/>
    <w:rsid w:val="00A038E5"/>
    <w:rsid w:val="00A118BB"/>
    <w:rsid w:val="00A31BED"/>
    <w:rsid w:val="00A47A5F"/>
    <w:rsid w:val="00A52F3A"/>
    <w:rsid w:val="00A61B12"/>
    <w:rsid w:val="00A82DE3"/>
    <w:rsid w:val="00A84546"/>
    <w:rsid w:val="00A95756"/>
    <w:rsid w:val="00AB6201"/>
    <w:rsid w:val="00AC479D"/>
    <w:rsid w:val="00AD018C"/>
    <w:rsid w:val="00AD3129"/>
    <w:rsid w:val="00AE021A"/>
    <w:rsid w:val="00AF0DF2"/>
    <w:rsid w:val="00AF561D"/>
    <w:rsid w:val="00B01458"/>
    <w:rsid w:val="00B26EBB"/>
    <w:rsid w:val="00B27B04"/>
    <w:rsid w:val="00B27E95"/>
    <w:rsid w:val="00B30D18"/>
    <w:rsid w:val="00B347D1"/>
    <w:rsid w:val="00B34F9B"/>
    <w:rsid w:val="00B3746F"/>
    <w:rsid w:val="00B636D1"/>
    <w:rsid w:val="00B77094"/>
    <w:rsid w:val="00B84B85"/>
    <w:rsid w:val="00B96C5E"/>
    <w:rsid w:val="00BA2EC5"/>
    <w:rsid w:val="00BA4794"/>
    <w:rsid w:val="00BA5791"/>
    <w:rsid w:val="00BB5532"/>
    <w:rsid w:val="00BC0D6E"/>
    <w:rsid w:val="00BC2019"/>
    <w:rsid w:val="00BC3435"/>
    <w:rsid w:val="00BD4B04"/>
    <w:rsid w:val="00BF06AF"/>
    <w:rsid w:val="00BF0A7A"/>
    <w:rsid w:val="00C04B4C"/>
    <w:rsid w:val="00C20F19"/>
    <w:rsid w:val="00C2538A"/>
    <w:rsid w:val="00C340A7"/>
    <w:rsid w:val="00C678B0"/>
    <w:rsid w:val="00C7449E"/>
    <w:rsid w:val="00CC1BF0"/>
    <w:rsid w:val="00CD2647"/>
    <w:rsid w:val="00CE0731"/>
    <w:rsid w:val="00CF1A9A"/>
    <w:rsid w:val="00CF232F"/>
    <w:rsid w:val="00D00799"/>
    <w:rsid w:val="00D02E9B"/>
    <w:rsid w:val="00D03BF2"/>
    <w:rsid w:val="00D341E2"/>
    <w:rsid w:val="00D345E5"/>
    <w:rsid w:val="00D63A8F"/>
    <w:rsid w:val="00D75A16"/>
    <w:rsid w:val="00D80FEE"/>
    <w:rsid w:val="00D83C49"/>
    <w:rsid w:val="00D97430"/>
    <w:rsid w:val="00DA3D45"/>
    <w:rsid w:val="00DB3046"/>
    <w:rsid w:val="00DC3609"/>
    <w:rsid w:val="00DD2444"/>
    <w:rsid w:val="00DF1B12"/>
    <w:rsid w:val="00E0339D"/>
    <w:rsid w:val="00E0629B"/>
    <w:rsid w:val="00E13A29"/>
    <w:rsid w:val="00E150C3"/>
    <w:rsid w:val="00E20B71"/>
    <w:rsid w:val="00E32B35"/>
    <w:rsid w:val="00E3794F"/>
    <w:rsid w:val="00E37D16"/>
    <w:rsid w:val="00E4089B"/>
    <w:rsid w:val="00E53867"/>
    <w:rsid w:val="00E56B26"/>
    <w:rsid w:val="00E6261E"/>
    <w:rsid w:val="00E77EF8"/>
    <w:rsid w:val="00E80F28"/>
    <w:rsid w:val="00E96075"/>
    <w:rsid w:val="00E97171"/>
    <w:rsid w:val="00EB1412"/>
    <w:rsid w:val="00EC7323"/>
    <w:rsid w:val="00ED6130"/>
    <w:rsid w:val="00F050C1"/>
    <w:rsid w:val="00F06127"/>
    <w:rsid w:val="00F06129"/>
    <w:rsid w:val="00F1403B"/>
    <w:rsid w:val="00F413FA"/>
    <w:rsid w:val="00F41E6C"/>
    <w:rsid w:val="00F63A17"/>
    <w:rsid w:val="00F64A64"/>
    <w:rsid w:val="00F777AE"/>
    <w:rsid w:val="00FB6BED"/>
    <w:rsid w:val="00FC61C4"/>
    <w:rsid w:val="00FC7AAE"/>
    <w:rsid w:val="00FE23B8"/>
    <w:rsid w:val="00FE7BAC"/>
    <w:rsid w:val="42902B91"/>
    <w:rsid w:val="519A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qFormat="1"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qFormat/>
    <w:uiPriority w:val="99"/>
    <w:pPr>
      <w:jc w:val="left"/>
    </w:p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table" w:styleId="7">
    <w:name w:val="Table Grid"/>
    <w:basedOn w:val="6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line number"/>
    <w:basedOn w:val="8"/>
    <w:semiHidden/>
    <w:unhideWhenUsed/>
    <w:qFormat/>
    <w:uiPriority w:val="99"/>
  </w:style>
  <w:style w:type="character" w:styleId="10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4">
    <w:name w:val="批注文字 字符"/>
    <w:basedOn w:val="8"/>
    <w:link w:val="2"/>
    <w:qFormat/>
    <w:uiPriority w:val="99"/>
  </w:style>
  <w:style w:type="paragraph" w:customStyle="1" w:styleId="15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16">
    <w:name w:val="批注主题 字符"/>
    <w:basedOn w:val="14"/>
    <w:link w:val="5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tiff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0781B-70D1-41DF-86D5-1BB3EF0303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777</Words>
  <Characters>3735</Characters>
  <Lines>30</Lines>
  <Paragraphs>8</Paragraphs>
  <TotalTime>2</TotalTime>
  <ScaleCrop>false</ScaleCrop>
  <LinksUpToDate>false</LinksUpToDate>
  <CharactersWithSpaces>4473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2024-07-13T03:54:00Z</dcterms:created>
  <dc:creator>Wu Xinran</dc:creator>
  <cp:lastModifiedBy>Point Nemo</cp:lastModifiedBy>
  <cp:lastPrinted>2024-01-17T06:14:00Z</cp:lastPrinted>
  <dcterms:modified xsi:type="dcterms:W3CDTF">2024-11-20T12:51:22Z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0dbe546af2cd65120659dff36139200d3c00bc2d58c67aa2db1e1deca01e62e1</vt:lpwstr>
  </property>
  <property fmtid="{D5CDD505-2E9C-101B-9397-08002B2CF9AE}" pid="3" name="KSOProductBuildVer">
    <vt:lpwstr>2052-12.1.0.18608</vt:lpwstr>
  </property>
  <property fmtid="{D5CDD505-2E9C-101B-9397-08002B2CF9AE}" pid="4" name="ICV">
    <vt:lpwstr>0D102F8DE00C4CC2A8AEA233F068BEC9_13</vt:lpwstr>
  </property>
</Properties>
</file>