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7426F">
      <w:pPr>
        <w:jc w:val="center"/>
        <w:rPr>
          <w:rFonts w:ascii="Times New Roman" w:hAnsi="Times New Roman" w:eastAsia="宋体" w:cs="Times New Roman"/>
          <w:sz w:val="22"/>
          <w:szCs w:val="22"/>
        </w:rPr>
      </w:pPr>
      <w:bookmarkStart w:id="0" w:name="_GoBack"/>
      <w:bookmarkEnd w:id="0"/>
      <w:r>
        <w:rPr>
          <w:rFonts w:hint="eastAsia" w:ascii="Times New Roman" w:hAnsi="Times New Roman" w:eastAsia="Times New Roman" w:cs="Times New Roman"/>
          <w:sz w:val="22"/>
          <w:szCs w:val="22"/>
        </w:rPr>
        <w:t>Supplementary material</w:t>
      </w:r>
      <w:r>
        <w:rPr>
          <w:rFonts w:hint="eastAsia" w:ascii="Times New Roman" w:hAnsi="Times New Roman" w:eastAsia="宋体" w:cs="Times New Roman"/>
          <w:sz w:val="22"/>
          <w:szCs w:val="22"/>
        </w:rPr>
        <w:t>s</w:t>
      </w:r>
    </w:p>
    <w:p w14:paraId="3A1754E5">
      <w:pPr>
        <w:spacing w:after="312" w:afterLines="100" w:line="360" w:lineRule="auto"/>
        <w:jc w:val="center"/>
        <w:rPr>
          <w:rFonts w:ascii="Times New Roman" w:hAnsi="Times New Roman" w:cs="Times New Roman"/>
          <w:b/>
          <w:bCs/>
          <w:sz w:val="28"/>
          <w:szCs w:val="36"/>
        </w:rPr>
      </w:pPr>
      <w:r>
        <w:rPr>
          <w:rFonts w:ascii="Times New Roman" w:hAnsi="Times New Roman" w:cs="Times New Roman"/>
          <w:b/>
          <w:bCs/>
          <w:sz w:val="28"/>
          <w:szCs w:val="36"/>
        </w:rPr>
        <w:t xml:space="preserve">Consistent Functional Genes in Methanogens along Soil Profiles </w:t>
      </w:r>
      <w:r>
        <w:rPr>
          <w:rFonts w:hint="eastAsia" w:ascii="Times New Roman" w:hAnsi="Times New Roman" w:cs="Times New Roman"/>
          <w:b/>
          <w:bCs/>
          <w:sz w:val="28"/>
          <w:szCs w:val="36"/>
        </w:rPr>
        <w:t xml:space="preserve">in </w:t>
      </w:r>
      <w:r>
        <w:rPr>
          <w:rFonts w:ascii="Times New Roman" w:hAnsi="Times New Roman" w:cs="Times New Roman"/>
          <w:b/>
          <w:bCs/>
          <w:sz w:val="28"/>
          <w:szCs w:val="36"/>
        </w:rPr>
        <w:t>a</w:t>
      </w:r>
      <w:r>
        <w:rPr>
          <w:rFonts w:hint="eastAsia" w:ascii="Times New Roman" w:hAnsi="Times New Roman" w:cs="Times New Roman"/>
          <w:b/>
          <w:bCs/>
          <w:sz w:val="28"/>
          <w:szCs w:val="36"/>
        </w:rPr>
        <w:t xml:space="preserve"> </w:t>
      </w:r>
      <w:r>
        <w:rPr>
          <w:rFonts w:ascii="Times New Roman" w:hAnsi="Times New Roman" w:cs="Times New Roman"/>
          <w:b/>
          <w:bCs/>
          <w:sz w:val="28"/>
          <w:szCs w:val="36"/>
        </w:rPr>
        <w:t>Temperate Marshland</w:t>
      </w:r>
    </w:p>
    <w:p w14:paraId="56B930D2">
      <w:pPr>
        <w:spacing w:before="240" w:after="240"/>
        <w:jc w:val="center"/>
        <w:rPr>
          <w:rFonts w:ascii="Times New Roman" w:hAnsi="Times New Roman" w:cs="Times New Roman"/>
          <w:sz w:val="22"/>
          <w:szCs w:val="22"/>
        </w:rPr>
      </w:pPr>
      <w:r>
        <w:rPr>
          <w:rFonts w:hint="eastAsia" w:ascii="Times New Roman" w:hAnsi="Times New Roman" w:cs="Times New Roman"/>
          <w:sz w:val="24"/>
        </w:rPr>
        <w:t xml:space="preserve">Yuling </w:t>
      </w:r>
      <w:r>
        <w:rPr>
          <w:rFonts w:ascii="Times New Roman" w:hAnsi="Times New Roman" w:cs="Times New Roman"/>
          <w:sz w:val="24"/>
        </w:rPr>
        <w:t>T</w:t>
      </w:r>
      <w:r>
        <w:rPr>
          <w:rFonts w:hint="eastAsia" w:ascii="Times New Roman" w:hAnsi="Times New Roman" w:cs="Times New Roman"/>
          <w:sz w:val="24"/>
        </w:rPr>
        <w:t>an</w:t>
      </w:r>
      <w:r>
        <w:rPr>
          <w:rFonts w:hint="eastAsia" w:ascii="Times New Roman" w:hAnsi="Times New Roman" w:cs="Times New Roman"/>
          <w:sz w:val="24"/>
          <w:vertAlign w:val="superscript"/>
        </w:rPr>
        <w:t>1,</w:t>
      </w:r>
      <w:r>
        <w:rPr>
          <w:rFonts w:ascii="Times New Roman" w:hAnsi="Times New Roman" w:cs="Times New Roman"/>
          <w:sz w:val="24"/>
          <w:vertAlign w:val="superscript"/>
        </w:rPr>
        <w:t xml:space="preserve"> 2</w:t>
      </w:r>
      <w:r>
        <w:rPr>
          <w:rFonts w:hint="eastAsia" w:ascii="Times New Roman" w:hAnsi="Times New Roman" w:cs="Times New Roman"/>
          <w:sz w:val="24"/>
        </w:rPr>
        <w:t xml:space="preserve">, </w:t>
      </w:r>
      <w:r>
        <w:rPr>
          <w:rFonts w:ascii="Times New Roman" w:hAnsi="Times New Roman" w:cs="Times New Roman"/>
          <w:sz w:val="22"/>
          <w:szCs w:val="22"/>
        </w:rPr>
        <w:t>Nannan Wang</w:t>
      </w:r>
      <w:r>
        <w:rPr>
          <w:rFonts w:hint="eastAsia" w:ascii="Times New Roman" w:hAnsi="Times New Roman" w:cs="Times New Roman"/>
          <w:sz w:val="22"/>
          <w:szCs w:val="22"/>
          <w:vertAlign w:val="superscript"/>
        </w:rPr>
        <w:t>2, 3*</w:t>
      </w:r>
      <w:r>
        <w:rPr>
          <w:rFonts w:ascii="Times New Roman" w:hAnsi="Times New Roman" w:cs="Times New Roman"/>
          <w:sz w:val="22"/>
          <w:szCs w:val="22"/>
        </w:rPr>
        <w:t>, Kexin Li</w:t>
      </w:r>
      <w:r>
        <w:rPr>
          <w:rFonts w:hint="eastAsia" w:ascii="Times New Roman" w:hAnsi="Times New Roman" w:cs="Times New Roman"/>
          <w:sz w:val="22"/>
          <w:szCs w:val="22"/>
          <w:vertAlign w:val="superscript"/>
        </w:rPr>
        <w:t>2</w:t>
      </w:r>
      <w:r>
        <w:rPr>
          <w:rFonts w:ascii="Times New Roman" w:hAnsi="Times New Roman" w:cs="Times New Roman"/>
          <w:sz w:val="22"/>
          <w:szCs w:val="22"/>
        </w:rPr>
        <w:t>, Yunjiang Zuo</w:t>
      </w:r>
      <w:r>
        <w:rPr>
          <w:rFonts w:hint="eastAsia" w:ascii="Times New Roman" w:hAnsi="Times New Roman" w:cs="Times New Roman"/>
          <w:sz w:val="22"/>
          <w:szCs w:val="22"/>
          <w:vertAlign w:val="superscript"/>
        </w:rPr>
        <w:t>2</w:t>
      </w:r>
      <w:r>
        <w:rPr>
          <w:rFonts w:ascii="Times New Roman" w:hAnsi="Times New Roman" w:cs="Times New Roman"/>
          <w:sz w:val="22"/>
          <w:szCs w:val="22"/>
        </w:rPr>
        <w:t>, Jianzhao Liu</w:t>
      </w:r>
      <w:r>
        <w:rPr>
          <w:rFonts w:ascii="Times New Roman" w:hAnsi="Times New Roman" w:cs="Times New Roman"/>
          <w:sz w:val="22"/>
          <w:szCs w:val="22"/>
          <w:vertAlign w:val="superscript"/>
        </w:rPr>
        <w:t>4</w:t>
      </w:r>
      <w:r>
        <w:rPr>
          <w:rFonts w:ascii="Times New Roman" w:hAnsi="Times New Roman" w:cs="Times New Roman"/>
          <w:sz w:val="22"/>
          <w:szCs w:val="22"/>
        </w:rPr>
        <w:t>, Ziyu Guo</w:t>
      </w:r>
      <w:r>
        <w:rPr>
          <w:rFonts w:hint="eastAsia" w:ascii="Times New Roman" w:hAnsi="Times New Roman" w:cs="Times New Roman"/>
          <w:sz w:val="22"/>
          <w:szCs w:val="22"/>
          <w:vertAlign w:val="superscript"/>
        </w:rPr>
        <w:t>2</w:t>
      </w:r>
      <w:r>
        <w:rPr>
          <w:rFonts w:ascii="Times New Roman" w:hAnsi="Times New Roman" w:cs="Times New Roman"/>
          <w:sz w:val="22"/>
          <w:szCs w:val="22"/>
        </w:rPr>
        <w:t xml:space="preserve">, </w:t>
      </w:r>
      <w:r>
        <w:rPr>
          <w:rFonts w:hint="eastAsia" w:ascii="Times New Roman" w:hAnsi="Times New Roman" w:cs="Times New Roman"/>
          <w:sz w:val="22"/>
          <w:szCs w:val="22"/>
        </w:rPr>
        <w:t>M</w:t>
      </w:r>
      <w:r>
        <w:rPr>
          <w:rFonts w:ascii="Times New Roman" w:hAnsi="Times New Roman" w:cs="Times New Roman"/>
          <w:sz w:val="22"/>
          <w:szCs w:val="22"/>
        </w:rPr>
        <w:t xml:space="preserve">ing </w:t>
      </w:r>
      <w:r>
        <w:rPr>
          <w:rFonts w:hint="eastAsia" w:ascii="Times New Roman" w:hAnsi="Times New Roman" w:cs="Times New Roman"/>
          <w:sz w:val="22"/>
          <w:szCs w:val="22"/>
        </w:rPr>
        <w:t>Yang</w:t>
      </w:r>
      <w:r>
        <w:rPr>
          <w:rFonts w:hint="eastAsia" w:ascii="Times New Roman" w:hAnsi="Times New Roman" w:cs="Times New Roman"/>
          <w:sz w:val="22"/>
          <w:szCs w:val="22"/>
          <w:vertAlign w:val="superscript"/>
        </w:rPr>
        <w:t>2</w:t>
      </w:r>
      <w:r>
        <w:rPr>
          <w:rFonts w:ascii="Times New Roman" w:hAnsi="Times New Roman" w:cs="Times New Roman"/>
          <w:sz w:val="22"/>
          <w:szCs w:val="22"/>
        </w:rPr>
        <w:t>, Wenwen Tan</w:t>
      </w:r>
      <w:r>
        <w:rPr>
          <w:rFonts w:hint="eastAsia" w:ascii="Times New Roman" w:hAnsi="Times New Roman" w:cs="Times New Roman"/>
          <w:sz w:val="22"/>
          <w:szCs w:val="22"/>
          <w:vertAlign w:val="superscript"/>
        </w:rPr>
        <w:t>2</w:t>
      </w:r>
      <w:r>
        <w:rPr>
          <w:rFonts w:ascii="Times New Roman" w:hAnsi="Times New Roman" w:cs="Times New Roman"/>
          <w:sz w:val="22"/>
          <w:szCs w:val="22"/>
        </w:rPr>
        <w:t>, Yuedong Guo</w:t>
      </w:r>
      <w:r>
        <w:rPr>
          <w:rFonts w:hint="eastAsia" w:ascii="Times New Roman" w:hAnsi="Times New Roman" w:cs="Times New Roman"/>
          <w:sz w:val="22"/>
          <w:szCs w:val="22"/>
          <w:vertAlign w:val="superscript"/>
        </w:rPr>
        <w:t>2</w:t>
      </w:r>
      <w:r>
        <w:rPr>
          <w:rFonts w:ascii="Times New Roman" w:hAnsi="Times New Roman" w:cs="Times New Roman"/>
          <w:sz w:val="22"/>
          <w:szCs w:val="22"/>
        </w:rPr>
        <w:t xml:space="preserve">, </w:t>
      </w:r>
      <w:r>
        <w:rPr>
          <w:rFonts w:hint="eastAsia" w:ascii="Times New Roman" w:hAnsi="Times New Roman" w:cs="Times New Roman"/>
          <w:sz w:val="22"/>
          <w:szCs w:val="22"/>
        </w:rPr>
        <w:t>Yanyu</w:t>
      </w:r>
      <w:r>
        <w:rPr>
          <w:rFonts w:ascii="Times New Roman" w:hAnsi="Times New Roman" w:cs="Times New Roman"/>
          <w:sz w:val="22"/>
          <w:szCs w:val="22"/>
        </w:rPr>
        <w:t xml:space="preserve"> Song</w:t>
      </w:r>
      <w:r>
        <w:rPr>
          <w:rFonts w:hint="eastAsia" w:ascii="Times New Roman" w:hAnsi="Times New Roman" w:cs="Times New Roman"/>
          <w:sz w:val="22"/>
          <w:szCs w:val="22"/>
          <w:vertAlign w:val="superscript"/>
        </w:rPr>
        <w:t>2</w:t>
      </w:r>
      <w:r>
        <w:rPr>
          <w:rFonts w:ascii="Times New Roman" w:hAnsi="Times New Roman" w:cs="Times New Roman"/>
          <w:sz w:val="22"/>
          <w:szCs w:val="22"/>
        </w:rPr>
        <w:t>,</w:t>
      </w:r>
      <w:r>
        <w:rPr>
          <w:sz w:val="22"/>
          <w:szCs w:val="22"/>
        </w:rPr>
        <w:t xml:space="preserve"> </w:t>
      </w:r>
      <w:r>
        <w:rPr>
          <w:rFonts w:ascii="Times New Roman" w:hAnsi="Times New Roman" w:cs="Times New Roman"/>
          <w:sz w:val="22"/>
          <w:szCs w:val="22"/>
        </w:rPr>
        <w:t>Fenghui Yuan</w:t>
      </w:r>
      <w:r>
        <w:rPr>
          <w:rFonts w:hint="eastAsia" w:ascii="Times New Roman" w:hAnsi="Times New Roman" w:cs="Times New Roman"/>
          <w:sz w:val="22"/>
          <w:szCs w:val="22"/>
          <w:vertAlign w:val="superscript"/>
        </w:rPr>
        <w:t>2</w:t>
      </w:r>
      <w:r>
        <w:rPr>
          <w:rFonts w:ascii="Times New Roman" w:hAnsi="Times New Roman" w:cs="Times New Roman"/>
          <w:sz w:val="22"/>
          <w:szCs w:val="22"/>
          <w:vertAlign w:val="superscript"/>
        </w:rPr>
        <w:t xml:space="preserve">, </w:t>
      </w:r>
      <w:r>
        <w:rPr>
          <w:rFonts w:hint="eastAsia" w:ascii="Times New Roman" w:hAnsi="Times New Roman" w:cs="Times New Roman"/>
          <w:sz w:val="22"/>
          <w:szCs w:val="22"/>
          <w:vertAlign w:val="superscript"/>
        </w:rPr>
        <w:t>5</w:t>
      </w:r>
      <w:r>
        <w:rPr>
          <w:rFonts w:ascii="Times New Roman" w:hAnsi="Times New Roman" w:cs="Times New Roman"/>
          <w:sz w:val="22"/>
          <w:szCs w:val="22"/>
        </w:rPr>
        <w:t>, Xiaofeng Xu</w:t>
      </w:r>
      <w:r>
        <w:rPr>
          <w:rFonts w:hint="eastAsia" w:ascii="Times New Roman" w:hAnsi="Times New Roman" w:cs="Times New Roman"/>
          <w:sz w:val="22"/>
          <w:szCs w:val="22"/>
          <w:vertAlign w:val="superscript"/>
        </w:rPr>
        <w:t>6</w:t>
      </w:r>
      <w:r>
        <w:rPr>
          <w:rFonts w:hint="eastAsia" w:ascii="Times New Roman" w:hAnsi="Times New Roman" w:cs="Times New Roman"/>
          <w:sz w:val="22"/>
          <w:szCs w:val="22"/>
        </w:rPr>
        <w:t xml:space="preserve">, </w:t>
      </w:r>
      <w:r>
        <w:rPr>
          <w:rFonts w:ascii="Times New Roman" w:hAnsi="Times New Roman" w:cs="Times New Roman"/>
          <w:sz w:val="22"/>
          <w:szCs w:val="22"/>
        </w:rPr>
        <w:t>Lihua Zhang</w:t>
      </w:r>
      <w:r>
        <w:rPr>
          <w:rFonts w:hint="eastAsia" w:ascii="Times New Roman" w:hAnsi="Times New Roman" w:cs="Times New Roman"/>
          <w:sz w:val="22"/>
          <w:szCs w:val="22"/>
          <w:vertAlign w:val="superscript"/>
        </w:rPr>
        <w:t>1*</w:t>
      </w:r>
    </w:p>
    <w:p w14:paraId="06E4236D">
      <w:pPr>
        <w:jc w:val="left"/>
        <w:rPr>
          <w:rFonts w:ascii="Times New Roman" w:hAnsi="Times New Roman" w:eastAsia="Times New Roman" w:cs="Times New Roman"/>
          <w:sz w:val="22"/>
          <w:szCs w:val="22"/>
        </w:rPr>
      </w:pPr>
      <w:r>
        <w:rPr>
          <w:rFonts w:ascii="Times New Roman" w:hAnsi="Times New Roman" w:eastAsia="Times New Roman" w:cs="Times New Roman"/>
          <w:sz w:val="22"/>
          <w:szCs w:val="22"/>
          <w:vertAlign w:val="superscript"/>
        </w:rPr>
        <w:t>1</w:t>
      </w:r>
      <w:r>
        <w:rPr>
          <w:rFonts w:ascii="Times New Roman" w:hAnsi="Times New Roman" w:cs="Times New Roman"/>
          <w:sz w:val="22"/>
          <w:szCs w:val="22"/>
        </w:rPr>
        <w:t>College of Life and Environmental Sciences, Minzu University of China, Beijing</w:t>
      </w:r>
      <w:r>
        <w:rPr>
          <w:rFonts w:hint="eastAsia" w:ascii="Times New Roman" w:hAnsi="Times New Roman" w:cs="Times New Roman"/>
          <w:sz w:val="22"/>
          <w:szCs w:val="22"/>
        </w:rPr>
        <w:t>,</w:t>
      </w:r>
      <w:r>
        <w:rPr>
          <w:rFonts w:ascii="Times New Roman" w:hAnsi="Times New Roman" w:cs="Times New Roman"/>
          <w:sz w:val="22"/>
          <w:szCs w:val="22"/>
        </w:rPr>
        <w:t xml:space="preserve"> 100081, China</w:t>
      </w:r>
    </w:p>
    <w:p w14:paraId="421AE493">
      <w:pPr>
        <w:pStyle w:val="11"/>
      </w:pPr>
      <w:r>
        <w:rPr>
          <w:rFonts w:ascii="Times New Roman" w:hAnsi="Times New Roman" w:eastAsia="Times New Roman"/>
          <w:sz w:val="22"/>
          <w:szCs w:val="22"/>
          <w:vertAlign w:val="superscript"/>
        </w:rPr>
        <w:t>2</w:t>
      </w:r>
      <w:r>
        <w:rPr>
          <w:rFonts w:ascii="Times New Roman" w:hAnsi="Times New Roman" w:eastAsia="Times New Roman"/>
          <w:sz w:val="22"/>
          <w:szCs w:val="22"/>
        </w:rPr>
        <w:t>State Key Laboratory of Black Soils Conservation and Utilization, Northeast Institute of Geography and Agroecology, Chinese Academy of Sciences, Changchun, Jilin, 130102, China</w:t>
      </w:r>
      <w:r>
        <w:rPr>
          <w:rFonts w:ascii="Times New Roman" w:hAnsi="Times New Roman"/>
          <w:sz w:val="22"/>
          <w:szCs w:val="22"/>
        </w:rPr>
        <w:t xml:space="preserve"> </w:t>
      </w:r>
    </w:p>
    <w:p w14:paraId="3D2B4C0C">
      <w:pPr>
        <w:jc w:val="left"/>
        <w:rPr>
          <w:rFonts w:ascii="Times New Roman" w:hAnsi="Times New Roman" w:eastAsia="Times New Roman" w:cs="Times New Roman"/>
          <w:sz w:val="22"/>
          <w:szCs w:val="22"/>
        </w:rPr>
      </w:pPr>
      <w:r>
        <w:rPr>
          <w:rFonts w:ascii="Times New Roman" w:hAnsi="Times New Roman" w:eastAsia="Times New Roman" w:cs="Times New Roman"/>
          <w:sz w:val="22"/>
          <w:szCs w:val="22"/>
          <w:vertAlign w:val="superscript"/>
        </w:rPr>
        <w:t>3</w:t>
      </w:r>
      <w:r>
        <w:rPr>
          <w:rFonts w:ascii="Times New Roman" w:hAnsi="Times New Roman"/>
          <w:sz w:val="22"/>
          <w:szCs w:val="22"/>
        </w:rPr>
        <w:t>School of Ecology and Environment, Inner Mongolia University, Hohhot, 010021, China</w:t>
      </w:r>
    </w:p>
    <w:p w14:paraId="2D7693D5">
      <w:pPr>
        <w:jc w:val="left"/>
        <w:rPr>
          <w:rFonts w:ascii="Times New Roman" w:hAnsi="Times New Roman" w:eastAsia="Times New Roman" w:cs="Times New Roman"/>
          <w:sz w:val="22"/>
          <w:szCs w:val="22"/>
        </w:rPr>
      </w:pPr>
      <w:r>
        <w:rPr>
          <w:rFonts w:ascii="Times New Roman" w:hAnsi="Times New Roman" w:eastAsia="Times New Roman" w:cs="Times New Roman"/>
          <w:sz w:val="22"/>
          <w:szCs w:val="22"/>
          <w:vertAlign w:val="superscript"/>
        </w:rPr>
        <w:t>4</w:t>
      </w:r>
      <w:r>
        <w:rPr>
          <w:rFonts w:ascii="Times New Roman" w:hAnsi="Times New Roman" w:eastAsia="Times New Roman" w:cs="Times New Roman"/>
          <w:sz w:val="22"/>
          <w:szCs w:val="22"/>
        </w:rPr>
        <w:t>College of Surveying and Exploration Engineering, Jilin Jianzhu University, Changchun, Jilin, 130018</w:t>
      </w:r>
    </w:p>
    <w:p w14:paraId="70ED7C8A">
      <w:pPr>
        <w:snapToGrid w:val="0"/>
        <w:rPr>
          <w:rFonts w:ascii="Times New Roman" w:hAnsi="Times New Roman" w:cs="Times New Roman"/>
          <w:sz w:val="22"/>
          <w:szCs w:val="22"/>
        </w:rPr>
      </w:pPr>
      <w:r>
        <w:rPr>
          <w:rFonts w:ascii="Times New Roman" w:hAnsi="Times New Roman" w:cs="Times New Roman"/>
          <w:sz w:val="22"/>
          <w:szCs w:val="22"/>
          <w:vertAlign w:val="superscript"/>
        </w:rPr>
        <w:t>5</w:t>
      </w:r>
      <w:r>
        <w:rPr>
          <w:rFonts w:ascii="Times New Roman" w:hAnsi="Times New Roman" w:eastAsia="Times New Roman" w:cs="Times New Roman"/>
          <w:sz w:val="22"/>
          <w:szCs w:val="22"/>
        </w:rPr>
        <w:t>Department of Soil, Water, and Climate, University of Minnesota, Saint Paul, MN, 55108, USA</w:t>
      </w:r>
    </w:p>
    <w:p w14:paraId="492012AF">
      <w:pPr>
        <w:jc w:val="left"/>
        <w:rPr>
          <w:rFonts w:ascii="Times New Roman" w:hAnsi="Times New Roman" w:cs="Times New Roman"/>
          <w:sz w:val="22"/>
          <w:szCs w:val="22"/>
        </w:rPr>
      </w:pPr>
      <w:r>
        <w:rPr>
          <w:rFonts w:ascii="Times New Roman" w:hAnsi="Times New Roman" w:eastAsia="Times New Roman" w:cs="Times New Roman"/>
          <w:sz w:val="22"/>
          <w:szCs w:val="22"/>
          <w:vertAlign w:val="superscript"/>
        </w:rPr>
        <w:t>6</w:t>
      </w:r>
      <w:r>
        <w:rPr>
          <w:rFonts w:hint="eastAsia" w:ascii="Times New Roman" w:hAnsi="Times New Roman" w:eastAsia="Times New Roman" w:cs="Times New Roman"/>
          <w:sz w:val="22"/>
          <w:szCs w:val="22"/>
        </w:rPr>
        <w:t>Biology Department, San Diego State University, San Diego, CA, 92182, USA</w:t>
      </w:r>
    </w:p>
    <w:p w14:paraId="41C55CE2">
      <w:pPr>
        <w:jc w:val="left"/>
        <w:rPr>
          <w:rFonts w:ascii="Times New Roman" w:hAnsi="Times New Roman" w:cs="Times New Roman"/>
          <w:sz w:val="22"/>
          <w:szCs w:val="22"/>
        </w:rPr>
      </w:pPr>
    </w:p>
    <w:p w14:paraId="7A279BC6">
      <w:pPr>
        <w:widowControl/>
        <w:jc w:val="center"/>
        <w:rPr>
          <w:rFonts w:ascii="Times New Roman" w:hAnsi="Times New Roman" w:cs="Times New Roman"/>
          <w:sz w:val="22"/>
          <w:szCs w:val="22"/>
        </w:rPr>
      </w:pPr>
    </w:p>
    <w:p w14:paraId="5ECC9900">
      <w:pPr>
        <w:widowControl/>
        <w:jc w:val="center"/>
        <w:rPr>
          <w:rFonts w:ascii="Times New Roman" w:hAnsi="Times New Roman" w:cs="Times New Roman"/>
          <w:sz w:val="22"/>
          <w:szCs w:val="22"/>
        </w:rPr>
      </w:pPr>
    </w:p>
    <w:p w14:paraId="3D49AA2F">
      <w:pPr>
        <w:widowControl/>
        <w:jc w:val="center"/>
        <w:rPr>
          <w:rFonts w:ascii="Times New Roman" w:hAnsi="Times New Roman" w:cs="Times New Roman"/>
          <w:sz w:val="22"/>
          <w:szCs w:val="22"/>
        </w:rPr>
      </w:pPr>
    </w:p>
    <w:p w14:paraId="1108DEAC">
      <w:pPr>
        <w:widowControl/>
        <w:jc w:val="center"/>
        <w:rPr>
          <w:rFonts w:ascii="Times New Roman" w:hAnsi="Times New Roman" w:cs="Times New Roman"/>
          <w:sz w:val="22"/>
          <w:szCs w:val="22"/>
        </w:rPr>
      </w:pPr>
    </w:p>
    <w:p w14:paraId="13952A82">
      <w:pPr>
        <w:widowControl/>
        <w:jc w:val="center"/>
        <w:rPr>
          <w:rFonts w:ascii="Times New Roman" w:hAnsi="Times New Roman" w:cs="Times New Roman"/>
          <w:sz w:val="22"/>
          <w:szCs w:val="22"/>
        </w:rPr>
      </w:pPr>
    </w:p>
    <w:p w14:paraId="56E2EF6D">
      <w:pPr>
        <w:widowControl/>
        <w:jc w:val="center"/>
        <w:rPr>
          <w:rFonts w:ascii="Times New Roman" w:hAnsi="Times New Roman" w:cs="Times New Roman"/>
          <w:sz w:val="22"/>
          <w:szCs w:val="22"/>
        </w:rPr>
      </w:pPr>
    </w:p>
    <w:p w14:paraId="3B226452">
      <w:pPr>
        <w:widowControl/>
        <w:jc w:val="center"/>
        <w:rPr>
          <w:rFonts w:ascii="Times New Roman" w:hAnsi="Times New Roman" w:cs="Times New Roman"/>
          <w:sz w:val="22"/>
          <w:szCs w:val="22"/>
        </w:rPr>
      </w:pPr>
    </w:p>
    <w:p w14:paraId="07574DE5">
      <w:pPr>
        <w:widowControl/>
        <w:jc w:val="center"/>
      </w:pPr>
      <w:r>
        <w:rPr>
          <w:rFonts w:ascii="Times New Roman" w:hAnsi="Times New Roman" w:cs="Times New Roman"/>
          <w:sz w:val="22"/>
          <w:szCs w:val="22"/>
        </w:rPr>
        <w:t xml:space="preserve">*Corresponding authors: </w:t>
      </w:r>
      <w:r>
        <w:rPr>
          <w:rFonts w:hint="eastAsia" w:ascii="Times New Roman" w:hAnsi="Times New Roman" w:cs="Times New Roman"/>
          <w:sz w:val="22"/>
          <w:szCs w:val="22"/>
        </w:rPr>
        <w:t>L. Z. zhanglihua@muc.edu.cn,</w:t>
      </w:r>
      <w:r>
        <w:rPr>
          <w:rFonts w:ascii="Times New Roman" w:hAnsi="Times New Roman" w:cs="Times New Roman"/>
          <w:sz w:val="22"/>
          <w:szCs w:val="22"/>
        </w:rPr>
        <w:t xml:space="preserve"> </w:t>
      </w:r>
      <w:r>
        <w:rPr>
          <w:rStyle w:val="9"/>
          <w:rFonts w:ascii="Times New Roman" w:hAnsi="Times New Roman" w:cs="Times New Roman"/>
          <w:color w:val="000000" w:themeColor="text1"/>
          <w:sz w:val="22"/>
          <w:szCs w:val="22"/>
          <w14:textFill>
            <w14:solidFill>
              <w14:schemeClr w14:val="tx1"/>
            </w14:solidFill>
          </w14:textFill>
        </w:rPr>
        <w:t xml:space="preserve">and </w:t>
      </w:r>
      <w:r>
        <w:rPr>
          <w:rStyle w:val="9"/>
          <w:rFonts w:hint="eastAsia" w:ascii="Times New Roman" w:hAnsi="Times New Roman" w:cs="Times New Roman"/>
          <w:color w:val="000000" w:themeColor="text1"/>
          <w:sz w:val="22"/>
          <w:szCs w:val="22"/>
          <w14:textFill>
            <w14:solidFill>
              <w14:schemeClr w14:val="tx1"/>
            </w14:solidFill>
          </w14:textFill>
        </w:rPr>
        <w:t>N</w:t>
      </w:r>
      <w:r>
        <w:rPr>
          <w:rStyle w:val="9"/>
          <w:rFonts w:ascii="Times New Roman" w:hAnsi="Times New Roman" w:cs="Times New Roman"/>
          <w:color w:val="000000" w:themeColor="text1"/>
          <w:sz w:val="22"/>
          <w:szCs w:val="22"/>
          <w14:textFill>
            <w14:solidFill>
              <w14:schemeClr w14:val="tx1"/>
            </w14:solidFill>
          </w14:textFill>
        </w:rPr>
        <w:t xml:space="preserve">. </w:t>
      </w:r>
      <w:r>
        <w:rPr>
          <w:rStyle w:val="9"/>
          <w:rFonts w:hint="eastAsia" w:ascii="Times New Roman" w:hAnsi="Times New Roman" w:cs="Times New Roman"/>
          <w:color w:val="000000" w:themeColor="text1"/>
          <w:sz w:val="22"/>
          <w:szCs w:val="22"/>
          <w14:textFill>
            <w14:solidFill>
              <w14:schemeClr w14:val="tx1"/>
            </w14:solidFill>
          </w14:textFill>
        </w:rPr>
        <w:t>W</w:t>
      </w:r>
      <w:r>
        <w:rPr>
          <w:rStyle w:val="9"/>
          <w:rFonts w:ascii="Times New Roman" w:hAnsi="Times New Roman" w:cs="Times New Roman"/>
          <w:color w:val="000000" w:themeColor="text1"/>
          <w:sz w:val="22"/>
          <w:szCs w:val="22"/>
          <w14:textFill>
            <w14:solidFill>
              <w14:schemeClr w14:val="tx1"/>
            </w14:solidFill>
          </w14:textFill>
        </w:rPr>
        <w:t xml:space="preserve">. </w:t>
      </w:r>
      <w:r>
        <w:fldChar w:fldCharType="begin"/>
      </w:r>
      <w:r>
        <w:instrText xml:space="preserve"> HYPERLINK "mailto:wangnannan@iga.ac.cn" </w:instrText>
      </w:r>
      <w:r>
        <w:fldChar w:fldCharType="separate"/>
      </w:r>
      <w:r>
        <w:rPr>
          <w:rStyle w:val="9"/>
          <w:rFonts w:hint="eastAsia" w:ascii="Times New Roman" w:hAnsi="Times New Roman" w:cs="Times New Roman"/>
          <w:sz w:val="22"/>
          <w:szCs w:val="22"/>
        </w:rPr>
        <w:t>wangnannan</w:t>
      </w:r>
      <w:r>
        <w:rPr>
          <w:rStyle w:val="9"/>
          <w:rFonts w:ascii="Times New Roman" w:hAnsi="Times New Roman" w:cs="Times New Roman"/>
          <w:sz w:val="22"/>
          <w:szCs w:val="22"/>
        </w:rPr>
        <w:t>@iga.ac.cn</w:t>
      </w:r>
      <w:r>
        <w:rPr>
          <w:rStyle w:val="9"/>
          <w:rFonts w:ascii="Times New Roman" w:hAnsi="Times New Roman" w:cs="Times New Roman"/>
          <w:sz w:val="22"/>
          <w:szCs w:val="22"/>
        </w:rPr>
        <w:fldChar w:fldCharType="end"/>
      </w:r>
    </w:p>
    <w:p w14:paraId="3CB448F6">
      <w:pPr>
        <w:widowControl/>
        <w:jc w:val="center"/>
        <w:rPr>
          <w:rStyle w:val="9"/>
          <w:rFonts w:ascii="Times New Roman" w:hAnsi="Times New Roman" w:cs="Times New Roman"/>
          <w:color w:val="auto"/>
        </w:rPr>
      </w:pPr>
      <w:r>
        <w:rPr>
          <w:rFonts w:ascii="Times New Roman" w:hAnsi="Times New Roman" w:cs="Times New Roman"/>
        </w:rPr>
        <w:t xml:space="preserve">To be submitted to </w:t>
      </w:r>
      <w:r>
        <w:rPr>
          <w:rFonts w:ascii="Times New Roman" w:hAnsi="Times New Roman" w:cs="Times New Roman"/>
          <w:i/>
          <w:iCs/>
        </w:rPr>
        <w:t>Soil Ecology Letters</w:t>
      </w:r>
    </w:p>
    <w:p w14:paraId="3FE1371B">
      <w:pPr>
        <w:rPr>
          <w:rStyle w:val="9"/>
          <w:rFonts w:ascii="Times New Roman" w:hAnsi="Times New Roman" w:cs="Times New Roman"/>
          <w:color w:val="000000" w:themeColor="text1"/>
          <w:sz w:val="22"/>
          <w:u w:val="none"/>
          <w14:textFill>
            <w14:solidFill>
              <w14:schemeClr w14:val="tx1"/>
            </w14:solidFill>
          </w14:textFill>
        </w:rPr>
      </w:pPr>
      <w:r>
        <w:rPr>
          <w:rStyle w:val="9"/>
          <w:rFonts w:ascii="Times New Roman" w:hAnsi="Times New Roman" w:cs="Times New Roman"/>
          <w:color w:val="000000" w:themeColor="text1"/>
          <w:sz w:val="22"/>
          <w:u w:val="none"/>
          <w14:textFill>
            <w14:solidFill>
              <w14:schemeClr w14:val="tx1"/>
            </w14:solidFill>
          </w14:textFill>
        </w:rPr>
        <w:br w:type="page"/>
      </w:r>
    </w:p>
    <w:p w14:paraId="639BD7BF">
      <w:pPr>
        <w:spacing w:after="240"/>
        <w:rPr>
          <w:rFonts w:ascii="Times New Roman" w:hAnsi="Times New Roman" w:cs="Times New Roman"/>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1.</w:t>
      </w:r>
      <w:r>
        <w:rPr>
          <w:rFonts w:ascii="Times New Roman" w:hAnsi="Times New Roman" w:cs="Times New Roman"/>
        </w:rPr>
        <w:t xml:space="preserve"> </w:t>
      </w:r>
      <w:r>
        <w:rPr>
          <w:rFonts w:hint="eastAsia" w:ascii="Times New Roman" w:hAnsi="Times New Roman" w:cs="Times New Roman"/>
        </w:rPr>
        <w:t xml:space="preserve">Abundance of each microbial group along soil profile. The polynomial fitted curves are given respectively, </w:t>
      </w:r>
      <w:r>
        <w:rPr>
          <w:rFonts w:ascii="Times New Roman" w:hAnsi="Times New Roman" w:cs="Times New Roman"/>
        </w:rPr>
        <w:t>and the band represent</w:t>
      </w:r>
      <w:r>
        <w:rPr>
          <w:rFonts w:hint="eastAsia" w:ascii="Times New Roman" w:hAnsi="Times New Roman" w:cs="Times New Roman"/>
        </w:rPr>
        <w:t>s</w:t>
      </w:r>
      <w:r>
        <w:rPr>
          <w:rFonts w:ascii="Times New Roman" w:hAnsi="Times New Roman" w:cs="Times New Roman"/>
        </w:rPr>
        <w:t xml:space="preserve"> 95 % confidence intervals.</w:t>
      </w:r>
    </w:p>
    <w:p w14:paraId="0B08715C">
      <w:pPr>
        <w:spacing w:after="240"/>
        <w:jc w:val="center"/>
        <w:rPr>
          <w:rFonts w:ascii="Times New Roman" w:hAnsi="Times New Roman" w:cs="Times New Roman"/>
        </w:rPr>
      </w:pPr>
      <w:r>
        <w:rPr>
          <w:rFonts w:hint="eastAsia" w:ascii="Times New Roman" w:hAnsi="Times New Roman" w:cs="Times New Roman"/>
        </w:rPr>
        <w:drawing>
          <wp:inline distT="0" distB="0" distL="114300" distR="114300">
            <wp:extent cx="5269230" cy="3280410"/>
            <wp:effectExtent l="0" t="0" r="7620" b="15240"/>
            <wp:docPr id="13" name="图片 13" descr="Fig.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ig. S1"/>
                    <pic:cNvPicPr>
                      <a:picLocks noChangeAspect="1"/>
                    </pic:cNvPicPr>
                  </pic:nvPicPr>
                  <pic:blipFill>
                    <a:blip r:embed="rId4"/>
                    <a:stretch>
                      <a:fillRect/>
                    </a:stretch>
                  </pic:blipFill>
                  <pic:spPr>
                    <a:xfrm>
                      <a:off x="0" y="0"/>
                      <a:ext cx="5269230" cy="3280410"/>
                    </a:xfrm>
                    <a:prstGeom prst="rect">
                      <a:avLst/>
                    </a:prstGeom>
                  </pic:spPr>
                </pic:pic>
              </a:graphicData>
            </a:graphic>
          </wp:inline>
        </w:drawing>
      </w:r>
    </w:p>
    <w:p w14:paraId="5FCF3B2B">
      <w:pPr>
        <w:rPr>
          <w:rFonts w:ascii="Times New Roman" w:hAnsi="Times New Roman" w:cs="Times New Roman"/>
        </w:rPr>
      </w:pPr>
      <w:r>
        <w:rPr>
          <w:rFonts w:hint="eastAsia" w:ascii="Times New Roman" w:hAnsi="Times New Roman" w:cs="Times New Roman"/>
        </w:rPr>
        <w:br w:type="page"/>
      </w:r>
    </w:p>
    <w:p w14:paraId="532DC055">
      <w:pPr>
        <w:spacing w:after="240"/>
        <w:rPr>
          <w:rFonts w:ascii="Times New Roman" w:hAnsi="Times New Roman" w:cs="Times New Roman"/>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2.</w:t>
      </w:r>
      <w:r>
        <w:rPr>
          <w:rFonts w:ascii="Times New Roman" w:hAnsi="Times New Roman" w:cs="Times New Roman"/>
        </w:rPr>
        <w:t xml:space="preserve"> </w:t>
      </w:r>
      <w:r>
        <w:rPr>
          <w:rFonts w:hint="eastAsia" w:ascii="Times New Roman" w:hAnsi="Times New Roman" w:cs="Times New Roman"/>
        </w:rPr>
        <w:t>C</w:t>
      </w:r>
      <w:r>
        <w:rPr>
          <w:rFonts w:ascii="Times New Roman" w:hAnsi="Times New Roman" w:cs="Times New Roman"/>
        </w:rPr>
        <w:t>H</w:t>
      </w:r>
      <w:r>
        <w:rPr>
          <w:rFonts w:hint="eastAsia" w:ascii="Times New Roman" w:hAnsi="Times New Roman" w:cs="Times New Roman"/>
          <w:vertAlign w:val="subscript"/>
        </w:rPr>
        <w:t>4</w:t>
      </w:r>
      <w:r>
        <w:rPr>
          <w:rFonts w:ascii="Times New Roman" w:hAnsi="Times New Roman" w:cs="Times New Roman"/>
        </w:rPr>
        <w:t xml:space="preserve"> </w:t>
      </w:r>
      <w:r>
        <w:rPr>
          <w:rFonts w:hint="eastAsia" w:ascii="Times New Roman" w:hAnsi="Times New Roman" w:cs="Times New Roman"/>
        </w:rPr>
        <w:t>production potential</w:t>
      </w:r>
      <w:r>
        <w:rPr>
          <w:rFonts w:ascii="Times New Roman" w:hAnsi="Times New Roman" w:cs="Times New Roman"/>
        </w:rPr>
        <w:t xml:space="preserve"> at different soil depths</w:t>
      </w:r>
      <w:r>
        <w:rPr>
          <w:rFonts w:hint="eastAsia" w:ascii="Times New Roman" w:hAnsi="Times New Roman" w:cs="Times New Roman"/>
        </w:rPr>
        <w:t xml:space="preserve"> </w:t>
      </w:r>
      <w:r>
        <w:rPr>
          <w:rFonts w:ascii="Times New Roman" w:hAnsi="Times New Roman" w:cs="Times New Roman"/>
        </w:rPr>
        <w:t>(0–100 cm) in the wetlands</w:t>
      </w:r>
      <w:r>
        <w:rPr>
          <w:rFonts w:hint="eastAsia" w:ascii="Times New Roman" w:hAnsi="Times New Roman" w:cs="Times New Roman"/>
        </w:rPr>
        <w:t>.</w:t>
      </w:r>
      <w:r>
        <w:rPr>
          <w:rFonts w:ascii="Times New Roman" w:hAnsi="Times New Roman" w:cs="Times New Roman"/>
        </w:rPr>
        <w:t xml:space="preserve"> Mean</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 xml:space="preserve">SE, </w:t>
      </w:r>
      <w:r>
        <w:rPr>
          <w:rFonts w:hint="eastAsia" w:ascii="Times New Roman" w:hAnsi="Times New Roman" w:cs="Times New Roman"/>
        </w:rPr>
        <w:t xml:space="preserve">N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 xml:space="preserve">3. Different marker letters indicate significant difference at a significance level of </w:t>
      </w:r>
      <w:r>
        <w:rPr>
          <w:rFonts w:ascii="Times New Roman" w:hAnsi="Times New Roman" w:cs="Times New Roman"/>
          <w:i/>
          <w:iCs/>
        </w:rPr>
        <w:t>P</w:t>
      </w:r>
      <w:r>
        <w:rPr>
          <w:rFonts w:ascii="Times New Roman" w:hAnsi="Times New Roman" w:cs="Times New Roman"/>
        </w:rPr>
        <w:t xml:space="preserve"> = 0.05, the same letters mean no significant differences </w:t>
      </w:r>
      <w:r>
        <w:rPr>
          <w:rFonts w:hint="eastAsia" w:ascii="Times New Roman" w:hAnsi="Times New Roman" w:cs="Times New Roman"/>
        </w:rPr>
        <w:t>across</w:t>
      </w:r>
      <w:r>
        <w:rPr>
          <w:rFonts w:ascii="Times New Roman" w:hAnsi="Times New Roman" w:cs="Times New Roman"/>
        </w:rPr>
        <w:t xml:space="preserve"> soil layers.</w:t>
      </w:r>
    </w:p>
    <w:p w14:paraId="268A37C0">
      <w:pPr>
        <w:rPr>
          <w:rFonts w:ascii="Times New Roman" w:hAnsi="Times New Roman" w:cs="Times New Roman"/>
          <w:b/>
          <w:bCs/>
        </w:rPr>
      </w:pPr>
      <w:r>
        <w:rPr>
          <w:rFonts w:hint="eastAsia" w:ascii="Times New Roman" w:hAnsi="Times New Roman" w:cs="Times New Roman"/>
          <w:b/>
          <w:bCs/>
        </w:rPr>
        <w:drawing>
          <wp:inline distT="0" distB="0" distL="114300" distR="114300">
            <wp:extent cx="4904105" cy="4410710"/>
            <wp:effectExtent l="0" t="0" r="3175" b="8890"/>
            <wp:docPr id="3" name="图片 3" descr="Fig. S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ig. S22"/>
                    <pic:cNvPicPr>
                      <a:picLocks noChangeAspect="1"/>
                    </pic:cNvPicPr>
                  </pic:nvPicPr>
                  <pic:blipFill>
                    <a:blip r:embed="rId5"/>
                    <a:stretch>
                      <a:fillRect/>
                    </a:stretch>
                  </pic:blipFill>
                  <pic:spPr>
                    <a:xfrm>
                      <a:off x="0" y="0"/>
                      <a:ext cx="4904105" cy="4410710"/>
                    </a:xfrm>
                    <a:prstGeom prst="rect">
                      <a:avLst/>
                    </a:prstGeom>
                  </pic:spPr>
                </pic:pic>
              </a:graphicData>
            </a:graphic>
          </wp:inline>
        </w:drawing>
      </w:r>
    </w:p>
    <w:p w14:paraId="65AB4686">
      <w:pPr>
        <w:rPr>
          <w:rFonts w:ascii="Times New Roman" w:hAnsi="Times New Roman" w:cs="Times New Roman"/>
          <w:b/>
          <w:bCs/>
        </w:rPr>
      </w:pPr>
      <w:r>
        <w:rPr>
          <w:rFonts w:hint="eastAsia" w:ascii="Times New Roman" w:hAnsi="Times New Roman" w:cs="Times New Roman"/>
          <w:b/>
          <w:bCs/>
        </w:rPr>
        <w:br w:type="page"/>
      </w:r>
    </w:p>
    <w:p w14:paraId="56DB4EFF">
      <w:pPr>
        <w:spacing w:after="240"/>
        <w:rPr>
          <w:rFonts w:ascii="Times New Roman" w:hAnsi="Times New Roman" w:cs="Times New Roman"/>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3.</w:t>
      </w:r>
      <w:r>
        <w:rPr>
          <w:rFonts w:ascii="Times New Roman" w:hAnsi="Times New Roman" w:cs="Times New Roman"/>
        </w:rPr>
        <w:t xml:space="preserve"> </w:t>
      </w:r>
      <w:r>
        <w:rPr>
          <w:rFonts w:hint="eastAsia" w:ascii="Times New Roman" w:hAnsi="Times New Roman" w:cs="Times New Roman"/>
        </w:rPr>
        <w:t xml:space="preserve">Relative abundance of functional genes involved in different methanogenic pathways under different soil layers. Different colors represent different soil layers. Different </w:t>
      </w:r>
      <w:r>
        <w:rPr>
          <w:rFonts w:ascii="Times New Roman" w:hAnsi="Times New Roman" w:cs="Times New Roman"/>
        </w:rPr>
        <w:t>marker</w:t>
      </w:r>
      <w:r>
        <w:rPr>
          <w:rFonts w:hint="eastAsia" w:ascii="Times New Roman" w:hAnsi="Times New Roman" w:cs="Times New Roman"/>
        </w:rPr>
        <w:t xml:space="preserve"> letters mean significant difference at a significance level of </w:t>
      </w:r>
      <w:r>
        <w:rPr>
          <w:rFonts w:hint="eastAsia" w:ascii="Times New Roman" w:hAnsi="Times New Roman" w:cs="Times New Roman"/>
          <w:i/>
          <w:iCs/>
        </w:rPr>
        <w:t>P</w:t>
      </w:r>
      <w:r>
        <w:rPr>
          <w:rFonts w:hint="eastAsia" w:ascii="Times New Roman" w:hAnsi="Times New Roman" w:cs="Times New Roman"/>
        </w:rPr>
        <w:t xml:space="preserve"> = 0.05, the same letters indicate insignificance difference across soil layers. NS (black line) indicates no significance at the significance level of </w:t>
      </w:r>
      <w:r>
        <w:rPr>
          <w:rFonts w:hint="eastAsia" w:ascii="Times New Roman" w:hAnsi="Times New Roman" w:cs="Times New Roman"/>
          <w:i/>
          <w:iCs/>
        </w:rPr>
        <w:t>P</w:t>
      </w:r>
      <w:r>
        <w:rPr>
          <w:rFonts w:hint="eastAsia" w:ascii="Times New Roman" w:hAnsi="Times New Roman" w:cs="Times New Roman"/>
        </w:rPr>
        <w:t xml:space="preserve"> = 0.05. </w:t>
      </w:r>
    </w:p>
    <w:p w14:paraId="5C554BD3">
      <w:pPr>
        <w:spacing w:after="240"/>
        <w:jc w:val="left"/>
        <w:rPr>
          <w:rFonts w:ascii="Times New Roman" w:hAnsi="Times New Roman" w:cs="Times New Roman"/>
        </w:rPr>
      </w:pPr>
      <w:r>
        <w:rPr>
          <w:rFonts w:hint="eastAsia" w:ascii="Times New Roman" w:hAnsi="Times New Roman" w:cs="Times New Roman"/>
        </w:rPr>
        <w:drawing>
          <wp:inline distT="0" distB="0" distL="114300" distR="114300">
            <wp:extent cx="5269865" cy="6771005"/>
            <wp:effectExtent l="0" t="0" r="3175" b="10795"/>
            <wp:docPr id="1" name="图片 1" descr="Fig. S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 S33"/>
                    <pic:cNvPicPr>
                      <a:picLocks noChangeAspect="1"/>
                    </pic:cNvPicPr>
                  </pic:nvPicPr>
                  <pic:blipFill>
                    <a:blip r:embed="rId6"/>
                    <a:stretch>
                      <a:fillRect/>
                    </a:stretch>
                  </pic:blipFill>
                  <pic:spPr>
                    <a:xfrm>
                      <a:off x="0" y="0"/>
                      <a:ext cx="5269865" cy="6771005"/>
                    </a:xfrm>
                    <a:prstGeom prst="rect">
                      <a:avLst/>
                    </a:prstGeom>
                  </pic:spPr>
                </pic:pic>
              </a:graphicData>
            </a:graphic>
          </wp:inline>
        </w:drawing>
      </w:r>
    </w:p>
    <w:p w14:paraId="42B85122">
      <w:pPr>
        <w:rPr>
          <w:rFonts w:ascii="Times New Roman" w:hAnsi="Times New Roman" w:cs="Times New Roman"/>
        </w:rPr>
      </w:pPr>
      <w:r>
        <w:rPr>
          <w:rFonts w:hint="eastAsia" w:ascii="Times New Roman" w:hAnsi="Times New Roman" w:cs="Times New Roman"/>
        </w:rPr>
        <w:br w:type="page"/>
      </w:r>
    </w:p>
    <w:p w14:paraId="600E5F0B">
      <w:pPr>
        <w:spacing w:after="240"/>
        <w:rPr>
          <w:rFonts w:ascii="Times New Roman" w:hAnsi="Times New Roman" w:cs="Times New Roman"/>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4.</w:t>
      </w:r>
      <w:r>
        <w:rPr>
          <w:rFonts w:hint="eastAsia" w:ascii="Times New Roman" w:hAnsi="Times New Roman" w:cs="Times New Roman"/>
        </w:rPr>
        <w:t xml:space="preserve"> Mantel</w:t>
      </w:r>
      <w:r>
        <w:rPr>
          <w:rFonts w:ascii="Times New Roman" w:hAnsi="Times New Roman" w:cs="Times New Roman"/>
        </w:rPr>
        <w:t>’</w:t>
      </w:r>
      <w:r>
        <w:rPr>
          <w:rFonts w:hint="eastAsia" w:ascii="Times New Roman" w:hAnsi="Times New Roman" w:cs="Times New Roman"/>
        </w:rPr>
        <w:t>s test for the correlations of soil properties, functional genes and functional groups in the wetlands. The correlation coefficients of each soil properties are indicated by area size of squares, smaller area means lower correlation, and vice versa. The line thickness is used to indicate the level of the correlation between variables with soil properties. Green color indicates a positive correlation while red color is negative.</w:t>
      </w:r>
    </w:p>
    <w:p w14:paraId="0F3F6B5D">
      <w:pPr>
        <w:spacing w:after="240"/>
        <w:jc w:val="center"/>
        <w:rPr>
          <w:rFonts w:ascii="Times New Roman" w:hAnsi="Times New Roman" w:cs="Times New Roman"/>
        </w:rPr>
      </w:pPr>
      <w:r>
        <w:rPr>
          <w:rFonts w:hint="eastAsia" w:ascii="Times New Roman" w:hAnsi="Times New Roman" w:cs="Times New Roman"/>
        </w:rPr>
        <w:drawing>
          <wp:inline distT="0" distB="0" distL="114300" distR="114300">
            <wp:extent cx="5265420" cy="3373755"/>
            <wp:effectExtent l="0" t="0" r="11430" b="17145"/>
            <wp:docPr id="12" name="图片 12" descr="Fig. 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ig. S4"/>
                    <pic:cNvPicPr>
                      <a:picLocks noChangeAspect="1"/>
                    </pic:cNvPicPr>
                  </pic:nvPicPr>
                  <pic:blipFill>
                    <a:blip r:embed="rId7"/>
                    <a:stretch>
                      <a:fillRect/>
                    </a:stretch>
                  </pic:blipFill>
                  <pic:spPr>
                    <a:xfrm>
                      <a:off x="0" y="0"/>
                      <a:ext cx="5265420" cy="3373755"/>
                    </a:xfrm>
                    <a:prstGeom prst="rect">
                      <a:avLst/>
                    </a:prstGeom>
                  </pic:spPr>
                </pic:pic>
              </a:graphicData>
            </a:graphic>
          </wp:inline>
        </w:drawing>
      </w:r>
      <w:r>
        <w:rPr>
          <w:rFonts w:hint="eastAsia" w:ascii="Times New Roman" w:hAnsi="Times New Roman" w:cs="Times New Roman"/>
        </w:rPr>
        <w:br w:type="page"/>
      </w:r>
    </w:p>
    <w:p w14:paraId="544462BC">
      <w:pPr>
        <w:rPr>
          <w:rFonts w:ascii="Times New Roman" w:hAnsi="Times New Roman" w:cs="Times New Roman"/>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5.</w:t>
      </w:r>
      <w:r>
        <w:rPr>
          <w:rFonts w:hint="eastAsia" w:ascii="Times New Roman" w:hAnsi="Times New Roman" w:cs="Times New Roman"/>
        </w:rPr>
        <w:t xml:space="preserve"> Simple linear relationships between five methanogenic metabolic groups and CH</w:t>
      </w:r>
      <w:r>
        <w:rPr>
          <w:rFonts w:hint="eastAsia" w:ascii="Times New Roman" w:hAnsi="Times New Roman" w:cs="Times New Roman"/>
          <w:vertAlign w:val="subscript"/>
        </w:rPr>
        <w:t>4</w:t>
      </w:r>
      <w:r>
        <w:rPr>
          <w:rFonts w:hint="eastAsia" w:ascii="Times New Roman" w:hAnsi="Times New Roman" w:cs="Times New Roman"/>
        </w:rPr>
        <w:t xml:space="preserve"> production potential. The regression curves are given respectively, </w:t>
      </w:r>
      <w:r>
        <w:rPr>
          <w:rFonts w:ascii="Times New Roman" w:hAnsi="Times New Roman" w:cs="Times New Roman"/>
        </w:rPr>
        <w:t xml:space="preserve">and the </w:t>
      </w:r>
      <w:r>
        <w:rPr>
          <w:rFonts w:hint="eastAsia" w:ascii="Times New Roman" w:hAnsi="Times New Roman" w:cs="Times New Roman"/>
        </w:rPr>
        <w:t xml:space="preserve">gray </w:t>
      </w:r>
      <w:r>
        <w:rPr>
          <w:rFonts w:ascii="Times New Roman" w:hAnsi="Times New Roman" w:cs="Times New Roman"/>
        </w:rPr>
        <w:t>band represent</w:t>
      </w:r>
      <w:r>
        <w:rPr>
          <w:rFonts w:hint="eastAsia" w:ascii="Times New Roman" w:hAnsi="Times New Roman" w:cs="Times New Roman"/>
        </w:rPr>
        <w:t>s</w:t>
      </w:r>
      <w:r>
        <w:rPr>
          <w:rFonts w:ascii="Times New Roman" w:hAnsi="Times New Roman" w:cs="Times New Roman"/>
        </w:rPr>
        <w:t xml:space="preserve"> 95 % confidence intervals.</w:t>
      </w:r>
      <w:r>
        <w:rPr>
          <w:rFonts w:hint="eastAsia" w:ascii="Times New Roman" w:hAnsi="Times New Roman" w:cs="Times New Roman"/>
        </w:rPr>
        <w:t xml:space="preserve"> The adjusted R</w:t>
      </w:r>
      <w:r>
        <w:rPr>
          <w:rFonts w:hint="eastAsia" w:ascii="Times New Roman" w:hAnsi="Times New Roman" w:cs="Times New Roman"/>
          <w:vertAlign w:val="superscript"/>
        </w:rPr>
        <w:t>2</w:t>
      </w:r>
      <w:r>
        <w:rPr>
          <w:rFonts w:hint="eastAsia" w:ascii="Times New Roman" w:hAnsi="Times New Roman" w:cs="Times New Roman"/>
        </w:rPr>
        <w:t xml:space="preserve"> and </w:t>
      </w:r>
      <w:r>
        <w:rPr>
          <w:rFonts w:hint="eastAsia" w:ascii="Times New Roman" w:hAnsi="Times New Roman" w:cs="Times New Roman"/>
          <w:i/>
        </w:rPr>
        <w:t>P</w:t>
      </w:r>
      <w:r>
        <w:rPr>
          <w:rFonts w:hint="eastAsia" w:ascii="Times New Roman" w:hAnsi="Times New Roman" w:cs="Times New Roman"/>
        </w:rPr>
        <w:t xml:space="preserve"> values indicate the strength and significance of the correlation.</w:t>
      </w:r>
    </w:p>
    <w:p w14:paraId="11EB3AAE">
      <w:pPr>
        <w:jc w:val="center"/>
        <w:rPr>
          <w:rFonts w:ascii="Times New Roman" w:hAnsi="Times New Roman" w:cs="Times New Roman"/>
          <w:b/>
          <w:bCs/>
        </w:rPr>
      </w:pPr>
      <w:r>
        <w:rPr>
          <w:rFonts w:ascii="Times New Roman" w:hAnsi="Times New Roman" w:cs="Times New Roman"/>
          <w:b/>
          <w:bCs/>
        </w:rPr>
        <w:drawing>
          <wp:inline distT="0" distB="0" distL="114300" distR="114300">
            <wp:extent cx="5265420" cy="3940175"/>
            <wp:effectExtent l="0" t="0" r="11430" b="3175"/>
            <wp:docPr id="15" name="图片 15" descr="Fig. 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Fig. S5"/>
                    <pic:cNvPicPr>
                      <a:picLocks noChangeAspect="1"/>
                    </pic:cNvPicPr>
                  </pic:nvPicPr>
                  <pic:blipFill>
                    <a:blip r:embed="rId8"/>
                    <a:stretch>
                      <a:fillRect/>
                    </a:stretch>
                  </pic:blipFill>
                  <pic:spPr>
                    <a:xfrm>
                      <a:off x="0" y="0"/>
                      <a:ext cx="5265420" cy="3940175"/>
                    </a:xfrm>
                    <a:prstGeom prst="rect">
                      <a:avLst/>
                    </a:prstGeom>
                  </pic:spPr>
                </pic:pic>
              </a:graphicData>
            </a:graphic>
          </wp:inline>
        </w:drawing>
      </w:r>
    </w:p>
    <w:p w14:paraId="7B9E227C">
      <w:pPr>
        <w:rPr>
          <w:rFonts w:ascii="Times New Roman" w:hAnsi="Times New Roman" w:cs="Times New Roman"/>
          <w:b/>
          <w:bCs/>
        </w:rPr>
      </w:pPr>
      <w:r>
        <w:rPr>
          <w:rFonts w:ascii="Times New Roman" w:hAnsi="Times New Roman" w:cs="Times New Roman"/>
          <w:b/>
          <w:bCs/>
        </w:rPr>
        <w:br w:type="page"/>
      </w:r>
    </w:p>
    <w:p w14:paraId="6037E84D">
      <w:pPr>
        <w:rPr>
          <w:rFonts w:ascii="Times New Roman" w:hAnsi="Times New Roman" w:cs="Times New Roman"/>
          <w:b/>
          <w:bCs/>
        </w:rPr>
      </w:pPr>
      <w:r>
        <w:rPr>
          <w:rFonts w:hint="eastAsia" w:ascii="Times New Roman" w:hAnsi="Times New Roman" w:cs="Times New Roman"/>
          <w:b/>
          <w:bCs/>
        </w:rPr>
        <w:t>Fig.</w:t>
      </w:r>
      <w:r>
        <w:rPr>
          <w:rFonts w:ascii="Times New Roman" w:hAnsi="Times New Roman" w:cs="Times New Roman"/>
          <w:b/>
          <w:bCs/>
        </w:rPr>
        <w:t xml:space="preserve"> S</w:t>
      </w:r>
      <w:r>
        <w:rPr>
          <w:rFonts w:hint="eastAsia" w:ascii="Times New Roman" w:hAnsi="Times New Roman" w:cs="Times New Roman"/>
          <w:b/>
          <w:bCs/>
        </w:rPr>
        <w:t>6.</w:t>
      </w:r>
      <w:r>
        <w:rPr>
          <w:rFonts w:hint="eastAsia" w:ascii="Times New Roman" w:hAnsi="Times New Roman" w:cs="Times New Roman"/>
        </w:rPr>
        <w:t xml:space="preserve"> Community-level diversity analysis of methanogens across soil depth layers. (A) Shannon-Winner index at different depths. (B) Principal Coordinate Analysis (PCoA) based on Bray-Curtis distance, confirmed by Permutational Multivariate Analysis of Variance (PERMANOVA</w:t>
      </w:r>
      <w:r>
        <w:rPr>
          <w:rStyle w:val="10"/>
          <w:rFonts w:hint="eastAsia" w:ascii="Times New Roman" w:hAnsi="Times New Roman" w:cs="Times New Roman"/>
          <w:szCs w:val="24"/>
        </w:rPr>
        <w:t>)</w:t>
      </w:r>
      <w:r>
        <w:rPr>
          <w:rFonts w:hint="eastAsia" w:ascii="Times New Roman" w:hAnsi="Times New Roman" w:cs="Times New Roman"/>
        </w:rPr>
        <w:t>.</w:t>
      </w:r>
    </w:p>
    <w:p w14:paraId="4287311D">
      <w:pPr>
        <w:jc w:val="center"/>
        <w:rPr>
          <w:rFonts w:ascii="Times New Roman" w:hAnsi="Times New Roman" w:cs="Times New Roman"/>
          <w:b/>
          <w:bCs/>
        </w:rPr>
      </w:pPr>
      <w:r>
        <w:rPr>
          <w:rFonts w:ascii="Times New Roman" w:hAnsi="Times New Roman" w:cs="Times New Roman"/>
          <w:b/>
          <w:bCs/>
        </w:rPr>
        <w:drawing>
          <wp:inline distT="0" distB="0" distL="114300" distR="114300">
            <wp:extent cx="5269865" cy="2907030"/>
            <wp:effectExtent l="0" t="0" r="3175" b="3810"/>
            <wp:docPr id="2" name="图片 2" descr="Fig. 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g. S6"/>
                    <pic:cNvPicPr>
                      <a:picLocks noChangeAspect="1"/>
                    </pic:cNvPicPr>
                  </pic:nvPicPr>
                  <pic:blipFill>
                    <a:blip r:embed="rId9"/>
                    <a:stretch>
                      <a:fillRect/>
                    </a:stretch>
                  </pic:blipFill>
                  <pic:spPr>
                    <a:xfrm>
                      <a:off x="0" y="0"/>
                      <a:ext cx="5269865" cy="2907030"/>
                    </a:xfrm>
                    <a:prstGeom prst="rect">
                      <a:avLst/>
                    </a:prstGeom>
                  </pic:spPr>
                </pic:pic>
              </a:graphicData>
            </a:graphic>
          </wp:inline>
        </w:drawing>
      </w:r>
    </w:p>
    <w:p w14:paraId="393CC848">
      <w:pPr>
        <w:jc w:val="center"/>
        <w:rPr>
          <w:rFonts w:ascii="Times New Roman" w:hAnsi="Times New Roman" w:cs="Times New Roman"/>
          <w:b/>
          <w:bCs/>
        </w:rPr>
      </w:pPr>
      <w:r>
        <w:rPr>
          <w:rFonts w:ascii="Times New Roman" w:hAnsi="Times New Roman" w:cs="Times New Roman"/>
          <w:b/>
          <w:bCs/>
        </w:rPr>
        <w:br w:type="page"/>
      </w:r>
    </w:p>
    <w:p w14:paraId="379047E8">
      <w:pPr>
        <w:spacing w:line="360" w:lineRule="auto"/>
        <w:rPr>
          <w:rFonts w:ascii="Times New Roman" w:hAnsi="Times New Roman" w:cs="Times New Roman"/>
        </w:rPr>
      </w:pPr>
      <w:r>
        <w:rPr>
          <w:rFonts w:ascii="Times New Roman" w:hAnsi="Times New Roman" w:cs="Times New Roman"/>
          <w:b/>
          <w:bCs/>
        </w:rPr>
        <w:t xml:space="preserve">Table </w:t>
      </w:r>
      <w:r>
        <w:rPr>
          <w:rFonts w:hint="eastAsia" w:ascii="Times New Roman" w:hAnsi="Times New Roman" w:cs="Times New Roman"/>
          <w:b/>
          <w:bCs/>
        </w:rPr>
        <w:t>S</w:t>
      </w:r>
      <w:r>
        <w:rPr>
          <w:rFonts w:ascii="Times New Roman" w:hAnsi="Times New Roman" w:cs="Times New Roman"/>
          <w:b/>
          <w:bCs/>
        </w:rPr>
        <w:t>1</w:t>
      </w:r>
      <w:r>
        <w:rPr>
          <w:rFonts w:ascii="Times New Roman" w:hAnsi="Times New Roman" w:cs="Times New Roman"/>
        </w:rPr>
        <w:t xml:space="preserve"> Taxonomy of major methanogens.</w:t>
      </w:r>
    </w:p>
    <w:tbl>
      <w:tblPr>
        <w:tblStyle w:val="12"/>
        <w:tblW w:w="9644"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0"/>
        <w:gridCol w:w="3060"/>
        <w:gridCol w:w="2940"/>
        <w:gridCol w:w="1414"/>
      </w:tblGrid>
      <w:tr w14:paraId="6410561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tcBorders>
              <w:top w:val="single" w:color="auto" w:sz="12" w:space="0"/>
              <w:left w:val="nil"/>
              <w:bottom w:val="single" w:color="auto" w:sz="6" w:space="0"/>
              <w:right w:val="nil"/>
              <w:insideH w:val="single" w:sz="6" w:space="0"/>
              <w:insideV w:val="nil"/>
              <w:tl2br w:val="nil"/>
              <w:tr2bl w:val="nil"/>
            </w:tcBorders>
            <w:vAlign w:val="center"/>
          </w:tcPr>
          <w:p w14:paraId="5AD1F012">
            <w:pPr>
              <w:wordWrap/>
              <w:spacing w:line="240" w:lineRule="auto"/>
              <w:rPr>
                <w:rFonts w:ascii="Times New Roman" w:hAnsi="Times New Roman" w:eastAsia="宋体" w:cs="Times New Roman"/>
                <w:b w:val="0"/>
                <w:i w:val="0"/>
                <w:color w:val="000000"/>
                <w:szCs w:val="21"/>
              </w:rPr>
            </w:pPr>
            <w:r>
              <w:rPr>
                <w:rFonts w:ascii="Times New Roman" w:hAnsi="Times New Roman" w:eastAsia="宋体" w:cs="Times New Roman"/>
                <w:b w:val="0"/>
                <w:i w:val="0"/>
                <w:color w:val="000000"/>
                <w:szCs w:val="21"/>
              </w:rPr>
              <w:t>Domain/kingdom/phylum</w:t>
            </w:r>
          </w:p>
        </w:tc>
        <w:tc>
          <w:tcPr>
            <w:tcW w:w="3060" w:type="dxa"/>
            <w:tcBorders>
              <w:top w:val="single" w:color="auto" w:sz="12" w:space="0"/>
              <w:bottom w:val="single" w:color="auto" w:sz="6" w:space="0"/>
              <w:right w:val="nil"/>
              <w:insideH w:val="single" w:sz="6" w:space="0"/>
              <w:insideV w:val="nil"/>
              <w:tl2br w:val="nil"/>
              <w:tr2bl w:val="nil"/>
            </w:tcBorders>
            <w:vAlign w:val="center"/>
          </w:tcPr>
          <w:p w14:paraId="23A1AA29">
            <w:pPr>
              <w:wordWrap/>
              <w:spacing w:line="240" w:lineRule="auto"/>
              <w:rPr>
                <w:rFonts w:ascii="Times New Roman" w:hAnsi="Times New Roman" w:eastAsia="宋体" w:cs="Times New Roman"/>
                <w:b w:val="0"/>
                <w:i w:val="0"/>
                <w:color w:val="000000"/>
                <w:szCs w:val="21"/>
              </w:rPr>
            </w:pPr>
            <w:r>
              <w:rPr>
                <w:rFonts w:ascii="Times New Roman" w:hAnsi="Times New Roman" w:eastAsia="宋体" w:cs="Times New Roman"/>
                <w:b w:val="0"/>
                <w:i w:val="0"/>
                <w:color w:val="000000"/>
                <w:szCs w:val="21"/>
              </w:rPr>
              <w:t>Genus</w:t>
            </w:r>
          </w:p>
        </w:tc>
        <w:tc>
          <w:tcPr>
            <w:tcW w:w="2940" w:type="dxa"/>
            <w:tcBorders>
              <w:top w:val="single" w:color="auto" w:sz="12" w:space="0"/>
              <w:bottom w:val="single" w:color="auto" w:sz="6" w:space="0"/>
              <w:right w:val="nil"/>
              <w:insideH w:val="single" w:sz="6" w:space="0"/>
              <w:insideV w:val="nil"/>
              <w:tl2br w:val="nil"/>
              <w:tr2bl w:val="nil"/>
            </w:tcBorders>
            <w:vAlign w:val="center"/>
          </w:tcPr>
          <w:p w14:paraId="73AC09AC">
            <w:pPr>
              <w:wordWrap/>
              <w:spacing w:line="240" w:lineRule="auto"/>
              <w:rPr>
                <w:rFonts w:ascii="Times New Roman" w:hAnsi="Times New Roman" w:eastAsia="宋体" w:cs="Times New Roman"/>
                <w:b w:val="0"/>
                <w:i w:val="0"/>
                <w:color w:val="000000"/>
                <w:szCs w:val="21"/>
              </w:rPr>
            </w:pPr>
            <w:r>
              <w:rPr>
                <w:rFonts w:ascii="Times New Roman" w:hAnsi="Times New Roman" w:eastAsia="宋体" w:cs="Times New Roman"/>
                <w:b w:val="0"/>
                <w:i w:val="0"/>
                <w:color w:val="000000"/>
                <w:szCs w:val="21"/>
              </w:rPr>
              <w:t>Major CH</w:t>
            </w:r>
            <w:r>
              <w:rPr>
                <w:rFonts w:ascii="Times New Roman" w:hAnsi="Times New Roman" w:eastAsia="宋体" w:cs="Times New Roman"/>
                <w:b w:val="0"/>
                <w:i w:val="0"/>
                <w:color w:val="000000"/>
                <w:szCs w:val="21"/>
                <w:vertAlign w:val="subscript"/>
              </w:rPr>
              <w:t>4</w:t>
            </w:r>
            <w:r>
              <w:rPr>
                <w:rFonts w:ascii="Times New Roman" w:hAnsi="Times New Roman" w:eastAsia="宋体" w:cs="Times New Roman"/>
                <w:b w:val="0"/>
                <w:i w:val="0"/>
                <w:color w:val="000000"/>
                <w:szCs w:val="21"/>
              </w:rPr>
              <w:t xml:space="preserve"> production pathway</w:t>
            </w:r>
          </w:p>
        </w:tc>
        <w:tc>
          <w:tcPr>
            <w:tcW w:w="1414" w:type="dxa"/>
            <w:tcBorders>
              <w:top w:val="single" w:color="auto" w:sz="12" w:space="0"/>
              <w:bottom w:val="single" w:color="auto" w:sz="6" w:space="0"/>
              <w:right w:val="nil"/>
              <w:insideH w:val="single" w:sz="6" w:space="0"/>
              <w:insideV w:val="nil"/>
              <w:tl2br w:val="nil"/>
              <w:tr2bl w:val="nil"/>
            </w:tcBorders>
            <w:vAlign w:val="center"/>
          </w:tcPr>
          <w:p w14:paraId="745F6BBC">
            <w:pPr>
              <w:wordWrap/>
              <w:spacing w:line="240" w:lineRule="auto"/>
              <w:rPr>
                <w:rFonts w:ascii="Times New Roman" w:hAnsi="Times New Roman" w:eastAsia="宋体" w:cs="Times New Roman"/>
                <w:b w:val="0"/>
                <w:i w:val="0"/>
                <w:color w:val="000000"/>
                <w:szCs w:val="21"/>
              </w:rPr>
            </w:pPr>
            <w:r>
              <w:rPr>
                <w:rFonts w:ascii="Times New Roman" w:hAnsi="Times New Roman" w:eastAsia="宋体" w:cs="Times New Roman"/>
                <w:b w:val="0"/>
                <w:i w:val="0"/>
                <w:color w:val="000000"/>
                <w:szCs w:val="21"/>
              </w:rPr>
              <w:t>Reference</w:t>
            </w:r>
          </w:p>
        </w:tc>
      </w:tr>
      <w:tr w14:paraId="4CB5D72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230" w:type="dxa"/>
            <w:vMerge w:val="restart"/>
            <w:vAlign w:val="center"/>
          </w:tcPr>
          <w:p w14:paraId="0176DFDC">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Archaea/Archaebacteria/ Euryarchaeota</w:t>
            </w:r>
          </w:p>
        </w:tc>
        <w:tc>
          <w:tcPr>
            <w:tcW w:w="3060" w:type="dxa"/>
            <w:vAlign w:val="center"/>
          </w:tcPr>
          <w:p w14:paraId="0F30FF6B">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g__Methanosarcina</w:t>
            </w:r>
          </w:p>
        </w:tc>
        <w:tc>
          <w:tcPr>
            <w:tcW w:w="2940" w:type="dxa"/>
            <w:vAlign w:val="center"/>
          </w:tcPr>
          <w:p w14:paraId="52B54C40">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Aceticlastic, methylotrophic</w:t>
            </w:r>
          </w:p>
        </w:tc>
        <w:tc>
          <w:tcPr>
            <w:tcW w:w="1414" w:type="dxa"/>
            <w:vMerge w:val="restart"/>
            <w:vAlign w:val="center"/>
          </w:tcPr>
          <w:p w14:paraId="61F74EC9">
            <w:pPr>
              <w:spacing w:line="240" w:lineRule="auto"/>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&lt;EndNote&gt;&lt;Cite&gt;&lt;Author&gt;Liu&lt;/Author&gt;&lt;Year&gt;2008&lt;/Year&gt;&lt;RecNum&gt;231&lt;/RecNum&gt;&lt;DisplayText&gt;(Liu and Whitman, 2008; Nazaries et al., 2013)&lt;/DisplayText&gt;&lt;record&gt;&lt;rec-number&gt;231&lt;/rec-number&gt;&lt;foreign-keys&gt;&lt;key app="EN" db-id="20svf905tft2fye5fpy5zdwdva0rr5txfvre" timestamp="1734404975"&gt;231&lt;/key&gt;&lt;/foreign-keys&gt;&lt;ref-type name="Journal Article"&gt;17&lt;/ref-type&gt;&lt;contributors&gt;&lt;authors&gt;&lt;author&gt;Liu, Yuchen&lt;/author&gt;&lt;author&gt;Whitman, William B.&lt;/author&gt;&lt;/authors&gt;&lt;/contributors&gt;&lt;titles&gt;&lt;title&gt;Metabolic, Phylogenetic, and Ecological Diversity of the Methanogenic Archaea&lt;/title&gt;&lt;secondary-title&gt;Annals of the New York Academy of Sciences&lt;/secondary-title&gt;&lt;/titles&gt;&lt;periodical&gt;&lt;full-title&gt;Annals of the New York Academy of Sciences&lt;/full-title&gt;&lt;/periodical&gt;&lt;pages&gt;171-189&lt;/pages&gt;&lt;volume&gt;1125&lt;/volume&gt;&lt;number&gt;1&lt;/number&gt;&lt;dates&gt;&lt;year&gt;2008&lt;/year&gt;&lt;/dates&gt;&lt;urls&gt;&lt;/urls&gt;&lt;/record&gt;&lt;/Cite&gt;&lt;Cite&gt;&lt;Author&gt;Nazaries&lt;/Author&gt;&lt;Year&gt;2013&lt;/Year&gt;&lt;RecNum&gt;277&lt;/RecNum&gt;&lt;record&gt;&lt;rec-number&gt;277&lt;/rec-number&gt;&lt;foreign-keys&gt;&lt;key app="EN" db-id="20svf905tft2fye5fpy5zdwdva0rr5txfvre" timestamp="1735894206"&gt;277&lt;/key&gt;&lt;/foreign-keys&gt;&lt;ref-type name="Journal Article"&gt;17&lt;/ref-type&gt;&lt;contributors&gt;&lt;authors&gt;&lt;author&gt;Nazaries, L.&lt;/author&gt;&lt;author&gt;Murrell, J. C.&lt;/author&gt;&lt;author&gt;Millard, P.&lt;/author&gt;&lt;author&gt;Baggs, L.&lt;/author&gt;&lt;author&gt;Singh, B. K.&lt;/author&gt;&lt;/authors&gt;&lt;/contributors&gt;&lt;titles&gt;&lt;title&gt;Methane, microbes and models: fundamental understanding of the soil methane cycle for future predictions&lt;/title&gt;&lt;secondary-title&gt;Environmental Microbiology&lt;/secondary-title&gt;&lt;/titles&gt;&lt;periodical&gt;&lt;full-title&gt;Environmental Microbiology&lt;/full-title&gt;&lt;/periodical&gt;&lt;pages&gt;2395-2417&lt;/pages&gt;&lt;volume&gt;15&lt;/volume&gt;&lt;number&gt;9&lt;/number&gt;&lt;dates&gt;&lt;year&gt;2013&lt;/year&gt;&lt;pub-dates&gt;&lt;date&gt;Sep&lt;/date&gt;&lt;/pub-dates&gt;&lt;/dates&gt;&lt;isbn&gt;1462-2912&lt;/isbn&gt;&lt;accession-num&gt;WOS:000323897000001&lt;/accession-num&gt;&lt;urls&gt;&lt;related-urls&gt;&lt;url&gt;&lt;style face="underline" font="default" size="100%"&gt;&amp;lt;Go to ISI&amp;gt;://WOS:000323897000001&lt;/style&gt;&lt;/url&gt;&lt;/related-urls&gt;&lt;/urls&gt;&lt;electronic-resource-num&gt;10.1111/1462-2920.12149&lt;/electronic-resource-num&gt;&lt;/record&gt;&lt;/Cite&gt;&lt;/EndNote&gt;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(Liu and Whitman, 2008; Nazaries et al., 2013)</w:t>
            </w:r>
            <w:r>
              <w:rPr>
                <w:rFonts w:hint="eastAsia" w:ascii="Times New Roman" w:hAnsi="Times New Roman" w:cs="Times New Roman"/>
                <w:color w:val="0000FF"/>
                <w:sz w:val="18"/>
                <w:szCs w:val="18"/>
              </w:rPr>
              <w:fldChar w:fldCharType="end"/>
            </w:r>
          </w:p>
        </w:tc>
      </w:tr>
      <w:tr w14:paraId="688BC7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8C697E1">
            <w:pPr>
              <w:spacing w:line="240" w:lineRule="auto"/>
              <w:rPr>
                <w:rFonts w:ascii="Times New Roman" w:hAnsi="Times New Roman" w:eastAsia="宋体" w:cs="Times New Roman"/>
                <w:color w:val="000000"/>
                <w:sz w:val="18"/>
                <w:szCs w:val="18"/>
              </w:rPr>
            </w:pPr>
          </w:p>
        </w:tc>
        <w:tc>
          <w:tcPr>
            <w:tcW w:w="3060" w:type="dxa"/>
            <w:vAlign w:val="center"/>
          </w:tcPr>
          <w:p w14:paraId="258772A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g__Methanothrix</w:t>
            </w:r>
          </w:p>
        </w:tc>
        <w:tc>
          <w:tcPr>
            <w:tcW w:w="2940" w:type="dxa"/>
            <w:vAlign w:val="center"/>
          </w:tcPr>
          <w:p w14:paraId="6ACBE60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Aceticlastic</w:t>
            </w:r>
          </w:p>
        </w:tc>
        <w:tc>
          <w:tcPr>
            <w:tcW w:w="1414" w:type="dxa"/>
            <w:vMerge w:val="continue"/>
            <w:vAlign w:val="center"/>
          </w:tcPr>
          <w:p w14:paraId="6FFC4AEE">
            <w:pPr>
              <w:spacing w:line="240" w:lineRule="auto"/>
              <w:rPr>
                <w:rFonts w:ascii="Times New Roman" w:hAnsi="Times New Roman" w:eastAsia="宋体" w:cs="Times New Roman"/>
                <w:color w:val="000000"/>
                <w:sz w:val="18"/>
                <w:szCs w:val="18"/>
              </w:rPr>
            </w:pPr>
          </w:p>
        </w:tc>
      </w:tr>
      <w:tr w14:paraId="066307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08FAD3FC">
            <w:pPr>
              <w:spacing w:line="240" w:lineRule="auto"/>
              <w:rPr>
                <w:rFonts w:ascii="Times New Roman" w:hAnsi="Times New Roman" w:eastAsia="宋体" w:cs="Times New Roman"/>
                <w:color w:val="000000"/>
                <w:sz w:val="18"/>
                <w:szCs w:val="18"/>
              </w:rPr>
            </w:pPr>
          </w:p>
        </w:tc>
        <w:tc>
          <w:tcPr>
            <w:tcW w:w="3060" w:type="dxa"/>
            <w:vAlign w:val="center"/>
          </w:tcPr>
          <w:p w14:paraId="0CED95C7">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g__Methanobacterium</w:t>
            </w:r>
          </w:p>
        </w:tc>
        <w:tc>
          <w:tcPr>
            <w:tcW w:w="2940" w:type="dxa"/>
            <w:vAlign w:val="center"/>
          </w:tcPr>
          <w:p w14:paraId="570B4C95">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6C959403">
            <w:pPr>
              <w:spacing w:line="240" w:lineRule="auto"/>
              <w:rPr>
                <w:rFonts w:ascii="Times New Roman" w:hAnsi="Times New Roman" w:eastAsia="宋体" w:cs="Times New Roman"/>
                <w:color w:val="000000"/>
                <w:sz w:val="18"/>
                <w:szCs w:val="18"/>
              </w:rPr>
            </w:pPr>
          </w:p>
        </w:tc>
      </w:tr>
      <w:tr w14:paraId="073F71D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316B5BC3">
            <w:pPr>
              <w:spacing w:line="240" w:lineRule="auto"/>
              <w:rPr>
                <w:rFonts w:ascii="Times New Roman" w:hAnsi="Times New Roman" w:eastAsia="宋体" w:cs="Times New Roman"/>
                <w:color w:val="000000"/>
                <w:sz w:val="18"/>
                <w:szCs w:val="18"/>
              </w:rPr>
            </w:pPr>
          </w:p>
        </w:tc>
        <w:tc>
          <w:tcPr>
            <w:tcW w:w="3060" w:type="dxa"/>
            <w:vAlign w:val="center"/>
          </w:tcPr>
          <w:p w14:paraId="6DA61F38">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g__Methanocella</w:t>
            </w:r>
          </w:p>
        </w:tc>
        <w:tc>
          <w:tcPr>
            <w:tcW w:w="2940" w:type="dxa"/>
            <w:vAlign w:val="center"/>
          </w:tcPr>
          <w:p w14:paraId="56AF73BE">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75F6ED18">
            <w:pPr>
              <w:spacing w:line="240" w:lineRule="auto"/>
              <w:rPr>
                <w:rFonts w:ascii="Times New Roman" w:hAnsi="Times New Roman" w:eastAsia="宋体" w:cs="Times New Roman"/>
                <w:color w:val="000000"/>
                <w:sz w:val="18"/>
                <w:szCs w:val="18"/>
              </w:rPr>
            </w:pPr>
          </w:p>
        </w:tc>
      </w:tr>
      <w:tr w14:paraId="42805D6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156C00A1">
            <w:pPr>
              <w:spacing w:line="240" w:lineRule="auto"/>
              <w:rPr>
                <w:rFonts w:ascii="Times New Roman" w:hAnsi="Times New Roman" w:eastAsia="宋体" w:cs="Times New Roman"/>
                <w:color w:val="000000"/>
                <w:sz w:val="18"/>
                <w:szCs w:val="18"/>
              </w:rPr>
            </w:pPr>
          </w:p>
        </w:tc>
        <w:tc>
          <w:tcPr>
            <w:tcW w:w="3060" w:type="dxa"/>
            <w:vAlign w:val="center"/>
          </w:tcPr>
          <w:p w14:paraId="7A33DE8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g__Methanoregula</w:t>
            </w:r>
          </w:p>
        </w:tc>
        <w:tc>
          <w:tcPr>
            <w:tcW w:w="2940" w:type="dxa"/>
            <w:vAlign w:val="center"/>
          </w:tcPr>
          <w:p w14:paraId="6EB078A6">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3F50C0C5">
            <w:pPr>
              <w:spacing w:line="240" w:lineRule="auto"/>
              <w:rPr>
                <w:rFonts w:ascii="Times New Roman" w:hAnsi="Times New Roman" w:eastAsia="宋体" w:cs="Times New Roman"/>
                <w:color w:val="000000"/>
                <w:sz w:val="18"/>
                <w:szCs w:val="18"/>
              </w:rPr>
            </w:pPr>
          </w:p>
        </w:tc>
      </w:tr>
      <w:tr w14:paraId="5CAF2BA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040B9C9D">
            <w:pPr>
              <w:spacing w:line="240" w:lineRule="auto"/>
              <w:rPr>
                <w:rFonts w:ascii="Times New Roman" w:hAnsi="Times New Roman" w:eastAsia="宋体" w:cs="Times New Roman"/>
                <w:color w:val="000000"/>
                <w:sz w:val="18"/>
                <w:szCs w:val="18"/>
              </w:rPr>
            </w:pPr>
          </w:p>
        </w:tc>
        <w:tc>
          <w:tcPr>
            <w:tcW w:w="3060" w:type="dxa"/>
            <w:vAlign w:val="center"/>
          </w:tcPr>
          <w:p w14:paraId="7353E0DE">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g__Methanoculleus</w:t>
            </w:r>
          </w:p>
        </w:tc>
        <w:tc>
          <w:tcPr>
            <w:tcW w:w="2940" w:type="dxa"/>
            <w:vAlign w:val="center"/>
          </w:tcPr>
          <w:p w14:paraId="32462A7D">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778CA1B2">
            <w:pPr>
              <w:spacing w:line="240" w:lineRule="auto"/>
              <w:rPr>
                <w:rFonts w:ascii="Times New Roman" w:hAnsi="Times New Roman" w:eastAsia="宋体" w:cs="Times New Roman"/>
                <w:color w:val="000000"/>
                <w:sz w:val="18"/>
                <w:szCs w:val="18"/>
              </w:rPr>
            </w:pPr>
          </w:p>
        </w:tc>
      </w:tr>
      <w:tr w14:paraId="3516B1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07F0A11F">
            <w:pPr>
              <w:spacing w:line="240" w:lineRule="auto"/>
              <w:rPr>
                <w:rFonts w:ascii="Times New Roman" w:hAnsi="Times New Roman" w:eastAsia="宋体" w:cs="Times New Roman"/>
                <w:color w:val="000000"/>
                <w:sz w:val="18"/>
                <w:szCs w:val="18"/>
              </w:rPr>
            </w:pPr>
          </w:p>
        </w:tc>
        <w:tc>
          <w:tcPr>
            <w:tcW w:w="3060" w:type="dxa"/>
            <w:vAlign w:val="center"/>
          </w:tcPr>
          <w:p w14:paraId="630834F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g__Methanofollis</w:t>
            </w:r>
          </w:p>
        </w:tc>
        <w:tc>
          <w:tcPr>
            <w:tcW w:w="2940" w:type="dxa"/>
            <w:vAlign w:val="center"/>
          </w:tcPr>
          <w:p w14:paraId="197F36A9">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6B8D804E">
            <w:pPr>
              <w:spacing w:line="240" w:lineRule="auto"/>
              <w:rPr>
                <w:rFonts w:ascii="Times New Roman" w:hAnsi="Times New Roman" w:eastAsia="宋体" w:cs="Times New Roman"/>
                <w:color w:val="000000"/>
                <w:sz w:val="18"/>
                <w:szCs w:val="18"/>
              </w:rPr>
            </w:pPr>
          </w:p>
        </w:tc>
      </w:tr>
      <w:tr w14:paraId="7A1199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1727A05D">
            <w:pPr>
              <w:spacing w:line="240" w:lineRule="auto"/>
              <w:rPr>
                <w:rFonts w:ascii="Times New Roman" w:hAnsi="Times New Roman" w:eastAsia="宋体" w:cs="Times New Roman"/>
                <w:color w:val="000000"/>
                <w:sz w:val="18"/>
                <w:szCs w:val="18"/>
              </w:rPr>
            </w:pPr>
          </w:p>
        </w:tc>
        <w:tc>
          <w:tcPr>
            <w:tcW w:w="3060" w:type="dxa"/>
            <w:vAlign w:val="center"/>
          </w:tcPr>
          <w:p w14:paraId="5A112AB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g__Methanococcoides</w:t>
            </w:r>
          </w:p>
        </w:tc>
        <w:tc>
          <w:tcPr>
            <w:tcW w:w="2940" w:type="dxa"/>
            <w:vAlign w:val="center"/>
          </w:tcPr>
          <w:p w14:paraId="5922A27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Aceticlastic,methylotrophic</w:t>
            </w:r>
          </w:p>
        </w:tc>
        <w:tc>
          <w:tcPr>
            <w:tcW w:w="1414" w:type="dxa"/>
            <w:vMerge w:val="continue"/>
            <w:vAlign w:val="center"/>
          </w:tcPr>
          <w:p w14:paraId="41A0B864">
            <w:pPr>
              <w:spacing w:line="240" w:lineRule="auto"/>
              <w:rPr>
                <w:rFonts w:ascii="Times New Roman" w:hAnsi="Times New Roman" w:eastAsia="宋体" w:cs="Times New Roman"/>
                <w:color w:val="000000"/>
                <w:sz w:val="18"/>
                <w:szCs w:val="18"/>
              </w:rPr>
            </w:pPr>
          </w:p>
        </w:tc>
      </w:tr>
      <w:tr w14:paraId="7D2D9B2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80FB356">
            <w:pPr>
              <w:spacing w:line="240" w:lineRule="auto"/>
              <w:rPr>
                <w:rFonts w:ascii="Times New Roman" w:hAnsi="Times New Roman" w:eastAsia="宋体" w:cs="Times New Roman"/>
                <w:color w:val="000000"/>
                <w:sz w:val="18"/>
                <w:szCs w:val="18"/>
              </w:rPr>
            </w:pPr>
          </w:p>
        </w:tc>
        <w:tc>
          <w:tcPr>
            <w:tcW w:w="3060" w:type="dxa"/>
            <w:vAlign w:val="center"/>
          </w:tcPr>
          <w:p w14:paraId="1250C2CA">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g__Methanobrevibacter</w:t>
            </w:r>
          </w:p>
        </w:tc>
        <w:tc>
          <w:tcPr>
            <w:tcW w:w="2940" w:type="dxa"/>
            <w:vAlign w:val="center"/>
          </w:tcPr>
          <w:p w14:paraId="78EAF4B5">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092D998F">
            <w:pPr>
              <w:spacing w:line="240" w:lineRule="auto"/>
              <w:rPr>
                <w:rFonts w:ascii="Times New Roman" w:hAnsi="Times New Roman" w:eastAsia="宋体" w:cs="Times New Roman"/>
                <w:color w:val="000000"/>
                <w:sz w:val="18"/>
                <w:szCs w:val="18"/>
              </w:rPr>
            </w:pPr>
          </w:p>
        </w:tc>
      </w:tr>
      <w:tr w14:paraId="3F167CF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CEC36B8">
            <w:pPr>
              <w:spacing w:line="240" w:lineRule="auto"/>
              <w:rPr>
                <w:rFonts w:ascii="Times New Roman" w:hAnsi="Times New Roman" w:eastAsia="宋体" w:cs="Times New Roman"/>
                <w:color w:val="000000"/>
                <w:sz w:val="18"/>
                <w:szCs w:val="18"/>
              </w:rPr>
            </w:pPr>
          </w:p>
        </w:tc>
        <w:tc>
          <w:tcPr>
            <w:tcW w:w="3060" w:type="dxa"/>
            <w:vAlign w:val="center"/>
          </w:tcPr>
          <w:p w14:paraId="298F7CD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g__Methanosphaerula</w:t>
            </w:r>
          </w:p>
        </w:tc>
        <w:tc>
          <w:tcPr>
            <w:tcW w:w="2940" w:type="dxa"/>
            <w:vAlign w:val="center"/>
          </w:tcPr>
          <w:p w14:paraId="2A905E4E">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0606D159">
            <w:pPr>
              <w:spacing w:line="240" w:lineRule="auto"/>
              <w:rPr>
                <w:rFonts w:ascii="Times New Roman" w:hAnsi="Times New Roman" w:eastAsia="宋体" w:cs="Times New Roman"/>
                <w:color w:val="000000"/>
                <w:sz w:val="18"/>
                <w:szCs w:val="18"/>
              </w:rPr>
            </w:pPr>
          </w:p>
        </w:tc>
      </w:tr>
      <w:tr w14:paraId="4C97B8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C6C4184">
            <w:pPr>
              <w:spacing w:line="240" w:lineRule="auto"/>
              <w:rPr>
                <w:rFonts w:ascii="Times New Roman" w:hAnsi="Times New Roman" w:eastAsia="宋体" w:cs="Times New Roman"/>
                <w:color w:val="000000"/>
                <w:sz w:val="18"/>
                <w:szCs w:val="18"/>
              </w:rPr>
            </w:pPr>
          </w:p>
        </w:tc>
        <w:tc>
          <w:tcPr>
            <w:tcW w:w="3060" w:type="dxa"/>
            <w:vAlign w:val="center"/>
          </w:tcPr>
          <w:p w14:paraId="4F80865E">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g__Methanothermobacter</w:t>
            </w:r>
          </w:p>
        </w:tc>
        <w:tc>
          <w:tcPr>
            <w:tcW w:w="2940" w:type="dxa"/>
            <w:vAlign w:val="center"/>
          </w:tcPr>
          <w:p w14:paraId="495AF0C2">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488ACFEF">
            <w:pPr>
              <w:spacing w:line="240" w:lineRule="auto"/>
              <w:rPr>
                <w:rFonts w:ascii="Times New Roman" w:hAnsi="Times New Roman" w:eastAsia="宋体" w:cs="Times New Roman"/>
                <w:color w:val="000000"/>
                <w:sz w:val="18"/>
                <w:szCs w:val="18"/>
              </w:rPr>
            </w:pPr>
          </w:p>
        </w:tc>
      </w:tr>
      <w:tr w14:paraId="01E27E4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6BAEDED4">
            <w:pPr>
              <w:spacing w:line="240" w:lineRule="auto"/>
              <w:rPr>
                <w:rFonts w:ascii="Times New Roman" w:hAnsi="Times New Roman" w:eastAsia="宋体" w:cs="Times New Roman"/>
                <w:color w:val="000000"/>
                <w:sz w:val="18"/>
                <w:szCs w:val="18"/>
              </w:rPr>
            </w:pPr>
          </w:p>
        </w:tc>
        <w:tc>
          <w:tcPr>
            <w:tcW w:w="3060" w:type="dxa"/>
            <w:vAlign w:val="center"/>
          </w:tcPr>
          <w:p w14:paraId="2CB727AC">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g__Methanospirillum</w:t>
            </w:r>
          </w:p>
        </w:tc>
        <w:tc>
          <w:tcPr>
            <w:tcW w:w="2940" w:type="dxa"/>
            <w:vAlign w:val="center"/>
          </w:tcPr>
          <w:p w14:paraId="415C759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14EF9C7A">
            <w:pPr>
              <w:spacing w:line="240" w:lineRule="auto"/>
              <w:rPr>
                <w:rFonts w:ascii="Times New Roman" w:hAnsi="Times New Roman" w:eastAsia="宋体" w:cs="Times New Roman"/>
                <w:color w:val="000000"/>
                <w:sz w:val="18"/>
                <w:szCs w:val="18"/>
              </w:rPr>
            </w:pPr>
          </w:p>
        </w:tc>
      </w:tr>
      <w:tr w14:paraId="0B641C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133CD5FD">
            <w:pPr>
              <w:spacing w:line="240" w:lineRule="auto"/>
              <w:rPr>
                <w:rFonts w:ascii="Times New Roman" w:hAnsi="Times New Roman" w:eastAsia="宋体" w:cs="Times New Roman"/>
                <w:color w:val="000000"/>
                <w:sz w:val="18"/>
                <w:szCs w:val="18"/>
              </w:rPr>
            </w:pPr>
          </w:p>
        </w:tc>
        <w:tc>
          <w:tcPr>
            <w:tcW w:w="3060" w:type="dxa"/>
            <w:vAlign w:val="center"/>
          </w:tcPr>
          <w:p w14:paraId="0BBA2400">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g__Candidatus_Methanomethylophilus</w:t>
            </w:r>
          </w:p>
        </w:tc>
        <w:tc>
          <w:tcPr>
            <w:tcW w:w="2940" w:type="dxa"/>
            <w:vAlign w:val="center"/>
          </w:tcPr>
          <w:p w14:paraId="3053C1C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Align w:val="center"/>
          </w:tcPr>
          <w:p w14:paraId="1B7E6A3E">
            <w:pPr>
              <w:spacing w:line="240" w:lineRule="auto"/>
              <w:outlineLvl w:val="1"/>
              <w:rPr>
                <w:rFonts w:ascii="Times New Roman" w:hAnsi="Times New Roman" w:cs="Times New Roman"/>
                <w:color w:val="000000"/>
                <w:sz w:val="18"/>
                <w:szCs w:val="18"/>
              </w:rPr>
            </w:pPr>
            <w:r>
              <w:rPr>
                <w:rFonts w:ascii="Times New Roman" w:hAnsi="Times New Roman" w:cs="Times New Roman"/>
                <w:color w:val="0000FF"/>
                <w:sz w:val="18"/>
                <w:szCs w:val="18"/>
              </w:rPr>
              <w:fldChar w:fldCharType="begin">
                <w:fldData xml:space="preserve">PEVuZE5vdGU+PENpdGU+PEF1dGhvcj5Cb3JyZWw8L0F1dGhvcj48WWVhcj4yMDEyPC9ZZWFyPjxS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</w:fldData>
              </w:fldChar>
            </w:r>
            <w:r>
              <w:rPr>
                <w:rFonts w:hint="eastAsia" w:ascii="Times New Roman" w:hAnsi="Times New Roman" w:cs="Times New Roman"/>
                <w:color w:val="0000FF"/>
                <w:sz w:val="18"/>
                <w:szCs w:val="18"/>
              </w:rPr>
              <w:instrText xml:space="preserve"> ADDIN EN.CITE </w:instrText>
            </w:r>
            <w:r>
              <w:rPr>
                <w:rFonts w:hint="eastAsia" w:ascii="Times New Roman" w:hAnsi="Times New Roman" w:cs="Times New Roman"/>
                <w:color w:val="0000FF"/>
                <w:sz w:val="18"/>
                <w:szCs w:val="18"/>
              </w:rPr>
              <w:fldChar w:fldCharType="begin">
                <w:fldData xml:space="preserve">PEVuZE5vdGU+PENpdGU+PEF1dGhvcj5Cb3JyZWw8L0F1dGhvcj48WWVhcj4yMDEyPC9ZZWFyPjxS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</w:fldData>
              </w:fldChar>
            </w:r>
            <w:r>
              <w:rPr>
                <w:rFonts w:hint="eastAsia" w:ascii="Times New Roman" w:hAnsi="Times New Roman" w:cs="Times New Roman"/>
                <w:color w:val="0000FF"/>
                <w:sz w:val="18"/>
                <w:szCs w:val="18"/>
              </w:rPr>
              <w:instrText xml:space="preserve"> ADDIN EN.CITE.DATA </w:instrText>
            </w:r>
            <w:r>
              <w:rPr>
                <w:rFonts w:hint="eastAsia" w:ascii="Times New Roman" w:hAnsi="Times New Roman" w:cs="Times New Roman"/>
                <w:color w:val="0000FF"/>
                <w:sz w:val="18"/>
                <w:szCs w:val="18"/>
              </w:rPr>
              <w:fldChar w:fldCharType="end"/>
            </w:r>
            <w:r>
              <w:rPr>
                <w:rFonts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(Borrel et al., 2012; Pyzik et al., 2018)</w:t>
            </w:r>
            <w:r>
              <w:rPr>
                <w:rFonts w:ascii="Times New Roman" w:hAnsi="Times New Roman" w:cs="Times New Roman"/>
                <w:color w:val="0000FF"/>
                <w:sz w:val="18"/>
                <w:szCs w:val="18"/>
              </w:rPr>
              <w:fldChar w:fldCharType="end"/>
            </w:r>
          </w:p>
        </w:tc>
      </w:tr>
      <w:tr w14:paraId="390D4E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0038FB4B">
            <w:pPr>
              <w:spacing w:line="240" w:lineRule="auto"/>
              <w:rPr>
                <w:rFonts w:ascii="Times New Roman" w:hAnsi="Times New Roman" w:eastAsia="宋体" w:cs="Times New Roman"/>
                <w:color w:val="000000"/>
                <w:sz w:val="18"/>
                <w:szCs w:val="18"/>
              </w:rPr>
            </w:pPr>
          </w:p>
        </w:tc>
        <w:tc>
          <w:tcPr>
            <w:tcW w:w="3060" w:type="dxa"/>
            <w:vAlign w:val="center"/>
          </w:tcPr>
          <w:p w14:paraId="764758D6">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g__Candidatus_Methanoplasma</w:t>
            </w:r>
          </w:p>
        </w:tc>
        <w:tc>
          <w:tcPr>
            <w:tcW w:w="2940" w:type="dxa"/>
            <w:vAlign w:val="center"/>
          </w:tcPr>
          <w:p w14:paraId="394C0D18">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Align w:val="center"/>
          </w:tcPr>
          <w:p w14:paraId="5F2B1EE3">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&lt;EndNote&gt;&lt;Cite&gt;&lt;Author&gt;Pyzik&lt;/Author&gt;&lt;Year&gt;2018&lt;/Year&gt;&lt;RecNum&gt;287&lt;/RecNum&gt;&lt;DisplayText&gt;(Pyzik et al., 2018)&lt;/DisplayText&gt;&lt;record&gt;&lt;rec-number&gt;287&lt;/rec-number&gt;&lt;foreign-keys&gt;&lt;key app="EN" db-id="20svf905tft2fye5fpy5zdwdva0rr5txfvre" timestamp="1740486991"&gt;287&lt;/key&gt;&lt;/foreign-keys&gt;&lt;ref-type name="Journal Article"&gt;17&lt;/ref-type&gt;&lt;contributors&gt;&lt;authors&gt;&lt;author&gt;Pyzik, Adam&lt;/author&gt;&lt;author&gt;Ciezkowska, Martyna&lt;/author&gt;&lt;author&gt;Krawczyk, Pawel S.&lt;/author&gt;&lt;author&gt;Sobczak, Adam&lt;/author&gt;&lt;author&gt;Drewniak, Lukasz&lt;/author&gt;&lt;author&gt;Dziembowski, Andrzej&lt;/author&gt;&lt;author&gt;Lipinski, Leszek&lt;/author&gt;&lt;/authors&gt;&lt;/contributors&gt;&lt;titles&gt;&lt;title&gt;Comparative analysis of deep sequenced methanogenic communities: identification of microorganisms responsible for methane production&lt;/title&gt;&lt;secondary-title&gt;Microbial Cell Factories&lt;/secondary-title&gt;&lt;/titles&gt;&lt;periodical&gt;&lt;full-title&gt;Microbial Cell Factories&lt;/full-title&gt;&lt;/periodical&gt;&lt;pages&gt;197&lt;/pages&gt;&lt;volume&gt;17&lt;/volume&gt;&lt;number&gt;1&lt;/number&gt;&lt;dates&gt;&lt;year&gt;2018&lt;/year&gt;&lt;pub-dates&gt;&lt;date&gt;Dec 20&lt;/date&gt;&lt;/pub-dates&gt;&lt;/dates&gt;&lt;isbn&gt;1475-2859&lt;/isbn&gt;&lt;accession-num&gt;WOS:000454158200002&lt;/accession-num&gt;&lt;work-type&gt;Article&lt;/work-type&gt;&lt;urls&gt;&lt;related-urls&gt;&lt;url&gt;&lt;style face="underline" font="default" size="100%"&gt;&amp;lt;Go to ISI&amp;gt;://WOS:000454158200002&lt;/style&gt;&lt;/url&gt;&lt;/related-urls&gt;&lt;/urls&gt;&lt;custom7&gt;197&lt;/custom7&gt;&lt;electronic-resource-num&gt;10.1186/s12934-018-1043-3&lt;/electronic-resource-num&gt;&lt;/record&gt;&lt;/Cite&gt;&lt;/EndNote&gt;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(Pyzik et al., 2018)</w:t>
            </w:r>
            <w:r>
              <w:rPr>
                <w:rFonts w:hint="eastAsia" w:ascii="Times New Roman" w:hAnsi="Times New Roman" w:cs="Times New Roman"/>
                <w:color w:val="0000FF"/>
                <w:sz w:val="18"/>
                <w:szCs w:val="18"/>
              </w:rPr>
              <w:fldChar w:fldCharType="end"/>
            </w:r>
          </w:p>
        </w:tc>
      </w:tr>
      <w:tr w14:paraId="5EDEF33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3FAE44CE">
            <w:pPr>
              <w:spacing w:line="240" w:lineRule="auto"/>
              <w:rPr>
                <w:rFonts w:ascii="Times New Roman" w:hAnsi="Times New Roman" w:eastAsia="宋体" w:cs="Times New Roman"/>
                <w:color w:val="000000"/>
                <w:sz w:val="18"/>
                <w:szCs w:val="18"/>
              </w:rPr>
            </w:pPr>
          </w:p>
        </w:tc>
        <w:tc>
          <w:tcPr>
            <w:tcW w:w="3060" w:type="dxa"/>
            <w:vAlign w:val="center"/>
          </w:tcPr>
          <w:p w14:paraId="07E915D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g__Methanomassiliicoccus</w:t>
            </w:r>
          </w:p>
        </w:tc>
        <w:tc>
          <w:tcPr>
            <w:tcW w:w="2940" w:type="dxa"/>
            <w:vAlign w:val="center"/>
          </w:tcPr>
          <w:p w14:paraId="362D331B">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Align w:val="center"/>
          </w:tcPr>
          <w:p w14:paraId="290316FD">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&lt;EndNote&gt;&lt;Cite&gt;&lt;Author&gt;Vanwonterghem&lt;/Author&gt;&lt;Year&gt;2016&lt;/Year&gt;&lt;RecNum&gt;232&lt;/RecNum&gt;&lt;DisplayText&gt;(Vanwonterghem et al., 2016)&lt;/DisplayText&gt;&lt;record&gt;&lt;rec-number&gt;232&lt;/rec-number&gt;&lt;foreign-keys&gt;&lt;key app="EN" db-id="20svf905tft2fye5fpy5zdwdva0rr5txfvre" timestamp="1734406005"&gt;232&lt;/key&gt;&lt;/foreign-keys&gt;&lt;ref-type name="Journal Article"&gt;17&lt;/ref-type&gt;&lt;contributors&gt;&lt;authors&gt;&lt;author&gt;Vanwonterghem, Inka&lt;/author&gt;&lt;author&gt;Evans, Paul N.&lt;/author&gt;&lt;author&gt;Parks, Donovan H.&lt;/author&gt;&lt;author&gt;Jensen, Paul D.&lt;/author&gt;&lt;author&gt;Woodcroft, Ben J.&lt;/author&gt;&lt;author&gt;Hugenholtz, Philip&lt;/author&gt;&lt;author&gt;Tyson, Gene W.&lt;/author&gt;&lt;/authors&gt;&lt;/contributors&gt;&lt;titles&gt;&lt;title&gt;Methylotrophic methanogenesis discovered in the archaeal phylum Verstraetearchaeota&lt;/title&gt;&lt;secondary-title&gt;Nature Microbiology&lt;/secondary-title&gt;&lt;/titles&gt;&lt;periodical&gt;&lt;full-title&gt;Nature Microbiology&lt;/full-title&gt;&lt;/periodical&gt;&lt;pages&gt;16170&lt;/pages&gt;&lt;volume&gt;1&lt;/volume&gt;&lt;number&gt;12&lt;/number&gt;&lt;dates&gt;&lt;year&gt;2016&lt;/year&gt;&lt;/dates&gt;&lt;urls&gt;&lt;/urls&gt;&lt;/record&gt;&lt;/Cite&gt;&lt;/EndNote&gt;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(Vanwonterghem et al., 2016)</w:t>
            </w:r>
            <w:r>
              <w:rPr>
                <w:rFonts w:hint="eastAsia" w:ascii="Times New Roman" w:hAnsi="Times New Roman" w:cs="Times New Roman"/>
                <w:color w:val="0000FF"/>
                <w:sz w:val="18"/>
                <w:szCs w:val="18"/>
              </w:rPr>
              <w:fldChar w:fldCharType="end"/>
            </w:r>
          </w:p>
        </w:tc>
      </w:tr>
      <w:tr w14:paraId="08FEB0C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4BA486D6">
            <w:pPr>
              <w:spacing w:line="240" w:lineRule="auto"/>
              <w:rPr>
                <w:rFonts w:ascii="Times New Roman" w:hAnsi="Times New Roman" w:eastAsia="宋体" w:cs="Times New Roman"/>
                <w:color w:val="000000"/>
                <w:sz w:val="18"/>
                <w:szCs w:val="18"/>
              </w:rPr>
            </w:pPr>
          </w:p>
        </w:tc>
        <w:tc>
          <w:tcPr>
            <w:tcW w:w="3060" w:type="dxa"/>
            <w:vAlign w:val="center"/>
          </w:tcPr>
          <w:p w14:paraId="12B65197">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g__Candidatus_Methanoliparum</w:t>
            </w:r>
          </w:p>
        </w:tc>
        <w:tc>
          <w:tcPr>
            <w:tcW w:w="2940" w:type="dxa"/>
            <w:vAlign w:val="center"/>
          </w:tcPr>
          <w:p w14:paraId="4F87936D">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Align w:val="center"/>
          </w:tcPr>
          <w:p w14:paraId="5A23C0E8">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&lt;EndNote&gt;&lt;Cite&gt;&lt;Author&gt;Zhang&lt;/Author&gt;&lt;Year&gt;2024&lt;/Year&gt;&lt;RecNum&gt;289&lt;/RecNum&gt;&lt;DisplayText&gt;(Zhang et al., 2024)&lt;/DisplayText&gt;&lt;record&gt;&lt;rec-number&gt;289&lt;/rec-number&gt;&lt;foreign-keys&gt;&lt;key app="EN" db-id="20svf905tft2fye5fpy5zdwdva0rr5txfvre" timestamp="1740488138"&gt;289&lt;/key&gt;&lt;/foreign-keys&gt;&lt;ref-type name="Journal Article"&gt;17&lt;/ref-type&gt;&lt;contributors&gt;&lt;authors&gt;&lt;author&gt;Zhang, Cui Jing&lt;/author&gt;&lt;author&gt;Zhou, Zhuo&lt;/author&gt;&lt;author&gt;Cha, Guihong&lt;/author&gt;&lt;author&gt;Li, Ling&lt;/author&gt;&lt;author&gt;Fu, Lin&lt;/author&gt;&lt;author&gt;Liu, Lai Yan&lt;/author&gt;&lt;author&gt;Yang, Lu&lt;/author&gt;&lt;author&gt;Wegener, Gunter&lt;/author&gt;&lt;author&gt;Cheng, Lei&lt;/author&gt;&lt;author&gt;Li, Meng&lt;/author&gt;&lt;/authors&gt;&lt;/contributors&gt;&lt;titles&gt;&lt;title&gt;Anaerobic hydrocarbon biodegradation by alkylotrophic methanogens in deep oil reservoirs&lt;/title&gt;&lt;secondary-title&gt;Isme Journal&lt;/secondary-title&gt;&lt;/titles&gt;&lt;periodical&gt;&lt;full-title&gt;Isme Journal&lt;/full-title&gt;&lt;/periodical&gt;&lt;pages&gt;wrae152&lt;/pages&gt;&lt;volume&gt;18&lt;/volume&gt;&lt;number&gt;1&lt;/number&gt;&lt;dates&gt;&lt;year&gt;2024&lt;/year&gt;&lt;pub-dates&gt;&lt;date&gt;Sep 3&lt;/date&gt;&lt;/pub-dates&gt;&lt;/dates&gt;&lt;isbn&gt;1751-7362&lt;/isbn&gt;&lt;accession-num&gt;WOS:001304943200001&lt;/accession-num&gt;&lt;work-type&gt;Article&lt;/work-type&gt;&lt;urls&gt;&lt;related-urls&gt;&lt;url&gt;&lt;style face="underline" font="default" size="100%"&gt;&amp;lt;Go to ISI&amp;gt;://WOS:001304943200001&lt;/style&gt;&lt;/url&gt;&lt;/related-urls&gt;&lt;/urls&gt;&lt;custom7&gt;wrae152&lt;/custom7&gt;&lt;electronic-resource-num&gt;10.1093/ismejo/wrae152&lt;/electronic-resource-num&gt;&lt;/record&gt;&lt;/Cite&gt;&lt;/EndNote&gt;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(Zhang et al., 2024)</w:t>
            </w:r>
            <w:r>
              <w:rPr>
                <w:rFonts w:hint="eastAsia" w:ascii="Times New Roman" w:hAnsi="Times New Roman" w:cs="Times New Roman"/>
                <w:color w:val="0000FF"/>
                <w:sz w:val="18"/>
                <w:szCs w:val="18"/>
              </w:rPr>
              <w:fldChar w:fldCharType="end"/>
            </w:r>
          </w:p>
        </w:tc>
      </w:tr>
      <w:tr w14:paraId="64F536F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333182AA">
            <w:pPr>
              <w:spacing w:line="240" w:lineRule="auto"/>
              <w:rPr>
                <w:rFonts w:ascii="Times New Roman" w:hAnsi="Times New Roman" w:eastAsia="宋体" w:cs="Times New Roman"/>
                <w:color w:val="000000"/>
                <w:sz w:val="18"/>
                <w:szCs w:val="18"/>
              </w:rPr>
            </w:pPr>
          </w:p>
        </w:tc>
        <w:tc>
          <w:tcPr>
            <w:tcW w:w="3060" w:type="dxa"/>
            <w:vAlign w:val="center"/>
          </w:tcPr>
          <w:p w14:paraId="135B5567">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g__Methanosphaera</w:t>
            </w:r>
          </w:p>
        </w:tc>
        <w:tc>
          <w:tcPr>
            <w:tcW w:w="2940" w:type="dxa"/>
            <w:vAlign w:val="center"/>
          </w:tcPr>
          <w:p w14:paraId="7D10BC1B">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Merge w:val="restart"/>
            <w:vAlign w:val="center"/>
          </w:tcPr>
          <w:p w14:paraId="1DE4B040">
            <w:pPr>
              <w:spacing w:line="240" w:lineRule="auto"/>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&lt;EndNote&gt;&lt;Cite&gt;&lt;Author&gt;Liu&lt;/Author&gt;&lt;Year&gt;2008&lt;/Year&gt;&lt;RecNum&gt;231&lt;/RecNum&gt;&lt;DisplayText&gt;(Liu and Whitman, 2008; Nazaries et al., 2013)&lt;/DisplayText&gt;&lt;record&gt;&lt;rec-number&gt;231&lt;/rec-number&gt;&lt;foreign-keys&gt;&lt;key app="EN" db-id="20svf905tft2fye5fpy5zdwdva0rr5txfvre" timestamp="1734404975"&gt;231&lt;/key&gt;&lt;/foreign-keys&gt;&lt;ref-type name="Journal Article"&gt;17&lt;/ref-type&gt;&lt;contributors&gt;&lt;authors&gt;&lt;author&gt;Liu, Yuchen&lt;/author&gt;&lt;author&gt;Whitman, William B.&lt;/author&gt;&lt;/authors&gt;&lt;/contributors&gt;&lt;titles&gt;&lt;title&gt;Metabolic, Phylogenetic, and Ecological Diversity of the Methanogenic Archaea&lt;/title&gt;&lt;secondary-title&gt;Annals of the New York Academy of Sciences&lt;/secondary-title&gt;&lt;/titles&gt;&lt;periodical&gt;&lt;full-title&gt;Annals of the New York Academy of Sciences&lt;/full-title&gt;&lt;/periodical&gt;&lt;pages&gt;171-189&lt;/pages&gt;&lt;volume&gt;1125&lt;/volume&gt;&lt;number&gt;1&lt;/number&gt;&lt;dates&gt;&lt;year&gt;2008&lt;/year&gt;&lt;/dates&gt;&lt;urls&gt;&lt;/urls&gt;&lt;/record&gt;&lt;/Cite&gt;&lt;Cite&gt;&lt;Author&gt;Nazaries&lt;/Author&gt;&lt;Year&gt;2013&lt;/Year&gt;&lt;RecNum&gt;277&lt;/RecNum&gt;&lt;record&gt;&lt;rec-number&gt;277&lt;/rec-number&gt;&lt;foreign-keys&gt;&lt;key app="EN" db-id="20svf905tft2fye5fpy5zdwdva0rr5txfvre" timestamp="1735894206"&gt;277&lt;/key&gt;&lt;/foreign-keys&gt;&lt;ref-type name="Journal Article"&gt;17&lt;/ref-type&gt;&lt;contributors&gt;&lt;authors&gt;&lt;author&gt;Nazaries, L.&lt;/author&gt;&lt;author&gt;Murrell, J. C.&lt;/author&gt;&lt;author&gt;Millard, P.&lt;/author&gt;&lt;author&gt;Baggs, L.&lt;/author&gt;&lt;author&gt;Singh, B. K.&lt;/author&gt;&lt;/authors&gt;&lt;/contributors&gt;&lt;titles&gt;&lt;title&gt;Methane, microbes and models: fundamental understanding of the soil methane cycle for future predictions&lt;/title&gt;&lt;secondary-title&gt;Environmental Microbiology&lt;/secondary-title&gt;&lt;/titles&gt;&lt;periodical&gt;&lt;full-title&gt;Environmental Microbiology&lt;/full-title&gt;&lt;/periodical&gt;&lt;pages&gt;2395-2417&lt;/pages&gt;&lt;volume&gt;15&lt;/volume&gt;&lt;number&gt;9&lt;/number&gt;&lt;dates&gt;&lt;year&gt;2013&lt;/year&gt;&lt;pub-dates&gt;&lt;date&gt;Sep&lt;/date&gt;&lt;/pub-dates&gt;&lt;/dates&gt;&lt;isbn&gt;1462-2912&lt;/isbn&gt;&lt;accession-num&gt;WOS:000323897000001&lt;/accession-num&gt;&lt;urls&gt;&lt;related-urls&gt;&lt;url&gt;&lt;style face="underline" font="default" size="100%"&gt;&amp;lt;Go to ISI&amp;gt;://WOS:000323897000001&lt;/style&gt;&lt;/url&gt;&lt;/related-urls&gt;&lt;/urls&gt;&lt;electronic-resource-num&gt;10.1111/1462-2920.12149&lt;/electronic-resource-num&gt;&lt;/record&gt;&lt;/Cite&gt;&lt;/EndNote&gt;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(Liu and Whitman, 2008; Nazaries et al., 2013)</w:t>
            </w:r>
            <w:r>
              <w:rPr>
                <w:rFonts w:hint="eastAsia" w:ascii="Times New Roman" w:hAnsi="Times New Roman" w:cs="Times New Roman"/>
                <w:color w:val="0000FF"/>
                <w:sz w:val="18"/>
                <w:szCs w:val="18"/>
              </w:rPr>
              <w:fldChar w:fldCharType="end"/>
            </w:r>
          </w:p>
        </w:tc>
      </w:tr>
      <w:tr w14:paraId="7F9900C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7074CDA3">
            <w:pPr>
              <w:spacing w:line="240" w:lineRule="auto"/>
              <w:rPr>
                <w:rFonts w:ascii="Times New Roman" w:hAnsi="Times New Roman" w:eastAsia="宋体" w:cs="Times New Roman"/>
                <w:color w:val="000000"/>
                <w:sz w:val="18"/>
                <w:szCs w:val="18"/>
              </w:rPr>
            </w:pPr>
          </w:p>
        </w:tc>
        <w:tc>
          <w:tcPr>
            <w:tcW w:w="3060" w:type="dxa"/>
            <w:vAlign w:val="center"/>
          </w:tcPr>
          <w:p w14:paraId="254FAB1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g__Methanothermus</w:t>
            </w:r>
          </w:p>
        </w:tc>
        <w:tc>
          <w:tcPr>
            <w:tcW w:w="2940" w:type="dxa"/>
            <w:vAlign w:val="center"/>
          </w:tcPr>
          <w:p w14:paraId="6725218A">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1D0F87D1">
            <w:pPr>
              <w:spacing w:line="240" w:lineRule="auto"/>
              <w:rPr>
                <w:rFonts w:ascii="Times New Roman" w:hAnsi="Times New Roman" w:eastAsia="宋体" w:cs="Times New Roman"/>
                <w:color w:val="000000"/>
                <w:sz w:val="18"/>
                <w:szCs w:val="18"/>
              </w:rPr>
            </w:pPr>
          </w:p>
        </w:tc>
      </w:tr>
      <w:tr w14:paraId="6AC6B5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77F70A26">
            <w:pPr>
              <w:spacing w:line="240" w:lineRule="auto"/>
              <w:rPr>
                <w:rFonts w:ascii="Times New Roman" w:hAnsi="Times New Roman" w:eastAsia="宋体" w:cs="Times New Roman"/>
                <w:color w:val="000000"/>
                <w:sz w:val="18"/>
                <w:szCs w:val="18"/>
              </w:rPr>
            </w:pPr>
          </w:p>
        </w:tc>
        <w:tc>
          <w:tcPr>
            <w:tcW w:w="3060" w:type="dxa"/>
            <w:vAlign w:val="center"/>
          </w:tcPr>
          <w:p w14:paraId="384CF96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g__Methanolobus</w:t>
            </w:r>
          </w:p>
        </w:tc>
        <w:tc>
          <w:tcPr>
            <w:tcW w:w="2940" w:type="dxa"/>
            <w:vAlign w:val="center"/>
          </w:tcPr>
          <w:p w14:paraId="0DF8EDE5">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075F2302">
            <w:pPr>
              <w:spacing w:line="240" w:lineRule="auto"/>
              <w:rPr>
                <w:rFonts w:ascii="Times New Roman" w:hAnsi="Times New Roman" w:eastAsia="宋体" w:cs="Times New Roman"/>
                <w:color w:val="000000"/>
                <w:sz w:val="18"/>
                <w:szCs w:val="18"/>
              </w:rPr>
            </w:pPr>
          </w:p>
        </w:tc>
      </w:tr>
      <w:tr w14:paraId="545F0E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6CC67923">
            <w:pPr>
              <w:spacing w:line="240" w:lineRule="auto"/>
              <w:rPr>
                <w:rFonts w:ascii="Times New Roman" w:hAnsi="Times New Roman" w:eastAsia="宋体" w:cs="Times New Roman"/>
                <w:color w:val="000000"/>
                <w:sz w:val="18"/>
                <w:szCs w:val="18"/>
              </w:rPr>
            </w:pPr>
          </w:p>
        </w:tc>
        <w:tc>
          <w:tcPr>
            <w:tcW w:w="3060" w:type="dxa"/>
            <w:vAlign w:val="center"/>
          </w:tcPr>
          <w:p w14:paraId="52DCA799">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g__Methanohalobium</w:t>
            </w:r>
          </w:p>
        </w:tc>
        <w:tc>
          <w:tcPr>
            <w:tcW w:w="2940" w:type="dxa"/>
            <w:vAlign w:val="center"/>
          </w:tcPr>
          <w:p w14:paraId="0534EB89">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Aceticlastic, methylotrophic</w:t>
            </w:r>
          </w:p>
        </w:tc>
        <w:tc>
          <w:tcPr>
            <w:tcW w:w="1414" w:type="dxa"/>
            <w:vMerge w:val="continue"/>
            <w:vAlign w:val="center"/>
          </w:tcPr>
          <w:p w14:paraId="15B1C4E6">
            <w:pPr>
              <w:spacing w:line="240" w:lineRule="auto"/>
              <w:rPr>
                <w:rFonts w:ascii="Times New Roman" w:hAnsi="Times New Roman" w:eastAsia="宋体" w:cs="Times New Roman"/>
                <w:color w:val="000000"/>
                <w:sz w:val="18"/>
                <w:szCs w:val="18"/>
              </w:rPr>
            </w:pPr>
          </w:p>
        </w:tc>
      </w:tr>
      <w:tr w14:paraId="1B8D888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EB096B4">
            <w:pPr>
              <w:spacing w:line="240" w:lineRule="auto"/>
              <w:rPr>
                <w:rFonts w:ascii="Times New Roman" w:hAnsi="Times New Roman" w:eastAsia="宋体" w:cs="Times New Roman"/>
                <w:color w:val="000000"/>
                <w:sz w:val="18"/>
                <w:szCs w:val="18"/>
              </w:rPr>
            </w:pPr>
          </w:p>
        </w:tc>
        <w:tc>
          <w:tcPr>
            <w:tcW w:w="3060" w:type="dxa"/>
            <w:vAlign w:val="center"/>
          </w:tcPr>
          <w:p w14:paraId="06F4315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g__Methanohalophilus</w:t>
            </w:r>
          </w:p>
        </w:tc>
        <w:tc>
          <w:tcPr>
            <w:tcW w:w="2940" w:type="dxa"/>
            <w:vAlign w:val="center"/>
          </w:tcPr>
          <w:p w14:paraId="1B269D41">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Aceticlastic, methylotrophic</w:t>
            </w:r>
          </w:p>
        </w:tc>
        <w:tc>
          <w:tcPr>
            <w:tcW w:w="1414" w:type="dxa"/>
            <w:vMerge w:val="continue"/>
            <w:vAlign w:val="center"/>
          </w:tcPr>
          <w:p w14:paraId="2FF3A737">
            <w:pPr>
              <w:spacing w:line="240" w:lineRule="auto"/>
              <w:rPr>
                <w:rFonts w:ascii="Times New Roman" w:hAnsi="Times New Roman" w:eastAsia="宋体" w:cs="Times New Roman"/>
                <w:color w:val="000000"/>
                <w:sz w:val="18"/>
                <w:szCs w:val="18"/>
              </w:rPr>
            </w:pPr>
          </w:p>
        </w:tc>
      </w:tr>
      <w:tr w14:paraId="64E403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3CED64BC">
            <w:pPr>
              <w:spacing w:line="240" w:lineRule="auto"/>
              <w:rPr>
                <w:rFonts w:ascii="Times New Roman" w:hAnsi="Times New Roman" w:eastAsia="宋体" w:cs="Times New Roman"/>
                <w:color w:val="000000"/>
                <w:sz w:val="18"/>
                <w:szCs w:val="18"/>
              </w:rPr>
            </w:pPr>
          </w:p>
        </w:tc>
        <w:tc>
          <w:tcPr>
            <w:tcW w:w="3060" w:type="dxa"/>
            <w:vAlign w:val="center"/>
          </w:tcPr>
          <w:p w14:paraId="5AD18D95">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g__Methanomethylovorans</w:t>
            </w:r>
          </w:p>
        </w:tc>
        <w:tc>
          <w:tcPr>
            <w:tcW w:w="2940" w:type="dxa"/>
            <w:vAlign w:val="center"/>
          </w:tcPr>
          <w:p w14:paraId="57AD2E6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25443D9F">
            <w:pPr>
              <w:spacing w:line="240" w:lineRule="auto"/>
              <w:rPr>
                <w:rFonts w:ascii="Times New Roman" w:hAnsi="Times New Roman" w:eastAsia="宋体" w:cs="Times New Roman"/>
                <w:color w:val="000000"/>
                <w:sz w:val="18"/>
                <w:szCs w:val="18"/>
              </w:rPr>
            </w:pPr>
          </w:p>
        </w:tc>
      </w:tr>
      <w:tr w14:paraId="7F6383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0C9BBDC7">
            <w:pPr>
              <w:spacing w:line="240" w:lineRule="auto"/>
              <w:rPr>
                <w:rFonts w:ascii="Times New Roman" w:hAnsi="Times New Roman" w:eastAsia="宋体" w:cs="Times New Roman"/>
                <w:color w:val="000000"/>
                <w:sz w:val="18"/>
                <w:szCs w:val="18"/>
              </w:rPr>
            </w:pPr>
          </w:p>
        </w:tc>
        <w:tc>
          <w:tcPr>
            <w:tcW w:w="3060" w:type="dxa"/>
            <w:vAlign w:val="center"/>
          </w:tcPr>
          <w:p w14:paraId="2178FEE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g__Methanococcus</w:t>
            </w:r>
          </w:p>
        </w:tc>
        <w:tc>
          <w:tcPr>
            <w:tcW w:w="2940" w:type="dxa"/>
            <w:vAlign w:val="center"/>
          </w:tcPr>
          <w:p w14:paraId="72BAAE4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6D0C60A2">
            <w:pPr>
              <w:spacing w:line="240" w:lineRule="auto"/>
              <w:rPr>
                <w:rFonts w:ascii="Times New Roman" w:hAnsi="Times New Roman" w:eastAsia="宋体" w:cs="Times New Roman"/>
                <w:color w:val="000000"/>
                <w:sz w:val="18"/>
                <w:szCs w:val="18"/>
              </w:rPr>
            </w:pPr>
          </w:p>
        </w:tc>
      </w:tr>
      <w:tr w14:paraId="5C0625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649A40EB">
            <w:pPr>
              <w:spacing w:line="240" w:lineRule="auto"/>
              <w:rPr>
                <w:rFonts w:ascii="Times New Roman" w:hAnsi="Times New Roman" w:eastAsia="宋体" w:cs="Times New Roman"/>
                <w:color w:val="000000"/>
                <w:sz w:val="18"/>
                <w:szCs w:val="18"/>
              </w:rPr>
            </w:pPr>
          </w:p>
        </w:tc>
        <w:tc>
          <w:tcPr>
            <w:tcW w:w="3060" w:type="dxa"/>
            <w:vAlign w:val="center"/>
          </w:tcPr>
          <w:p w14:paraId="11DEAD6E">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g__Methanothermococcus</w:t>
            </w:r>
          </w:p>
        </w:tc>
        <w:tc>
          <w:tcPr>
            <w:tcW w:w="2940" w:type="dxa"/>
            <w:vAlign w:val="center"/>
          </w:tcPr>
          <w:p w14:paraId="3F176909">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5E3159B4">
            <w:pPr>
              <w:spacing w:line="240" w:lineRule="auto"/>
              <w:rPr>
                <w:rFonts w:ascii="Times New Roman" w:hAnsi="Times New Roman" w:eastAsia="宋体" w:cs="Times New Roman"/>
                <w:color w:val="000000"/>
                <w:sz w:val="18"/>
                <w:szCs w:val="18"/>
              </w:rPr>
            </w:pPr>
          </w:p>
        </w:tc>
      </w:tr>
      <w:tr w14:paraId="5EA85CF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6FEC9BC5">
            <w:pPr>
              <w:spacing w:line="240" w:lineRule="auto"/>
              <w:rPr>
                <w:rFonts w:ascii="Times New Roman" w:hAnsi="Times New Roman" w:eastAsia="宋体" w:cs="Times New Roman"/>
                <w:color w:val="000000"/>
                <w:sz w:val="18"/>
                <w:szCs w:val="18"/>
              </w:rPr>
            </w:pPr>
          </w:p>
        </w:tc>
        <w:tc>
          <w:tcPr>
            <w:tcW w:w="3060" w:type="dxa"/>
            <w:vAlign w:val="center"/>
          </w:tcPr>
          <w:p w14:paraId="63830BB3">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g__Methanocaldococcus</w:t>
            </w:r>
          </w:p>
        </w:tc>
        <w:tc>
          <w:tcPr>
            <w:tcW w:w="2940" w:type="dxa"/>
            <w:vAlign w:val="center"/>
          </w:tcPr>
          <w:p w14:paraId="004C2D5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5AB87DA7">
            <w:pPr>
              <w:spacing w:line="240" w:lineRule="auto"/>
              <w:rPr>
                <w:rFonts w:ascii="Times New Roman" w:hAnsi="Times New Roman" w:eastAsia="宋体" w:cs="Times New Roman"/>
                <w:color w:val="000000"/>
                <w:sz w:val="18"/>
                <w:szCs w:val="18"/>
              </w:rPr>
            </w:pPr>
          </w:p>
        </w:tc>
      </w:tr>
      <w:tr w14:paraId="5A02AEB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14CBB002">
            <w:pPr>
              <w:spacing w:line="240" w:lineRule="auto"/>
              <w:rPr>
                <w:rFonts w:ascii="Times New Roman" w:hAnsi="Times New Roman" w:eastAsia="宋体" w:cs="Times New Roman"/>
                <w:color w:val="000000"/>
                <w:sz w:val="18"/>
                <w:szCs w:val="18"/>
              </w:rPr>
            </w:pPr>
          </w:p>
        </w:tc>
        <w:tc>
          <w:tcPr>
            <w:tcW w:w="3060" w:type="dxa"/>
            <w:vAlign w:val="center"/>
          </w:tcPr>
          <w:p w14:paraId="3EF2FC55">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g__Methanotorris</w:t>
            </w:r>
          </w:p>
        </w:tc>
        <w:tc>
          <w:tcPr>
            <w:tcW w:w="2940" w:type="dxa"/>
            <w:vAlign w:val="center"/>
          </w:tcPr>
          <w:p w14:paraId="72B0AC8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13EFA6F3">
            <w:pPr>
              <w:spacing w:line="240" w:lineRule="auto"/>
              <w:rPr>
                <w:rFonts w:ascii="Times New Roman" w:hAnsi="Times New Roman" w:eastAsia="宋体" w:cs="Times New Roman"/>
                <w:color w:val="000000"/>
                <w:sz w:val="18"/>
                <w:szCs w:val="18"/>
              </w:rPr>
            </w:pPr>
          </w:p>
        </w:tc>
      </w:tr>
      <w:tr w14:paraId="0353461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16E94F05">
            <w:pPr>
              <w:spacing w:line="240" w:lineRule="auto"/>
              <w:rPr>
                <w:rFonts w:ascii="Times New Roman" w:hAnsi="Times New Roman" w:eastAsia="宋体" w:cs="Times New Roman"/>
                <w:color w:val="000000"/>
                <w:sz w:val="18"/>
                <w:szCs w:val="18"/>
              </w:rPr>
            </w:pPr>
          </w:p>
        </w:tc>
        <w:tc>
          <w:tcPr>
            <w:tcW w:w="3060" w:type="dxa"/>
            <w:vAlign w:val="center"/>
          </w:tcPr>
          <w:p w14:paraId="0CAF6642">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g__Methanoplanus</w:t>
            </w:r>
          </w:p>
        </w:tc>
        <w:tc>
          <w:tcPr>
            <w:tcW w:w="2940" w:type="dxa"/>
            <w:vAlign w:val="center"/>
          </w:tcPr>
          <w:p w14:paraId="34A7A3ED">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54E4C058">
            <w:pPr>
              <w:spacing w:line="240" w:lineRule="auto"/>
              <w:rPr>
                <w:rFonts w:ascii="Times New Roman" w:hAnsi="Times New Roman" w:eastAsia="宋体" w:cs="Times New Roman"/>
                <w:color w:val="000000"/>
                <w:sz w:val="18"/>
                <w:szCs w:val="18"/>
              </w:rPr>
            </w:pPr>
          </w:p>
        </w:tc>
      </w:tr>
      <w:tr w14:paraId="1645E5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594050DB">
            <w:pPr>
              <w:spacing w:line="240" w:lineRule="auto"/>
              <w:rPr>
                <w:rFonts w:ascii="Times New Roman" w:hAnsi="Times New Roman" w:eastAsia="宋体" w:cs="Times New Roman"/>
                <w:color w:val="000000"/>
                <w:sz w:val="18"/>
                <w:szCs w:val="18"/>
              </w:rPr>
            </w:pPr>
          </w:p>
        </w:tc>
        <w:tc>
          <w:tcPr>
            <w:tcW w:w="3060" w:type="dxa"/>
            <w:vAlign w:val="center"/>
          </w:tcPr>
          <w:p w14:paraId="465CF05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g__Methanofervidicoccus</w:t>
            </w:r>
          </w:p>
        </w:tc>
        <w:tc>
          <w:tcPr>
            <w:tcW w:w="2940" w:type="dxa"/>
            <w:vAlign w:val="center"/>
          </w:tcPr>
          <w:p w14:paraId="613F36F8">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Align w:val="center"/>
          </w:tcPr>
          <w:p w14:paraId="3ABFA657">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fldData xml:space="preserve">PEVuZE5vdGU+PENpdGU+PEF1dGhvcj5TYWthaTwvQXV0aG9yPjxZZWFyPjIwMTk8L1llYXI+PFJl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</w:fldData>
              </w:fldChar>
            </w:r>
            <w:r>
              <w:rPr>
                <w:rFonts w:hint="eastAsia" w:ascii="Times New Roman" w:hAnsi="Times New Roman" w:cs="Times New Roman"/>
                <w:color w:val="0000FF"/>
                <w:sz w:val="18"/>
                <w:szCs w:val="18"/>
              </w:rPr>
              <w:instrText xml:space="preserve"> ADDIN EN.CITE </w:instrText>
            </w:r>
            <w:r>
              <w:rPr>
                <w:rFonts w:hint="eastAsia" w:ascii="Times New Roman" w:hAnsi="Times New Roman" w:cs="Times New Roman"/>
                <w:color w:val="0000FF"/>
                <w:sz w:val="18"/>
                <w:szCs w:val="18"/>
              </w:rPr>
              <w:fldChar w:fldCharType="begin">
                <w:fldData xml:space="preserve">PEVuZE5vdGU+PENpdGU+PEF1dGhvcj5TYWthaTwvQXV0aG9yPjxZZWFyPjIwMTk8L1llYXI+PFJl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</w:fldData>
              </w:fldChar>
            </w:r>
            <w:r>
              <w:rPr>
                <w:rFonts w:hint="eastAsia" w:ascii="Times New Roman" w:hAnsi="Times New Roman" w:cs="Times New Roman"/>
                <w:color w:val="0000FF"/>
                <w:sz w:val="18"/>
                <w:szCs w:val="18"/>
              </w:rPr>
              <w:instrText xml:space="preserve"> ADDIN EN.CITE.DATA </w:instrText>
            </w:r>
            <w:r>
              <w:rPr>
                <w:rFonts w:hint="eastAsia" w:ascii="Times New Roman" w:hAnsi="Times New Roman" w:cs="Times New Roman"/>
                <w:color w:val="0000FF"/>
                <w:sz w:val="18"/>
                <w:szCs w:val="18"/>
              </w:rPr>
              <w:fldChar w:fldCharType="end"/>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(Sakai et al., 2019; Wang et al., 2020)</w:t>
            </w:r>
            <w:r>
              <w:rPr>
                <w:rFonts w:hint="eastAsia" w:ascii="Times New Roman" w:hAnsi="Times New Roman" w:cs="Times New Roman"/>
                <w:color w:val="0000FF"/>
                <w:sz w:val="18"/>
                <w:szCs w:val="18"/>
              </w:rPr>
              <w:fldChar w:fldCharType="end"/>
            </w:r>
          </w:p>
        </w:tc>
      </w:tr>
      <w:tr w14:paraId="361BF1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5D70187E">
            <w:pPr>
              <w:spacing w:line="240" w:lineRule="auto"/>
              <w:rPr>
                <w:rFonts w:ascii="Times New Roman" w:hAnsi="Times New Roman" w:eastAsia="宋体" w:cs="Times New Roman"/>
                <w:color w:val="000000"/>
                <w:sz w:val="18"/>
                <w:szCs w:val="18"/>
              </w:rPr>
            </w:pPr>
          </w:p>
        </w:tc>
        <w:tc>
          <w:tcPr>
            <w:tcW w:w="3060" w:type="dxa"/>
            <w:vAlign w:val="center"/>
          </w:tcPr>
          <w:p w14:paraId="7298341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g__Methanocorpusculum</w:t>
            </w:r>
          </w:p>
        </w:tc>
        <w:tc>
          <w:tcPr>
            <w:tcW w:w="2940" w:type="dxa"/>
            <w:vAlign w:val="center"/>
          </w:tcPr>
          <w:p w14:paraId="5438FA0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Align w:val="center"/>
          </w:tcPr>
          <w:p w14:paraId="0F54E041">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&lt;EndNote&gt;&lt;Cite&gt;&lt;Author&gt;Vanwonterghem&lt;/Author&gt;&lt;Year&gt;2016&lt;/Year&gt;&lt;RecNum&gt;232&lt;/RecNum&gt;&lt;DisplayText&gt;(Vanwonterghem et al., 2016)&lt;/DisplayText&gt;&lt;record&gt;&lt;rec-number&gt;232&lt;/rec-number&gt;&lt;foreign-keys&gt;&lt;key app="EN" db-id="20svf905tft2fye5fpy5zdwdva0rr5txfvre" timestamp="1734406005"&gt;232&lt;/key&gt;&lt;/foreign-keys&gt;&lt;ref-type name="Journal Article"&gt;17&lt;/ref-type&gt;&lt;contributors&gt;&lt;authors&gt;&lt;author&gt;Vanwonterghem, Inka&lt;/author&gt;&lt;author&gt;Evans, Paul N.&lt;/author&gt;&lt;author&gt;Parks, Donovan H.&lt;/author&gt;&lt;author&gt;Jensen, Paul D.&lt;/author&gt;&lt;author&gt;Woodcroft, Ben J.&lt;/author&gt;&lt;author&gt;Hugenholtz, Philip&lt;/author&gt;&lt;author&gt;Tyson, Gene W.&lt;/author&gt;&lt;/authors&gt;&lt;/contributors&gt;&lt;titles&gt;&lt;title&gt;Methylotrophic methanogenesis discovered in the archaeal phylum Verstraetearchaeota&lt;/title&gt;&lt;secondary-title&gt;Nature Microbiology&lt;/secondary-title&gt;&lt;/titles&gt;&lt;periodical&gt;&lt;full-title&gt;Nature Microbiology&lt;/full-title&gt;&lt;/periodical&gt;&lt;pages&gt;16170&lt;/pages&gt;&lt;volume&gt;1&lt;/volume&gt;&lt;number&gt;12&lt;/number&gt;&lt;dates&gt;&lt;year&gt;2016&lt;/year&gt;&lt;/dates&gt;&lt;urls&gt;&lt;/urls&gt;&lt;/record&gt;&lt;/Cite&gt;&lt;/EndNote&gt;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(Vanwonterghem et al., 2016)</w:t>
            </w:r>
            <w:r>
              <w:rPr>
                <w:rFonts w:hint="eastAsia" w:ascii="Times New Roman" w:hAnsi="Times New Roman" w:cs="Times New Roman"/>
                <w:color w:val="0000FF"/>
                <w:sz w:val="18"/>
                <w:szCs w:val="18"/>
              </w:rPr>
              <w:fldChar w:fldCharType="end"/>
            </w:r>
          </w:p>
        </w:tc>
      </w:tr>
      <w:tr w14:paraId="24C469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230" w:type="dxa"/>
            <w:vMerge w:val="continue"/>
            <w:vAlign w:val="center"/>
          </w:tcPr>
          <w:p w14:paraId="0DD0E1DC">
            <w:pPr>
              <w:spacing w:line="240" w:lineRule="auto"/>
              <w:rPr>
                <w:rFonts w:ascii="Times New Roman" w:hAnsi="Times New Roman" w:eastAsia="宋体" w:cs="Times New Roman"/>
                <w:color w:val="000000"/>
                <w:sz w:val="18"/>
                <w:szCs w:val="18"/>
              </w:rPr>
            </w:pPr>
          </w:p>
        </w:tc>
        <w:tc>
          <w:tcPr>
            <w:tcW w:w="3060" w:type="dxa"/>
            <w:vAlign w:val="center"/>
          </w:tcPr>
          <w:p w14:paraId="56466A98">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g__Methanolacinia</w:t>
            </w:r>
          </w:p>
        </w:tc>
        <w:tc>
          <w:tcPr>
            <w:tcW w:w="2940" w:type="dxa"/>
            <w:vAlign w:val="center"/>
          </w:tcPr>
          <w:p w14:paraId="671548D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restart"/>
            <w:vAlign w:val="center"/>
          </w:tcPr>
          <w:p w14:paraId="054E242D">
            <w:pPr>
              <w:spacing w:line="240" w:lineRule="auto"/>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r>
            <w:r>
              <w:rPr>
                <w:rFonts w:hint="eastAsia" w:ascii="Times New Roman" w:hAnsi="Times New Roman" w:cs="Times New Roman"/>
                <w:color w:val="0000FF"/>
                <w:sz w:val="18"/>
                <w:szCs w:val="18"/>
              </w:rPr>
              <w:instrText xml:space="preserve"> ADDIN EN.CITE &lt;EndNote&gt;&lt;Cite&gt;&lt;Author&gt;Liu&lt;/Author&gt;&lt;Year&gt;2008&lt;/Year&gt;&lt;RecNum&gt;231&lt;/RecNum&gt;&lt;DisplayText&gt;(Liu and Whitman, 2008; Nazaries et al., 2013)&lt;/DisplayText&gt;&lt;record&gt;&lt;rec-number&gt;231&lt;/rec-number&gt;&lt;foreign-keys&gt;&lt;key app="EN" db-id="20svf905tft2fye5fpy5zdwdva0rr5txfvre" timestamp="1734404975"&gt;231&lt;/key&gt;&lt;/foreign-keys&gt;&lt;ref-type name="Journal Article"&gt;17&lt;/ref-type&gt;&lt;contributors&gt;&lt;authors&gt;&lt;author&gt;Liu, Yuchen&lt;/author&gt;&lt;author&gt;Whitman, William B.&lt;/author&gt;&lt;/authors&gt;&lt;/contributors&gt;&lt;titles&gt;&lt;title&gt;Metabolic, Phylogenetic, and Ecological Diversity of the Methanogenic Archaea&lt;/title&gt;&lt;secondary-title&gt;Annals of the New York Academy of Sciences&lt;/secondary-title&gt;&lt;/titles&gt;&lt;periodical&gt;&lt;full-title&gt;Annals of the New York Academy of Sciences&lt;/full-title&gt;&lt;/periodical&gt;&lt;pages&gt;171-189&lt;/pages&gt;&lt;volume&gt;1125&lt;/volume&gt;&lt;number&gt;1&lt;/number&gt;&lt;dates&gt;&lt;year&gt;2008&lt;/year&gt;&lt;/dates&gt;&lt;urls&gt;&lt;/urls&gt;&lt;/record&gt;&lt;/Cite&gt;&lt;Cite&gt;&lt;Author&gt;Nazaries&lt;/Author&gt;&lt;Year&gt;2013&lt;/Year&gt;&lt;RecNum&gt;277&lt;/RecNum&gt;&lt;record&gt;&lt;rec-number&gt;277&lt;/rec-number&gt;&lt;foreign-keys&gt;&lt;key app="EN" db-id="20svf905tft2fye5fpy5zdwdva0rr5txfvre" timestamp="1735894206"&gt;277&lt;/key&gt;&lt;/foreign-keys&gt;&lt;ref-type name="Journal Article"&gt;17&lt;/ref-type&gt;&lt;contributors&gt;&lt;authors&gt;&lt;author&gt;Nazaries, L.&lt;/author&gt;&lt;author&gt;Murrell, J. C.&lt;/author&gt;&lt;author&gt;Millard, P.&lt;/author&gt;&lt;author&gt;Baggs, L.&lt;/author&gt;&lt;author&gt;Singh, B. K.&lt;/author&gt;&lt;/authors&gt;&lt;/contributors&gt;&lt;titles&gt;&lt;title&gt;Methane, microbes and models: fundamental understanding of the soil methane cycle for future predictions&lt;/title&gt;&lt;secondary-title&gt;Environmental Microbiology&lt;/secondary-title&gt;&lt;/titles&gt;&lt;periodical&gt;&lt;full-title&gt;Environmental Microbiology&lt;/full-title&gt;&lt;/periodical&gt;&lt;pages&gt;2395-2417&lt;/pages&gt;&lt;volume&gt;15&lt;/volume&gt;&lt;number&gt;9&lt;/number&gt;&lt;dates&gt;&lt;year&gt;2013&lt;/year&gt;&lt;pub-dates&gt;&lt;date&gt;Sep&lt;/date&gt;&lt;/pub-dates&gt;&lt;/dates&gt;&lt;isbn&gt;1462-2912&lt;/isbn&gt;&lt;accession-num&gt;WOS:000323897000001&lt;/accession-num&gt;&lt;urls&gt;&lt;related-urls&gt;&lt;url&gt;&lt;style face="underline" font="default" size="100%"&gt;&amp;lt;Go to ISI&amp;gt;://WOS:000323897000001&lt;/style&gt;&lt;/url&gt;&lt;/related-urls&gt;&lt;/urls&gt;&lt;electronic-resource-num&gt;10.1111/1462-2920.12149&lt;/electronic-resource-num&gt;&lt;/record&gt;&lt;/Cite&gt;&lt;/EndNote&gt;</w:instrText>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(Liu and Whitman, 2008; Nazaries et al., 2013)</w:t>
            </w:r>
            <w:r>
              <w:rPr>
                <w:rFonts w:hint="eastAsia" w:ascii="Times New Roman" w:hAnsi="Times New Roman" w:cs="Times New Roman"/>
                <w:color w:val="0000FF"/>
                <w:sz w:val="18"/>
                <w:szCs w:val="18"/>
              </w:rPr>
              <w:fldChar w:fldCharType="end"/>
            </w:r>
          </w:p>
        </w:tc>
      </w:tr>
      <w:tr w14:paraId="1585417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4856F3CD">
            <w:pPr>
              <w:spacing w:line="240" w:lineRule="auto"/>
              <w:rPr>
                <w:rFonts w:ascii="Times New Roman" w:hAnsi="Times New Roman" w:eastAsia="宋体" w:cs="Times New Roman"/>
                <w:color w:val="000000"/>
                <w:sz w:val="18"/>
                <w:szCs w:val="18"/>
              </w:rPr>
            </w:pPr>
          </w:p>
        </w:tc>
        <w:tc>
          <w:tcPr>
            <w:tcW w:w="3060" w:type="dxa"/>
            <w:vAlign w:val="center"/>
          </w:tcPr>
          <w:p w14:paraId="4920DC8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g__Methanogenium</w:t>
            </w:r>
          </w:p>
        </w:tc>
        <w:tc>
          <w:tcPr>
            <w:tcW w:w="2940" w:type="dxa"/>
            <w:vAlign w:val="center"/>
          </w:tcPr>
          <w:p w14:paraId="02E27CC6">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Merge w:val="continue"/>
            <w:vAlign w:val="center"/>
          </w:tcPr>
          <w:p w14:paraId="71798713">
            <w:pPr>
              <w:spacing w:line="240" w:lineRule="auto"/>
              <w:rPr>
                <w:rFonts w:ascii="Times New Roman" w:hAnsi="Times New Roman" w:eastAsia="宋体" w:cs="Times New Roman"/>
                <w:color w:val="000000"/>
                <w:sz w:val="18"/>
                <w:szCs w:val="18"/>
              </w:rPr>
            </w:pPr>
          </w:p>
        </w:tc>
      </w:tr>
      <w:tr w14:paraId="18AA66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79085FE1">
            <w:pPr>
              <w:spacing w:line="240" w:lineRule="auto"/>
              <w:rPr>
                <w:rFonts w:ascii="Times New Roman" w:hAnsi="Times New Roman" w:eastAsia="宋体" w:cs="Times New Roman"/>
                <w:color w:val="000000"/>
                <w:sz w:val="18"/>
                <w:szCs w:val="18"/>
              </w:rPr>
            </w:pPr>
          </w:p>
        </w:tc>
        <w:tc>
          <w:tcPr>
            <w:tcW w:w="3060" w:type="dxa"/>
            <w:vAlign w:val="center"/>
          </w:tcPr>
          <w:p w14:paraId="22828EEA">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g__Methanosalsum</w:t>
            </w:r>
          </w:p>
        </w:tc>
        <w:tc>
          <w:tcPr>
            <w:tcW w:w="2940" w:type="dxa"/>
            <w:vAlign w:val="center"/>
          </w:tcPr>
          <w:p w14:paraId="316549CC">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Methylotrophic</w:t>
            </w:r>
          </w:p>
        </w:tc>
        <w:tc>
          <w:tcPr>
            <w:tcW w:w="1414" w:type="dxa"/>
            <w:vMerge w:val="continue"/>
            <w:vAlign w:val="center"/>
          </w:tcPr>
          <w:p w14:paraId="0E9240F3">
            <w:pPr>
              <w:spacing w:line="240" w:lineRule="auto"/>
              <w:rPr>
                <w:rFonts w:ascii="Times New Roman" w:hAnsi="Times New Roman" w:eastAsia="宋体" w:cs="Times New Roman"/>
                <w:color w:val="000000"/>
                <w:sz w:val="18"/>
                <w:szCs w:val="18"/>
              </w:rPr>
            </w:pPr>
          </w:p>
        </w:tc>
      </w:tr>
      <w:tr w14:paraId="60D305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2A7A382A">
            <w:pPr>
              <w:spacing w:line="240" w:lineRule="auto"/>
              <w:rPr>
                <w:rFonts w:ascii="Times New Roman" w:hAnsi="Times New Roman" w:eastAsia="宋体" w:cs="Times New Roman"/>
                <w:color w:val="000000"/>
                <w:sz w:val="18"/>
                <w:szCs w:val="18"/>
              </w:rPr>
            </w:pPr>
          </w:p>
        </w:tc>
        <w:tc>
          <w:tcPr>
            <w:tcW w:w="3060" w:type="dxa"/>
            <w:vAlign w:val="center"/>
          </w:tcPr>
          <w:p w14:paraId="5C99366B">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g__Methanonatronarchaeum</w:t>
            </w:r>
          </w:p>
        </w:tc>
        <w:tc>
          <w:tcPr>
            <w:tcW w:w="2940" w:type="dxa"/>
            <w:vAlign w:val="center"/>
          </w:tcPr>
          <w:p w14:paraId="53A17AE4">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r>
              <w:rPr>
                <w:rStyle w:val="13"/>
                <w:rFonts w:hint="default" w:ascii="Times New Roman" w:hAnsi="Times New Roman" w:cs="Times New Roman"/>
                <w:sz w:val="18"/>
                <w:szCs w:val="18"/>
                <w:lang w:bidi="ar"/>
              </w:rPr>
              <w:t>，</w:t>
            </w:r>
            <w:r>
              <w:rPr>
                <w:rFonts w:ascii="Times New Roman" w:hAnsi="Times New Roman" w:eastAsia="宋体" w:cs="Times New Roman"/>
                <w:color w:val="000000"/>
                <w:kern w:val="0"/>
                <w:sz w:val="18"/>
                <w:szCs w:val="18"/>
                <w:lang w:bidi="ar"/>
              </w:rPr>
              <w:t>methylotrophic</w:t>
            </w:r>
          </w:p>
        </w:tc>
        <w:tc>
          <w:tcPr>
            <w:tcW w:w="1414" w:type="dxa"/>
            <w:vAlign w:val="center"/>
          </w:tcPr>
          <w:p w14:paraId="63BBEBA6">
            <w:pPr>
              <w:spacing w:line="240" w:lineRule="auto"/>
              <w:outlineLvl w:val="1"/>
              <w:rPr>
                <w:rFonts w:ascii="Times New Roman" w:hAnsi="Times New Roman" w:eastAsia="宋体" w:cs="Times New Roman"/>
                <w:color w:val="000000"/>
                <w:sz w:val="18"/>
                <w:szCs w:val="18"/>
              </w:rPr>
            </w:pPr>
            <w:r>
              <w:rPr>
                <w:rFonts w:hint="eastAsia" w:ascii="Times New Roman" w:hAnsi="Times New Roman" w:cs="Times New Roman"/>
                <w:color w:val="0000FF"/>
                <w:sz w:val="18"/>
                <w:szCs w:val="18"/>
              </w:rPr>
              <w:fldChar w:fldCharType="begin">
                <w:fldData xml:space="preserve">PEVuZE5vdGU+PENpdGU+PEF1dGhvcj5Tb3Jva2luPC9BdXRob3I+PFllYXI+MjAyMjwvWWVhcj48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</w:fldData>
              </w:fldChar>
            </w:r>
            <w:r>
              <w:rPr>
                <w:rFonts w:hint="eastAsia" w:ascii="Times New Roman" w:hAnsi="Times New Roman" w:cs="Times New Roman"/>
                <w:color w:val="0000FF"/>
                <w:sz w:val="18"/>
                <w:szCs w:val="18"/>
              </w:rPr>
              <w:instrText xml:space="preserve"> ADDIN EN.CITE </w:instrText>
            </w:r>
            <w:r>
              <w:rPr>
                <w:rFonts w:hint="eastAsia" w:ascii="Times New Roman" w:hAnsi="Times New Roman" w:cs="Times New Roman"/>
                <w:color w:val="0000FF"/>
                <w:sz w:val="18"/>
                <w:szCs w:val="18"/>
              </w:rPr>
              <w:fldChar w:fldCharType="begin">
                <w:fldData xml:space="preserve">PEVuZE5vdGU+PENpdGU+PEF1dGhvcj5Tb3Jva2luPC9BdXRob3I+PFllYXI+MjAyMjwvWWVhcj48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</w:fldData>
              </w:fldChar>
            </w:r>
            <w:r>
              <w:rPr>
                <w:rFonts w:hint="eastAsia" w:ascii="Times New Roman" w:hAnsi="Times New Roman" w:cs="Times New Roman"/>
                <w:color w:val="0000FF"/>
                <w:sz w:val="18"/>
                <w:szCs w:val="18"/>
              </w:rPr>
              <w:instrText xml:space="preserve"> ADDIN EN.CITE.DATA </w:instrText>
            </w:r>
            <w:r>
              <w:rPr>
                <w:rFonts w:hint="eastAsia" w:ascii="Times New Roman" w:hAnsi="Times New Roman" w:cs="Times New Roman"/>
                <w:color w:val="0000FF"/>
                <w:sz w:val="18"/>
                <w:szCs w:val="18"/>
              </w:rPr>
              <w:fldChar w:fldCharType="end"/>
            </w:r>
            <w:r>
              <w:rPr>
                <w:rFonts w:hint="eastAsia" w:ascii="Times New Roman" w:hAnsi="Times New Roman" w:cs="Times New Roman"/>
                <w:color w:val="0000FF"/>
                <w:sz w:val="18"/>
                <w:szCs w:val="18"/>
              </w:rPr>
              <w:fldChar w:fldCharType="separate"/>
            </w:r>
            <w:r>
              <w:rPr>
                <w:rFonts w:hint="eastAsia" w:ascii="Times New Roman" w:hAnsi="Times New Roman" w:cs="Times New Roman"/>
                <w:color w:val="0000FF"/>
                <w:sz w:val="18"/>
                <w:szCs w:val="18"/>
              </w:rPr>
              <w:t>(Sorokin et al., 2022; Steiniger et al., 2022)</w:t>
            </w:r>
            <w:r>
              <w:rPr>
                <w:rFonts w:hint="eastAsia" w:ascii="Times New Roman" w:hAnsi="Times New Roman" w:cs="Times New Roman"/>
                <w:color w:val="0000FF"/>
                <w:sz w:val="18"/>
                <w:szCs w:val="18"/>
              </w:rPr>
              <w:fldChar w:fldCharType="end"/>
            </w:r>
          </w:p>
        </w:tc>
      </w:tr>
      <w:tr w14:paraId="3DCE98E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230" w:type="dxa"/>
            <w:vMerge w:val="continue"/>
            <w:vAlign w:val="center"/>
          </w:tcPr>
          <w:p w14:paraId="66EE19EF">
            <w:pPr>
              <w:spacing w:line="240" w:lineRule="auto"/>
              <w:rPr>
                <w:rFonts w:ascii="Times New Roman" w:hAnsi="Times New Roman" w:eastAsia="宋体" w:cs="Times New Roman"/>
                <w:color w:val="000000"/>
                <w:sz w:val="18"/>
                <w:szCs w:val="18"/>
              </w:rPr>
            </w:pPr>
          </w:p>
        </w:tc>
        <w:tc>
          <w:tcPr>
            <w:tcW w:w="3060" w:type="dxa"/>
            <w:vAlign w:val="center"/>
          </w:tcPr>
          <w:p w14:paraId="45C56D6B">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g__Methanopyrus</w:t>
            </w:r>
          </w:p>
        </w:tc>
        <w:tc>
          <w:tcPr>
            <w:tcW w:w="2940" w:type="dxa"/>
            <w:vAlign w:val="center"/>
          </w:tcPr>
          <w:p w14:paraId="4028BF4F">
            <w:pPr>
              <w:widowControl/>
              <w:spacing w:line="240" w:lineRule="auto"/>
              <w:rPr>
                <w:rFonts w:ascii="Times New Roman" w:hAnsi="Times New Roman" w:eastAsia="宋体" w:cs="Times New Roman"/>
                <w:color w:val="000000"/>
                <w:sz w:val="18"/>
                <w:szCs w:val="18"/>
              </w:rPr>
            </w:pPr>
            <w:r>
              <w:rPr>
                <w:rFonts w:ascii="Times New Roman" w:hAnsi="Times New Roman" w:eastAsia="宋体" w:cs="Times New Roman"/>
                <w:color w:val="000000"/>
                <w:kern w:val="0"/>
                <w:sz w:val="18"/>
                <w:szCs w:val="18"/>
                <w:lang w:bidi="ar"/>
              </w:rPr>
              <w:t>H</w:t>
            </w:r>
            <w:r>
              <w:rPr>
                <w:rFonts w:ascii="Times New Roman" w:hAnsi="Times New Roman" w:eastAsia="宋体" w:cs="Times New Roman"/>
                <w:color w:val="000000"/>
                <w:kern w:val="0"/>
                <w:sz w:val="18"/>
                <w:szCs w:val="18"/>
                <w:vertAlign w:val="subscript"/>
                <w:lang w:bidi="ar"/>
              </w:rPr>
              <w:t>2</w:t>
            </w:r>
            <w:r>
              <w:rPr>
                <w:rFonts w:ascii="Times New Roman" w:hAnsi="Times New Roman" w:eastAsia="宋体" w:cs="Times New Roman"/>
                <w:color w:val="000000"/>
                <w:kern w:val="0"/>
                <w:sz w:val="18"/>
                <w:szCs w:val="18"/>
                <w:lang w:bidi="ar"/>
              </w:rPr>
              <w:t>/CO</w:t>
            </w:r>
            <w:r>
              <w:rPr>
                <w:rFonts w:ascii="Times New Roman" w:hAnsi="Times New Roman" w:eastAsia="宋体" w:cs="Times New Roman"/>
                <w:color w:val="000000"/>
                <w:kern w:val="0"/>
                <w:sz w:val="18"/>
                <w:szCs w:val="18"/>
                <w:vertAlign w:val="subscript"/>
                <w:lang w:bidi="ar"/>
              </w:rPr>
              <w:t>2</w:t>
            </w:r>
          </w:p>
        </w:tc>
        <w:tc>
          <w:tcPr>
            <w:tcW w:w="1414" w:type="dxa"/>
            <w:vAlign w:val="center"/>
          </w:tcPr>
          <w:p w14:paraId="3683126B">
            <w:pPr>
              <w:spacing w:line="240" w:lineRule="auto"/>
              <w:rPr>
                <w:rFonts w:ascii="Times New Roman" w:hAnsi="Times New Roman" w:eastAsia="宋体" w:cs="Times New Roman"/>
                <w:color w:val="000000"/>
                <w:sz w:val="18"/>
                <w:szCs w:val="18"/>
              </w:rPr>
            </w:pPr>
          </w:p>
        </w:tc>
      </w:tr>
    </w:tbl>
    <w:p w14:paraId="614A4EBB">
      <w:pPr>
        <w:rPr>
          <w:rFonts w:ascii="Times New Roman" w:hAnsi="Times New Roman" w:cs="Times New Roman"/>
          <w:szCs w:val="21"/>
        </w:rPr>
      </w:pPr>
      <w:r>
        <w:rPr>
          <w:rFonts w:ascii="Times New Roman" w:hAnsi="Times New Roman" w:cs="Times New Roman"/>
          <w:szCs w:val="21"/>
        </w:rPr>
        <w:br w:type="page"/>
      </w:r>
    </w:p>
    <w:p w14:paraId="7AFDB1D6">
      <w:pPr>
        <w:spacing w:line="360" w:lineRule="auto"/>
        <w:rPr>
          <w:rFonts w:ascii="Times New Roman" w:hAnsi="Times New Roman" w:cs="Times New Roman"/>
          <w:b/>
          <w:bCs/>
        </w:rPr>
      </w:pPr>
      <w:r>
        <w:rPr>
          <w:rFonts w:ascii="Times New Roman" w:hAnsi="Times New Roman" w:cs="Times New Roman"/>
          <w:b/>
          <w:bCs/>
        </w:rPr>
        <w:t>Table S2</w:t>
      </w:r>
      <w:r>
        <w:rPr>
          <w:rFonts w:ascii="Times New Roman" w:hAnsi="Times New Roman" w:cs="Times New Roman"/>
        </w:rPr>
        <w:t xml:space="preserve"> </w:t>
      </w:r>
      <w:r>
        <w:rPr>
          <w:rFonts w:hint="eastAsia" w:ascii="Times New Roman" w:hAnsi="Times New Roman" w:cs="Times New Roman"/>
        </w:rPr>
        <w:t>Functional genes</w:t>
      </w:r>
      <w:r>
        <w:rPr>
          <w:rFonts w:ascii="Times New Roman" w:hAnsi="Times New Roman" w:cs="Times New Roman"/>
        </w:rPr>
        <w:t xml:space="preserve"> </w:t>
      </w:r>
      <w:r>
        <w:rPr>
          <w:rFonts w:hint="eastAsia" w:ascii="Times New Roman" w:hAnsi="Times New Roman" w:cs="Times New Roman"/>
        </w:rPr>
        <w:t>involved in</w:t>
      </w:r>
      <w:r>
        <w:rPr>
          <w:rFonts w:ascii="Times New Roman" w:hAnsi="Times New Roman" w:cs="Times New Roman"/>
        </w:rPr>
        <w:t xml:space="preserve"> </w:t>
      </w:r>
      <w:r>
        <w:rPr>
          <w:rFonts w:hint="eastAsia" w:ascii="Times New Roman" w:hAnsi="Times New Roman" w:cs="Times New Roman"/>
        </w:rPr>
        <w:t>four</w:t>
      </w:r>
      <w:r>
        <w:rPr>
          <w:rFonts w:ascii="Times New Roman" w:hAnsi="Times New Roman" w:cs="Times New Roman"/>
        </w:rPr>
        <w:t xml:space="preserve"> pathway</w:t>
      </w:r>
      <w:r>
        <w:rPr>
          <w:rFonts w:hint="eastAsia" w:ascii="Times New Roman" w:hAnsi="Times New Roman" w:cs="Times New Roman"/>
        </w:rPr>
        <w:t>s in KO level.</w:t>
      </w:r>
    </w:p>
    <w:tbl>
      <w:tblPr>
        <w:tblStyle w:val="7"/>
        <w:tblW w:w="6585" w:type="dxa"/>
        <w:tblInd w:w="93" w:type="dxa"/>
        <w:tblLayout w:type="autofit"/>
        <w:tblCellMar>
          <w:top w:w="0" w:type="dxa"/>
          <w:left w:w="108" w:type="dxa"/>
          <w:bottom w:w="0" w:type="dxa"/>
          <w:right w:w="108" w:type="dxa"/>
        </w:tblCellMar>
      </w:tblPr>
      <w:tblGrid>
        <w:gridCol w:w="2191"/>
        <w:gridCol w:w="4395"/>
      </w:tblGrid>
      <w:tr w14:paraId="002DB21D">
        <w:tblPrEx>
          <w:tblCellMar>
            <w:top w:w="0" w:type="dxa"/>
            <w:left w:w="108" w:type="dxa"/>
            <w:bottom w:w="0" w:type="dxa"/>
            <w:right w:w="108" w:type="dxa"/>
          </w:tblCellMar>
        </w:tblPrEx>
        <w:trPr>
          <w:trHeight w:val="420" w:hRule="atLeast"/>
        </w:trPr>
        <w:tc>
          <w:tcPr>
            <w:tcW w:w="2191" w:type="dxa"/>
            <w:tcBorders>
              <w:top w:val="single" w:color="000000" w:sz="12" w:space="0"/>
              <w:left w:val="nil"/>
              <w:bottom w:val="single" w:color="000000" w:sz="4" w:space="0"/>
              <w:right w:val="nil"/>
              <w:tl2br w:val="nil"/>
            </w:tcBorders>
            <w:shd w:val="clear" w:color="auto" w:fill="FFFFFF"/>
            <w:noWrap/>
            <w:vAlign w:val="center"/>
          </w:tcPr>
          <w:p w14:paraId="7D8D085A">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Major pathway</w:t>
            </w:r>
          </w:p>
        </w:tc>
        <w:tc>
          <w:tcPr>
            <w:tcW w:w="4395" w:type="dxa"/>
            <w:tcBorders>
              <w:top w:val="single" w:color="000000" w:sz="12" w:space="0"/>
              <w:left w:val="nil"/>
              <w:bottom w:val="single" w:color="000000" w:sz="4" w:space="0"/>
              <w:right w:val="nil"/>
            </w:tcBorders>
            <w:shd w:val="clear" w:color="auto" w:fill="FFFFFF"/>
            <w:noWrap/>
            <w:vAlign w:val="center"/>
          </w:tcPr>
          <w:p w14:paraId="0A36F0FA">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KO</w:t>
            </w:r>
          </w:p>
        </w:tc>
      </w:tr>
      <w:tr w14:paraId="6015677B">
        <w:tblPrEx>
          <w:tblCellMar>
            <w:top w:w="0" w:type="dxa"/>
            <w:left w:w="108" w:type="dxa"/>
            <w:bottom w:w="0" w:type="dxa"/>
            <w:right w:w="108" w:type="dxa"/>
          </w:tblCellMar>
        </w:tblPrEx>
        <w:trPr>
          <w:trHeight w:val="340" w:hRule="atLeast"/>
        </w:trPr>
        <w:tc>
          <w:tcPr>
            <w:tcW w:w="0" w:type="auto"/>
            <w:vMerge w:val="restart"/>
            <w:tcBorders>
              <w:top w:val="single" w:color="000000" w:sz="4" w:space="0"/>
              <w:left w:val="nil"/>
              <w:bottom w:val="nil"/>
              <w:right w:val="nil"/>
            </w:tcBorders>
            <w:shd w:val="clear" w:color="auto" w:fill="FFFFFF"/>
            <w:noWrap/>
            <w:vAlign w:val="center"/>
          </w:tcPr>
          <w:p w14:paraId="72AE008F">
            <w:pPr>
              <w:widowControl/>
              <w:jc w:val="center"/>
              <w:textAlignment w:val="center"/>
              <w:rPr>
                <w:rFonts w:ascii="Times New Roman" w:hAnsi="Times New Roman" w:eastAsia="宋体" w:cs="Times New Roman"/>
                <w:color w:val="000000"/>
                <w:sz w:val="20"/>
                <w:szCs w:val="20"/>
              </w:rPr>
            </w:pPr>
            <w:r>
              <w:rPr>
                <w:rStyle w:val="22"/>
                <w:rFonts w:eastAsia="宋体"/>
                <w:lang w:bidi="ar"/>
              </w:rPr>
              <w:t>H</w:t>
            </w:r>
            <w:r>
              <w:rPr>
                <w:rFonts w:ascii="Times New Roman" w:hAnsi="Times New Roman" w:eastAsia="宋体" w:cs="Times New Roman"/>
                <w:color w:val="000000"/>
                <w:kern w:val="0"/>
                <w:sz w:val="20"/>
                <w:szCs w:val="20"/>
                <w:vertAlign w:val="subscript"/>
                <w:lang w:bidi="ar"/>
              </w:rPr>
              <w:t>2</w:t>
            </w:r>
            <w:r>
              <w:rPr>
                <w:rStyle w:val="22"/>
                <w:rFonts w:eastAsia="宋体"/>
                <w:lang w:bidi="ar"/>
              </w:rPr>
              <w:t>/CO</w:t>
            </w:r>
            <w:r>
              <w:rPr>
                <w:rFonts w:ascii="Times New Roman" w:hAnsi="Times New Roman" w:eastAsia="宋体" w:cs="Times New Roman"/>
                <w:color w:val="000000"/>
                <w:kern w:val="0"/>
                <w:sz w:val="20"/>
                <w:szCs w:val="20"/>
                <w:vertAlign w:val="subscript"/>
                <w:lang w:bidi="ar"/>
              </w:rPr>
              <w:t>2</w:t>
            </w:r>
          </w:p>
        </w:tc>
        <w:tc>
          <w:tcPr>
            <w:tcW w:w="4395" w:type="dxa"/>
            <w:vMerge w:val="restart"/>
            <w:tcBorders>
              <w:top w:val="single" w:color="000000" w:sz="4" w:space="0"/>
              <w:left w:val="nil"/>
              <w:bottom w:val="nil"/>
              <w:right w:val="nil"/>
            </w:tcBorders>
            <w:shd w:val="clear" w:color="auto" w:fill="FFFFFF"/>
            <w:vAlign w:val="center"/>
          </w:tcPr>
          <w:p w14:paraId="5D342A82">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K00200</w:t>
            </w:r>
            <w:r>
              <w:rPr>
                <w:rFonts w:hint="eastAsia" w:ascii="宋体" w:hAnsi="宋体" w:eastAsia="宋体" w:cs="宋体"/>
                <w:kern w:val="0"/>
                <w:sz w:val="20"/>
                <w:szCs w:val="20"/>
                <w:lang w:bidi="ar"/>
              </w:rPr>
              <w:t>；</w:t>
            </w:r>
            <w:r>
              <w:rPr>
                <w:rStyle w:val="22"/>
                <w:rFonts w:eastAsia="宋体"/>
                <w:color w:val="auto"/>
                <w:lang w:bidi="ar"/>
              </w:rPr>
              <w:t>K00201</w:t>
            </w:r>
            <w:r>
              <w:rPr>
                <w:rFonts w:hint="eastAsia" w:ascii="宋体" w:hAnsi="宋体" w:eastAsia="宋体" w:cs="宋体"/>
                <w:kern w:val="0"/>
                <w:sz w:val="20"/>
                <w:szCs w:val="20"/>
                <w:lang w:bidi="ar"/>
              </w:rPr>
              <w:t>；</w:t>
            </w:r>
            <w:r>
              <w:rPr>
                <w:rStyle w:val="22"/>
                <w:rFonts w:eastAsia="宋体"/>
                <w:color w:val="auto"/>
                <w:lang w:bidi="ar"/>
              </w:rPr>
              <w:t>K00202</w:t>
            </w:r>
            <w:r>
              <w:rPr>
                <w:rFonts w:hint="eastAsia" w:ascii="宋体" w:hAnsi="宋体" w:eastAsia="宋体" w:cs="宋体"/>
                <w:kern w:val="0"/>
                <w:sz w:val="20"/>
                <w:szCs w:val="20"/>
                <w:lang w:bidi="ar"/>
              </w:rPr>
              <w:t>；</w:t>
            </w:r>
            <w:r>
              <w:rPr>
                <w:rStyle w:val="22"/>
                <w:rFonts w:eastAsia="宋体"/>
                <w:color w:val="auto"/>
                <w:lang w:bidi="ar"/>
              </w:rPr>
              <w:t>K00203</w:t>
            </w:r>
            <w:r>
              <w:rPr>
                <w:rFonts w:hint="eastAsia" w:ascii="宋体" w:hAnsi="宋体" w:eastAsia="宋体" w:cs="宋体"/>
                <w:kern w:val="0"/>
                <w:sz w:val="20"/>
                <w:szCs w:val="20"/>
                <w:lang w:bidi="ar"/>
              </w:rPr>
              <w:t>；</w:t>
            </w:r>
            <w:r>
              <w:rPr>
                <w:rStyle w:val="22"/>
                <w:rFonts w:eastAsia="宋体"/>
                <w:color w:val="auto"/>
                <w:lang w:bidi="ar"/>
              </w:rPr>
              <w:t>K11261</w:t>
            </w:r>
            <w:r>
              <w:rPr>
                <w:rFonts w:hint="eastAsia" w:ascii="宋体" w:hAnsi="宋体" w:eastAsia="宋体" w:cs="宋体"/>
                <w:kern w:val="0"/>
                <w:sz w:val="20"/>
                <w:szCs w:val="20"/>
                <w:lang w:bidi="ar"/>
              </w:rPr>
              <w:t>；</w:t>
            </w:r>
            <w:r>
              <w:rPr>
                <w:rStyle w:val="22"/>
                <w:rFonts w:eastAsia="宋体"/>
                <w:color w:val="auto"/>
                <w:lang w:bidi="ar"/>
              </w:rPr>
              <w:t>K00205</w:t>
            </w:r>
            <w:r>
              <w:rPr>
                <w:rFonts w:hint="eastAsia" w:ascii="宋体" w:hAnsi="宋体" w:eastAsia="宋体" w:cs="宋体"/>
                <w:kern w:val="0"/>
                <w:sz w:val="20"/>
                <w:szCs w:val="20"/>
                <w:lang w:bidi="ar"/>
              </w:rPr>
              <w:t>；</w:t>
            </w:r>
            <w:r>
              <w:rPr>
                <w:rStyle w:val="22"/>
                <w:rFonts w:eastAsia="宋体"/>
                <w:color w:val="auto"/>
                <w:lang w:bidi="ar"/>
              </w:rPr>
              <w:t>K11260</w:t>
            </w:r>
            <w:r>
              <w:rPr>
                <w:rFonts w:hint="eastAsia" w:ascii="宋体" w:hAnsi="宋体" w:eastAsia="宋体" w:cs="宋体"/>
                <w:kern w:val="0"/>
                <w:sz w:val="20"/>
                <w:szCs w:val="20"/>
                <w:lang w:bidi="ar"/>
              </w:rPr>
              <w:t>；</w:t>
            </w:r>
            <w:r>
              <w:rPr>
                <w:rStyle w:val="22"/>
                <w:rFonts w:eastAsia="宋体"/>
                <w:color w:val="auto"/>
                <w:lang w:bidi="ar"/>
              </w:rPr>
              <w:t>K00672</w:t>
            </w:r>
            <w:r>
              <w:rPr>
                <w:rFonts w:hint="eastAsia" w:ascii="宋体" w:hAnsi="宋体" w:eastAsia="宋体" w:cs="宋体"/>
                <w:kern w:val="0"/>
                <w:sz w:val="20"/>
                <w:szCs w:val="20"/>
                <w:lang w:bidi="ar"/>
              </w:rPr>
              <w:t>；</w:t>
            </w:r>
            <w:r>
              <w:rPr>
                <w:rStyle w:val="22"/>
                <w:rFonts w:eastAsia="宋体"/>
                <w:color w:val="auto"/>
                <w:lang w:bidi="ar"/>
              </w:rPr>
              <w:t>K01499</w:t>
            </w:r>
            <w:r>
              <w:rPr>
                <w:rFonts w:hint="eastAsia" w:ascii="宋体" w:hAnsi="宋体" w:eastAsia="宋体" w:cs="宋体"/>
                <w:kern w:val="0"/>
                <w:sz w:val="20"/>
                <w:szCs w:val="20"/>
                <w:lang w:bidi="ar"/>
              </w:rPr>
              <w:t>；</w:t>
            </w:r>
            <w:r>
              <w:rPr>
                <w:rStyle w:val="22"/>
                <w:rFonts w:eastAsia="宋体"/>
                <w:color w:val="auto"/>
                <w:lang w:bidi="ar"/>
              </w:rPr>
              <w:t>K00319</w:t>
            </w:r>
            <w:r>
              <w:rPr>
                <w:rFonts w:hint="eastAsia" w:ascii="宋体" w:hAnsi="宋体" w:eastAsia="宋体" w:cs="宋体"/>
                <w:kern w:val="0"/>
                <w:sz w:val="20"/>
                <w:szCs w:val="20"/>
                <w:lang w:bidi="ar"/>
              </w:rPr>
              <w:t>；</w:t>
            </w:r>
            <w:r>
              <w:rPr>
                <w:rStyle w:val="22"/>
                <w:rFonts w:eastAsia="宋体"/>
                <w:color w:val="auto"/>
                <w:lang w:bidi="ar"/>
              </w:rPr>
              <w:t>K00320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K00577</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K00578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K00579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K00583</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K03390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K08265</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K14126</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K00125</w:t>
            </w:r>
          </w:p>
        </w:tc>
      </w:tr>
      <w:tr w14:paraId="5502B559">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6EDC1F5D">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229334F9">
            <w:pPr>
              <w:jc w:val="center"/>
              <w:rPr>
                <w:rFonts w:ascii="Times New Roman" w:hAnsi="Times New Roman" w:eastAsia="宋体" w:cs="Times New Roman"/>
                <w:sz w:val="20"/>
                <w:szCs w:val="20"/>
              </w:rPr>
            </w:pPr>
          </w:p>
        </w:tc>
      </w:tr>
      <w:tr w14:paraId="05727B13">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0B6F1B89">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052EC948">
            <w:pPr>
              <w:jc w:val="center"/>
              <w:rPr>
                <w:rFonts w:ascii="Times New Roman" w:hAnsi="Times New Roman" w:eastAsia="宋体" w:cs="Times New Roman"/>
                <w:sz w:val="20"/>
                <w:szCs w:val="20"/>
              </w:rPr>
            </w:pPr>
          </w:p>
        </w:tc>
      </w:tr>
      <w:tr w14:paraId="45E7609D">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3F1270FA">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426284E6">
            <w:pPr>
              <w:jc w:val="center"/>
              <w:rPr>
                <w:rFonts w:ascii="Times New Roman" w:hAnsi="Times New Roman" w:eastAsia="宋体" w:cs="Times New Roman"/>
                <w:sz w:val="20"/>
                <w:szCs w:val="20"/>
              </w:rPr>
            </w:pPr>
          </w:p>
        </w:tc>
      </w:tr>
      <w:tr w14:paraId="4B662C9C">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19AC0520">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4CE7279E">
            <w:pPr>
              <w:jc w:val="center"/>
              <w:rPr>
                <w:rFonts w:ascii="Times New Roman" w:hAnsi="Times New Roman" w:eastAsia="宋体" w:cs="Times New Roman"/>
                <w:sz w:val="20"/>
                <w:szCs w:val="20"/>
              </w:rPr>
            </w:pPr>
          </w:p>
        </w:tc>
      </w:tr>
      <w:tr w14:paraId="4A843200">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3BBD3770">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7D0EFBCD">
            <w:pPr>
              <w:jc w:val="center"/>
              <w:rPr>
                <w:rFonts w:ascii="Times New Roman" w:hAnsi="Times New Roman" w:eastAsia="宋体" w:cs="Times New Roman"/>
                <w:sz w:val="20"/>
                <w:szCs w:val="20"/>
              </w:rPr>
            </w:pPr>
          </w:p>
        </w:tc>
      </w:tr>
      <w:tr w14:paraId="3289679B">
        <w:tblPrEx>
          <w:tblCellMar>
            <w:top w:w="0" w:type="dxa"/>
            <w:left w:w="108" w:type="dxa"/>
            <w:bottom w:w="0" w:type="dxa"/>
            <w:right w:w="108" w:type="dxa"/>
          </w:tblCellMar>
        </w:tblPrEx>
        <w:trPr>
          <w:trHeight w:val="340" w:hRule="atLeast"/>
        </w:trPr>
        <w:tc>
          <w:tcPr>
            <w:tcW w:w="0" w:type="auto"/>
            <w:vMerge w:val="restart"/>
            <w:tcBorders>
              <w:top w:val="nil"/>
              <w:left w:val="nil"/>
              <w:bottom w:val="nil"/>
              <w:right w:val="nil"/>
            </w:tcBorders>
            <w:shd w:val="clear" w:color="auto" w:fill="FFFFFF"/>
            <w:noWrap/>
            <w:vAlign w:val="center"/>
          </w:tcPr>
          <w:p w14:paraId="19923C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Aceta</w:t>
            </w:r>
            <w:r>
              <w:rPr>
                <w:rFonts w:hint="eastAsia" w:ascii="Times New Roman" w:hAnsi="Times New Roman" w:eastAsia="宋体" w:cs="Times New Roman"/>
                <w:color w:val="000000"/>
                <w:kern w:val="0"/>
                <w:sz w:val="20"/>
                <w:szCs w:val="20"/>
                <w:lang w:bidi="ar"/>
              </w:rPr>
              <w:t>t</w:t>
            </w:r>
            <w:r>
              <w:rPr>
                <w:rFonts w:ascii="Times New Roman" w:hAnsi="Times New Roman" w:eastAsia="宋体" w:cs="Times New Roman"/>
                <w:color w:val="000000"/>
                <w:kern w:val="0"/>
                <w:sz w:val="20"/>
                <w:szCs w:val="20"/>
                <w:lang w:bidi="ar"/>
              </w:rPr>
              <w:t>e</w:t>
            </w:r>
          </w:p>
        </w:tc>
        <w:tc>
          <w:tcPr>
            <w:tcW w:w="4395" w:type="dxa"/>
            <w:vMerge w:val="restart"/>
            <w:tcBorders>
              <w:top w:val="nil"/>
              <w:left w:val="nil"/>
              <w:bottom w:val="nil"/>
              <w:right w:val="nil"/>
            </w:tcBorders>
            <w:shd w:val="clear" w:color="auto" w:fill="FFFFFF"/>
            <w:vAlign w:val="center"/>
          </w:tcPr>
          <w:p w14:paraId="6CAD0895">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K00925</w:t>
            </w:r>
            <w:r>
              <w:rPr>
                <w:rFonts w:hint="eastAsia" w:ascii="宋体" w:hAnsi="宋体" w:eastAsia="宋体" w:cs="宋体"/>
                <w:kern w:val="0"/>
                <w:sz w:val="20"/>
                <w:szCs w:val="20"/>
                <w:lang w:bidi="ar"/>
              </w:rPr>
              <w:t>；</w:t>
            </w:r>
            <w:r>
              <w:rPr>
                <w:rStyle w:val="22"/>
                <w:rFonts w:eastAsia="宋体"/>
                <w:color w:val="auto"/>
                <w:lang w:bidi="ar"/>
              </w:rPr>
              <w:t>K01895</w:t>
            </w:r>
            <w:r>
              <w:rPr>
                <w:rFonts w:hint="eastAsia" w:ascii="宋体" w:hAnsi="宋体" w:eastAsia="宋体" w:cs="宋体"/>
                <w:kern w:val="0"/>
                <w:sz w:val="20"/>
                <w:szCs w:val="20"/>
                <w:lang w:bidi="ar"/>
              </w:rPr>
              <w:t>；</w:t>
            </w:r>
            <w:r>
              <w:rPr>
                <w:rStyle w:val="22"/>
                <w:rFonts w:eastAsia="宋体"/>
                <w:color w:val="auto"/>
                <w:lang w:bidi="ar"/>
              </w:rPr>
              <w:t>K00193</w:t>
            </w:r>
            <w:r>
              <w:rPr>
                <w:rFonts w:hint="eastAsia" w:ascii="宋体" w:hAnsi="宋体" w:eastAsia="宋体" w:cs="宋体"/>
                <w:kern w:val="0"/>
                <w:sz w:val="20"/>
                <w:szCs w:val="20"/>
                <w:lang w:bidi="ar"/>
              </w:rPr>
              <w:t>；</w:t>
            </w:r>
            <w:r>
              <w:rPr>
                <w:rStyle w:val="22"/>
                <w:rFonts w:eastAsia="宋体"/>
                <w:color w:val="auto"/>
                <w:lang w:bidi="ar"/>
              </w:rPr>
              <w:t>K00197</w:t>
            </w:r>
            <w:r>
              <w:rPr>
                <w:rFonts w:hint="eastAsia" w:ascii="宋体" w:hAnsi="宋体" w:eastAsia="宋体" w:cs="宋体"/>
                <w:kern w:val="0"/>
                <w:sz w:val="20"/>
                <w:szCs w:val="20"/>
                <w:lang w:bidi="ar"/>
              </w:rPr>
              <w:t>；</w:t>
            </w:r>
            <w:r>
              <w:rPr>
                <w:rStyle w:val="22"/>
                <w:rFonts w:eastAsia="宋体"/>
                <w:color w:val="auto"/>
                <w:lang w:bidi="ar"/>
              </w:rPr>
              <w:t>K00194</w:t>
            </w:r>
            <w:r>
              <w:rPr>
                <w:rFonts w:hint="eastAsia" w:ascii="宋体" w:hAnsi="宋体" w:eastAsia="宋体" w:cs="宋体"/>
                <w:kern w:val="0"/>
                <w:sz w:val="20"/>
                <w:szCs w:val="20"/>
                <w:lang w:bidi="ar"/>
              </w:rPr>
              <w:t>；</w:t>
            </w:r>
            <w:r>
              <w:rPr>
                <w:rStyle w:val="22"/>
                <w:rFonts w:eastAsia="宋体"/>
                <w:color w:val="auto"/>
                <w:lang w:bidi="ar"/>
              </w:rPr>
              <w:br w:type="textWrapping"/>
            </w:r>
            <w:r>
              <w:rPr>
                <w:rFonts w:ascii="Times New Roman" w:hAnsi="Times New Roman" w:eastAsia="宋体" w:cs="Times New Roman"/>
                <w:kern w:val="0"/>
                <w:sz w:val="20"/>
                <w:szCs w:val="20"/>
                <w:lang w:bidi="ar"/>
              </w:rPr>
              <w:t>K00577</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K00578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K00579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K00583</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K00584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K03390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K08265</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K14126</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K00125</w:t>
            </w:r>
          </w:p>
        </w:tc>
      </w:tr>
      <w:tr w14:paraId="58C407AE">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08ACB300">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193F83ED">
            <w:pPr>
              <w:jc w:val="center"/>
              <w:rPr>
                <w:rFonts w:ascii="Times New Roman" w:hAnsi="Times New Roman" w:eastAsia="宋体" w:cs="Times New Roman"/>
                <w:sz w:val="20"/>
                <w:szCs w:val="20"/>
              </w:rPr>
            </w:pPr>
          </w:p>
        </w:tc>
      </w:tr>
      <w:tr w14:paraId="789AD833">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228BDE56">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3B3A7E47">
            <w:pPr>
              <w:jc w:val="center"/>
              <w:rPr>
                <w:rFonts w:ascii="Times New Roman" w:hAnsi="Times New Roman" w:eastAsia="宋体" w:cs="Times New Roman"/>
                <w:sz w:val="20"/>
                <w:szCs w:val="20"/>
              </w:rPr>
            </w:pPr>
          </w:p>
        </w:tc>
      </w:tr>
      <w:tr w14:paraId="20708F4E">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6DC6856A">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003D561D">
            <w:pPr>
              <w:jc w:val="center"/>
              <w:rPr>
                <w:rFonts w:ascii="Times New Roman" w:hAnsi="Times New Roman" w:eastAsia="宋体" w:cs="Times New Roman"/>
                <w:sz w:val="20"/>
                <w:szCs w:val="20"/>
              </w:rPr>
            </w:pPr>
          </w:p>
        </w:tc>
      </w:tr>
      <w:tr w14:paraId="0CD5AB49">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3559B54C">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6E1B9E7A">
            <w:pPr>
              <w:jc w:val="center"/>
              <w:rPr>
                <w:rFonts w:ascii="Times New Roman" w:hAnsi="Times New Roman" w:eastAsia="宋体" w:cs="Times New Roman"/>
                <w:sz w:val="20"/>
                <w:szCs w:val="20"/>
              </w:rPr>
            </w:pPr>
          </w:p>
        </w:tc>
      </w:tr>
      <w:tr w14:paraId="3E6F6578">
        <w:tblPrEx>
          <w:tblCellMar>
            <w:top w:w="0" w:type="dxa"/>
            <w:left w:w="108" w:type="dxa"/>
            <w:bottom w:w="0" w:type="dxa"/>
            <w:right w:w="108" w:type="dxa"/>
          </w:tblCellMar>
        </w:tblPrEx>
        <w:trPr>
          <w:trHeight w:val="340" w:hRule="atLeast"/>
        </w:trPr>
        <w:tc>
          <w:tcPr>
            <w:tcW w:w="0" w:type="auto"/>
            <w:vMerge w:val="restart"/>
            <w:tcBorders>
              <w:top w:val="nil"/>
              <w:left w:val="nil"/>
              <w:bottom w:val="nil"/>
              <w:right w:val="nil"/>
            </w:tcBorders>
            <w:shd w:val="clear" w:color="auto" w:fill="FFFFFF"/>
            <w:noWrap/>
            <w:vAlign w:val="center"/>
          </w:tcPr>
          <w:p w14:paraId="3306B5F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methanol</w:t>
            </w:r>
          </w:p>
        </w:tc>
        <w:tc>
          <w:tcPr>
            <w:tcW w:w="4395" w:type="dxa"/>
            <w:vMerge w:val="restart"/>
            <w:tcBorders>
              <w:top w:val="nil"/>
              <w:left w:val="nil"/>
              <w:bottom w:val="nil"/>
              <w:right w:val="nil"/>
            </w:tcBorders>
            <w:shd w:val="clear" w:color="auto" w:fill="FFFFFF"/>
            <w:vAlign w:val="center"/>
          </w:tcPr>
          <w:p w14:paraId="320CED60">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K14080</w:t>
            </w:r>
            <w:r>
              <w:rPr>
                <w:rFonts w:hint="eastAsia" w:ascii="宋体" w:hAnsi="宋体" w:eastAsia="宋体" w:cs="宋体"/>
                <w:kern w:val="0"/>
                <w:sz w:val="20"/>
                <w:szCs w:val="20"/>
                <w:lang w:bidi="ar"/>
              </w:rPr>
              <w:t>；</w:t>
            </w:r>
            <w:r>
              <w:rPr>
                <w:rStyle w:val="22"/>
                <w:rFonts w:eastAsia="宋体"/>
                <w:color w:val="auto"/>
                <w:lang w:bidi="ar"/>
              </w:rPr>
              <w:t>K04480</w:t>
            </w:r>
            <w:r>
              <w:rPr>
                <w:rFonts w:hint="eastAsia" w:ascii="宋体" w:hAnsi="宋体" w:eastAsia="宋体" w:cs="宋体"/>
                <w:kern w:val="0"/>
                <w:sz w:val="20"/>
                <w:szCs w:val="20"/>
                <w:lang w:bidi="ar"/>
              </w:rPr>
              <w:t>；</w:t>
            </w:r>
            <w:r>
              <w:rPr>
                <w:rStyle w:val="22"/>
                <w:rFonts w:eastAsia="宋体"/>
                <w:color w:val="auto"/>
                <w:lang w:bidi="ar"/>
              </w:rPr>
              <w:t>K14081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br w:type="textWrapping"/>
            </w:r>
            <w:r>
              <w:rPr>
                <w:rFonts w:ascii="Times New Roman" w:hAnsi="Times New Roman" w:eastAsia="宋体" w:cs="Times New Roman"/>
                <w:kern w:val="0"/>
                <w:sz w:val="20"/>
                <w:szCs w:val="20"/>
                <w:lang w:bidi="ar"/>
              </w:rPr>
              <w:t>K22480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K03390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K08265</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K14126</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K00125</w:t>
            </w:r>
          </w:p>
        </w:tc>
      </w:tr>
      <w:tr w14:paraId="1650338D">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200A2C12">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09CFECF0">
            <w:pPr>
              <w:jc w:val="center"/>
              <w:rPr>
                <w:rFonts w:ascii="Times New Roman" w:hAnsi="Times New Roman" w:eastAsia="宋体" w:cs="Times New Roman"/>
                <w:sz w:val="20"/>
                <w:szCs w:val="20"/>
              </w:rPr>
            </w:pPr>
          </w:p>
        </w:tc>
      </w:tr>
      <w:tr w14:paraId="3A1D8F50">
        <w:tblPrEx>
          <w:tblCellMar>
            <w:top w:w="0" w:type="dxa"/>
            <w:left w:w="108" w:type="dxa"/>
            <w:bottom w:w="0" w:type="dxa"/>
            <w:right w:w="108" w:type="dxa"/>
          </w:tblCellMar>
        </w:tblPrEx>
        <w:trPr>
          <w:trHeight w:val="340" w:hRule="atLeast"/>
        </w:trPr>
        <w:tc>
          <w:tcPr>
            <w:tcW w:w="0" w:type="auto"/>
            <w:vMerge w:val="continue"/>
            <w:tcBorders>
              <w:top w:val="nil"/>
              <w:left w:val="nil"/>
              <w:bottom w:val="nil"/>
              <w:right w:val="nil"/>
            </w:tcBorders>
            <w:shd w:val="clear" w:color="auto" w:fill="FFFFFF"/>
            <w:noWrap/>
            <w:vAlign w:val="center"/>
          </w:tcPr>
          <w:p w14:paraId="0CD49D0F">
            <w:pPr>
              <w:jc w:val="center"/>
              <w:rPr>
                <w:rFonts w:ascii="Times New Roman" w:hAnsi="Times New Roman" w:eastAsia="宋体" w:cs="Times New Roman"/>
                <w:color w:val="000000"/>
                <w:sz w:val="20"/>
                <w:szCs w:val="20"/>
              </w:rPr>
            </w:pPr>
          </w:p>
        </w:tc>
        <w:tc>
          <w:tcPr>
            <w:tcW w:w="4395" w:type="dxa"/>
            <w:vMerge w:val="continue"/>
            <w:tcBorders>
              <w:top w:val="nil"/>
              <w:left w:val="nil"/>
              <w:bottom w:val="nil"/>
              <w:right w:val="nil"/>
            </w:tcBorders>
            <w:shd w:val="clear" w:color="auto" w:fill="FFFFFF"/>
            <w:vAlign w:val="center"/>
          </w:tcPr>
          <w:p w14:paraId="7E62C5FC">
            <w:pPr>
              <w:jc w:val="center"/>
              <w:rPr>
                <w:rFonts w:ascii="Times New Roman" w:hAnsi="Times New Roman" w:eastAsia="宋体" w:cs="Times New Roman"/>
                <w:sz w:val="20"/>
                <w:szCs w:val="20"/>
              </w:rPr>
            </w:pPr>
          </w:p>
        </w:tc>
      </w:tr>
      <w:tr w14:paraId="1DC261B2">
        <w:tblPrEx>
          <w:tblCellMar>
            <w:top w:w="0" w:type="dxa"/>
            <w:left w:w="108" w:type="dxa"/>
            <w:bottom w:w="0" w:type="dxa"/>
            <w:right w:w="108" w:type="dxa"/>
          </w:tblCellMar>
        </w:tblPrEx>
        <w:trPr>
          <w:trHeight w:val="340" w:hRule="atLeast"/>
        </w:trPr>
        <w:tc>
          <w:tcPr>
            <w:tcW w:w="0" w:type="auto"/>
            <w:vMerge w:val="restart"/>
            <w:tcBorders>
              <w:top w:val="nil"/>
              <w:left w:val="nil"/>
              <w:bottom w:val="nil"/>
              <w:right w:val="nil"/>
            </w:tcBorders>
            <w:shd w:val="clear" w:color="auto" w:fill="FFFFFF"/>
            <w:noWrap/>
            <w:vAlign w:val="center"/>
          </w:tcPr>
          <w:p w14:paraId="454C06E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methylamine</w:t>
            </w:r>
          </w:p>
        </w:tc>
        <w:tc>
          <w:tcPr>
            <w:tcW w:w="4395" w:type="dxa"/>
            <w:vMerge w:val="restart"/>
            <w:tcBorders>
              <w:top w:val="nil"/>
              <w:left w:val="nil"/>
              <w:bottom w:val="nil"/>
              <w:right w:val="nil"/>
            </w:tcBorders>
            <w:shd w:val="clear" w:color="auto" w:fill="FFFFFF"/>
            <w:vAlign w:val="center"/>
          </w:tcPr>
          <w:p w14:paraId="270E022A">
            <w:pPr>
              <w:widowControl/>
              <w:jc w:val="center"/>
              <w:textAlignment w:val="center"/>
              <w:rPr>
                <w:rFonts w:ascii="Times New Roman" w:hAnsi="Times New Roman" w:eastAsia="宋体" w:cs="Times New Roman"/>
                <w:sz w:val="20"/>
                <w:szCs w:val="20"/>
              </w:rPr>
            </w:pPr>
            <w:r>
              <w:rPr>
                <w:rFonts w:ascii="Times New Roman" w:hAnsi="Times New Roman" w:eastAsia="宋体" w:cs="Times New Roman"/>
                <w:kern w:val="0"/>
                <w:sz w:val="20"/>
                <w:szCs w:val="20"/>
                <w:lang w:bidi="ar"/>
              </w:rPr>
              <w:t>K14082</w:t>
            </w:r>
            <w:r>
              <w:rPr>
                <w:rFonts w:hint="eastAsia" w:ascii="宋体" w:hAnsi="宋体" w:eastAsia="宋体" w:cs="宋体"/>
                <w:kern w:val="0"/>
                <w:sz w:val="20"/>
                <w:szCs w:val="20"/>
                <w:lang w:bidi="ar"/>
              </w:rPr>
              <w:t>；</w:t>
            </w:r>
            <w:r>
              <w:rPr>
                <w:rStyle w:val="22"/>
                <w:rFonts w:eastAsia="宋体"/>
                <w:color w:val="auto"/>
                <w:lang w:bidi="ar"/>
              </w:rPr>
              <w:t>K16176</w:t>
            </w:r>
            <w:r>
              <w:rPr>
                <w:rFonts w:hint="eastAsia" w:ascii="宋体" w:hAnsi="宋体" w:eastAsia="宋体" w:cs="宋体"/>
                <w:kern w:val="0"/>
                <w:sz w:val="20"/>
                <w:szCs w:val="20"/>
                <w:lang w:bidi="ar"/>
              </w:rPr>
              <w:t>；</w:t>
            </w:r>
            <w:r>
              <w:rPr>
                <w:rStyle w:val="22"/>
                <w:rFonts w:eastAsia="宋体"/>
                <w:color w:val="auto"/>
                <w:lang w:bidi="ar"/>
              </w:rPr>
              <w:t>K16177</w:t>
            </w:r>
            <w:r>
              <w:rPr>
                <w:rFonts w:hint="eastAsia" w:ascii="宋体" w:hAnsi="宋体" w:eastAsia="宋体" w:cs="宋体"/>
                <w:kern w:val="0"/>
                <w:sz w:val="20"/>
                <w:szCs w:val="20"/>
                <w:lang w:bidi="ar"/>
              </w:rPr>
              <w:t>；</w:t>
            </w:r>
            <w:r>
              <w:rPr>
                <w:rStyle w:val="22"/>
                <w:rFonts w:eastAsia="宋体"/>
                <w:color w:val="auto"/>
                <w:lang w:bidi="ar"/>
              </w:rPr>
              <w:t>K16178</w:t>
            </w:r>
            <w:r>
              <w:rPr>
                <w:rFonts w:hint="eastAsia" w:ascii="宋体" w:hAnsi="宋体" w:eastAsia="宋体" w:cs="宋体"/>
                <w:kern w:val="0"/>
                <w:sz w:val="20"/>
                <w:szCs w:val="20"/>
                <w:lang w:bidi="ar"/>
              </w:rPr>
              <w:t>；</w:t>
            </w:r>
            <w:r>
              <w:rPr>
                <w:rStyle w:val="22"/>
                <w:rFonts w:eastAsia="宋体"/>
                <w:color w:val="auto"/>
                <w:lang w:bidi="ar"/>
              </w:rPr>
              <w:t>K16179</w:t>
            </w:r>
            <w:r>
              <w:rPr>
                <w:rFonts w:hint="eastAsia" w:ascii="宋体" w:hAnsi="宋体" w:eastAsia="宋体" w:cs="宋体"/>
                <w:kern w:val="0"/>
                <w:sz w:val="20"/>
                <w:szCs w:val="20"/>
                <w:lang w:bidi="ar"/>
              </w:rPr>
              <w:t>；</w:t>
            </w:r>
            <w:r>
              <w:rPr>
                <w:rStyle w:val="22"/>
                <w:rFonts w:eastAsia="宋体"/>
                <w:color w:val="auto"/>
                <w:lang w:bidi="ar"/>
              </w:rPr>
              <w:br w:type="textWrapping"/>
            </w:r>
            <w:r>
              <w:rPr>
                <w:rStyle w:val="22"/>
                <w:rFonts w:eastAsia="宋体"/>
                <w:color w:val="auto"/>
                <w:lang w:bidi="ar"/>
              </w:rPr>
              <w:t>K14083</w:t>
            </w:r>
            <w:r>
              <w:rPr>
                <w:rFonts w:hint="eastAsia" w:ascii="宋体" w:hAnsi="宋体" w:eastAsia="宋体" w:cs="宋体"/>
                <w:kern w:val="0"/>
                <w:sz w:val="20"/>
                <w:szCs w:val="20"/>
                <w:lang w:bidi="ar"/>
              </w:rPr>
              <w:t>；</w:t>
            </w:r>
            <w:r>
              <w:rPr>
                <w:rStyle w:val="22"/>
                <w:rFonts w:eastAsia="宋体"/>
                <w:color w:val="auto"/>
                <w:lang w:bidi="ar"/>
              </w:rPr>
              <w:t>K14084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K00402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br w:type="textWrapping"/>
            </w:r>
            <w:r>
              <w:rPr>
                <w:rFonts w:ascii="Times New Roman" w:hAnsi="Times New Roman" w:eastAsia="宋体" w:cs="Times New Roman"/>
                <w:kern w:val="0"/>
                <w:sz w:val="20"/>
                <w:szCs w:val="20"/>
                <w:lang w:bidi="ar"/>
              </w:rPr>
              <w:t>K22480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K22481</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K22482</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K03388</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K03389</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K03390</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K08264</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K08265</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K14126</w:t>
            </w:r>
            <w:r>
              <w:rPr>
                <w:rFonts w:hint="eastAsia" w:ascii="宋体" w:hAnsi="宋体" w:eastAsia="宋体" w:cs="宋体"/>
                <w:kern w:val="0"/>
                <w:sz w:val="20"/>
                <w:szCs w:val="20"/>
                <w:lang w:bidi="ar"/>
              </w:rPr>
              <w:t>；</w:t>
            </w:r>
            <w:r>
              <w:rPr>
                <w:rFonts w:ascii="Times New Roman" w:hAnsi="Times New Roman" w:eastAsia="宋体" w:cs="Times New Roman"/>
                <w:kern w:val="0"/>
                <w:sz w:val="20"/>
                <w:szCs w:val="20"/>
                <w:lang w:bidi="ar"/>
              </w:rPr>
              <w:t>K00125</w:t>
            </w:r>
          </w:p>
        </w:tc>
      </w:tr>
      <w:tr w14:paraId="1E9B148A">
        <w:tblPrEx>
          <w:tblCellMar>
            <w:top w:w="0" w:type="dxa"/>
            <w:left w:w="108" w:type="dxa"/>
            <w:bottom w:w="0" w:type="dxa"/>
            <w:right w:w="108" w:type="dxa"/>
          </w:tblCellMar>
        </w:tblPrEx>
        <w:trPr>
          <w:trHeight w:val="340" w:hRule="atLeast"/>
        </w:trPr>
        <w:tc>
          <w:tcPr>
            <w:tcW w:w="0" w:type="auto"/>
            <w:vMerge w:val="continue"/>
            <w:tcBorders>
              <w:top w:val="nil"/>
              <w:left w:val="nil"/>
              <w:bottom w:val="single" w:color="000000" w:sz="12" w:space="0"/>
              <w:right w:val="nil"/>
            </w:tcBorders>
            <w:shd w:val="clear" w:color="auto" w:fill="FFFFFF"/>
            <w:noWrap/>
            <w:vAlign w:val="center"/>
          </w:tcPr>
          <w:p w14:paraId="2E35CDBA">
            <w:pPr>
              <w:jc w:val="center"/>
              <w:rPr>
                <w:rFonts w:ascii="Times New Roman" w:hAnsi="Times New Roman" w:eastAsia="宋体" w:cs="Times New Roman"/>
                <w:color w:val="000000"/>
                <w:sz w:val="20"/>
                <w:szCs w:val="20"/>
              </w:rPr>
            </w:pPr>
          </w:p>
        </w:tc>
        <w:tc>
          <w:tcPr>
            <w:tcW w:w="4395" w:type="dxa"/>
            <w:vMerge w:val="continue"/>
            <w:tcBorders>
              <w:top w:val="nil"/>
              <w:left w:val="nil"/>
              <w:bottom w:val="single" w:color="000000" w:sz="12" w:space="0"/>
              <w:right w:val="nil"/>
            </w:tcBorders>
            <w:shd w:val="clear" w:color="auto" w:fill="FFFFFF"/>
            <w:vAlign w:val="center"/>
          </w:tcPr>
          <w:p w14:paraId="0A4E7D5C">
            <w:pPr>
              <w:jc w:val="center"/>
              <w:rPr>
                <w:rFonts w:ascii="Times New Roman" w:hAnsi="Times New Roman" w:eastAsia="宋体" w:cs="Times New Roman"/>
                <w:color w:val="000000"/>
                <w:sz w:val="20"/>
                <w:szCs w:val="20"/>
              </w:rPr>
            </w:pPr>
          </w:p>
        </w:tc>
      </w:tr>
      <w:tr w14:paraId="19FC1C1F">
        <w:tblPrEx>
          <w:tblCellMar>
            <w:top w:w="0" w:type="dxa"/>
            <w:left w:w="108" w:type="dxa"/>
            <w:bottom w:w="0" w:type="dxa"/>
            <w:right w:w="108" w:type="dxa"/>
          </w:tblCellMar>
        </w:tblPrEx>
        <w:trPr>
          <w:trHeight w:val="340" w:hRule="atLeast"/>
        </w:trPr>
        <w:tc>
          <w:tcPr>
            <w:tcW w:w="0" w:type="auto"/>
            <w:vMerge w:val="continue"/>
            <w:tcBorders>
              <w:top w:val="nil"/>
              <w:left w:val="nil"/>
              <w:bottom w:val="single" w:color="000000" w:sz="12" w:space="0"/>
              <w:right w:val="nil"/>
            </w:tcBorders>
            <w:shd w:val="clear" w:color="auto" w:fill="FFFFFF"/>
            <w:noWrap/>
            <w:vAlign w:val="center"/>
          </w:tcPr>
          <w:p w14:paraId="655FCF44">
            <w:pPr>
              <w:jc w:val="center"/>
              <w:rPr>
                <w:rFonts w:ascii="Times New Roman" w:hAnsi="Times New Roman" w:eastAsia="宋体" w:cs="Times New Roman"/>
                <w:color w:val="000000"/>
                <w:sz w:val="20"/>
                <w:szCs w:val="20"/>
              </w:rPr>
            </w:pPr>
          </w:p>
        </w:tc>
        <w:tc>
          <w:tcPr>
            <w:tcW w:w="4395" w:type="dxa"/>
            <w:vMerge w:val="continue"/>
            <w:tcBorders>
              <w:top w:val="nil"/>
              <w:left w:val="nil"/>
              <w:bottom w:val="single" w:color="000000" w:sz="12" w:space="0"/>
              <w:right w:val="nil"/>
            </w:tcBorders>
            <w:shd w:val="clear" w:color="auto" w:fill="FFFFFF"/>
            <w:vAlign w:val="center"/>
          </w:tcPr>
          <w:p w14:paraId="37FD3649">
            <w:pPr>
              <w:jc w:val="center"/>
              <w:rPr>
                <w:rFonts w:ascii="Times New Roman" w:hAnsi="Times New Roman" w:eastAsia="宋体" w:cs="Times New Roman"/>
                <w:color w:val="000000"/>
                <w:sz w:val="20"/>
                <w:szCs w:val="20"/>
              </w:rPr>
            </w:pPr>
          </w:p>
        </w:tc>
      </w:tr>
      <w:tr w14:paraId="321133EC">
        <w:tblPrEx>
          <w:tblCellMar>
            <w:top w:w="0" w:type="dxa"/>
            <w:left w:w="108" w:type="dxa"/>
            <w:bottom w:w="0" w:type="dxa"/>
            <w:right w:w="108" w:type="dxa"/>
          </w:tblCellMar>
        </w:tblPrEx>
        <w:trPr>
          <w:trHeight w:val="340" w:hRule="atLeast"/>
        </w:trPr>
        <w:tc>
          <w:tcPr>
            <w:tcW w:w="0" w:type="auto"/>
            <w:vMerge w:val="continue"/>
            <w:tcBorders>
              <w:top w:val="nil"/>
              <w:left w:val="nil"/>
              <w:bottom w:val="single" w:color="000000" w:sz="12" w:space="0"/>
              <w:right w:val="nil"/>
            </w:tcBorders>
            <w:shd w:val="clear" w:color="auto" w:fill="FFFFFF"/>
            <w:noWrap/>
            <w:vAlign w:val="center"/>
          </w:tcPr>
          <w:p w14:paraId="76124C11">
            <w:pPr>
              <w:jc w:val="center"/>
              <w:rPr>
                <w:rFonts w:ascii="Times New Roman" w:hAnsi="Times New Roman" w:eastAsia="宋体" w:cs="Times New Roman"/>
                <w:color w:val="000000"/>
                <w:sz w:val="20"/>
                <w:szCs w:val="20"/>
              </w:rPr>
            </w:pPr>
          </w:p>
        </w:tc>
        <w:tc>
          <w:tcPr>
            <w:tcW w:w="4395" w:type="dxa"/>
            <w:vMerge w:val="continue"/>
            <w:tcBorders>
              <w:top w:val="nil"/>
              <w:left w:val="nil"/>
              <w:bottom w:val="single" w:color="000000" w:sz="12" w:space="0"/>
              <w:right w:val="nil"/>
            </w:tcBorders>
            <w:shd w:val="clear" w:color="auto" w:fill="FFFFFF"/>
            <w:vAlign w:val="center"/>
          </w:tcPr>
          <w:p w14:paraId="4F8FD60D">
            <w:pPr>
              <w:jc w:val="center"/>
              <w:rPr>
                <w:rFonts w:ascii="Times New Roman" w:hAnsi="Times New Roman" w:eastAsia="宋体" w:cs="Times New Roman"/>
                <w:color w:val="000000"/>
                <w:sz w:val="20"/>
                <w:szCs w:val="20"/>
              </w:rPr>
            </w:pPr>
          </w:p>
        </w:tc>
      </w:tr>
    </w:tbl>
    <w:p w14:paraId="15C1A7BC">
      <w:pPr>
        <w:spacing w:line="360" w:lineRule="auto"/>
        <w:rPr>
          <w:rFonts w:ascii="Times New Roman" w:hAnsi="Times New Roman" w:cs="Times New Roman"/>
        </w:rPr>
      </w:pPr>
      <w:r>
        <w:rPr>
          <w:rStyle w:val="9"/>
          <w:rFonts w:ascii="Times New Roman" w:hAnsi="Times New Roman" w:cs="Times New Roman"/>
          <w:color w:val="000000" w:themeColor="text1"/>
          <w:sz w:val="22"/>
          <w:u w:val="none"/>
          <w14:textFill>
            <w14:solidFill>
              <w14:schemeClr w14:val="tx1"/>
            </w14:solidFill>
          </w14:textFill>
        </w:rPr>
        <w:br w:type="page"/>
      </w:r>
      <w:r>
        <w:rPr>
          <w:rFonts w:ascii="Times New Roman" w:hAnsi="Times New Roman" w:cs="Times New Roman"/>
          <w:b/>
          <w:bCs/>
        </w:rPr>
        <w:t>Table S3</w:t>
      </w:r>
      <w:r>
        <w:rPr>
          <w:rFonts w:ascii="Times New Roman" w:hAnsi="Times New Roman" w:cs="Times New Roman"/>
        </w:rPr>
        <w:t xml:space="preserve"> Weighting coefficients for the construction of composite variables</w:t>
      </w:r>
      <w:r>
        <w:rPr>
          <w:rFonts w:hint="eastAsia" w:ascii="Times New Roman" w:hAnsi="Times New Roman" w:cs="Times New Roman"/>
        </w:rPr>
        <w:t>.</w:t>
      </w:r>
    </w:p>
    <w:tbl>
      <w:tblPr>
        <w:tblStyle w:val="7"/>
        <w:tblW w:w="8100" w:type="dxa"/>
        <w:tblInd w:w="0" w:type="dxa"/>
        <w:tblLayout w:type="autofit"/>
        <w:tblCellMar>
          <w:top w:w="0" w:type="dxa"/>
          <w:left w:w="108" w:type="dxa"/>
          <w:bottom w:w="0" w:type="dxa"/>
          <w:right w:w="108" w:type="dxa"/>
        </w:tblCellMar>
      </w:tblPr>
      <w:tblGrid>
        <w:gridCol w:w="2552"/>
        <w:gridCol w:w="2835"/>
        <w:gridCol w:w="1559"/>
        <w:gridCol w:w="1154"/>
      </w:tblGrid>
      <w:tr w14:paraId="049FEEC5">
        <w:tblPrEx>
          <w:tblCellMar>
            <w:top w:w="0" w:type="dxa"/>
            <w:left w:w="108" w:type="dxa"/>
            <w:bottom w:w="0" w:type="dxa"/>
            <w:right w:w="108" w:type="dxa"/>
          </w:tblCellMar>
        </w:tblPrEx>
        <w:trPr>
          <w:trHeight w:val="478" w:hRule="atLeast"/>
        </w:trPr>
        <w:tc>
          <w:tcPr>
            <w:tcW w:w="2552" w:type="dxa"/>
            <w:tcBorders>
              <w:top w:val="single" w:color="000000" w:sz="12" w:space="0"/>
              <w:left w:val="nil"/>
              <w:bottom w:val="single" w:color="000000" w:sz="4" w:space="0"/>
              <w:right w:val="nil"/>
            </w:tcBorders>
            <w:noWrap/>
            <w:vAlign w:val="center"/>
          </w:tcPr>
          <w:p w14:paraId="09EB6B44">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Composite Variables</w:t>
            </w:r>
          </w:p>
        </w:tc>
        <w:tc>
          <w:tcPr>
            <w:tcW w:w="2835" w:type="dxa"/>
            <w:tcBorders>
              <w:top w:val="single" w:color="000000" w:sz="12" w:space="0"/>
              <w:left w:val="nil"/>
              <w:bottom w:val="single" w:color="000000" w:sz="4" w:space="0"/>
              <w:right w:val="nil"/>
            </w:tcBorders>
            <w:noWrap/>
            <w:vAlign w:val="center"/>
          </w:tcPr>
          <w:p w14:paraId="7B6CD011">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Observed Variables</w:t>
            </w:r>
          </w:p>
        </w:tc>
        <w:tc>
          <w:tcPr>
            <w:tcW w:w="1559" w:type="dxa"/>
            <w:tcBorders>
              <w:top w:val="single" w:color="000000" w:sz="12" w:space="0"/>
              <w:left w:val="nil"/>
              <w:bottom w:val="single" w:color="000000" w:sz="4" w:space="0"/>
              <w:right w:val="nil"/>
            </w:tcBorders>
            <w:noWrap/>
            <w:vAlign w:val="center"/>
          </w:tcPr>
          <w:p w14:paraId="4C176FC6">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Coefficient (β)</w:t>
            </w:r>
          </w:p>
        </w:tc>
        <w:tc>
          <w:tcPr>
            <w:tcW w:w="1154" w:type="dxa"/>
            <w:tcBorders>
              <w:top w:val="single" w:color="000000" w:sz="12" w:space="0"/>
              <w:left w:val="nil"/>
              <w:bottom w:val="single" w:color="000000" w:sz="4" w:space="0"/>
              <w:right w:val="nil"/>
            </w:tcBorders>
            <w:noWrap/>
            <w:vAlign w:val="center"/>
          </w:tcPr>
          <w:p w14:paraId="1DFC839E">
            <w:pPr>
              <w:widowControl/>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P-value</w:t>
            </w:r>
          </w:p>
        </w:tc>
      </w:tr>
      <w:tr w14:paraId="075CDCB2">
        <w:tblPrEx>
          <w:tblCellMar>
            <w:top w:w="0" w:type="dxa"/>
            <w:left w:w="108" w:type="dxa"/>
            <w:bottom w:w="0" w:type="dxa"/>
            <w:right w:w="108" w:type="dxa"/>
          </w:tblCellMar>
        </w:tblPrEx>
        <w:trPr>
          <w:trHeight w:val="374" w:hRule="atLeast"/>
        </w:trPr>
        <w:tc>
          <w:tcPr>
            <w:tcW w:w="2552" w:type="dxa"/>
            <w:vMerge w:val="restart"/>
            <w:tcBorders>
              <w:top w:val="nil"/>
              <w:left w:val="nil"/>
              <w:bottom w:val="nil"/>
              <w:right w:val="nil"/>
            </w:tcBorders>
            <w:noWrap/>
            <w:vAlign w:val="center"/>
          </w:tcPr>
          <w:p w14:paraId="7DBC4A85">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Soil properties</w:t>
            </w:r>
          </w:p>
        </w:tc>
        <w:tc>
          <w:tcPr>
            <w:tcW w:w="2835" w:type="dxa"/>
            <w:tcBorders>
              <w:top w:val="nil"/>
              <w:left w:val="nil"/>
              <w:bottom w:val="nil"/>
              <w:right w:val="nil"/>
            </w:tcBorders>
            <w:noWrap/>
            <w:vAlign w:val="center"/>
          </w:tcPr>
          <w:p w14:paraId="4FC76E37">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NO</w:t>
            </w:r>
            <w:r>
              <w:rPr>
                <w:rFonts w:ascii="Times New Roman" w:hAnsi="Times New Roman" w:eastAsia="宋体" w:cs="Times New Roman"/>
                <w:color w:val="000000"/>
                <w:kern w:val="0"/>
                <w:sz w:val="20"/>
                <w:szCs w:val="20"/>
                <w:vertAlign w:val="subscript"/>
              </w:rPr>
              <w:t>2</w:t>
            </w:r>
            <w:r>
              <w:rPr>
                <w:rFonts w:ascii="Times New Roman" w:hAnsi="Times New Roman" w:eastAsia="宋体" w:cs="Times New Roman"/>
                <w:color w:val="000000"/>
                <w:kern w:val="0"/>
                <w:sz w:val="20"/>
                <w:szCs w:val="20"/>
                <w:vertAlign w:val="superscript"/>
              </w:rPr>
              <w:t>-</w:t>
            </w:r>
            <w:r>
              <w:rPr>
                <w:rFonts w:ascii="Times New Roman" w:hAnsi="Times New Roman" w:eastAsia="宋体" w:cs="Times New Roman"/>
                <w:color w:val="000000"/>
                <w:kern w:val="0"/>
                <w:sz w:val="20"/>
                <w:szCs w:val="20"/>
              </w:rPr>
              <w:t>-N</w:t>
            </w:r>
          </w:p>
        </w:tc>
        <w:tc>
          <w:tcPr>
            <w:tcW w:w="1559" w:type="dxa"/>
            <w:tcBorders>
              <w:top w:val="nil"/>
              <w:left w:val="nil"/>
              <w:bottom w:val="nil"/>
              <w:right w:val="nil"/>
            </w:tcBorders>
            <w:noWrap/>
            <w:vAlign w:val="center"/>
          </w:tcPr>
          <w:p w14:paraId="25170E3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-125.624</w:t>
            </w:r>
          </w:p>
        </w:tc>
        <w:tc>
          <w:tcPr>
            <w:tcW w:w="1154" w:type="dxa"/>
            <w:tcBorders>
              <w:top w:val="nil"/>
              <w:left w:val="nil"/>
              <w:bottom w:val="nil"/>
              <w:right w:val="nil"/>
            </w:tcBorders>
            <w:noWrap/>
            <w:vAlign w:val="center"/>
          </w:tcPr>
          <w:p w14:paraId="48D4A365">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0.2362</w:t>
            </w:r>
          </w:p>
        </w:tc>
      </w:tr>
      <w:tr w14:paraId="3DACB5FB">
        <w:tblPrEx>
          <w:tblCellMar>
            <w:top w:w="0" w:type="dxa"/>
            <w:left w:w="108" w:type="dxa"/>
            <w:bottom w:w="0" w:type="dxa"/>
            <w:right w:w="108" w:type="dxa"/>
          </w:tblCellMar>
        </w:tblPrEx>
        <w:trPr>
          <w:trHeight w:val="426" w:hRule="atLeast"/>
        </w:trPr>
        <w:tc>
          <w:tcPr>
            <w:tcW w:w="2552" w:type="dxa"/>
            <w:vMerge w:val="continue"/>
            <w:tcBorders>
              <w:top w:val="nil"/>
              <w:left w:val="nil"/>
              <w:bottom w:val="nil"/>
              <w:right w:val="nil"/>
            </w:tcBorders>
            <w:vAlign w:val="center"/>
          </w:tcPr>
          <w:p w14:paraId="23CADE24">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64F9F01D">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NO</w:t>
            </w:r>
            <w:r>
              <w:rPr>
                <w:rFonts w:ascii="Times New Roman" w:hAnsi="Times New Roman" w:eastAsia="宋体" w:cs="Times New Roman"/>
                <w:color w:val="000000"/>
                <w:kern w:val="0"/>
                <w:sz w:val="20"/>
                <w:szCs w:val="20"/>
                <w:vertAlign w:val="subscript"/>
              </w:rPr>
              <w:t>3</w:t>
            </w:r>
            <w:r>
              <w:rPr>
                <w:rFonts w:ascii="Times New Roman" w:hAnsi="Times New Roman" w:eastAsia="宋体" w:cs="Times New Roman"/>
                <w:color w:val="000000"/>
                <w:kern w:val="0"/>
                <w:sz w:val="20"/>
                <w:szCs w:val="20"/>
                <w:vertAlign w:val="superscript"/>
              </w:rPr>
              <w:t>-</w:t>
            </w:r>
            <w:r>
              <w:rPr>
                <w:rFonts w:ascii="Times New Roman" w:hAnsi="Times New Roman" w:eastAsia="宋体" w:cs="Times New Roman"/>
                <w:color w:val="000000"/>
                <w:kern w:val="0"/>
                <w:sz w:val="20"/>
                <w:szCs w:val="20"/>
              </w:rPr>
              <w:t>-N</w:t>
            </w:r>
          </w:p>
        </w:tc>
        <w:tc>
          <w:tcPr>
            <w:tcW w:w="1559" w:type="dxa"/>
            <w:tcBorders>
              <w:top w:val="nil"/>
              <w:left w:val="nil"/>
              <w:bottom w:val="nil"/>
              <w:right w:val="nil"/>
            </w:tcBorders>
            <w:noWrap/>
            <w:vAlign w:val="center"/>
          </w:tcPr>
          <w:p w14:paraId="3AF88748">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4.2198</w:t>
            </w:r>
          </w:p>
        </w:tc>
        <w:tc>
          <w:tcPr>
            <w:tcW w:w="1154" w:type="dxa"/>
            <w:tcBorders>
              <w:top w:val="nil"/>
              <w:left w:val="nil"/>
              <w:bottom w:val="nil"/>
              <w:right w:val="nil"/>
            </w:tcBorders>
            <w:noWrap/>
            <w:vAlign w:val="center"/>
          </w:tcPr>
          <w:p w14:paraId="1F9BE72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0.7793</w:t>
            </w:r>
          </w:p>
        </w:tc>
      </w:tr>
      <w:tr w14:paraId="79C17D51">
        <w:tblPrEx>
          <w:tblCellMar>
            <w:top w:w="0" w:type="dxa"/>
            <w:left w:w="108" w:type="dxa"/>
            <w:bottom w:w="0" w:type="dxa"/>
            <w:right w:w="108" w:type="dxa"/>
          </w:tblCellMar>
        </w:tblPrEx>
        <w:trPr>
          <w:trHeight w:val="288" w:hRule="atLeast"/>
        </w:trPr>
        <w:tc>
          <w:tcPr>
            <w:tcW w:w="2552" w:type="dxa"/>
            <w:vMerge w:val="continue"/>
            <w:tcBorders>
              <w:top w:val="nil"/>
              <w:left w:val="nil"/>
              <w:bottom w:val="nil"/>
              <w:right w:val="nil"/>
            </w:tcBorders>
            <w:vAlign w:val="center"/>
          </w:tcPr>
          <w:p w14:paraId="000C4FEC">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6DCA5E85">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NH</w:t>
            </w:r>
            <w:r>
              <w:rPr>
                <w:rFonts w:ascii="Times New Roman" w:hAnsi="Times New Roman" w:eastAsia="宋体" w:cs="Times New Roman"/>
                <w:color w:val="000000"/>
                <w:kern w:val="0"/>
                <w:sz w:val="20"/>
                <w:szCs w:val="20"/>
                <w:vertAlign w:val="subscript"/>
              </w:rPr>
              <w:t>4</w:t>
            </w:r>
            <w:r>
              <w:rPr>
                <w:rFonts w:ascii="Times New Roman" w:hAnsi="Times New Roman" w:eastAsia="宋体" w:cs="Times New Roman"/>
                <w:color w:val="000000"/>
                <w:kern w:val="0"/>
                <w:sz w:val="20"/>
                <w:szCs w:val="20"/>
                <w:vertAlign w:val="superscript"/>
              </w:rPr>
              <w:t>+</w:t>
            </w:r>
            <w:r>
              <w:rPr>
                <w:rFonts w:ascii="Times New Roman" w:hAnsi="Times New Roman" w:eastAsia="宋体" w:cs="Times New Roman"/>
                <w:color w:val="000000"/>
                <w:kern w:val="0"/>
                <w:sz w:val="20"/>
                <w:szCs w:val="20"/>
              </w:rPr>
              <w:t>-N</w:t>
            </w:r>
          </w:p>
        </w:tc>
        <w:tc>
          <w:tcPr>
            <w:tcW w:w="1559" w:type="dxa"/>
            <w:tcBorders>
              <w:top w:val="nil"/>
              <w:left w:val="nil"/>
              <w:bottom w:val="nil"/>
              <w:right w:val="nil"/>
            </w:tcBorders>
            <w:noWrap/>
            <w:vAlign w:val="center"/>
          </w:tcPr>
          <w:p w14:paraId="206F80A2">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-0.5855</w:t>
            </w:r>
          </w:p>
        </w:tc>
        <w:tc>
          <w:tcPr>
            <w:tcW w:w="1154" w:type="dxa"/>
            <w:tcBorders>
              <w:top w:val="nil"/>
              <w:left w:val="nil"/>
              <w:bottom w:val="nil"/>
              <w:right w:val="nil"/>
            </w:tcBorders>
            <w:noWrap/>
            <w:vAlign w:val="center"/>
          </w:tcPr>
          <w:p w14:paraId="34BC3BC8">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0.6007</w:t>
            </w:r>
          </w:p>
        </w:tc>
      </w:tr>
      <w:tr w14:paraId="078EC783">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690C5085">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2130E8EA">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DOC</w:t>
            </w:r>
          </w:p>
        </w:tc>
        <w:tc>
          <w:tcPr>
            <w:tcW w:w="1559" w:type="dxa"/>
            <w:tcBorders>
              <w:top w:val="nil"/>
              <w:left w:val="nil"/>
              <w:bottom w:val="nil"/>
              <w:right w:val="nil"/>
            </w:tcBorders>
            <w:noWrap/>
            <w:vAlign w:val="center"/>
          </w:tcPr>
          <w:p w14:paraId="4820962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-0.0279</w:t>
            </w:r>
          </w:p>
        </w:tc>
        <w:tc>
          <w:tcPr>
            <w:tcW w:w="1154" w:type="dxa"/>
            <w:tcBorders>
              <w:top w:val="nil"/>
              <w:left w:val="nil"/>
              <w:bottom w:val="nil"/>
              <w:right w:val="nil"/>
            </w:tcBorders>
            <w:noWrap/>
            <w:vAlign w:val="center"/>
          </w:tcPr>
          <w:p w14:paraId="3AAD2C84">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0.7617</w:t>
            </w:r>
          </w:p>
        </w:tc>
      </w:tr>
      <w:tr w14:paraId="36F999E3">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1296EF3C">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38D5DA7F">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pH</w:t>
            </w:r>
          </w:p>
        </w:tc>
        <w:tc>
          <w:tcPr>
            <w:tcW w:w="1559" w:type="dxa"/>
            <w:tcBorders>
              <w:top w:val="nil"/>
              <w:left w:val="nil"/>
              <w:bottom w:val="nil"/>
              <w:right w:val="nil"/>
            </w:tcBorders>
            <w:noWrap/>
            <w:vAlign w:val="center"/>
          </w:tcPr>
          <w:p w14:paraId="626C0C86">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170.325</w:t>
            </w:r>
          </w:p>
        </w:tc>
        <w:tc>
          <w:tcPr>
            <w:tcW w:w="1154" w:type="dxa"/>
            <w:tcBorders>
              <w:top w:val="nil"/>
              <w:left w:val="nil"/>
              <w:bottom w:val="nil"/>
              <w:right w:val="nil"/>
            </w:tcBorders>
            <w:noWrap/>
            <w:vAlign w:val="center"/>
          </w:tcPr>
          <w:p w14:paraId="2D949613">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0.0412</w:t>
            </w:r>
            <w:r>
              <w:rPr>
                <w:rFonts w:ascii="Times New Roman" w:hAnsi="Times New Roman" w:eastAsia="宋体" w:cs="Times New Roman"/>
                <w:color w:val="000000"/>
                <w:kern w:val="0"/>
                <w:sz w:val="20"/>
                <w:szCs w:val="20"/>
              </w:rPr>
              <w:t xml:space="preserve"> *</w:t>
            </w:r>
          </w:p>
        </w:tc>
      </w:tr>
      <w:tr w14:paraId="73925F75">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406D6D1A">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45F8DB7D">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TN</w:t>
            </w:r>
          </w:p>
        </w:tc>
        <w:tc>
          <w:tcPr>
            <w:tcW w:w="1559" w:type="dxa"/>
            <w:tcBorders>
              <w:top w:val="nil"/>
              <w:left w:val="nil"/>
              <w:bottom w:val="nil"/>
              <w:right w:val="nil"/>
            </w:tcBorders>
            <w:noWrap/>
            <w:vAlign w:val="center"/>
          </w:tcPr>
          <w:p w14:paraId="138B97A6">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-9.7116</w:t>
            </w:r>
          </w:p>
        </w:tc>
        <w:tc>
          <w:tcPr>
            <w:tcW w:w="1154" w:type="dxa"/>
            <w:tcBorders>
              <w:top w:val="nil"/>
              <w:left w:val="nil"/>
              <w:bottom w:val="nil"/>
              <w:right w:val="nil"/>
            </w:tcBorders>
            <w:noWrap/>
            <w:vAlign w:val="center"/>
          </w:tcPr>
          <w:p w14:paraId="673B97DB">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0.1117</w:t>
            </w:r>
          </w:p>
        </w:tc>
      </w:tr>
      <w:tr w14:paraId="68881C21">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65D9850B">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6F57BE9A">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TC</w:t>
            </w:r>
          </w:p>
        </w:tc>
        <w:tc>
          <w:tcPr>
            <w:tcW w:w="1559" w:type="dxa"/>
            <w:tcBorders>
              <w:top w:val="nil"/>
              <w:left w:val="nil"/>
              <w:bottom w:val="nil"/>
              <w:right w:val="nil"/>
            </w:tcBorders>
            <w:noWrap/>
            <w:vAlign w:val="center"/>
          </w:tcPr>
          <w:p w14:paraId="5E8480BB">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0.4924</w:t>
            </w:r>
          </w:p>
        </w:tc>
        <w:tc>
          <w:tcPr>
            <w:tcW w:w="1154" w:type="dxa"/>
            <w:tcBorders>
              <w:top w:val="nil"/>
              <w:left w:val="nil"/>
              <w:bottom w:val="nil"/>
              <w:right w:val="nil"/>
            </w:tcBorders>
            <w:noWrap/>
            <w:vAlign w:val="center"/>
          </w:tcPr>
          <w:p w14:paraId="0538EFD8">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0.3108</w:t>
            </w:r>
          </w:p>
        </w:tc>
      </w:tr>
      <w:tr w14:paraId="23A782FD">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333D177D">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715410DE">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Temperature</w:t>
            </w:r>
          </w:p>
        </w:tc>
        <w:tc>
          <w:tcPr>
            <w:tcW w:w="1559" w:type="dxa"/>
            <w:tcBorders>
              <w:top w:val="nil"/>
              <w:left w:val="nil"/>
              <w:bottom w:val="nil"/>
              <w:right w:val="nil"/>
            </w:tcBorders>
            <w:noWrap/>
            <w:vAlign w:val="center"/>
          </w:tcPr>
          <w:p w14:paraId="122DC84C">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-30.4405</w:t>
            </w:r>
          </w:p>
        </w:tc>
        <w:tc>
          <w:tcPr>
            <w:tcW w:w="1154" w:type="dxa"/>
            <w:tcBorders>
              <w:top w:val="nil"/>
              <w:left w:val="nil"/>
              <w:bottom w:val="nil"/>
              <w:right w:val="nil"/>
            </w:tcBorders>
            <w:noWrap/>
            <w:vAlign w:val="center"/>
          </w:tcPr>
          <w:p w14:paraId="6CED739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0.5587</w:t>
            </w:r>
          </w:p>
        </w:tc>
      </w:tr>
      <w:tr w14:paraId="1188CEF9">
        <w:tblPrEx>
          <w:tblCellMar>
            <w:top w:w="0" w:type="dxa"/>
            <w:left w:w="108" w:type="dxa"/>
            <w:bottom w:w="0" w:type="dxa"/>
            <w:right w:w="108" w:type="dxa"/>
          </w:tblCellMar>
        </w:tblPrEx>
        <w:trPr>
          <w:trHeight w:val="288" w:hRule="atLeast"/>
        </w:trPr>
        <w:tc>
          <w:tcPr>
            <w:tcW w:w="2552" w:type="dxa"/>
            <w:vMerge w:val="continue"/>
            <w:tcBorders>
              <w:top w:val="nil"/>
              <w:left w:val="nil"/>
              <w:bottom w:val="nil"/>
              <w:right w:val="nil"/>
            </w:tcBorders>
            <w:vAlign w:val="center"/>
          </w:tcPr>
          <w:p w14:paraId="7C960ADE">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4A5828AC">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SWC</w:t>
            </w:r>
          </w:p>
        </w:tc>
        <w:tc>
          <w:tcPr>
            <w:tcW w:w="1559" w:type="dxa"/>
            <w:tcBorders>
              <w:top w:val="nil"/>
              <w:left w:val="nil"/>
              <w:bottom w:val="nil"/>
              <w:right w:val="nil"/>
            </w:tcBorders>
            <w:noWrap/>
            <w:vAlign w:val="center"/>
          </w:tcPr>
          <w:p w14:paraId="385E3DE7">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0.6247</w:t>
            </w:r>
          </w:p>
        </w:tc>
        <w:tc>
          <w:tcPr>
            <w:tcW w:w="1154" w:type="dxa"/>
            <w:tcBorders>
              <w:top w:val="nil"/>
              <w:left w:val="nil"/>
              <w:bottom w:val="nil"/>
              <w:right w:val="nil"/>
            </w:tcBorders>
            <w:noWrap/>
            <w:vAlign w:val="center"/>
          </w:tcPr>
          <w:p w14:paraId="3AC0806C">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0.1907</w:t>
            </w:r>
          </w:p>
        </w:tc>
      </w:tr>
      <w:tr w14:paraId="219E40D9">
        <w:tblPrEx>
          <w:tblCellMar>
            <w:top w:w="0" w:type="dxa"/>
            <w:left w:w="108" w:type="dxa"/>
            <w:bottom w:w="0" w:type="dxa"/>
            <w:right w:w="108" w:type="dxa"/>
          </w:tblCellMar>
        </w:tblPrEx>
        <w:trPr>
          <w:trHeight w:val="336" w:hRule="atLeast"/>
        </w:trPr>
        <w:tc>
          <w:tcPr>
            <w:tcW w:w="2552" w:type="dxa"/>
            <w:tcBorders>
              <w:top w:val="nil"/>
              <w:left w:val="nil"/>
              <w:bottom w:val="nil"/>
              <w:right w:val="nil"/>
            </w:tcBorders>
            <w:noWrap/>
            <w:vAlign w:val="center"/>
          </w:tcPr>
          <w:p w14:paraId="690B0993">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Microbial biomass</w:t>
            </w:r>
          </w:p>
        </w:tc>
        <w:tc>
          <w:tcPr>
            <w:tcW w:w="2835" w:type="dxa"/>
            <w:tcBorders>
              <w:top w:val="nil"/>
              <w:left w:val="nil"/>
              <w:bottom w:val="nil"/>
              <w:right w:val="nil"/>
            </w:tcBorders>
            <w:noWrap/>
            <w:vAlign w:val="center"/>
          </w:tcPr>
          <w:p w14:paraId="2DE3C428">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Total PLFA</w:t>
            </w:r>
          </w:p>
        </w:tc>
        <w:tc>
          <w:tcPr>
            <w:tcW w:w="1559" w:type="dxa"/>
            <w:tcBorders>
              <w:top w:val="nil"/>
              <w:left w:val="nil"/>
              <w:bottom w:val="nil"/>
              <w:right w:val="nil"/>
            </w:tcBorders>
            <w:noWrap/>
            <w:vAlign w:val="center"/>
          </w:tcPr>
          <w:p w14:paraId="4DC7F174">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0.0039</w:t>
            </w:r>
          </w:p>
        </w:tc>
        <w:tc>
          <w:tcPr>
            <w:tcW w:w="1154" w:type="dxa"/>
            <w:tcBorders>
              <w:top w:val="nil"/>
              <w:left w:val="nil"/>
              <w:bottom w:val="nil"/>
              <w:right w:val="nil"/>
            </w:tcBorders>
            <w:noWrap/>
            <w:vAlign w:val="center"/>
          </w:tcPr>
          <w:p w14:paraId="459DE7A2">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0.0094</w:t>
            </w:r>
            <w:r>
              <w:rPr>
                <w:rFonts w:ascii="Times New Roman" w:hAnsi="Times New Roman" w:eastAsia="宋体" w:cs="Times New Roman"/>
                <w:color w:val="000000"/>
                <w:kern w:val="0"/>
                <w:sz w:val="20"/>
                <w:szCs w:val="20"/>
              </w:rPr>
              <w:t xml:space="preserve"> **</w:t>
            </w:r>
          </w:p>
        </w:tc>
      </w:tr>
      <w:tr w14:paraId="38D18C02">
        <w:tblPrEx>
          <w:tblCellMar>
            <w:top w:w="0" w:type="dxa"/>
            <w:left w:w="108" w:type="dxa"/>
            <w:bottom w:w="0" w:type="dxa"/>
            <w:right w:w="108" w:type="dxa"/>
          </w:tblCellMar>
        </w:tblPrEx>
        <w:trPr>
          <w:trHeight w:val="336" w:hRule="atLeast"/>
        </w:trPr>
        <w:tc>
          <w:tcPr>
            <w:tcW w:w="2552" w:type="dxa"/>
            <w:vMerge w:val="restart"/>
            <w:tcBorders>
              <w:top w:val="nil"/>
              <w:left w:val="nil"/>
              <w:bottom w:val="nil"/>
              <w:right w:val="nil"/>
            </w:tcBorders>
            <w:noWrap/>
            <w:vAlign w:val="center"/>
          </w:tcPr>
          <w:p w14:paraId="54DCB062">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Functional genes</w:t>
            </w:r>
          </w:p>
        </w:tc>
        <w:tc>
          <w:tcPr>
            <w:tcW w:w="2835" w:type="dxa"/>
            <w:tcBorders>
              <w:top w:val="nil"/>
              <w:left w:val="nil"/>
              <w:bottom w:val="nil"/>
              <w:right w:val="nil"/>
            </w:tcBorders>
            <w:noWrap/>
            <w:vAlign w:val="center"/>
          </w:tcPr>
          <w:p w14:paraId="7085D2C5">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Pco</w:t>
            </w:r>
            <w:r>
              <w:rPr>
                <w:rFonts w:ascii="Times New Roman" w:hAnsi="Times New Roman" w:eastAsia="宋体" w:cs="Times New Roman"/>
                <w:color w:val="000000"/>
                <w:kern w:val="0"/>
                <w:sz w:val="20"/>
                <w:szCs w:val="20"/>
                <w:vertAlign w:val="subscript"/>
              </w:rPr>
              <w:t>2</w:t>
            </w:r>
          </w:p>
        </w:tc>
        <w:tc>
          <w:tcPr>
            <w:tcW w:w="1559" w:type="dxa"/>
            <w:tcBorders>
              <w:top w:val="nil"/>
              <w:left w:val="nil"/>
              <w:bottom w:val="nil"/>
              <w:right w:val="nil"/>
            </w:tcBorders>
            <w:noWrap/>
            <w:vAlign w:val="center"/>
          </w:tcPr>
          <w:p w14:paraId="59F2038C">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-0.0273</w:t>
            </w:r>
          </w:p>
        </w:tc>
        <w:tc>
          <w:tcPr>
            <w:tcW w:w="1154" w:type="dxa"/>
            <w:tcBorders>
              <w:top w:val="nil"/>
              <w:left w:val="nil"/>
              <w:bottom w:val="nil"/>
              <w:right w:val="nil"/>
            </w:tcBorders>
            <w:noWrap/>
            <w:vAlign w:val="center"/>
          </w:tcPr>
          <w:p w14:paraId="61960F71">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0.5043</w:t>
            </w:r>
          </w:p>
        </w:tc>
      </w:tr>
      <w:tr w14:paraId="75D70296">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3066A6BE">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0156AA14">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Pacetate</w:t>
            </w:r>
          </w:p>
        </w:tc>
        <w:tc>
          <w:tcPr>
            <w:tcW w:w="1559" w:type="dxa"/>
            <w:tcBorders>
              <w:top w:val="nil"/>
              <w:left w:val="nil"/>
              <w:bottom w:val="nil"/>
              <w:right w:val="nil"/>
            </w:tcBorders>
            <w:noWrap/>
            <w:vAlign w:val="center"/>
          </w:tcPr>
          <w:p w14:paraId="6B9A03E1">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0.0764</w:t>
            </w:r>
          </w:p>
        </w:tc>
        <w:tc>
          <w:tcPr>
            <w:tcW w:w="1154" w:type="dxa"/>
            <w:tcBorders>
              <w:top w:val="nil"/>
              <w:left w:val="nil"/>
              <w:bottom w:val="nil"/>
              <w:right w:val="nil"/>
            </w:tcBorders>
            <w:noWrap/>
            <w:vAlign w:val="center"/>
          </w:tcPr>
          <w:p w14:paraId="2D392F85">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0.3221</w:t>
            </w:r>
          </w:p>
        </w:tc>
      </w:tr>
      <w:tr w14:paraId="35189700">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7022B564">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20519F95">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Pmethanol</w:t>
            </w:r>
          </w:p>
        </w:tc>
        <w:tc>
          <w:tcPr>
            <w:tcW w:w="1559" w:type="dxa"/>
            <w:tcBorders>
              <w:top w:val="nil"/>
              <w:left w:val="nil"/>
              <w:bottom w:val="nil"/>
              <w:right w:val="nil"/>
            </w:tcBorders>
            <w:noWrap/>
            <w:vAlign w:val="center"/>
          </w:tcPr>
          <w:p w14:paraId="6D41DD81">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0.073</w:t>
            </w:r>
          </w:p>
        </w:tc>
        <w:tc>
          <w:tcPr>
            <w:tcW w:w="1154" w:type="dxa"/>
            <w:tcBorders>
              <w:top w:val="nil"/>
              <w:left w:val="nil"/>
              <w:bottom w:val="nil"/>
              <w:right w:val="nil"/>
            </w:tcBorders>
            <w:noWrap/>
            <w:vAlign w:val="center"/>
          </w:tcPr>
          <w:p w14:paraId="53114705">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0.5979</w:t>
            </w:r>
          </w:p>
        </w:tc>
      </w:tr>
      <w:tr w14:paraId="2806F21D">
        <w:tblPrEx>
          <w:tblCellMar>
            <w:top w:w="0" w:type="dxa"/>
            <w:left w:w="108" w:type="dxa"/>
            <w:bottom w:w="0" w:type="dxa"/>
            <w:right w:w="108" w:type="dxa"/>
          </w:tblCellMar>
        </w:tblPrEx>
        <w:trPr>
          <w:trHeight w:val="336" w:hRule="atLeast"/>
        </w:trPr>
        <w:tc>
          <w:tcPr>
            <w:tcW w:w="2552" w:type="dxa"/>
            <w:vMerge w:val="continue"/>
            <w:tcBorders>
              <w:top w:val="nil"/>
              <w:left w:val="nil"/>
              <w:bottom w:val="nil"/>
              <w:right w:val="nil"/>
            </w:tcBorders>
            <w:vAlign w:val="center"/>
          </w:tcPr>
          <w:p w14:paraId="77460512">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49188683">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Pmethylamine</w:t>
            </w:r>
          </w:p>
        </w:tc>
        <w:tc>
          <w:tcPr>
            <w:tcW w:w="1559" w:type="dxa"/>
            <w:tcBorders>
              <w:top w:val="nil"/>
              <w:left w:val="nil"/>
              <w:bottom w:val="nil"/>
              <w:right w:val="nil"/>
            </w:tcBorders>
            <w:noWrap/>
            <w:vAlign w:val="center"/>
          </w:tcPr>
          <w:p w14:paraId="5F627226">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-0.0388</w:t>
            </w:r>
          </w:p>
        </w:tc>
        <w:tc>
          <w:tcPr>
            <w:tcW w:w="1154" w:type="dxa"/>
            <w:tcBorders>
              <w:top w:val="nil"/>
              <w:left w:val="nil"/>
              <w:bottom w:val="nil"/>
              <w:right w:val="nil"/>
            </w:tcBorders>
            <w:noWrap/>
            <w:vAlign w:val="center"/>
          </w:tcPr>
          <w:p w14:paraId="72D212C1">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0.6542</w:t>
            </w:r>
          </w:p>
        </w:tc>
      </w:tr>
      <w:tr w14:paraId="26CF6F4A">
        <w:tblPrEx>
          <w:tblCellMar>
            <w:top w:w="0" w:type="dxa"/>
            <w:left w:w="108" w:type="dxa"/>
            <w:bottom w:w="0" w:type="dxa"/>
            <w:right w:w="108" w:type="dxa"/>
          </w:tblCellMar>
        </w:tblPrEx>
        <w:trPr>
          <w:trHeight w:val="288" w:hRule="atLeast"/>
        </w:trPr>
        <w:tc>
          <w:tcPr>
            <w:tcW w:w="2552" w:type="dxa"/>
            <w:vMerge w:val="restart"/>
            <w:tcBorders>
              <w:top w:val="nil"/>
              <w:left w:val="nil"/>
              <w:bottom w:val="single" w:color="000000" w:sz="12" w:space="0"/>
              <w:right w:val="nil"/>
            </w:tcBorders>
            <w:noWrap/>
            <w:vAlign w:val="center"/>
          </w:tcPr>
          <w:p w14:paraId="16DFA34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Functional groups</w:t>
            </w:r>
          </w:p>
        </w:tc>
        <w:tc>
          <w:tcPr>
            <w:tcW w:w="2835" w:type="dxa"/>
            <w:tcBorders>
              <w:top w:val="nil"/>
              <w:left w:val="nil"/>
              <w:bottom w:val="nil"/>
              <w:right w:val="nil"/>
            </w:tcBorders>
            <w:noWrap/>
            <w:vAlign w:val="center"/>
          </w:tcPr>
          <w:p w14:paraId="5FA7CC2E">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CO</w:t>
            </w:r>
            <w:r>
              <w:rPr>
                <w:rFonts w:ascii="Times New Roman" w:hAnsi="Times New Roman" w:eastAsia="宋体" w:cs="Times New Roman"/>
                <w:color w:val="000000"/>
                <w:kern w:val="0"/>
                <w:sz w:val="20"/>
                <w:szCs w:val="20"/>
                <w:vertAlign w:val="subscript"/>
              </w:rPr>
              <w:t>2</w:t>
            </w:r>
          </w:p>
        </w:tc>
        <w:tc>
          <w:tcPr>
            <w:tcW w:w="1559" w:type="dxa"/>
            <w:tcBorders>
              <w:top w:val="nil"/>
              <w:left w:val="nil"/>
              <w:bottom w:val="nil"/>
              <w:right w:val="nil"/>
            </w:tcBorders>
            <w:noWrap/>
            <w:vAlign w:val="center"/>
          </w:tcPr>
          <w:p w14:paraId="50A87D1F">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0.0015</w:t>
            </w:r>
          </w:p>
        </w:tc>
        <w:tc>
          <w:tcPr>
            <w:tcW w:w="1154" w:type="dxa"/>
            <w:tcBorders>
              <w:top w:val="nil"/>
              <w:left w:val="nil"/>
              <w:bottom w:val="nil"/>
              <w:right w:val="nil"/>
            </w:tcBorders>
            <w:noWrap/>
            <w:vAlign w:val="center"/>
          </w:tcPr>
          <w:p w14:paraId="47368FAC">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0.663</w:t>
            </w:r>
          </w:p>
        </w:tc>
      </w:tr>
      <w:tr w14:paraId="498BE16E">
        <w:tblPrEx>
          <w:tblCellMar>
            <w:top w:w="0" w:type="dxa"/>
            <w:left w:w="108" w:type="dxa"/>
            <w:bottom w:w="0" w:type="dxa"/>
            <w:right w:w="108" w:type="dxa"/>
          </w:tblCellMar>
        </w:tblPrEx>
        <w:trPr>
          <w:trHeight w:val="288" w:hRule="atLeast"/>
        </w:trPr>
        <w:tc>
          <w:tcPr>
            <w:tcW w:w="2552" w:type="dxa"/>
            <w:vMerge w:val="continue"/>
            <w:tcBorders>
              <w:top w:val="nil"/>
              <w:left w:val="nil"/>
              <w:bottom w:val="single" w:color="000000" w:sz="12" w:space="0"/>
              <w:right w:val="nil"/>
            </w:tcBorders>
            <w:vAlign w:val="center"/>
          </w:tcPr>
          <w:p w14:paraId="3DDA8433">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706B2B4C">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Aceticlastic</w:t>
            </w:r>
          </w:p>
        </w:tc>
        <w:tc>
          <w:tcPr>
            <w:tcW w:w="1559" w:type="dxa"/>
            <w:tcBorders>
              <w:top w:val="nil"/>
              <w:left w:val="nil"/>
              <w:bottom w:val="nil"/>
              <w:right w:val="nil"/>
            </w:tcBorders>
            <w:noWrap/>
            <w:vAlign w:val="center"/>
          </w:tcPr>
          <w:p w14:paraId="27C5216F">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0.0012</w:t>
            </w:r>
          </w:p>
        </w:tc>
        <w:tc>
          <w:tcPr>
            <w:tcW w:w="1154" w:type="dxa"/>
            <w:tcBorders>
              <w:top w:val="nil"/>
              <w:left w:val="nil"/>
              <w:bottom w:val="nil"/>
              <w:right w:val="nil"/>
            </w:tcBorders>
            <w:noWrap/>
            <w:vAlign w:val="center"/>
          </w:tcPr>
          <w:p w14:paraId="2741EC23">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0.705</w:t>
            </w:r>
          </w:p>
        </w:tc>
      </w:tr>
      <w:tr w14:paraId="7C438498">
        <w:tblPrEx>
          <w:tblCellMar>
            <w:top w:w="0" w:type="dxa"/>
            <w:left w:w="108" w:type="dxa"/>
            <w:bottom w:w="0" w:type="dxa"/>
            <w:right w:w="108" w:type="dxa"/>
          </w:tblCellMar>
        </w:tblPrEx>
        <w:trPr>
          <w:trHeight w:val="288" w:hRule="atLeast"/>
        </w:trPr>
        <w:tc>
          <w:tcPr>
            <w:tcW w:w="2552" w:type="dxa"/>
            <w:vMerge w:val="continue"/>
            <w:tcBorders>
              <w:top w:val="nil"/>
              <w:left w:val="nil"/>
              <w:bottom w:val="single" w:color="000000" w:sz="12" w:space="0"/>
              <w:right w:val="nil"/>
            </w:tcBorders>
            <w:vAlign w:val="center"/>
          </w:tcPr>
          <w:p w14:paraId="5A65544E">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5EC55F5E">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Methylotrophic</w:t>
            </w:r>
          </w:p>
        </w:tc>
        <w:tc>
          <w:tcPr>
            <w:tcW w:w="1559" w:type="dxa"/>
            <w:tcBorders>
              <w:top w:val="nil"/>
              <w:left w:val="nil"/>
              <w:bottom w:val="nil"/>
              <w:right w:val="nil"/>
            </w:tcBorders>
            <w:noWrap/>
            <w:vAlign w:val="center"/>
          </w:tcPr>
          <w:p w14:paraId="7D8220C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-0.0232</w:t>
            </w:r>
          </w:p>
        </w:tc>
        <w:tc>
          <w:tcPr>
            <w:tcW w:w="1154" w:type="dxa"/>
            <w:tcBorders>
              <w:top w:val="nil"/>
              <w:left w:val="nil"/>
              <w:bottom w:val="nil"/>
              <w:right w:val="nil"/>
            </w:tcBorders>
            <w:noWrap/>
            <w:vAlign w:val="center"/>
          </w:tcPr>
          <w:p w14:paraId="39801D99">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0.374</w:t>
            </w:r>
          </w:p>
        </w:tc>
      </w:tr>
      <w:tr w14:paraId="552D5EE6">
        <w:tblPrEx>
          <w:tblCellMar>
            <w:top w:w="0" w:type="dxa"/>
            <w:left w:w="108" w:type="dxa"/>
            <w:bottom w:w="0" w:type="dxa"/>
            <w:right w:w="108" w:type="dxa"/>
          </w:tblCellMar>
        </w:tblPrEx>
        <w:trPr>
          <w:trHeight w:val="288" w:hRule="atLeast"/>
        </w:trPr>
        <w:tc>
          <w:tcPr>
            <w:tcW w:w="2552" w:type="dxa"/>
            <w:vMerge w:val="continue"/>
            <w:tcBorders>
              <w:top w:val="nil"/>
              <w:left w:val="nil"/>
              <w:bottom w:val="single" w:color="000000" w:sz="12" w:space="0"/>
              <w:right w:val="nil"/>
            </w:tcBorders>
            <w:vAlign w:val="center"/>
          </w:tcPr>
          <w:p w14:paraId="066A4190">
            <w:pPr>
              <w:widowControl/>
              <w:jc w:val="left"/>
              <w:rPr>
                <w:rFonts w:ascii="Times New Roman" w:hAnsi="Times New Roman" w:eastAsia="宋体" w:cs="Times New Roman"/>
                <w:color w:val="000000"/>
                <w:kern w:val="0"/>
                <w:sz w:val="20"/>
                <w:szCs w:val="20"/>
              </w:rPr>
            </w:pPr>
          </w:p>
        </w:tc>
        <w:tc>
          <w:tcPr>
            <w:tcW w:w="2835" w:type="dxa"/>
            <w:tcBorders>
              <w:top w:val="nil"/>
              <w:left w:val="nil"/>
              <w:bottom w:val="nil"/>
              <w:right w:val="nil"/>
            </w:tcBorders>
            <w:noWrap/>
            <w:vAlign w:val="center"/>
          </w:tcPr>
          <w:p w14:paraId="6C1C0B99">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Aceticlastic and methylotrophic</w:t>
            </w:r>
          </w:p>
        </w:tc>
        <w:tc>
          <w:tcPr>
            <w:tcW w:w="1559" w:type="dxa"/>
            <w:tcBorders>
              <w:top w:val="nil"/>
              <w:left w:val="nil"/>
              <w:bottom w:val="nil"/>
              <w:right w:val="nil"/>
            </w:tcBorders>
            <w:noWrap/>
            <w:vAlign w:val="center"/>
          </w:tcPr>
          <w:p w14:paraId="3F325624">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0.0023</w:t>
            </w:r>
          </w:p>
        </w:tc>
        <w:tc>
          <w:tcPr>
            <w:tcW w:w="1154" w:type="dxa"/>
            <w:tcBorders>
              <w:top w:val="nil"/>
              <w:left w:val="nil"/>
              <w:bottom w:val="nil"/>
              <w:right w:val="nil"/>
            </w:tcBorders>
            <w:noWrap/>
            <w:vAlign w:val="center"/>
          </w:tcPr>
          <w:p w14:paraId="6C1652E1">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0.1657</w:t>
            </w:r>
          </w:p>
        </w:tc>
      </w:tr>
      <w:tr w14:paraId="69DF77C0">
        <w:tblPrEx>
          <w:tblCellMar>
            <w:top w:w="0" w:type="dxa"/>
            <w:left w:w="108" w:type="dxa"/>
            <w:bottom w:w="0" w:type="dxa"/>
            <w:right w:w="108" w:type="dxa"/>
          </w:tblCellMar>
        </w:tblPrEx>
        <w:trPr>
          <w:trHeight w:val="336" w:hRule="atLeast"/>
        </w:trPr>
        <w:tc>
          <w:tcPr>
            <w:tcW w:w="2552" w:type="dxa"/>
            <w:vMerge w:val="continue"/>
            <w:tcBorders>
              <w:top w:val="nil"/>
              <w:left w:val="nil"/>
              <w:bottom w:val="single" w:color="000000" w:sz="12" w:space="0"/>
              <w:right w:val="nil"/>
            </w:tcBorders>
            <w:vAlign w:val="center"/>
          </w:tcPr>
          <w:p w14:paraId="5787486B">
            <w:pPr>
              <w:widowControl/>
              <w:jc w:val="left"/>
              <w:rPr>
                <w:rFonts w:ascii="Times New Roman" w:hAnsi="Times New Roman" w:eastAsia="宋体" w:cs="Times New Roman"/>
                <w:color w:val="000000"/>
                <w:kern w:val="0"/>
                <w:sz w:val="20"/>
                <w:szCs w:val="20"/>
              </w:rPr>
            </w:pPr>
          </w:p>
        </w:tc>
        <w:tc>
          <w:tcPr>
            <w:tcW w:w="2835" w:type="dxa"/>
            <w:tcBorders>
              <w:top w:val="nil"/>
              <w:left w:val="nil"/>
              <w:bottom w:val="single" w:color="000000" w:sz="12" w:space="0"/>
              <w:right w:val="nil"/>
            </w:tcBorders>
            <w:noWrap/>
            <w:vAlign w:val="center"/>
          </w:tcPr>
          <w:p w14:paraId="6A97C7A5">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CO</w:t>
            </w:r>
            <w:r>
              <w:rPr>
                <w:rFonts w:ascii="Times New Roman" w:hAnsi="Times New Roman" w:eastAsia="宋体" w:cs="Times New Roman"/>
                <w:color w:val="000000"/>
                <w:kern w:val="0"/>
                <w:sz w:val="20"/>
                <w:szCs w:val="20"/>
                <w:vertAlign w:val="subscript"/>
              </w:rPr>
              <w:t>2</w:t>
            </w:r>
            <w:r>
              <w:rPr>
                <w:rFonts w:ascii="Times New Roman" w:hAnsi="Times New Roman" w:eastAsia="宋体" w:cs="Times New Roman"/>
                <w:color w:val="000000"/>
                <w:kern w:val="0"/>
                <w:sz w:val="20"/>
                <w:szCs w:val="20"/>
              </w:rPr>
              <w:t xml:space="preserve"> and methylotrophic</w:t>
            </w:r>
          </w:p>
        </w:tc>
        <w:tc>
          <w:tcPr>
            <w:tcW w:w="1559" w:type="dxa"/>
            <w:tcBorders>
              <w:top w:val="nil"/>
              <w:left w:val="nil"/>
              <w:bottom w:val="single" w:color="000000" w:sz="12" w:space="0"/>
              <w:right w:val="nil"/>
            </w:tcBorders>
            <w:noWrap/>
            <w:vAlign w:val="center"/>
          </w:tcPr>
          <w:p w14:paraId="62145DB0">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-0.0025</w:t>
            </w:r>
          </w:p>
        </w:tc>
        <w:tc>
          <w:tcPr>
            <w:tcW w:w="1154" w:type="dxa"/>
            <w:tcBorders>
              <w:top w:val="nil"/>
              <w:left w:val="nil"/>
              <w:bottom w:val="single" w:color="000000" w:sz="12" w:space="0"/>
              <w:right w:val="nil"/>
            </w:tcBorders>
            <w:noWrap/>
            <w:vAlign w:val="center"/>
          </w:tcPr>
          <w:p w14:paraId="25E3A9A3">
            <w:pPr>
              <w:widowControl/>
              <w:jc w:val="center"/>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0.2909</w:t>
            </w:r>
          </w:p>
        </w:tc>
      </w:tr>
    </w:tbl>
    <w:p w14:paraId="39998550">
      <w:pPr>
        <w:rPr>
          <w:rStyle w:val="9"/>
          <w:rFonts w:ascii="Times New Roman" w:hAnsi="Times New Roman" w:cs="Times New Roman"/>
          <w:color w:val="000000" w:themeColor="text1"/>
          <w:sz w:val="22"/>
          <w:u w:val="none"/>
          <w14:textFill>
            <w14:solidFill>
              <w14:schemeClr w14:val="tx1"/>
            </w14:solidFill>
          </w14:textFill>
        </w:rPr>
      </w:pPr>
      <w:r>
        <w:rPr>
          <w:rStyle w:val="9"/>
          <w:rFonts w:ascii="Times New Roman" w:hAnsi="Times New Roman" w:cs="Times New Roman"/>
          <w:color w:val="000000" w:themeColor="text1"/>
          <w:sz w:val="22"/>
          <w:u w:val="none"/>
          <w14:textFill>
            <w14:solidFill>
              <w14:schemeClr w14:val="tx1"/>
            </w14:solidFill>
          </w14:textFill>
        </w:rPr>
        <w:br w:type="page"/>
      </w:r>
    </w:p>
    <w:p w14:paraId="6A973018">
      <w:pPr>
        <w:spacing w:line="360" w:lineRule="auto"/>
        <w:rPr>
          <w:rStyle w:val="9"/>
          <w:rFonts w:ascii="Times New Roman" w:hAnsi="Times New Roman" w:cs="Times New Roman"/>
          <w:color w:val="000000" w:themeColor="text1"/>
          <w:szCs w:val="22"/>
          <w:u w:val="none"/>
          <w14:textFill>
            <w14:solidFill>
              <w14:schemeClr w14:val="tx1"/>
            </w14:solidFill>
          </w14:textFill>
        </w:rPr>
      </w:pPr>
      <w:r>
        <w:rPr>
          <w:rStyle w:val="9"/>
          <w:rFonts w:hint="eastAsia" w:ascii="Times New Roman" w:hAnsi="Times New Roman" w:cs="Times New Roman"/>
          <w:b/>
          <w:bCs/>
          <w:color w:val="000000" w:themeColor="text1"/>
          <w:szCs w:val="22"/>
          <w:u w:val="none"/>
          <w14:textFill>
            <w14:solidFill>
              <w14:schemeClr w14:val="tx1"/>
            </w14:solidFill>
          </w14:textFill>
        </w:rPr>
        <w:t>Table S4</w:t>
      </w:r>
      <w:r>
        <w:rPr>
          <w:rStyle w:val="9"/>
          <w:rFonts w:hint="eastAsia" w:ascii="Times New Roman" w:hAnsi="Times New Roman" w:cs="Times New Roman"/>
          <w:color w:val="000000" w:themeColor="text1"/>
          <w:szCs w:val="22"/>
          <w:u w:val="none"/>
          <w14:textFill>
            <w14:solidFill>
              <w14:schemeClr w14:val="tx1"/>
            </w14:solidFill>
          </w14:textFill>
        </w:rPr>
        <w:t xml:space="preserve"> Levins</w:t>
      </w:r>
      <w:r>
        <w:rPr>
          <w:rFonts w:ascii="Times New Roman" w:hAnsi="Times New Roman" w:eastAsia="宋体" w:cs="Times New Roman"/>
          <w:color w:val="000000"/>
          <w:kern w:val="0"/>
          <w:sz w:val="24"/>
          <w:lang w:bidi="ar"/>
        </w:rPr>
        <w:t>’</w:t>
      </w:r>
      <w:r>
        <w:rPr>
          <w:rStyle w:val="9"/>
          <w:rFonts w:hint="eastAsia" w:ascii="Times New Roman" w:hAnsi="Times New Roman" w:cs="Times New Roman"/>
          <w:color w:val="000000" w:themeColor="text1"/>
          <w:szCs w:val="22"/>
          <w:u w:val="none"/>
          <w14:textFill>
            <w14:solidFill>
              <w14:schemeClr w14:val="tx1"/>
            </w14:solidFill>
          </w14:textFill>
        </w:rPr>
        <w:t xml:space="preserve"> niche breadth and peak depth distribution of dominant methanogenic genera.</w:t>
      </w:r>
    </w:p>
    <w:tbl>
      <w:tblPr>
        <w:tblStyle w:val="7"/>
        <w:tblW w:w="8330" w:type="dxa"/>
        <w:tblInd w:w="96" w:type="dxa"/>
        <w:tblLayout w:type="fixed"/>
        <w:tblCellMar>
          <w:top w:w="0" w:type="dxa"/>
          <w:left w:w="108" w:type="dxa"/>
          <w:bottom w:w="0" w:type="dxa"/>
          <w:right w:w="108" w:type="dxa"/>
        </w:tblCellMar>
      </w:tblPr>
      <w:tblGrid>
        <w:gridCol w:w="1938"/>
        <w:gridCol w:w="1507"/>
        <w:gridCol w:w="1870"/>
        <w:gridCol w:w="3015"/>
      </w:tblGrid>
      <w:tr w14:paraId="78C61F26">
        <w:tblPrEx>
          <w:tblCellMar>
            <w:top w:w="0" w:type="dxa"/>
            <w:left w:w="108" w:type="dxa"/>
            <w:bottom w:w="0" w:type="dxa"/>
            <w:right w:w="108" w:type="dxa"/>
          </w:tblCellMar>
        </w:tblPrEx>
        <w:trPr>
          <w:trHeight w:val="454" w:hRule="atLeast"/>
        </w:trPr>
        <w:tc>
          <w:tcPr>
            <w:tcW w:w="1938" w:type="dxa"/>
            <w:tcBorders>
              <w:top w:val="single" w:color="000000" w:sz="12" w:space="0"/>
              <w:left w:val="nil"/>
              <w:bottom w:val="single" w:color="000000" w:sz="4" w:space="0"/>
              <w:right w:val="nil"/>
            </w:tcBorders>
            <w:noWrap/>
            <w:vAlign w:val="center"/>
          </w:tcPr>
          <w:p w14:paraId="5B6F4CB2">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Genus</w:t>
            </w:r>
          </w:p>
        </w:tc>
        <w:tc>
          <w:tcPr>
            <w:tcW w:w="1507" w:type="dxa"/>
            <w:tcBorders>
              <w:top w:val="single" w:color="000000" w:sz="12" w:space="0"/>
              <w:left w:val="nil"/>
              <w:bottom w:val="single" w:color="000000" w:sz="4" w:space="0"/>
              <w:right w:val="nil"/>
            </w:tcBorders>
            <w:noWrap/>
            <w:vAlign w:val="center"/>
          </w:tcPr>
          <w:p w14:paraId="5D328105">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Levins’ B</w:t>
            </w:r>
          </w:p>
        </w:tc>
        <w:tc>
          <w:tcPr>
            <w:tcW w:w="1870" w:type="dxa"/>
            <w:tcBorders>
              <w:top w:val="single" w:color="000000" w:sz="12" w:space="0"/>
              <w:left w:val="nil"/>
              <w:bottom w:val="single" w:color="000000" w:sz="4" w:space="0"/>
              <w:right w:val="nil"/>
            </w:tcBorders>
            <w:noWrap/>
            <w:vAlign w:val="center"/>
          </w:tcPr>
          <w:p w14:paraId="7153A4EE">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Peak depth</w:t>
            </w:r>
          </w:p>
        </w:tc>
        <w:tc>
          <w:tcPr>
            <w:tcW w:w="3015" w:type="dxa"/>
            <w:tcBorders>
              <w:top w:val="single" w:color="000000" w:sz="12" w:space="0"/>
              <w:left w:val="nil"/>
              <w:bottom w:val="single" w:color="000000" w:sz="4" w:space="0"/>
              <w:right w:val="nil"/>
            </w:tcBorders>
            <w:noWrap/>
            <w:vAlign w:val="center"/>
          </w:tcPr>
          <w:p w14:paraId="1FB39C69">
            <w:pPr>
              <w:widowControl/>
              <w:jc w:val="left"/>
              <w:textAlignment w:val="center"/>
              <w:rPr>
                <w:rFonts w:ascii="Times New Roman" w:hAnsi="Times New Roman" w:eastAsia="宋体" w:cs="Times New Roman"/>
                <w:color w:val="000000"/>
                <w:szCs w:val="21"/>
              </w:rPr>
            </w:pPr>
            <w:r>
              <w:rPr>
                <w:rFonts w:ascii="Times New Roman" w:hAnsi="Times New Roman" w:eastAsia="宋体" w:cs="Times New Roman"/>
                <w:color w:val="000000"/>
                <w:kern w:val="0"/>
                <w:szCs w:val="21"/>
                <w:lang w:bidi="ar"/>
              </w:rPr>
              <w:t>Relative abundance (%)</w:t>
            </w:r>
          </w:p>
        </w:tc>
      </w:tr>
      <w:tr w14:paraId="422FD7EA">
        <w:tblPrEx>
          <w:tblCellMar>
            <w:top w:w="0" w:type="dxa"/>
            <w:left w:w="108" w:type="dxa"/>
            <w:bottom w:w="0" w:type="dxa"/>
            <w:right w:w="108" w:type="dxa"/>
          </w:tblCellMar>
        </w:tblPrEx>
        <w:trPr>
          <w:trHeight w:val="360" w:hRule="atLeast"/>
        </w:trPr>
        <w:tc>
          <w:tcPr>
            <w:tcW w:w="1938" w:type="dxa"/>
            <w:tcBorders>
              <w:top w:val="nil"/>
              <w:left w:val="nil"/>
              <w:bottom w:val="nil"/>
              <w:right w:val="nil"/>
            </w:tcBorders>
            <w:vAlign w:val="center"/>
          </w:tcPr>
          <w:p w14:paraId="1E3EEE8B">
            <w:pPr>
              <w:widowControl/>
              <w:jc w:val="left"/>
              <w:textAlignment w:val="center"/>
              <w:rPr>
                <w:rFonts w:ascii="Times New Roman" w:hAnsi="Times New Roman" w:eastAsia="宋体" w:cs="Times New Roman"/>
                <w:i/>
                <w:iCs/>
                <w:color w:val="000000"/>
                <w:sz w:val="22"/>
                <w:szCs w:val="22"/>
              </w:rPr>
            </w:pPr>
            <w:r>
              <w:rPr>
                <w:rFonts w:ascii="Times New Roman" w:hAnsi="Times New Roman" w:eastAsia="宋体" w:cs="Times New Roman"/>
                <w:i/>
                <w:iCs/>
                <w:color w:val="000000"/>
                <w:kern w:val="0"/>
                <w:sz w:val="22"/>
                <w:szCs w:val="22"/>
                <w:lang w:bidi="ar"/>
              </w:rPr>
              <w:t>Methanosarcina</w:t>
            </w:r>
          </w:p>
        </w:tc>
        <w:tc>
          <w:tcPr>
            <w:tcW w:w="1507" w:type="dxa"/>
            <w:tcBorders>
              <w:top w:val="nil"/>
              <w:left w:val="nil"/>
              <w:bottom w:val="nil"/>
              <w:right w:val="nil"/>
            </w:tcBorders>
            <w:noWrap/>
            <w:vAlign w:val="center"/>
          </w:tcPr>
          <w:p w14:paraId="408C245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8.55</w:t>
            </w:r>
          </w:p>
        </w:tc>
        <w:tc>
          <w:tcPr>
            <w:tcW w:w="1870" w:type="dxa"/>
            <w:tcBorders>
              <w:top w:val="nil"/>
              <w:left w:val="nil"/>
              <w:bottom w:val="nil"/>
              <w:right w:val="nil"/>
            </w:tcBorders>
            <w:noWrap/>
            <w:vAlign w:val="center"/>
          </w:tcPr>
          <w:p w14:paraId="4021C8BF">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0–10 cm</w:t>
            </w:r>
          </w:p>
        </w:tc>
        <w:tc>
          <w:tcPr>
            <w:tcW w:w="3015" w:type="dxa"/>
            <w:tcBorders>
              <w:top w:val="nil"/>
              <w:left w:val="nil"/>
              <w:bottom w:val="nil"/>
              <w:right w:val="nil"/>
            </w:tcBorders>
            <w:noWrap/>
            <w:vAlign w:val="center"/>
          </w:tcPr>
          <w:p w14:paraId="1432B054">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43.73%</w:t>
            </w:r>
          </w:p>
        </w:tc>
      </w:tr>
      <w:tr w14:paraId="477328CE">
        <w:tblPrEx>
          <w:tblCellMar>
            <w:top w:w="0" w:type="dxa"/>
            <w:left w:w="108" w:type="dxa"/>
            <w:bottom w:w="0" w:type="dxa"/>
            <w:right w:w="108" w:type="dxa"/>
          </w:tblCellMar>
        </w:tblPrEx>
        <w:trPr>
          <w:trHeight w:val="617" w:hRule="atLeast"/>
        </w:trPr>
        <w:tc>
          <w:tcPr>
            <w:tcW w:w="1938" w:type="dxa"/>
            <w:tcBorders>
              <w:top w:val="nil"/>
              <w:left w:val="nil"/>
              <w:bottom w:val="nil"/>
              <w:right w:val="nil"/>
            </w:tcBorders>
            <w:vAlign w:val="center"/>
          </w:tcPr>
          <w:p w14:paraId="10C5CE2B">
            <w:pPr>
              <w:widowControl/>
              <w:jc w:val="left"/>
              <w:textAlignment w:val="center"/>
              <w:rPr>
                <w:rFonts w:ascii="Times New Roman" w:hAnsi="Times New Roman" w:eastAsia="宋体" w:cs="Times New Roman"/>
                <w:i/>
                <w:iCs/>
                <w:color w:val="000000"/>
                <w:sz w:val="22"/>
                <w:szCs w:val="22"/>
              </w:rPr>
            </w:pPr>
            <w:r>
              <w:rPr>
                <w:rFonts w:ascii="Times New Roman" w:hAnsi="Times New Roman" w:eastAsia="宋体" w:cs="Times New Roman"/>
                <w:i/>
                <w:iCs/>
                <w:color w:val="000000"/>
                <w:kern w:val="0"/>
                <w:sz w:val="22"/>
                <w:szCs w:val="22"/>
                <w:lang w:bidi="ar"/>
              </w:rPr>
              <w:t>Methanobacterium</w:t>
            </w:r>
          </w:p>
        </w:tc>
        <w:tc>
          <w:tcPr>
            <w:tcW w:w="1507" w:type="dxa"/>
            <w:tcBorders>
              <w:top w:val="nil"/>
              <w:left w:val="nil"/>
              <w:bottom w:val="nil"/>
              <w:right w:val="nil"/>
            </w:tcBorders>
            <w:noWrap/>
            <w:vAlign w:val="center"/>
          </w:tcPr>
          <w:p w14:paraId="6495189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6.91</w:t>
            </w:r>
          </w:p>
        </w:tc>
        <w:tc>
          <w:tcPr>
            <w:tcW w:w="1870" w:type="dxa"/>
            <w:tcBorders>
              <w:top w:val="nil"/>
              <w:left w:val="nil"/>
              <w:bottom w:val="nil"/>
              <w:right w:val="nil"/>
            </w:tcBorders>
            <w:noWrap/>
            <w:vAlign w:val="center"/>
          </w:tcPr>
          <w:p w14:paraId="0D85E03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0–10 cm</w:t>
            </w:r>
          </w:p>
        </w:tc>
        <w:tc>
          <w:tcPr>
            <w:tcW w:w="3015" w:type="dxa"/>
            <w:tcBorders>
              <w:top w:val="nil"/>
              <w:left w:val="nil"/>
              <w:bottom w:val="nil"/>
              <w:right w:val="nil"/>
            </w:tcBorders>
            <w:noWrap/>
            <w:vAlign w:val="center"/>
          </w:tcPr>
          <w:p w14:paraId="458774E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25.82%</w:t>
            </w:r>
          </w:p>
        </w:tc>
      </w:tr>
      <w:tr w14:paraId="10E6AA0D">
        <w:tblPrEx>
          <w:tblCellMar>
            <w:top w:w="0" w:type="dxa"/>
            <w:left w:w="108" w:type="dxa"/>
            <w:bottom w:w="0" w:type="dxa"/>
            <w:right w:w="108" w:type="dxa"/>
          </w:tblCellMar>
        </w:tblPrEx>
        <w:trPr>
          <w:trHeight w:val="309" w:hRule="atLeast"/>
        </w:trPr>
        <w:tc>
          <w:tcPr>
            <w:tcW w:w="1938" w:type="dxa"/>
            <w:tcBorders>
              <w:top w:val="nil"/>
              <w:left w:val="nil"/>
              <w:bottom w:val="nil"/>
              <w:right w:val="nil"/>
            </w:tcBorders>
            <w:vAlign w:val="center"/>
          </w:tcPr>
          <w:p w14:paraId="362F605E">
            <w:pPr>
              <w:widowControl/>
              <w:jc w:val="left"/>
              <w:textAlignment w:val="center"/>
              <w:rPr>
                <w:rFonts w:ascii="Times New Roman" w:hAnsi="Times New Roman" w:eastAsia="宋体" w:cs="Times New Roman"/>
                <w:i/>
                <w:iCs/>
                <w:color w:val="000000"/>
                <w:sz w:val="22"/>
                <w:szCs w:val="22"/>
              </w:rPr>
            </w:pPr>
            <w:r>
              <w:rPr>
                <w:rFonts w:ascii="Times New Roman" w:hAnsi="Times New Roman" w:eastAsia="宋体" w:cs="Times New Roman"/>
                <w:i/>
                <w:iCs/>
                <w:color w:val="000000"/>
                <w:kern w:val="0"/>
                <w:sz w:val="22"/>
                <w:szCs w:val="22"/>
                <w:lang w:bidi="ar"/>
              </w:rPr>
              <w:t>Methanothrix</w:t>
            </w:r>
          </w:p>
        </w:tc>
        <w:tc>
          <w:tcPr>
            <w:tcW w:w="1507" w:type="dxa"/>
            <w:tcBorders>
              <w:top w:val="nil"/>
              <w:left w:val="nil"/>
              <w:bottom w:val="nil"/>
              <w:right w:val="nil"/>
            </w:tcBorders>
            <w:noWrap/>
            <w:vAlign w:val="center"/>
          </w:tcPr>
          <w:p w14:paraId="347A4CF5">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9.61</w:t>
            </w:r>
          </w:p>
        </w:tc>
        <w:tc>
          <w:tcPr>
            <w:tcW w:w="1870" w:type="dxa"/>
            <w:tcBorders>
              <w:top w:val="nil"/>
              <w:left w:val="nil"/>
              <w:bottom w:val="nil"/>
              <w:right w:val="nil"/>
            </w:tcBorders>
            <w:noWrap/>
            <w:vAlign w:val="center"/>
          </w:tcPr>
          <w:p w14:paraId="7AA493F2">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90–100 cm</w:t>
            </w:r>
          </w:p>
        </w:tc>
        <w:tc>
          <w:tcPr>
            <w:tcW w:w="3015" w:type="dxa"/>
            <w:tcBorders>
              <w:top w:val="nil"/>
              <w:left w:val="nil"/>
              <w:bottom w:val="nil"/>
              <w:right w:val="nil"/>
            </w:tcBorders>
            <w:noWrap/>
            <w:vAlign w:val="center"/>
          </w:tcPr>
          <w:p w14:paraId="5027A2F0">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29.68%</w:t>
            </w:r>
          </w:p>
        </w:tc>
      </w:tr>
      <w:tr w14:paraId="2B8F62ED">
        <w:tblPrEx>
          <w:tblCellMar>
            <w:top w:w="0" w:type="dxa"/>
            <w:left w:w="108" w:type="dxa"/>
            <w:bottom w:w="0" w:type="dxa"/>
            <w:right w:w="108" w:type="dxa"/>
          </w:tblCellMar>
        </w:tblPrEx>
        <w:trPr>
          <w:trHeight w:val="339" w:hRule="atLeast"/>
        </w:trPr>
        <w:tc>
          <w:tcPr>
            <w:tcW w:w="1938" w:type="dxa"/>
            <w:tcBorders>
              <w:top w:val="nil"/>
              <w:left w:val="nil"/>
              <w:bottom w:val="single" w:color="000000" w:sz="12" w:space="0"/>
              <w:right w:val="nil"/>
            </w:tcBorders>
            <w:noWrap/>
            <w:vAlign w:val="center"/>
          </w:tcPr>
          <w:p w14:paraId="3E07E8DB">
            <w:pPr>
              <w:widowControl/>
              <w:jc w:val="left"/>
              <w:textAlignment w:val="center"/>
              <w:rPr>
                <w:rFonts w:ascii="Times New Roman" w:hAnsi="Times New Roman" w:eastAsia="宋体" w:cs="Times New Roman"/>
                <w:i/>
                <w:iCs/>
                <w:color w:val="000000"/>
                <w:sz w:val="20"/>
                <w:szCs w:val="20"/>
              </w:rPr>
            </w:pPr>
            <w:r>
              <w:rPr>
                <w:rFonts w:ascii="Times New Roman" w:hAnsi="Times New Roman" w:eastAsia="宋体" w:cs="Times New Roman"/>
                <w:i/>
                <w:iCs/>
                <w:color w:val="000000"/>
                <w:kern w:val="0"/>
                <w:sz w:val="20"/>
                <w:szCs w:val="20"/>
                <w:lang w:bidi="ar"/>
              </w:rPr>
              <w:t>Methanocella</w:t>
            </w:r>
          </w:p>
        </w:tc>
        <w:tc>
          <w:tcPr>
            <w:tcW w:w="1507" w:type="dxa"/>
            <w:tcBorders>
              <w:top w:val="nil"/>
              <w:left w:val="nil"/>
              <w:bottom w:val="single" w:color="000000" w:sz="12" w:space="0"/>
              <w:right w:val="nil"/>
            </w:tcBorders>
            <w:noWrap/>
            <w:vAlign w:val="center"/>
          </w:tcPr>
          <w:p w14:paraId="5A233296">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9.65</w:t>
            </w:r>
          </w:p>
        </w:tc>
        <w:tc>
          <w:tcPr>
            <w:tcW w:w="1870" w:type="dxa"/>
            <w:tcBorders>
              <w:top w:val="nil"/>
              <w:left w:val="nil"/>
              <w:bottom w:val="single" w:color="000000" w:sz="12" w:space="0"/>
              <w:right w:val="nil"/>
            </w:tcBorders>
            <w:noWrap/>
            <w:vAlign w:val="center"/>
          </w:tcPr>
          <w:p w14:paraId="5F9EB7A1">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90–100 cm</w:t>
            </w:r>
          </w:p>
        </w:tc>
        <w:tc>
          <w:tcPr>
            <w:tcW w:w="3015" w:type="dxa"/>
            <w:tcBorders>
              <w:top w:val="nil"/>
              <w:left w:val="nil"/>
              <w:bottom w:val="single" w:color="000000" w:sz="12" w:space="0"/>
              <w:right w:val="nil"/>
            </w:tcBorders>
            <w:noWrap/>
            <w:vAlign w:val="center"/>
          </w:tcPr>
          <w:p w14:paraId="665F058D">
            <w:pPr>
              <w:widowControl/>
              <w:jc w:val="lef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kern w:val="0"/>
                <w:sz w:val="20"/>
                <w:szCs w:val="20"/>
                <w:lang w:bidi="ar"/>
              </w:rPr>
              <w:t>10.55%</w:t>
            </w:r>
          </w:p>
        </w:tc>
      </w:tr>
    </w:tbl>
    <w:p w14:paraId="3FA6ACEB">
      <w:pPr>
        <w:rPr>
          <w:rStyle w:val="9"/>
          <w:rFonts w:ascii="Times New Roman" w:hAnsi="Times New Roman" w:cs="Times New Roman"/>
          <w:color w:val="000000" w:themeColor="text1"/>
          <w:sz w:val="22"/>
          <w:u w:val="none"/>
          <w14:textFill>
            <w14:solidFill>
              <w14:schemeClr w14:val="tx1"/>
            </w14:solidFill>
          </w14:textFill>
        </w:rPr>
      </w:pPr>
      <w:r>
        <w:rPr>
          <w:rStyle w:val="9"/>
          <w:rFonts w:ascii="Times New Roman" w:hAnsi="Times New Roman" w:cs="Times New Roman"/>
          <w:color w:val="000000" w:themeColor="text1"/>
          <w:sz w:val="22"/>
          <w:u w:val="none"/>
          <w14:textFill>
            <w14:solidFill>
              <w14:schemeClr w14:val="tx1"/>
            </w14:solidFill>
          </w14:textFill>
        </w:rPr>
        <w:br w:type="page"/>
      </w:r>
    </w:p>
    <w:p w14:paraId="1D5B2CDE">
      <w:pPr>
        <w:pStyle w:val="15"/>
        <w:spacing w:line="360" w:lineRule="auto"/>
        <w:ind w:left="440" w:hanging="440" w:hangingChars="200"/>
        <w:rPr>
          <w:rFonts w:ascii="Times New Roman" w:hAnsi="Times New Roman" w:cs="Times New Roman"/>
        </w:rPr>
      </w:pPr>
      <w:r>
        <w:rPr>
          <w:rStyle w:val="9"/>
          <w:rFonts w:ascii="Times New Roman" w:hAnsi="Times New Roman" w:cs="Times New Roman"/>
          <w:color w:val="000000" w:themeColor="text1"/>
          <w:sz w:val="22"/>
          <w:highlight w:val="yellow"/>
          <w14:textFill>
            <w14:solidFill>
              <w14:schemeClr w14:val="tx1"/>
            </w14:solidFill>
          </w14:textFill>
        </w:rPr>
        <w:fldChar w:fldCharType="begin"/>
      </w:r>
      <w:r>
        <w:rPr>
          <w:rStyle w:val="9"/>
          <w:rFonts w:ascii="Times New Roman" w:hAnsi="Times New Roman" w:cs="Times New Roman"/>
          <w:color w:val="000000" w:themeColor="text1"/>
          <w:sz w:val="22"/>
          <w:highlight w:val="yellow"/>
          <w14:textFill>
            <w14:solidFill>
              <w14:schemeClr w14:val="tx1"/>
            </w14:solidFill>
          </w14:textFill>
        </w:rPr>
        <w:instrText xml:space="preserve"> ADDIN EN.REFLIST </w:instrText>
      </w:r>
      <w:r>
        <w:rPr>
          <w:rStyle w:val="9"/>
          <w:rFonts w:ascii="Times New Roman" w:hAnsi="Times New Roman" w:cs="Times New Roman"/>
          <w:color w:val="000000" w:themeColor="text1"/>
          <w:sz w:val="22"/>
          <w:highlight w:val="yellow"/>
          <w14:textFill>
            <w14:solidFill>
              <w14:schemeClr w14:val="tx1"/>
            </w14:solidFill>
          </w14:textFill>
        </w:rPr>
        <w:fldChar w:fldCharType="separate"/>
      </w:r>
      <w:r>
        <w:rPr>
          <w:rFonts w:ascii="Times New Roman" w:hAnsi="Times New Roman" w:cs="Times New Roman"/>
        </w:rPr>
        <w:t>Borrel, G., Harris, H.M.B., Tottey, W., Mihajlovski, A., Parisot, N., Peyretaillade, E., Peyret, P., Gribaldo, S., O'Toole, P.W., Brugère, J.F. (2012). Genome Sequence of "Candidatus Methanomethylophilus alvus" Mx1201, a Methanogenic Archaeon from the Human Gut Belonging to a Seventh Order of Methanogens. Journal of Bacteriology 194, 6944-6945.</w:t>
      </w:r>
    </w:p>
    <w:p w14:paraId="19213D88">
      <w:pPr>
        <w:pStyle w:val="15"/>
        <w:spacing w:line="360" w:lineRule="auto"/>
        <w:ind w:left="400" w:hanging="400" w:hangingChars="200"/>
        <w:rPr>
          <w:rFonts w:ascii="Times New Roman" w:hAnsi="Times New Roman" w:cs="Times New Roman"/>
        </w:rPr>
      </w:pPr>
      <w:r>
        <w:rPr>
          <w:rFonts w:ascii="Times New Roman" w:hAnsi="Times New Roman" w:cs="Times New Roman"/>
        </w:rPr>
        <w:t>Liu, Y., Whitman, W.B. (2008). Metabolic, Phylogenetic, and Ecological Diversity of the Methanogenic Archaea. Annals of the New York Academy of Sciences 1125, 171-189.</w:t>
      </w:r>
    </w:p>
    <w:p w14:paraId="78E07544">
      <w:pPr>
        <w:pStyle w:val="15"/>
        <w:spacing w:line="360" w:lineRule="auto"/>
        <w:ind w:left="400" w:hanging="400" w:hangingChars="200"/>
        <w:rPr>
          <w:rFonts w:ascii="Times New Roman" w:hAnsi="Times New Roman" w:cs="Times New Roman"/>
        </w:rPr>
      </w:pPr>
      <w:r>
        <w:rPr>
          <w:rFonts w:ascii="Times New Roman" w:hAnsi="Times New Roman" w:cs="Times New Roman"/>
        </w:rPr>
        <w:t>Nazaries, L., Murrell, J.C., Millard, P., Baggs, L., Singh, B.K. (2013). Methane, microbes and models: fundamental understanding of the soil methane cycle for future predictions. Environmental Microbiology 15, 2395-2417.</w:t>
      </w:r>
    </w:p>
    <w:p w14:paraId="1530B1C5">
      <w:pPr>
        <w:pStyle w:val="15"/>
        <w:spacing w:line="360" w:lineRule="auto"/>
        <w:ind w:left="400" w:hanging="400" w:hangingChars="200"/>
        <w:rPr>
          <w:rFonts w:ascii="Times New Roman" w:hAnsi="Times New Roman" w:cs="Times New Roman"/>
        </w:rPr>
      </w:pPr>
      <w:r>
        <w:rPr>
          <w:rFonts w:ascii="Times New Roman" w:hAnsi="Times New Roman" w:cs="Times New Roman"/>
        </w:rPr>
        <w:t>Pyzik, A., Ciezkowska, M., Krawczyk, P.S., Sobczak, A., Drewniak, L., Dziembowski, A., Lipinski, L. (2018). Comparative analysis of deep sequenced methanogenic communities: identification of microorganisms responsible for methane production. Microbial Cell Factories 17, 197.</w:t>
      </w:r>
    </w:p>
    <w:p w14:paraId="2E5CCCE4">
      <w:pPr>
        <w:pStyle w:val="15"/>
        <w:spacing w:line="360" w:lineRule="auto"/>
        <w:ind w:left="400" w:hanging="400" w:hangingChars="200"/>
        <w:rPr>
          <w:rFonts w:ascii="Times New Roman" w:hAnsi="Times New Roman" w:cs="Times New Roman"/>
        </w:rPr>
      </w:pPr>
      <w:r>
        <w:rPr>
          <w:rFonts w:ascii="Times New Roman" w:hAnsi="Times New Roman" w:cs="Times New Roman"/>
        </w:rPr>
        <w:t>Sakai, S., Takaki, Y., Miyazaki, M., Ogawara, M., Yanagawa, K., Miyazaki, J., Takai, K. (2019). Methanofervidicoccus abyssi gen. nov., sp. nov., a hydrogenotrophic methanogen, isolated from a hydrothermal vent chimney in the Mid-Cayman Spreading Center, the Caribbean Sea. International Journal of Systematic and Evolutionary Microbiology 69, 1225-1230.</w:t>
      </w:r>
    </w:p>
    <w:p w14:paraId="1B70DD15">
      <w:pPr>
        <w:pStyle w:val="15"/>
        <w:spacing w:line="360" w:lineRule="auto"/>
        <w:ind w:left="400" w:hanging="400" w:hangingChars="200"/>
        <w:rPr>
          <w:rFonts w:ascii="Times New Roman" w:hAnsi="Times New Roman" w:cs="Times New Roman"/>
        </w:rPr>
      </w:pPr>
      <w:r>
        <w:rPr>
          <w:rFonts w:ascii="Times New Roman" w:hAnsi="Times New Roman" w:cs="Times New Roman"/>
        </w:rPr>
        <w:t>Sorokin, D.Y., Merkel, A.Y., Abbas, B. (2022). Ecology of Methanonatronarchaeia. Environmental Microbiology 24, 5217-5229.</w:t>
      </w:r>
    </w:p>
    <w:p w14:paraId="31270AD7">
      <w:pPr>
        <w:pStyle w:val="15"/>
        <w:spacing w:line="360" w:lineRule="auto"/>
        <w:ind w:left="400" w:hanging="400" w:hangingChars="200"/>
        <w:rPr>
          <w:rFonts w:ascii="Times New Roman" w:hAnsi="Times New Roman" w:cs="Times New Roman"/>
        </w:rPr>
      </w:pPr>
      <w:r>
        <w:rPr>
          <w:rFonts w:ascii="Times New Roman" w:hAnsi="Times New Roman" w:cs="Times New Roman"/>
        </w:rPr>
        <w:t>Steiniger, F., Sorokin, D.Y., Deppenmeier, U. (2022). Process of energy conservation in the extremely haloalkaliphilic methyl-reducing methanogen Methanonatronarchaeum thermophilum. Febs Journal 289, 549-563.</w:t>
      </w:r>
    </w:p>
    <w:p w14:paraId="1F3180B1">
      <w:pPr>
        <w:pStyle w:val="15"/>
        <w:spacing w:line="360" w:lineRule="auto"/>
        <w:ind w:left="400" w:hanging="400" w:hangingChars="200"/>
        <w:rPr>
          <w:rFonts w:ascii="Times New Roman" w:hAnsi="Times New Roman" w:cs="Times New Roman"/>
        </w:rPr>
      </w:pPr>
      <w:r>
        <w:rPr>
          <w:rFonts w:ascii="Times New Roman" w:hAnsi="Times New Roman" w:cs="Times New Roman"/>
        </w:rPr>
        <w:t>Vanwonterghem, I., Evans, P.N., Parks, D.H., Jensen, P.D., Woodcroft, B.J., Hugenholtz, P., Tyson, G.W. (2016). Methylotrophic methanogenesis discovered in the archaeal phylum Verstraetearchaeota. Nature Microbiology 1, 16170.</w:t>
      </w:r>
    </w:p>
    <w:p w14:paraId="4B649D8F">
      <w:pPr>
        <w:pStyle w:val="15"/>
        <w:spacing w:line="360" w:lineRule="auto"/>
        <w:ind w:left="400" w:hanging="400" w:hangingChars="200"/>
        <w:rPr>
          <w:rFonts w:ascii="Times New Roman" w:hAnsi="Times New Roman" w:cs="Times New Roman"/>
        </w:rPr>
      </w:pPr>
      <w:r>
        <w:rPr>
          <w:rFonts w:ascii="Times New Roman" w:hAnsi="Times New Roman" w:cs="Times New Roman"/>
        </w:rPr>
        <w:t>Wang, L., Lai, Q., Jebbar, M., Shao, Z., Alain, K. (2020). Complete genome sequence of Methanofervidicoccus sp. A16, a thermophilic methanogen isolated from Mid Cayman Rise hydrothermal vent. Marine Genomics 53, 100768.</w:t>
      </w:r>
    </w:p>
    <w:p w14:paraId="0D0178AA">
      <w:pPr>
        <w:pStyle w:val="15"/>
        <w:spacing w:line="360" w:lineRule="auto"/>
        <w:ind w:left="400" w:hanging="400" w:hangingChars="200"/>
        <w:rPr>
          <w:rStyle w:val="9"/>
          <w:rFonts w:ascii="Times New Roman" w:hAnsi="Times New Roman" w:cs="Times New Roman"/>
          <w:color w:val="000000" w:themeColor="text1"/>
          <w:sz w:val="22"/>
          <w:highlight w:val="yellow"/>
          <w14:textFill>
            <w14:solidFill>
              <w14:schemeClr w14:val="tx1"/>
            </w14:solidFill>
          </w14:textFill>
        </w:rPr>
      </w:pPr>
      <w:r>
        <w:rPr>
          <w:rFonts w:ascii="Times New Roman" w:hAnsi="Times New Roman" w:cs="Times New Roman"/>
        </w:rPr>
        <w:t>Zhang, C.J., Zhou, Z., Cha, G., Li, L., Fu, L., Liu, L.Y., Yang, L., Wegener, G., Cheng, L., Li, M. (2024). Anaerobic hydrocarbon biodegradation by alkylotrophic methanogens in deep oil reservoirs. Isme Journal 18, wrae152.</w:t>
      </w:r>
      <w:r>
        <w:rPr>
          <w:rStyle w:val="9"/>
          <w:rFonts w:ascii="Times New Roman" w:hAnsi="Times New Roman" w:cs="Times New Roman"/>
          <w:color w:val="000000" w:themeColor="text1"/>
          <w:sz w:val="22"/>
          <w:highlight w:val="yellow"/>
          <w14:textFill>
            <w14:solidFill>
              <w14:schemeClr w14:val="tx1"/>
            </w14:solidFill>
          </w14:textFill>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Global Environ Change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0svf905tft2fye5fpy5zdwdva0rr5txfvre&quot;&gt;My EndNote Library&lt;record-ids&gt;&lt;item&gt;231&lt;/item&gt;&lt;item&gt;232&lt;/item&gt;&lt;item&gt;277&lt;/item&gt;&lt;item&gt;282&lt;/item&gt;&lt;item&gt;284&lt;/item&gt;&lt;item&gt;285&lt;/item&gt;&lt;item&gt;286&lt;/item&gt;&lt;item&gt;287&lt;/item&gt;&lt;item&gt;288&lt;/item&gt;&lt;item&gt;289&lt;/item&gt;&lt;/record-ids&gt;&lt;/item&gt;&lt;/Libraries&gt;"/>
  </w:docVars>
  <w:rsids>
    <w:rsidRoot w:val="1E9A111E"/>
    <w:rsid w:val="00007065"/>
    <w:rsid w:val="0001054C"/>
    <w:rsid w:val="00030D13"/>
    <w:rsid w:val="0006496F"/>
    <w:rsid w:val="00087339"/>
    <w:rsid w:val="000F43D6"/>
    <w:rsid w:val="00156BF3"/>
    <w:rsid w:val="001862BF"/>
    <w:rsid w:val="00192D6C"/>
    <w:rsid w:val="00247A44"/>
    <w:rsid w:val="002529DD"/>
    <w:rsid w:val="0028456E"/>
    <w:rsid w:val="00290FD8"/>
    <w:rsid w:val="002C5567"/>
    <w:rsid w:val="002D7A8F"/>
    <w:rsid w:val="002E5375"/>
    <w:rsid w:val="00347CD8"/>
    <w:rsid w:val="003512FD"/>
    <w:rsid w:val="00353B56"/>
    <w:rsid w:val="003D5F4E"/>
    <w:rsid w:val="00411CD9"/>
    <w:rsid w:val="0047580E"/>
    <w:rsid w:val="0048503F"/>
    <w:rsid w:val="00487BC1"/>
    <w:rsid w:val="004D27AC"/>
    <w:rsid w:val="004F1D7D"/>
    <w:rsid w:val="00524E04"/>
    <w:rsid w:val="00543B43"/>
    <w:rsid w:val="005928E9"/>
    <w:rsid w:val="005A7E76"/>
    <w:rsid w:val="00780BCE"/>
    <w:rsid w:val="007945FD"/>
    <w:rsid w:val="007D64BA"/>
    <w:rsid w:val="007F6395"/>
    <w:rsid w:val="0084249F"/>
    <w:rsid w:val="008A3B84"/>
    <w:rsid w:val="00920D62"/>
    <w:rsid w:val="009C15E6"/>
    <w:rsid w:val="00A12855"/>
    <w:rsid w:val="00A62EE1"/>
    <w:rsid w:val="00A65D16"/>
    <w:rsid w:val="00AB2236"/>
    <w:rsid w:val="00B34754"/>
    <w:rsid w:val="00B656ED"/>
    <w:rsid w:val="00B87B4C"/>
    <w:rsid w:val="00BC6870"/>
    <w:rsid w:val="00BD4096"/>
    <w:rsid w:val="00BD45E4"/>
    <w:rsid w:val="00BD5C79"/>
    <w:rsid w:val="00BE1377"/>
    <w:rsid w:val="00C51A08"/>
    <w:rsid w:val="00C74FEA"/>
    <w:rsid w:val="00CB3172"/>
    <w:rsid w:val="00D36787"/>
    <w:rsid w:val="00D55651"/>
    <w:rsid w:val="00D635C6"/>
    <w:rsid w:val="00E024ED"/>
    <w:rsid w:val="00E113F1"/>
    <w:rsid w:val="00E34F80"/>
    <w:rsid w:val="00F23DBE"/>
    <w:rsid w:val="00F61D50"/>
    <w:rsid w:val="040C0BFB"/>
    <w:rsid w:val="04410F5A"/>
    <w:rsid w:val="06AC30A5"/>
    <w:rsid w:val="07333F5B"/>
    <w:rsid w:val="080938FC"/>
    <w:rsid w:val="085042A9"/>
    <w:rsid w:val="0A0718FF"/>
    <w:rsid w:val="0A4C6AD7"/>
    <w:rsid w:val="0CDD10D9"/>
    <w:rsid w:val="0D4974DF"/>
    <w:rsid w:val="13DE6A2B"/>
    <w:rsid w:val="178510E4"/>
    <w:rsid w:val="1AE64508"/>
    <w:rsid w:val="1B47366A"/>
    <w:rsid w:val="1B6F2A73"/>
    <w:rsid w:val="1E9A111E"/>
    <w:rsid w:val="1EA021D0"/>
    <w:rsid w:val="27961094"/>
    <w:rsid w:val="2A3B0078"/>
    <w:rsid w:val="2E87781B"/>
    <w:rsid w:val="344B4B3F"/>
    <w:rsid w:val="372968E3"/>
    <w:rsid w:val="39CC7357"/>
    <w:rsid w:val="3ABD5471"/>
    <w:rsid w:val="3B6B17B6"/>
    <w:rsid w:val="3C54700A"/>
    <w:rsid w:val="409459CF"/>
    <w:rsid w:val="41967F4B"/>
    <w:rsid w:val="4390582A"/>
    <w:rsid w:val="43FE2FD4"/>
    <w:rsid w:val="44513222"/>
    <w:rsid w:val="486E697A"/>
    <w:rsid w:val="4B427C4A"/>
    <w:rsid w:val="4C0575F5"/>
    <w:rsid w:val="4D305F77"/>
    <w:rsid w:val="4D583754"/>
    <w:rsid w:val="4D9126EB"/>
    <w:rsid w:val="4DF83AF8"/>
    <w:rsid w:val="4F345546"/>
    <w:rsid w:val="4F5C674E"/>
    <w:rsid w:val="51E47CAD"/>
    <w:rsid w:val="545C4A19"/>
    <w:rsid w:val="55161716"/>
    <w:rsid w:val="55A30AEE"/>
    <w:rsid w:val="59BC663C"/>
    <w:rsid w:val="5F0237F0"/>
    <w:rsid w:val="5FD52E02"/>
    <w:rsid w:val="64A00117"/>
    <w:rsid w:val="65DF693E"/>
    <w:rsid w:val="66091638"/>
    <w:rsid w:val="6C46584D"/>
    <w:rsid w:val="74C35E8C"/>
    <w:rsid w:val="74FE61C8"/>
    <w:rsid w:val="76E26EF5"/>
    <w:rsid w:val="7B0C4DF9"/>
    <w:rsid w:val="7C9C0DFA"/>
    <w:rsid w:val="7E125DA7"/>
    <w:rsid w:val="7EC04082"/>
    <w:rsid w:val="7F6776A3"/>
    <w:rsid w:val="7F694158"/>
    <w:rsid w:val="7FD27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5"/>
    <w:qFormat/>
    <w:uiPriority w:val="0"/>
    <w:pPr>
      <w:jc w:val="left"/>
    </w:pPr>
  </w:style>
  <w:style w:type="paragraph" w:styleId="3">
    <w:name w:val="Balloon Text"/>
    <w:basedOn w:val="1"/>
    <w:link w:val="27"/>
    <w:qFormat/>
    <w:uiPriority w:val="0"/>
    <w:rPr>
      <w:sz w:val="18"/>
      <w:szCs w:val="18"/>
    </w:rPr>
  </w:style>
  <w:style w:type="paragraph" w:styleId="4">
    <w:name w:val="footer"/>
    <w:basedOn w:val="1"/>
    <w:qFormat/>
    <w:uiPriority w:val="99"/>
    <w:pPr>
      <w:tabs>
        <w:tab w:val="center" w:pos="4153"/>
        <w:tab w:val="right" w:pos="8306"/>
      </w:tabs>
      <w:snapToGrid w:val="0"/>
      <w:jc w:val="left"/>
    </w:pPr>
    <w:rPr>
      <w:sz w:val="18"/>
    </w:rPr>
  </w:style>
  <w:style w:type="paragraph" w:styleId="5">
    <w:name w:val="header"/>
    <w:basedOn w:val="1"/>
    <w:link w:val="23"/>
    <w:qFormat/>
    <w:uiPriority w:val="0"/>
    <w:pPr>
      <w:tabs>
        <w:tab w:val="center" w:pos="4153"/>
        <w:tab w:val="right" w:pos="8306"/>
      </w:tabs>
      <w:snapToGrid w:val="0"/>
      <w:jc w:val="center"/>
    </w:pPr>
    <w:rPr>
      <w:sz w:val="18"/>
      <w:szCs w:val="18"/>
    </w:rPr>
  </w:style>
  <w:style w:type="paragraph" w:styleId="6">
    <w:name w:val="annotation subject"/>
    <w:basedOn w:val="2"/>
    <w:next w:val="2"/>
    <w:link w:val="26"/>
    <w:qFormat/>
    <w:uiPriority w:val="0"/>
    <w:rPr>
      <w:b/>
      <w:bCs/>
    </w:rPr>
  </w:style>
  <w:style w:type="character" w:styleId="9">
    <w:name w:val="Hyperlink"/>
    <w:basedOn w:val="8"/>
    <w:qFormat/>
    <w:uiPriority w:val="0"/>
    <w:rPr>
      <w:color w:val="0000FF"/>
      <w:u w:val="single"/>
    </w:rPr>
  </w:style>
  <w:style w:type="character" w:styleId="10">
    <w:name w:val="annotation reference"/>
    <w:basedOn w:val="8"/>
    <w:qFormat/>
    <w:uiPriority w:val="0"/>
    <w:rPr>
      <w:sz w:val="21"/>
      <w:szCs w:val="21"/>
    </w:rPr>
  </w:style>
  <w:style w:type="paragraph" w:customStyle="1" w:styleId="11">
    <w:name w:val="正文1"/>
    <w:qFormat/>
    <w:uiPriority w:val="0"/>
    <w:pPr>
      <w:widowControl w:val="0"/>
      <w:jc w:val="both"/>
    </w:pPr>
    <w:rPr>
      <w:rFonts w:ascii="等线" w:hAnsi="等线" w:eastAsia="等线" w:cs="Times New Roman"/>
      <w:kern w:val="2"/>
      <w:sz w:val="21"/>
      <w:szCs w:val="21"/>
      <w:lang w:val="en-US" w:eastAsia="zh-CN" w:bidi="ar-SA"/>
    </w:rPr>
  </w:style>
  <w:style w:type="table" w:customStyle="1" w:styleId="12">
    <w:name w:val="三线表"/>
    <w:basedOn w:val="7"/>
    <w:qFormat/>
    <w:uiPriority w:val="99"/>
    <w:pPr>
      <w:spacing w:line="360" w:lineRule="exact"/>
      <w:jc w:val="center"/>
    </w:pPr>
    <w:rPr>
      <w:sz w:val="21"/>
    </w:rPr>
    <w:tblPr>
      <w:jc w:val="center"/>
      <w:tblBorders>
        <w:top w:val="single" w:color="auto" w:sz="12" w:space="0"/>
        <w:bottom w:val="single" w:color="auto" w:sz="12" w:space="0"/>
      </w:tblBorders>
    </w:tblPr>
    <w:trPr>
      <w:jc w:val="center"/>
    </w:trPr>
    <w:tcPr>
      <w:vAlign w:val="center"/>
    </w:tcPr>
    <w:tblStylePr w:type="firstRow">
      <w:pPr>
        <w:wordWrap/>
        <w:spacing w:line="360" w:lineRule="exact"/>
        <w:jc w:val="left"/>
      </w:pPr>
      <w:rPr>
        <w:rFonts w:ascii="Times New Roman" w:hAnsi="Times New Roman" w:eastAsia="宋体"/>
        <w:b w:val="0"/>
        <w:i w:val="0"/>
        <w:sz w:val="21"/>
      </w:rPr>
      <w:tcPr>
        <w:tcBorders>
          <w:top w:val="single" w:color="auto" w:sz="12" w:space="0"/>
          <w:left w:val="nil"/>
          <w:bottom w:val="single" w:color="auto" w:sz="6" w:space="0"/>
          <w:right w:val="nil"/>
          <w:insideH w:val="nil"/>
          <w:insideV w:val="nil"/>
          <w:tl2br w:val="nil"/>
          <w:tr2bl w:val="nil"/>
        </w:tcBorders>
      </w:tcPr>
    </w:tblStylePr>
  </w:style>
  <w:style w:type="character" w:customStyle="1" w:styleId="13">
    <w:name w:val="font41"/>
    <w:basedOn w:val="8"/>
    <w:qFormat/>
    <w:uiPriority w:val="0"/>
    <w:rPr>
      <w:rFonts w:hint="eastAsia" w:ascii="宋体" w:hAnsi="宋体" w:eastAsia="宋体" w:cs="宋体"/>
      <w:color w:val="000000"/>
      <w:sz w:val="20"/>
      <w:szCs w:val="20"/>
      <w:u w:val="none"/>
      <w:vertAlign w:val="subscript"/>
    </w:rPr>
  </w:style>
  <w:style w:type="paragraph" w:customStyle="1" w:styleId="14">
    <w:name w:val="EndNote Bibliography Title"/>
    <w:qFormat/>
    <w:uiPriority w:val="0"/>
    <w:pPr>
      <w:jc w:val="center"/>
    </w:pPr>
    <w:rPr>
      <w:rFonts w:ascii="Calibri" w:hAnsi="Calibri" w:cs="Calibri" w:eastAsiaTheme="minorEastAsia"/>
      <w:kern w:val="2"/>
      <w:szCs w:val="24"/>
      <w:lang w:val="en-US" w:eastAsia="zh-CN" w:bidi="ar-SA"/>
    </w:rPr>
  </w:style>
  <w:style w:type="paragraph" w:customStyle="1" w:styleId="15">
    <w:name w:val="EndNote Bibliography"/>
    <w:qFormat/>
    <w:uiPriority w:val="0"/>
    <w:pPr>
      <w:jc w:val="both"/>
    </w:pPr>
    <w:rPr>
      <w:rFonts w:ascii="Calibri" w:hAnsi="Calibri" w:cs="Calibri" w:eastAsiaTheme="minorEastAsia"/>
      <w:kern w:val="2"/>
      <w:szCs w:val="24"/>
      <w:lang w:val="en-US" w:eastAsia="zh-CN" w:bidi="ar-SA"/>
    </w:rPr>
  </w:style>
  <w:style w:type="character" w:customStyle="1" w:styleId="16">
    <w:name w:val="font71"/>
    <w:basedOn w:val="8"/>
    <w:qFormat/>
    <w:uiPriority w:val="0"/>
    <w:rPr>
      <w:rFonts w:hint="default" w:ascii="Times New Roman" w:hAnsi="Times New Roman" w:cs="Times New Roman"/>
      <w:color w:val="000000"/>
      <w:sz w:val="20"/>
      <w:szCs w:val="20"/>
      <w:u w:val="none"/>
      <w:vertAlign w:val="subscript"/>
    </w:rPr>
  </w:style>
  <w:style w:type="character" w:customStyle="1" w:styleId="17">
    <w:name w:val="font31"/>
    <w:basedOn w:val="8"/>
    <w:qFormat/>
    <w:uiPriority w:val="0"/>
    <w:rPr>
      <w:rFonts w:hint="default" w:ascii="Times New Roman" w:hAnsi="Times New Roman" w:cs="Times New Roman"/>
      <w:color w:val="000000"/>
      <w:sz w:val="20"/>
      <w:szCs w:val="20"/>
      <w:u w:val="none"/>
    </w:rPr>
  </w:style>
  <w:style w:type="character" w:customStyle="1" w:styleId="18">
    <w:name w:val="font51"/>
    <w:basedOn w:val="8"/>
    <w:qFormat/>
    <w:uiPriority w:val="0"/>
    <w:rPr>
      <w:rFonts w:hint="eastAsia" w:ascii="宋体" w:hAnsi="宋体" w:eastAsia="宋体" w:cs="宋体"/>
      <w:color w:val="000000"/>
      <w:sz w:val="20"/>
      <w:szCs w:val="20"/>
      <w:u w:val="none"/>
    </w:rPr>
  </w:style>
  <w:style w:type="character" w:customStyle="1" w:styleId="19">
    <w:name w:val="font61"/>
    <w:basedOn w:val="8"/>
    <w:qFormat/>
    <w:uiPriority w:val="0"/>
    <w:rPr>
      <w:rFonts w:hint="default" w:ascii="Times New Roman" w:hAnsi="Times New Roman" w:cs="Times New Roman"/>
      <w:color w:val="EE822F"/>
      <w:sz w:val="20"/>
      <w:szCs w:val="20"/>
      <w:u w:val="none"/>
    </w:rPr>
  </w:style>
  <w:style w:type="character" w:customStyle="1" w:styleId="20">
    <w:name w:val="font81"/>
    <w:basedOn w:val="8"/>
    <w:qFormat/>
    <w:uiPriority w:val="0"/>
    <w:rPr>
      <w:rFonts w:hint="default" w:ascii="Times New Roman" w:hAnsi="Times New Roman" w:cs="Times New Roman"/>
      <w:color w:val="30C0B4"/>
      <w:sz w:val="20"/>
      <w:szCs w:val="20"/>
      <w:u w:val="none"/>
    </w:rPr>
  </w:style>
  <w:style w:type="character" w:customStyle="1" w:styleId="21">
    <w:name w:val="font91"/>
    <w:basedOn w:val="8"/>
    <w:qFormat/>
    <w:uiPriority w:val="0"/>
    <w:rPr>
      <w:rFonts w:hint="eastAsia" w:ascii="宋体" w:hAnsi="宋体" w:eastAsia="宋体" w:cs="宋体"/>
      <w:color w:val="30C0B4"/>
      <w:sz w:val="20"/>
      <w:szCs w:val="20"/>
      <w:u w:val="none"/>
    </w:rPr>
  </w:style>
  <w:style w:type="character" w:customStyle="1" w:styleId="22">
    <w:name w:val="font21"/>
    <w:basedOn w:val="8"/>
    <w:qFormat/>
    <w:uiPriority w:val="0"/>
    <w:rPr>
      <w:rFonts w:hint="default" w:ascii="Times New Roman" w:hAnsi="Times New Roman" w:cs="Times New Roman"/>
      <w:color w:val="000000"/>
      <w:sz w:val="20"/>
      <w:szCs w:val="20"/>
      <w:u w:val="none"/>
    </w:rPr>
  </w:style>
  <w:style w:type="character" w:customStyle="1" w:styleId="23">
    <w:name w:val="页眉 字符"/>
    <w:basedOn w:val="8"/>
    <w:link w:val="5"/>
    <w:qFormat/>
    <w:uiPriority w:val="0"/>
    <w:rPr>
      <w:rFonts w:asciiTheme="minorHAnsi" w:hAnsiTheme="minorHAnsi" w:eastAsiaTheme="minorEastAsia" w:cstheme="minorBidi"/>
      <w:kern w:val="2"/>
      <w:sz w:val="18"/>
      <w:szCs w:val="18"/>
    </w:rPr>
  </w:style>
  <w:style w:type="paragraph" w:customStyle="1" w:styleId="24">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5">
    <w:name w:val="批注文字 字符"/>
    <w:basedOn w:val="8"/>
    <w:link w:val="2"/>
    <w:qFormat/>
    <w:uiPriority w:val="0"/>
    <w:rPr>
      <w:rFonts w:asciiTheme="minorHAnsi" w:hAnsiTheme="minorHAnsi" w:eastAsiaTheme="minorEastAsia" w:cstheme="minorBidi"/>
      <w:kern w:val="2"/>
      <w:sz w:val="21"/>
      <w:szCs w:val="24"/>
    </w:rPr>
  </w:style>
  <w:style w:type="character" w:customStyle="1" w:styleId="26">
    <w:name w:val="批注主题 字符"/>
    <w:basedOn w:val="25"/>
    <w:link w:val="6"/>
    <w:qFormat/>
    <w:uiPriority w:val="0"/>
    <w:rPr>
      <w:rFonts w:asciiTheme="minorHAnsi" w:hAnsiTheme="minorHAnsi" w:eastAsiaTheme="minorEastAsia" w:cstheme="minorBidi"/>
      <w:b/>
      <w:bCs/>
      <w:kern w:val="2"/>
      <w:sz w:val="21"/>
      <w:szCs w:val="24"/>
    </w:rPr>
  </w:style>
  <w:style w:type="character" w:customStyle="1" w:styleId="27">
    <w:name w:val="批注框文本 字符"/>
    <w:basedOn w:val="8"/>
    <w:link w:val="3"/>
    <w:qFormat/>
    <w:uiPriority w:val="0"/>
    <w:rPr>
      <w:rFonts w:asciiTheme="minorHAnsi" w:hAnsiTheme="minorHAnsi" w:eastAsiaTheme="minorEastAsia" w:cstheme="minorBidi"/>
      <w:kern w:val="2"/>
      <w:sz w:val="18"/>
      <w:szCs w:val="18"/>
    </w:rPr>
  </w:style>
  <w:style w:type="paragraph" w:customStyle="1" w:styleId="28">
    <w:name w:val="修订2"/>
    <w:hidden/>
    <w:unhideWhenUsed/>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tiff"/><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792</Words>
  <Characters>4926</Characters>
  <Lines>142</Lines>
  <Paragraphs>40</Paragraphs>
  <TotalTime>5</TotalTime>
  <ScaleCrop>false</ScaleCrop>
  <LinksUpToDate>false</LinksUpToDate>
  <CharactersWithSpaces>5417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2026-03-09T08:09:00Z</dcterms:created>
  <dc:creator>Yuling Tan</dc:creator>
  <cp:lastModifiedBy>Yuling Tan</cp:lastModifiedBy>
  <dcterms:modified xsi:type="dcterms:W3CDTF">2026-03-09T08:23:57Z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1C991770E674426183B457D5EE0067F4_13</vt:lpwstr>
  </property>
  <property fmtid="{D5CDD505-2E9C-101B-9397-08002B2CF9AE}" pid="4" name="KSOTemplateDocerSaveRecord">
    <vt:lpwstr>eyJoZGlkIjoiN2Y3Y2IzMzM4OGMzYjQ3NWQ0NzM1N2IxZTk1YzFlMTYiLCJ1c2VySWQiOiI2OTU0MzE0ODkifQ==</vt:lpwstr>
  </property>
</Properties>
</file>