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66E58" w:rsidRPr="00F779B5" w:rsidRDefault="00366E58" w:rsidP="00366E58">
      <w:pPr>
        <w:pStyle w:val="a3"/>
        <w:spacing w:line="480" w:lineRule="auto"/>
        <w:rPr>
          <w:rFonts w:ascii="Times New Roman" w:hAnsi="Times New Roman" w:cs="Times New Roman"/>
          <w:b/>
          <w:bCs/>
          <w:sz w:val="28"/>
          <w:szCs w:val="24"/>
        </w:rPr>
      </w:pPr>
      <w:bookmarkStart w:id="0" w:name="OLE_LINK7"/>
      <w:bookmarkStart w:id="1" w:name="OLE_LINK3"/>
      <w:bookmarkStart w:id="2" w:name="OLE_LINK4"/>
      <w:bookmarkStart w:id="3" w:name="OLE_LINK6"/>
      <w:bookmarkStart w:id="4" w:name="_Hlk206158885"/>
      <w:r w:rsidRPr="00F779B5">
        <w:rPr>
          <w:rFonts w:ascii="Times New Roman" w:hAnsi="Times New Roman" w:cs="Times New Roman"/>
          <w:b/>
          <w:bCs/>
          <w:sz w:val="28"/>
          <w:szCs w:val="24"/>
        </w:rPr>
        <w:t>Supporting Information</w:t>
      </w:r>
      <w:bookmarkEnd w:id="0"/>
      <w:bookmarkEnd w:id="1"/>
      <w:bookmarkEnd w:id="2"/>
    </w:p>
    <w:p w:rsidR="00F779B5" w:rsidRPr="00F779B5" w:rsidRDefault="00F779B5" w:rsidP="00F779B5">
      <w:pPr>
        <w:widowControl/>
        <w:spacing w:line="480" w:lineRule="auto"/>
        <w:jc w:val="left"/>
        <w:rPr>
          <w:rFonts w:ascii="Times New Roman" w:hAnsi="Times New Roman" w:cs="Times New Roman"/>
          <w:b/>
          <w:bCs/>
          <w:sz w:val="24"/>
          <w:szCs w:val="24"/>
        </w:rPr>
      </w:pPr>
      <w:bookmarkStart w:id="5" w:name="_Hlk215823087"/>
      <w:bookmarkStart w:id="6" w:name="OLE_LINK15"/>
      <w:bookmarkEnd w:id="3"/>
      <w:bookmarkEnd w:id="4"/>
      <w:bookmarkEnd w:id="5"/>
      <w:r w:rsidRPr="00F779B5">
        <w:rPr>
          <w:rFonts w:ascii="Times New Roman" w:hAnsi="Times New Roman" w:cs="Times New Roman"/>
          <w:b/>
          <w:bCs/>
          <w:sz w:val="24"/>
          <w:szCs w:val="24"/>
        </w:rPr>
        <w:t>The responses of microbial extracellular enzyme activities to soil sample storage conditions across different soil types</w:t>
      </w:r>
    </w:p>
    <w:bookmarkEnd w:id="6"/>
    <w:p w:rsidR="00170994" w:rsidRDefault="00170994" w:rsidP="00F779B5">
      <w:pPr>
        <w:widowControl/>
        <w:spacing w:line="480" w:lineRule="auto"/>
        <w:rPr>
          <w:rFonts w:ascii="Times New Roman" w:hAnsi="Times New Roman" w:cs="Times New Roman"/>
          <w:b/>
          <w:bCs/>
          <w:sz w:val="24"/>
          <w:szCs w:val="24"/>
        </w:rPr>
      </w:pPr>
    </w:p>
    <w:p w:rsidR="00F779B5" w:rsidRPr="00F779B5" w:rsidRDefault="00F779B5" w:rsidP="00F779B5">
      <w:pPr>
        <w:widowControl/>
        <w:spacing w:line="480" w:lineRule="auto"/>
        <w:rPr>
          <w:rFonts w:ascii="Times New Roman" w:hAnsi="Times New Roman" w:cs="Times New Roman"/>
          <w:sz w:val="24"/>
          <w:szCs w:val="24"/>
          <w:vertAlign w:val="superscript"/>
        </w:rPr>
      </w:pPr>
      <w:r w:rsidRPr="00F779B5">
        <w:rPr>
          <w:rFonts w:ascii="Times New Roman" w:hAnsi="Times New Roman" w:cs="Times New Roman"/>
          <w:sz w:val="24"/>
          <w:szCs w:val="24"/>
        </w:rPr>
        <w:t>Panpan Liu</w:t>
      </w:r>
      <w:r w:rsidRPr="00F779B5">
        <w:rPr>
          <w:rFonts w:ascii="Times New Roman" w:hAnsi="Times New Roman" w:cs="Times New Roman"/>
          <w:sz w:val="24"/>
          <w:szCs w:val="24"/>
          <w:vertAlign w:val="superscript"/>
        </w:rPr>
        <w:t>1,2</w:t>
      </w:r>
      <w:r w:rsidRPr="00F779B5">
        <w:rPr>
          <w:rFonts w:ascii="Times New Roman" w:hAnsi="Times New Roman" w:cs="Times New Roman"/>
          <w:sz w:val="24"/>
          <w:szCs w:val="24"/>
        </w:rPr>
        <w:t>, Jiacong Zhou</w:t>
      </w:r>
      <w:r w:rsidRPr="00F779B5">
        <w:rPr>
          <w:rFonts w:ascii="Times New Roman" w:hAnsi="Times New Roman" w:cs="Times New Roman"/>
          <w:sz w:val="24"/>
          <w:szCs w:val="24"/>
          <w:vertAlign w:val="superscript"/>
        </w:rPr>
        <w:t>1</w:t>
      </w:r>
      <w:r w:rsidRPr="00F779B5">
        <w:rPr>
          <w:rFonts w:ascii="Times New Roman" w:hAnsi="Times New Roman" w:cs="Times New Roman"/>
          <w:sz w:val="24"/>
          <w:szCs w:val="24"/>
        </w:rPr>
        <w:t xml:space="preserve">, </w:t>
      </w:r>
      <w:r w:rsidRPr="00302241">
        <w:rPr>
          <w:rFonts w:ascii="Times New Roman" w:hAnsi="Times New Roman" w:cs="Times New Roman"/>
          <w:kern w:val="0"/>
          <w:sz w:val="24"/>
          <w:szCs w:val="24"/>
          <w14:ligatures w14:val="none"/>
        </w:rPr>
        <w:t>Chris Freeman</w:t>
      </w:r>
      <w:r w:rsidRPr="00F779B5">
        <w:rPr>
          <w:rFonts w:ascii="Times New Roman" w:hAnsi="Times New Roman" w:cs="Times New Roman"/>
          <w:color w:val="000000" w:themeColor="text1"/>
          <w:kern w:val="0"/>
          <w:sz w:val="24"/>
          <w:szCs w:val="24"/>
          <w:vertAlign w:val="superscript"/>
          <w14:ligatures w14:val="none"/>
        </w:rPr>
        <w:t>3</w:t>
      </w:r>
      <w:r w:rsidRPr="00F779B5">
        <w:rPr>
          <w:rFonts w:ascii="Times New Roman" w:hAnsi="Times New Roman" w:cs="Times New Roman"/>
          <w:color w:val="000000" w:themeColor="text1"/>
          <w:kern w:val="0"/>
          <w:sz w:val="24"/>
          <w:szCs w:val="24"/>
          <w14:ligatures w14:val="none"/>
        </w:rPr>
        <w:t>,</w:t>
      </w:r>
      <w:r w:rsidRPr="00F779B5">
        <w:rPr>
          <w:rFonts w:ascii="Times New Roman" w:hAnsi="Times New Roman" w:cs="Times New Roman"/>
          <w:kern w:val="0"/>
          <w:sz w:val="24"/>
          <w:szCs w:val="24"/>
          <w14:ligatures w14:val="none"/>
        </w:rPr>
        <w:t xml:space="preserve"> Mallavarapu Megharaj</w:t>
      </w:r>
      <w:r w:rsidRPr="00F779B5">
        <w:rPr>
          <w:rFonts w:ascii="Times New Roman" w:hAnsi="Times New Roman" w:cs="Times New Roman"/>
          <w:kern w:val="0"/>
          <w:sz w:val="24"/>
          <w:szCs w:val="24"/>
          <w:vertAlign w:val="superscript"/>
          <w14:ligatures w14:val="none"/>
        </w:rPr>
        <w:t>4,5</w:t>
      </w:r>
      <w:r w:rsidRPr="00F779B5">
        <w:rPr>
          <w:rFonts w:ascii="Times New Roman" w:hAnsi="Times New Roman" w:cs="Times New Roman"/>
          <w:kern w:val="0"/>
          <w:sz w:val="24"/>
          <w:szCs w:val="24"/>
          <w14:ligatures w14:val="none"/>
        </w:rPr>
        <w:t xml:space="preserve">, </w:t>
      </w:r>
      <w:r w:rsidRPr="00F779B5">
        <w:rPr>
          <w:rFonts w:ascii="Times New Roman" w:hAnsi="Times New Roman" w:cs="Times New Roman"/>
          <w:kern w:val="0"/>
          <w:sz w:val="24"/>
          <w:szCs w:val="24"/>
          <w:lang w:val="en-GB"/>
          <w14:ligatures w14:val="none"/>
        </w:rPr>
        <w:t>Kyungjin Min</w:t>
      </w:r>
      <w:r w:rsidRPr="00F779B5">
        <w:rPr>
          <w:rFonts w:ascii="Times New Roman" w:hAnsi="Times New Roman" w:cs="Times New Roman"/>
          <w:kern w:val="0"/>
          <w:sz w:val="24"/>
          <w:szCs w:val="24"/>
          <w:vertAlign w:val="superscript"/>
          <w:lang w:val="en-GB"/>
          <w14:ligatures w14:val="none"/>
        </w:rPr>
        <w:t>6</w:t>
      </w:r>
      <w:r w:rsidRPr="00F779B5">
        <w:rPr>
          <w:rFonts w:ascii="Times New Roman" w:hAnsi="Times New Roman" w:cs="Times New Roman"/>
          <w:sz w:val="24"/>
          <w:szCs w:val="24"/>
        </w:rPr>
        <w:t>,</w:t>
      </w:r>
      <w:r w:rsidRPr="00F779B5">
        <w:rPr>
          <w:rFonts w:ascii="Times New Roman" w:hAnsi="Times New Roman" w:cs="Times New Roman"/>
          <w:kern w:val="0"/>
          <w:sz w:val="24"/>
          <w:szCs w:val="24"/>
          <w14:ligatures w14:val="none"/>
        </w:rPr>
        <w:t xml:space="preserve"> Linchuan Fang</w:t>
      </w:r>
      <w:r w:rsidRPr="00F779B5">
        <w:rPr>
          <w:rFonts w:ascii="Times New Roman" w:hAnsi="Times New Roman" w:cs="Times New Roman"/>
          <w:kern w:val="0"/>
          <w:sz w:val="24"/>
          <w:szCs w:val="24"/>
          <w:vertAlign w:val="superscript"/>
          <w14:ligatures w14:val="none"/>
        </w:rPr>
        <w:t>7</w:t>
      </w:r>
      <w:r w:rsidRPr="00F779B5">
        <w:rPr>
          <w:rFonts w:ascii="Times New Roman" w:hAnsi="Times New Roman" w:cs="Times New Roman"/>
          <w:kern w:val="0"/>
          <w:sz w:val="24"/>
          <w:szCs w:val="24"/>
          <w14:ligatures w14:val="none"/>
        </w:rPr>
        <w:t>, Gangsheng Wang</w:t>
      </w:r>
      <w:r w:rsidRPr="00F779B5">
        <w:rPr>
          <w:rFonts w:ascii="Times New Roman" w:hAnsi="Times New Roman" w:cs="Times New Roman"/>
          <w:kern w:val="0"/>
          <w:sz w:val="24"/>
          <w:szCs w:val="24"/>
          <w:vertAlign w:val="superscript"/>
          <w14:ligatures w14:val="none"/>
        </w:rPr>
        <w:t>8</w:t>
      </w:r>
      <w:r w:rsidRPr="00F779B5">
        <w:rPr>
          <w:rFonts w:ascii="Times New Roman" w:hAnsi="Times New Roman" w:cs="Times New Roman"/>
          <w:kern w:val="0"/>
          <w:sz w:val="24"/>
          <w:szCs w:val="24"/>
          <w14:ligatures w14:val="none"/>
        </w:rPr>
        <w:t>, Lars Elsgaard</w:t>
      </w:r>
      <w:r w:rsidRPr="00F779B5">
        <w:rPr>
          <w:rFonts w:ascii="Times New Roman" w:hAnsi="Times New Roman" w:cs="Times New Roman"/>
          <w:kern w:val="0"/>
          <w:sz w:val="24"/>
          <w:szCs w:val="24"/>
          <w:vertAlign w:val="superscript"/>
          <w14:ligatures w14:val="none"/>
        </w:rPr>
        <w:t>9</w:t>
      </w:r>
      <w:r w:rsidRPr="00F779B5">
        <w:rPr>
          <w:rFonts w:ascii="Times New Roman" w:hAnsi="Times New Roman" w:cs="Times New Roman"/>
          <w:kern w:val="0"/>
          <w:sz w:val="24"/>
          <w:szCs w:val="24"/>
          <w14:ligatures w14:val="none"/>
        </w:rPr>
        <w:t>, Nicolas Fanin</w:t>
      </w:r>
      <w:r w:rsidRPr="00F779B5">
        <w:rPr>
          <w:rFonts w:ascii="Times New Roman" w:hAnsi="Times New Roman" w:cs="Times New Roman"/>
          <w:kern w:val="0"/>
          <w:sz w:val="24"/>
          <w:szCs w:val="24"/>
          <w:vertAlign w:val="superscript"/>
          <w14:ligatures w14:val="none"/>
        </w:rPr>
        <w:t>10</w:t>
      </w:r>
      <w:r w:rsidRPr="00F779B5">
        <w:rPr>
          <w:rFonts w:ascii="Times New Roman" w:hAnsi="Times New Roman" w:cs="Times New Roman"/>
          <w:kern w:val="0"/>
          <w:sz w:val="24"/>
          <w:szCs w:val="24"/>
          <w14:ligatures w14:val="none"/>
        </w:rPr>
        <w:t>, Hojeong Kang</w:t>
      </w:r>
      <w:r w:rsidRPr="00F779B5">
        <w:rPr>
          <w:rFonts w:ascii="Times New Roman" w:hAnsi="Times New Roman" w:cs="Times New Roman"/>
          <w:kern w:val="0"/>
          <w:sz w:val="24"/>
          <w:szCs w:val="24"/>
          <w:vertAlign w:val="superscript"/>
          <w14:ligatures w14:val="none"/>
        </w:rPr>
        <w:t>11</w:t>
      </w:r>
      <w:r w:rsidRPr="00F779B5">
        <w:rPr>
          <w:rFonts w:ascii="Times New Roman" w:hAnsi="Times New Roman" w:cs="Times New Roman"/>
          <w:kern w:val="0"/>
          <w:sz w:val="24"/>
          <w:szCs w:val="24"/>
          <w14:ligatures w14:val="none"/>
        </w:rPr>
        <w:t>, Taiki Mori</w:t>
      </w:r>
      <w:r w:rsidRPr="00F779B5">
        <w:rPr>
          <w:rFonts w:ascii="Times New Roman" w:hAnsi="Times New Roman" w:cs="Times New Roman"/>
          <w:kern w:val="0"/>
          <w:sz w:val="24"/>
          <w:szCs w:val="24"/>
          <w:vertAlign w:val="superscript"/>
          <w14:ligatures w14:val="none"/>
        </w:rPr>
        <w:t>12,13</w:t>
      </w:r>
      <w:r w:rsidRPr="00F779B5">
        <w:rPr>
          <w:rFonts w:ascii="Times New Roman" w:hAnsi="Times New Roman" w:cs="Times New Roman"/>
          <w:kern w:val="0"/>
          <w:sz w:val="24"/>
          <w:szCs w:val="24"/>
          <w14:ligatures w14:val="none"/>
        </w:rPr>
        <w:t>, Jianwei Li</w:t>
      </w:r>
      <w:r w:rsidRPr="00F779B5">
        <w:rPr>
          <w:rFonts w:ascii="Times New Roman" w:hAnsi="Times New Roman" w:cs="Times New Roman"/>
          <w:kern w:val="0"/>
          <w:sz w:val="24"/>
          <w:szCs w:val="24"/>
          <w:vertAlign w:val="superscript"/>
          <w14:ligatures w14:val="none"/>
        </w:rPr>
        <w:t>14</w:t>
      </w:r>
      <w:r w:rsidRPr="00F779B5">
        <w:rPr>
          <w:rFonts w:ascii="Times New Roman" w:hAnsi="Times New Roman" w:cs="Times New Roman"/>
          <w:kern w:val="0"/>
          <w:sz w:val="24"/>
          <w:szCs w:val="24"/>
          <w14:ligatures w14:val="none"/>
        </w:rPr>
        <w:t>, Daryl L. Moorhead</w:t>
      </w:r>
      <w:r w:rsidRPr="00F779B5">
        <w:rPr>
          <w:rFonts w:ascii="Times New Roman" w:hAnsi="Times New Roman" w:cs="Times New Roman"/>
          <w:kern w:val="0"/>
          <w:sz w:val="24"/>
          <w:szCs w:val="24"/>
          <w:vertAlign w:val="superscript"/>
          <w14:ligatures w14:val="none"/>
        </w:rPr>
        <w:t>15</w:t>
      </w:r>
      <w:r w:rsidRPr="00F779B5">
        <w:rPr>
          <w:rFonts w:ascii="Times New Roman" w:hAnsi="Times New Roman" w:cs="Times New Roman"/>
          <w:kern w:val="0"/>
          <w:sz w:val="24"/>
          <w:szCs w:val="24"/>
          <w14:ligatures w14:val="none"/>
        </w:rPr>
        <w:t>, Yongxing Cui</w:t>
      </w:r>
      <w:bookmarkStart w:id="7" w:name="OLE_LINK19"/>
      <w:r w:rsidRPr="00F779B5">
        <w:rPr>
          <w:rFonts w:ascii="Times New Roman" w:hAnsi="Times New Roman" w:cs="Times New Roman"/>
          <w:kern w:val="0"/>
          <w:sz w:val="24"/>
          <w:szCs w:val="24"/>
          <w:vertAlign w:val="superscript"/>
          <w14:ligatures w14:val="none"/>
        </w:rPr>
        <w:t>16,17</w:t>
      </w:r>
      <w:r w:rsidRPr="00F779B5">
        <w:rPr>
          <w:rFonts w:ascii="Times New Roman" w:hAnsi="Times New Roman" w:cs="Times New Roman"/>
          <w:sz w:val="24"/>
          <w:szCs w:val="24"/>
        </w:rPr>
        <w:t xml:space="preserve">, </w:t>
      </w:r>
      <w:bookmarkEnd w:id="7"/>
      <w:r w:rsidRPr="00F779B5">
        <w:rPr>
          <w:rFonts w:ascii="Times New Roman" w:hAnsi="Times New Roman" w:cs="Times New Roman"/>
          <w:sz w:val="24"/>
          <w:szCs w:val="24"/>
        </w:rPr>
        <w:t>Yangyang Li</w:t>
      </w:r>
      <w:r w:rsidRPr="00F779B5">
        <w:rPr>
          <w:rFonts w:ascii="Times New Roman" w:hAnsi="Times New Roman" w:cs="Times New Roman"/>
          <w:sz w:val="24"/>
          <w:szCs w:val="24"/>
          <w:vertAlign w:val="superscript"/>
        </w:rPr>
        <w:t>1</w:t>
      </w:r>
      <w:r w:rsidRPr="00F779B5">
        <w:rPr>
          <w:rFonts w:ascii="Times New Roman" w:hAnsi="Times New Roman" w:cs="Times New Roman"/>
          <w:sz w:val="24"/>
          <w:szCs w:val="24"/>
        </w:rPr>
        <w:t>, Dong Wang</w:t>
      </w:r>
      <w:r w:rsidRPr="00F779B5">
        <w:rPr>
          <w:rFonts w:ascii="Times New Roman" w:hAnsi="Times New Roman" w:cs="Times New Roman"/>
          <w:sz w:val="24"/>
          <w:szCs w:val="24"/>
          <w:vertAlign w:val="superscript"/>
        </w:rPr>
        <w:t>18</w:t>
      </w:r>
      <w:r w:rsidRPr="00F779B5">
        <w:rPr>
          <w:rFonts w:ascii="Times New Roman" w:hAnsi="Times New Roman" w:cs="Times New Roman"/>
          <w:sz w:val="24"/>
          <w:szCs w:val="24"/>
        </w:rPr>
        <w:t>, Zhao Jin</w:t>
      </w:r>
      <w:r w:rsidRPr="00F779B5">
        <w:rPr>
          <w:rFonts w:ascii="Times New Roman" w:hAnsi="Times New Roman" w:cs="Times New Roman"/>
          <w:sz w:val="24"/>
          <w:szCs w:val="24"/>
          <w:vertAlign w:val="superscript"/>
        </w:rPr>
        <w:t>1</w:t>
      </w:r>
      <w:r w:rsidRPr="00F779B5">
        <w:rPr>
          <w:rFonts w:ascii="Times New Roman" w:hAnsi="Times New Roman" w:cs="Times New Roman"/>
          <w:sz w:val="24"/>
          <w:szCs w:val="24"/>
        </w:rPr>
        <w:t>, Xiaojun Shi</w:t>
      </w:r>
      <w:r w:rsidRPr="00F779B5">
        <w:rPr>
          <w:rFonts w:ascii="Times New Roman" w:hAnsi="Times New Roman" w:cs="Times New Roman"/>
          <w:sz w:val="24"/>
          <w:szCs w:val="24"/>
          <w:vertAlign w:val="superscript"/>
        </w:rPr>
        <w:t>2*</w:t>
      </w:r>
      <w:r w:rsidRPr="00F779B5">
        <w:rPr>
          <w:rFonts w:ascii="Times New Roman" w:hAnsi="Times New Roman" w:cs="Times New Roman"/>
          <w:sz w:val="24"/>
          <w:szCs w:val="24"/>
        </w:rPr>
        <w:t>, Ji Chen</w:t>
      </w:r>
      <w:r w:rsidRPr="00F779B5">
        <w:rPr>
          <w:rFonts w:ascii="Times New Roman" w:hAnsi="Times New Roman" w:cs="Times New Roman"/>
          <w:sz w:val="24"/>
          <w:szCs w:val="24"/>
          <w:vertAlign w:val="superscript"/>
        </w:rPr>
        <w:t>1,19,20*</w:t>
      </w:r>
    </w:p>
    <w:p w:rsidR="00F779B5" w:rsidRPr="00F779B5" w:rsidRDefault="00F779B5" w:rsidP="00F779B5">
      <w:pPr>
        <w:widowControl/>
        <w:spacing w:line="480" w:lineRule="auto"/>
        <w:jc w:val="left"/>
        <w:rPr>
          <w:rFonts w:ascii="Times New Roman" w:hAnsi="Times New Roman" w:cs="Times New Roman"/>
          <w:sz w:val="24"/>
          <w:szCs w:val="24"/>
          <w:vertAlign w:val="superscript"/>
        </w:rPr>
      </w:pP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vertAlign w:val="superscript"/>
          <w14:ligatures w14:val="none"/>
        </w:rPr>
        <w:t>1</w:t>
      </w:r>
      <w:r w:rsidRPr="00F779B5">
        <w:rPr>
          <w:rFonts w:ascii="Times New Roman" w:hAnsi="Times New Roman" w:cs="Times New Roman"/>
          <w:kern w:val="0"/>
          <w:sz w:val="24"/>
          <w:szCs w:val="24"/>
          <w14:ligatures w14:val="none"/>
        </w:rPr>
        <w:t>State Key Laboratory of Loess Science, Institute of Earth Environment, Chinese Academy of Sciences, Xi'an, China</w:t>
      </w:r>
    </w:p>
    <w:p w:rsidR="00F779B5" w:rsidRPr="00F779B5" w:rsidRDefault="00F779B5" w:rsidP="00F779B5">
      <w:pPr>
        <w:widowControl/>
        <w:spacing w:line="480" w:lineRule="auto"/>
        <w:jc w:val="left"/>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vertAlign w:val="superscript"/>
          <w14:ligatures w14:val="none"/>
        </w:rPr>
        <w:t>2</w:t>
      </w:r>
      <w:r w:rsidRPr="00F779B5">
        <w:rPr>
          <w:rFonts w:ascii="Times New Roman" w:hAnsi="Times New Roman" w:cs="Times New Roman"/>
          <w:kern w:val="0"/>
          <w:sz w:val="24"/>
          <w:szCs w:val="24"/>
          <w14:ligatures w14:val="none"/>
        </w:rPr>
        <w:t xml:space="preserve">College of Resources and Environment, </w:t>
      </w:r>
      <w:bookmarkStart w:id="8" w:name="_Hlk212562876"/>
      <w:r w:rsidRPr="00F779B5">
        <w:rPr>
          <w:rFonts w:ascii="Times New Roman" w:hAnsi="Times New Roman" w:cs="Times New Roman"/>
          <w:kern w:val="0"/>
          <w:sz w:val="24"/>
          <w:szCs w:val="24"/>
          <w14:ligatures w14:val="none"/>
        </w:rPr>
        <w:t>Southwest University</w:t>
      </w:r>
      <w:bookmarkEnd w:id="8"/>
      <w:r w:rsidRPr="00F779B5">
        <w:rPr>
          <w:rFonts w:ascii="Times New Roman" w:hAnsi="Times New Roman" w:cs="Times New Roman"/>
          <w:kern w:val="0"/>
          <w:sz w:val="24"/>
          <w:szCs w:val="24"/>
          <w14:ligatures w14:val="none"/>
        </w:rPr>
        <w:t>, Chongqing 400716, China</w:t>
      </w:r>
    </w:p>
    <w:p w:rsidR="00F779B5" w:rsidRPr="00F779B5" w:rsidRDefault="00F779B5" w:rsidP="00F779B5">
      <w:pPr>
        <w:widowControl/>
        <w:spacing w:line="480" w:lineRule="auto"/>
        <w:jc w:val="left"/>
        <w:rPr>
          <w:rFonts w:ascii="Times New Roman" w:hAnsi="Times New Roman" w:cs="Times New Roman"/>
          <w:i/>
          <w:iCs/>
          <w:sz w:val="24"/>
          <w:szCs w:val="24"/>
        </w:rPr>
      </w:pPr>
      <w:r w:rsidRPr="00F779B5">
        <w:rPr>
          <w:rFonts w:ascii="Times New Roman" w:hAnsi="Times New Roman" w:cs="Times New Roman"/>
          <w:sz w:val="24"/>
          <w:szCs w:val="24"/>
          <w:vertAlign w:val="superscript"/>
        </w:rPr>
        <w:t>3</w:t>
      </w:r>
      <w:r w:rsidRPr="00F779B5">
        <w:rPr>
          <w:rFonts w:ascii="Times New Roman" w:hAnsi="Times New Roman" w:cs="Times New Roman"/>
          <w:sz w:val="24"/>
          <w:szCs w:val="24"/>
        </w:rPr>
        <w:t>School of Environmental &amp; Natural Sciences, Bangor University, Bangor LL57 2UW, UK</w:t>
      </w:r>
    </w:p>
    <w:p w:rsidR="00F779B5" w:rsidRPr="00F779B5" w:rsidRDefault="00F779B5" w:rsidP="00F779B5">
      <w:pPr>
        <w:widowControl/>
        <w:spacing w:line="480" w:lineRule="auto"/>
        <w:jc w:val="left"/>
        <w:rPr>
          <w:rFonts w:ascii="Times New Roman" w:hAnsi="Times New Roman" w:cs="Times New Roman"/>
          <w:sz w:val="24"/>
          <w:szCs w:val="24"/>
        </w:rPr>
      </w:pPr>
      <w:r w:rsidRPr="00F779B5">
        <w:rPr>
          <w:rFonts w:ascii="Times New Roman" w:hAnsi="Times New Roman" w:cs="Times New Roman"/>
          <w:sz w:val="24"/>
          <w:szCs w:val="24"/>
          <w:vertAlign w:val="superscript"/>
        </w:rPr>
        <w:t>4</w:t>
      </w:r>
      <w:r w:rsidRPr="00F779B5">
        <w:rPr>
          <w:rFonts w:ascii="Times New Roman" w:hAnsi="Times New Roman" w:cs="Times New Roman"/>
          <w:sz w:val="24"/>
          <w:szCs w:val="24"/>
        </w:rPr>
        <w:t>Global Centre for Environmental Remediation (GCER), School of Environmental and Life Sciences, College of Engineering, Science and Environment, University of Newcastle, ATC Building, University Drive, Callaghan, NSW, 2308, Australia</w:t>
      </w:r>
    </w:p>
    <w:p w:rsidR="00F779B5" w:rsidRPr="00F779B5" w:rsidRDefault="00F779B5" w:rsidP="00F779B5">
      <w:pPr>
        <w:widowControl/>
        <w:spacing w:line="480" w:lineRule="auto"/>
        <w:jc w:val="left"/>
        <w:rPr>
          <w:rFonts w:ascii="Times New Roman" w:hAnsi="Times New Roman" w:cs="Times New Roman"/>
          <w:sz w:val="24"/>
          <w:szCs w:val="24"/>
        </w:rPr>
      </w:pPr>
      <w:r w:rsidRPr="00F779B5">
        <w:rPr>
          <w:rFonts w:ascii="Times New Roman" w:hAnsi="Times New Roman" w:cs="Times New Roman"/>
          <w:sz w:val="24"/>
          <w:szCs w:val="24"/>
          <w:vertAlign w:val="superscript"/>
        </w:rPr>
        <w:t>5</w:t>
      </w:r>
      <w:r w:rsidRPr="00F779B5">
        <w:rPr>
          <w:rFonts w:ascii="Times New Roman" w:hAnsi="Times New Roman" w:cs="Times New Roman"/>
          <w:sz w:val="24"/>
          <w:szCs w:val="24"/>
        </w:rPr>
        <w:t>Cooperative Research Centre for Contamination Assessment and Remediation of the Environment (crcCARE), University of Newcastle, ATC Building, University Drive, Callaghan, NSW, 2308, Australia</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vertAlign w:val="superscript"/>
          <w14:ligatures w14:val="none"/>
        </w:rPr>
        <w:t>6</w:t>
      </w:r>
      <w:r w:rsidRPr="00F779B5">
        <w:rPr>
          <w:rFonts w:ascii="Times New Roman" w:hAnsi="Times New Roman" w:cs="Times New Roman"/>
          <w:kern w:val="0"/>
          <w:sz w:val="24"/>
          <w:szCs w:val="24"/>
          <w14:ligatures w14:val="none"/>
        </w:rPr>
        <w:t>Department of Agricultural Biotechnology, Seoul National University, Seoul, 08826, South Korea</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vertAlign w:val="superscript"/>
          <w14:ligatures w14:val="none"/>
        </w:rPr>
        <w:lastRenderedPageBreak/>
        <w:t>7</w:t>
      </w:r>
      <w:r w:rsidRPr="00F779B5">
        <w:rPr>
          <w:rFonts w:ascii="Times New Roman" w:hAnsi="Times New Roman" w:cs="Times New Roman"/>
          <w:kern w:val="0"/>
          <w:sz w:val="24"/>
          <w:szCs w:val="24"/>
          <w14:ligatures w14:val="none"/>
        </w:rPr>
        <w:t>School of Resource and Environmental Engineering, Wuhan University of Technology, Wuhan, China</w:t>
      </w:r>
    </w:p>
    <w:p w:rsidR="00F779B5" w:rsidRPr="00F779B5" w:rsidRDefault="00F779B5" w:rsidP="00F779B5">
      <w:pPr>
        <w:widowControl/>
        <w:adjustRightInd w:val="0"/>
        <w:snapToGrid w:val="0"/>
        <w:spacing w:line="480" w:lineRule="auto"/>
        <w:rPr>
          <w:rFonts w:ascii="Times New Roman" w:hAnsi="Times New Roman" w:cs="Times New Roman"/>
          <w:sz w:val="24"/>
          <w:szCs w:val="24"/>
        </w:rPr>
      </w:pPr>
      <w:r w:rsidRPr="00F779B5">
        <w:rPr>
          <w:rFonts w:ascii="Times New Roman" w:hAnsi="Times New Roman" w:cs="Times New Roman"/>
          <w:sz w:val="24"/>
          <w:szCs w:val="24"/>
          <w:vertAlign w:val="superscript"/>
        </w:rPr>
        <w:t>8</w:t>
      </w:r>
      <w:r w:rsidRPr="00F779B5">
        <w:rPr>
          <w:rFonts w:ascii="Times New Roman" w:hAnsi="Times New Roman" w:cs="Times New Roman"/>
          <w:sz w:val="24"/>
          <w:szCs w:val="24"/>
        </w:rPr>
        <w:t>State Key Laboratory of Water Resources Engineering and Management, and Institute for Water-Carbon Cycles and Carbon Neutrality, Wuhan University, Wuhan, China</w:t>
      </w:r>
    </w:p>
    <w:p w:rsidR="00F779B5" w:rsidRPr="00F779B5" w:rsidRDefault="00F779B5" w:rsidP="00F779B5">
      <w:pPr>
        <w:widowControl/>
        <w:adjustRightInd w:val="0"/>
        <w:snapToGrid w:val="0"/>
        <w:spacing w:line="480" w:lineRule="auto"/>
        <w:rPr>
          <w:rFonts w:ascii="Times New Roman" w:hAnsi="Times New Roman" w:cs="Times New Roman"/>
          <w:sz w:val="24"/>
          <w:szCs w:val="24"/>
        </w:rPr>
      </w:pPr>
      <w:r w:rsidRPr="00F779B5">
        <w:rPr>
          <w:rFonts w:ascii="Times New Roman" w:hAnsi="Times New Roman" w:cs="Times New Roman"/>
          <w:sz w:val="24"/>
          <w:szCs w:val="24"/>
          <w:vertAlign w:val="superscript"/>
        </w:rPr>
        <w:t>9</w:t>
      </w:r>
      <w:r w:rsidRPr="00F779B5">
        <w:rPr>
          <w:rFonts w:ascii="Times New Roman" w:hAnsi="Times New Roman" w:cs="Times New Roman"/>
          <w:sz w:val="24"/>
          <w:szCs w:val="24"/>
        </w:rPr>
        <w:t>Department of Agroecology, Aarhus University, Tjele, Denmark</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lang w:val="es-ES"/>
          <w14:ligatures w14:val="none"/>
        </w:rPr>
      </w:pPr>
      <w:r w:rsidRPr="00F779B5">
        <w:rPr>
          <w:rFonts w:ascii="Times New Roman" w:hAnsi="Times New Roman" w:cs="Times New Roman"/>
          <w:kern w:val="0"/>
          <w:sz w:val="24"/>
          <w:szCs w:val="24"/>
          <w:vertAlign w:val="superscript"/>
          <w14:ligatures w14:val="none"/>
        </w:rPr>
        <w:t>10</w:t>
      </w:r>
      <w:r w:rsidRPr="00F779B5">
        <w:rPr>
          <w:rFonts w:ascii="Times New Roman" w:hAnsi="Times New Roman" w:cs="Times New Roman"/>
          <w:kern w:val="0"/>
          <w:sz w:val="24"/>
          <w:szCs w:val="24"/>
          <w:lang w:val="es-ES"/>
          <w14:ligatures w14:val="none"/>
        </w:rPr>
        <w:t xml:space="preserve">INRAE, </w:t>
      </w:r>
      <w:bookmarkStart w:id="9" w:name="OLE_LINK23"/>
      <w:r w:rsidRPr="00F779B5">
        <w:rPr>
          <w:rFonts w:ascii="Times New Roman" w:hAnsi="Times New Roman" w:cs="Times New Roman"/>
          <w:kern w:val="0"/>
          <w:sz w:val="24"/>
          <w:szCs w:val="24"/>
          <w:lang w:val="es-ES"/>
          <w14:ligatures w14:val="none"/>
        </w:rPr>
        <w:t>Bordeaux Sciences Agro</w:t>
      </w:r>
      <w:bookmarkEnd w:id="9"/>
      <w:r w:rsidRPr="00F779B5">
        <w:rPr>
          <w:rFonts w:ascii="Times New Roman" w:hAnsi="Times New Roman" w:cs="Times New Roman"/>
          <w:kern w:val="0"/>
          <w:sz w:val="24"/>
          <w:szCs w:val="24"/>
          <w:lang w:val="es-ES"/>
          <w14:ligatures w14:val="none"/>
        </w:rPr>
        <w:t>, ISPA, 33140, Villenave d’Ornon, France</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vertAlign w:val="superscript"/>
          <w14:ligatures w14:val="none"/>
        </w:rPr>
        <w:t>11</w:t>
      </w:r>
      <w:r w:rsidRPr="00F779B5">
        <w:rPr>
          <w:rFonts w:ascii="Times New Roman" w:hAnsi="Times New Roman" w:cs="Times New Roman"/>
          <w:kern w:val="0"/>
          <w:sz w:val="24"/>
          <w:szCs w:val="24"/>
          <w14:ligatures w14:val="none"/>
        </w:rPr>
        <w:t>North China University of Water Resources and Electric Power, Zhengzhou, China</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vertAlign w:val="superscript"/>
          <w14:ligatures w14:val="none"/>
        </w:rPr>
        <w:t>12</w:t>
      </w:r>
      <w:r w:rsidRPr="00F779B5">
        <w:rPr>
          <w:rFonts w:ascii="Times New Roman" w:hAnsi="Times New Roman" w:cs="Times New Roman"/>
          <w:kern w:val="0"/>
          <w:sz w:val="24"/>
          <w:szCs w:val="24"/>
          <w14:ligatures w14:val="none"/>
        </w:rPr>
        <w:t>Kyushu Research Center, Forestry and Forest Products Research Institute, FFPRI, Kurokami 4-11-16, Kumamoto 860-0862, Japan</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vertAlign w:val="superscript"/>
          <w14:ligatures w14:val="none"/>
        </w:rPr>
        <w:t>13</w:t>
      </w:r>
      <w:r w:rsidRPr="00F779B5">
        <w:rPr>
          <w:rFonts w:ascii="Times New Roman" w:hAnsi="Times New Roman" w:cs="Times New Roman"/>
          <w:kern w:val="0"/>
          <w:sz w:val="24"/>
          <w:szCs w:val="24"/>
          <w14:ligatures w14:val="none"/>
        </w:rPr>
        <w:t>Department of Forest Site Environment, Forestry and Forest Products Research Institute, FFPRI, Matsunosato 1, Tsukuba, Ibaraki, 305-8687, Japan</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vertAlign w:val="superscript"/>
          <w14:ligatures w14:val="none"/>
        </w:rPr>
        <w:t>14</w:t>
      </w:r>
      <w:r w:rsidRPr="00F779B5">
        <w:rPr>
          <w:rFonts w:ascii="Times New Roman" w:hAnsi="Times New Roman" w:cs="Times New Roman"/>
          <w:kern w:val="0"/>
          <w:sz w:val="24"/>
          <w:szCs w:val="24"/>
          <w14:ligatures w14:val="none"/>
        </w:rPr>
        <w:t>Department of Environmental Sciences, Tennessee State University, Nashville, TN 37209, USA</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vertAlign w:val="superscript"/>
          <w14:ligatures w14:val="none"/>
        </w:rPr>
        <w:t>15</w:t>
      </w:r>
      <w:r w:rsidRPr="00F779B5">
        <w:rPr>
          <w:rFonts w:ascii="Times New Roman" w:hAnsi="Times New Roman" w:cs="Times New Roman"/>
          <w:kern w:val="0"/>
          <w:sz w:val="24"/>
          <w:szCs w:val="24"/>
          <w14:ligatures w14:val="none"/>
        </w:rPr>
        <w:t>Department of Environmental Sciences, University of Toledo, 2801 W Bancroft St, Toledo, OH, 43606 USA</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vertAlign w:val="superscript"/>
          <w:lang w:val="en-GB"/>
          <w14:ligatures w14:val="none"/>
        </w:rPr>
        <w:t>16</w:t>
      </w:r>
      <w:r w:rsidRPr="00F779B5">
        <w:rPr>
          <w:rFonts w:ascii="Times New Roman" w:hAnsi="Times New Roman" w:cs="Times New Roman"/>
          <w:kern w:val="0"/>
          <w:sz w:val="24"/>
          <w:szCs w:val="24"/>
          <w14:ligatures w14:val="none"/>
        </w:rPr>
        <w:t xml:space="preserve">Sino-French Institute for Earth System Science, College of Urban and Environmental </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14:ligatures w14:val="none"/>
        </w:rPr>
        <w:t>Sciences, Peking University, Beijing, China</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kern w:val="0"/>
          <w:sz w:val="24"/>
          <w:szCs w:val="24"/>
          <w:vertAlign w:val="superscript"/>
          <w14:ligatures w14:val="none"/>
        </w:rPr>
        <w:t>17</w:t>
      </w:r>
      <w:r w:rsidRPr="00F779B5">
        <w:rPr>
          <w:rFonts w:ascii="Times New Roman" w:hAnsi="Times New Roman" w:cs="Times New Roman"/>
          <w:kern w:val="0"/>
          <w:sz w:val="24"/>
          <w:szCs w:val="24"/>
          <w14:ligatures w14:val="none"/>
        </w:rPr>
        <w:t>Institute of Biology, Freie Universität Berlin, Berlin 14195, Germany</w:t>
      </w:r>
    </w:p>
    <w:p w:rsidR="00F779B5" w:rsidRPr="00F779B5" w:rsidRDefault="00F779B5" w:rsidP="00F779B5">
      <w:pPr>
        <w:widowControl/>
        <w:spacing w:line="480" w:lineRule="auto"/>
        <w:jc w:val="left"/>
        <w:rPr>
          <w:rFonts w:ascii="Times New Roman" w:hAnsi="Times New Roman" w:cs="Times New Roman"/>
          <w:sz w:val="24"/>
          <w:szCs w:val="24"/>
        </w:rPr>
      </w:pPr>
      <w:r w:rsidRPr="00F779B5">
        <w:rPr>
          <w:rFonts w:ascii="Times New Roman" w:hAnsi="Times New Roman" w:cs="Times New Roman"/>
          <w:sz w:val="24"/>
          <w:szCs w:val="24"/>
          <w:vertAlign w:val="superscript"/>
        </w:rPr>
        <w:t>18</w:t>
      </w:r>
      <w:r w:rsidRPr="00F779B5">
        <w:rPr>
          <w:rFonts w:ascii="Times New Roman" w:hAnsi="Times New Roman" w:cs="Times New Roman"/>
          <w:sz w:val="24"/>
          <w:szCs w:val="24"/>
        </w:rPr>
        <w:t>International Joint Research Laboratory of Global Change Ecology, School of Life Sciences, Henan University, Kaifeng 475004, China</w:t>
      </w:r>
    </w:p>
    <w:p w:rsidR="00F779B5" w:rsidRPr="00F779B5" w:rsidRDefault="00F779B5" w:rsidP="00F779B5">
      <w:pPr>
        <w:widowControl/>
        <w:spacing w:line="480" w:lineRule="auto"/>
        <w:jc w:val="left"/>
        <w:rPr>
          <w:rFonts w:ascii="Times New Roman" w:hAnsi="Times New Roman" w:cs="Times New Roman"/>
          <w:sz w:val="24"/>
          <w:szCs w:val="24"/>
        </w:rPr>
      </w:pPr>
      <w:r w:rsidRPr="00F779B5">
        <w:rPr>
          <w:rFonts w:ascii="Times New Roman" w:hAnsi="Times New Roman" w:cs="Times New Roman"/>
          <w:sz w:val="24"/>
          <w:szCs w:val="24"/>
          <w:vertAlign w:val="superscript"/>
        </w:rPr>
        <w:t>19</w:t>
      </w:r>
      <w:r w:rsidRPr="00F779B5">
        <w:rPr>
          <w:rFonts w:ascii="Times New Roman" w:hAnsi="Times New Roman" w:cs="Times New Roman"/>
          <w:sz w:val="24"/>
          <w:szCs w:val="24"/>
        </w:rPr>
        <w:t>Institute of Global Environmental Change, Department of Earth and Environmental Science, School of Human Settlements and Civil Engineering, Xi'an Jiaotong University, Xi'an, China</w:t>
      </w:r>
    </w:p>
    <w:p w:rsidR="00F779B5" w:rsidRPr="00F779B5" w:rsidRDefault="00F779B5" w:rsidP="00F779B5">
      <w:pPr>
        <w:widowControl/>
        <w:spacing w:line="480" w:lineRule="auto"/>
        <w:jc w:val="left"/>
        <w:rPr>
          <w:rFonts w:ascii="Times New Roman" w:hAnsi="Times New Roman" w:cs="Times New Roman"/>
          <w:i/>
          <w:iCs/>
          <w:sz w:val="24"/>
          <w:szCs w:val="24"/>
        </w:rPr>
      </w:pPr>
      <w:r w:rsidRPr="00F779B5">
        <w:rPr>
          <w:rFonts w:ascii="Times New Roman" w:hAnsi="Times New Roman" w:cs="Times New Roman"/>
          <w:sz w:val="24"/>
          <w:szCs w:val="24"/>
          <w:vertAlign w:val="superscript"/>
        </w:rPr>
        <w:lastRenderedPageBreak/>
        <w:t>20</w:t>
      </w:r>
      <w:r w:rsidRPr="00F779B5">
        <w:rPr>
          <w:rFonts w:ascii="Times New Roman" w:hAnsi="Times New Roman" w:cs="Times New Roman"/>
          <w:sz w:val="24"/>
          <w:szCs w:val="24"/>
        </w:rPr>
        <w:t>Guanzhong Plain Ecological Environment Change and Comprehensive Treatment National Observation and Research Station, Xi'an, China</w:t>
      </w:r>
    </w:p>
    <w:p w:rsidR="00F779B5" w:rsidRPr="00F779B5" w:rsidRDefault="00F779B5" w:rsidP="00F779B5">
      <w:pPr>
        <w:widowControl/>
        <w:adjustRightInd w:val="0"/>
        <w:snapToGrid w:val="0"/>
        <w:spacing w:line="480" w:lineRule="auto"/>
        <w:rPr>
          <w:rFonts w:ascii="Times New Roman" w:hAnsi="Times New Roman" w:cs="Times New Roman"/>
          <w:kern w:val="0"/>
          <w:sz w:val="24"/>
          <w:szCs w:val="24"/>
          <w14:ligatures w14:val="none"/>
        </w:rPr>
      </w:pPr>
      <w:r w:rsidRPr="00F779B5">
        <w:rPr>
          <w:rFonts w:ascii="Times New Roman" w:hAnsi="Times New Roman" w:cs="Times New Roman"/>
          <w:color w:val="000000" w:themeColor="text1"/>
          <w:sz w:val="24"/>
          <w:szCs w:val="24"/>
        </w:rPr>
        <w:t xml:space="preserve">*Corresponding author: </w:t>
      </w:r>
      <w:r w:rsidRPr="00F779B5">
        <w:rPr>
          <w:rFonts w:ascii="Times New Roman" w:hAnsi="Times New Roman" w:cs="Times New Roman"/>
          <w:kern w:val="0"/>
          <w:sz w:val="24"/>
          <w:szCs w:val="24"/>
          <w14:ligatures w14:val="none"/>
        </w:rPr>
        <w:t>Xiaoj</w:t>
      </w:r>
      <w:r w:rsidRPr="00F779B5">
        <w:rPr>
          <w:rFonts w:ascii="Times New Roman" w:hAnsi="Times New Roman" w:cs="Times New Roman"/>
          <w:color w:val="000000" w:themeColor="text1"/>
          <w:kern w:val="0"/>
          <w:sz w:val="24"/>
          <w:szCs w:val="24"/>
          <w14:ligatures w14:val="none"/>
        </w:rPr>
        <w:t xml:space="preserve">un Shi, </w:t>
      </w:r>
      <w:r w:rsidRPr="00302241">
        <w:rPr>
          <w:rFonts w:ascii="Times New Roman" w:hAnsi="Times New Roman" w:cs="Times New Roman"/>
          <w:kern w:val="0"/>
          <w:sz w:val="24"/>
          <w:szCs w:val="24"/>
          <w14:ligatures w14:val="none"/>
        </w:rPr>
        <w:t>shixj@swu.edu.cn</w:t>
      </w:r>
    </w:p>
    <w:p w:rsidR="00F779B5" w:rsidRPr="00F779B5" w:rsidRDefault="00F779B5" w:rsidP="00F779B5">
      <w:pPr>
        <w:widowControl/>
        <w:adjustRightInd w:val="0"/>
        <w:snapToGrid w:val="0"/>
        <w:spacing w:line="480" w:lineRule="auto"/>
        <w:ind w:firstLineChars="900" w:firstLine="2160"/>
        <w:rPr>
          <w:rFonts w:ascii="Times New Roman" w:hAnsi="Times New Roman" w:cs="Times New Roman"/>
          <w:kern w:val="0"/>
          <w:sz w:val="24"/>
          <w:szCs w:val="24"/>
          <w:lang w:val="de-DE"/>
          <w14:ligatures w14:val="none"/>
        </w:rPr>
      </w:pPr>
      <w:r w:rsidRPr="00F779B5">
        <w:rPr>
          <w:rFonts w:ascii="Times New Roman" w:hAnsi="Times New Roman" w:cs="Times New Roman"/>
          <w:kern w:val="0"/>
          <w:sz w:val="24"/>
          <w:szCs w:val="24"/>
          <w14:ligatures w14:val="none"/>
        </w:rPr>
        <w:t xml:space="preserve">  </w:t>
      </w:r>
      <w:r w:rsidRPr="00F779B5">
        <w:rPr>
          <w:rFonts w:ascii="Times New Roman" w:hAnsi="Times New Roman" w:cs="Times New Roman"/>
          <w:color w:val="000000" w:themeColor="text1"/>
          <w:sz w:val="24"/>
          <w:szCs w:val="24"/>
          <w:lang w:val="de-DE"/>
        </w:rPr>
        <w:t xml:space="preserve">Ji Chen, </w:t>
      </w:r>
      <w:r w:rsidRPr="00F779B5">
        <w:rPr>
          <w:rFonts w:ascii="Times New Roman" w:hAnsi="Times New Roman" w:cs="Times New Roman"/>
          <w:kern w:val="0"/>
          <w:sz w:val="24"/>
          <w:szCs w:val="24"/>
          <w:lang w:val="de-DE"/>
          <w14:ligatures w14:val="none"/>
        </w:rPr>
        <w:t>chenji@ieecas.cn</w:t>
      </w:r>
    </w:p>
    <w:p w:rsidR="00034F15" w:rsidRPr="00302241" w:rsidRDefault="007D2AF7">
      <w:pPr>
        <w:widowControl/>
        <w:jc w:val="left"/>
        <w:rPr>
          <w:rFonts w:ascii="Times New Roman" w:hAnsi="Times New Roman" w:cs="Times New Roman"/>
          <w:sz w:val="24"/>
          <w:szCs w:val="24"/>
          <w:lang w:val="de-DE"/>
        </w:rPr>
        <w:sectPr w:rsidR="00034F15" w:rsidRPr="00302241" w:rsidSect="00034F15">
          <w:pgSz w:w="11906" w:h="16838"/>
          <w:pgMar w:top="1440" w:right="1800" w:bottom="1440" w:left="1800" w:header="851" w:footer="992" w:gutter="0"/>
          <w:lnNumType w:countBy="1" w:restart="continuous"/>
          <w:cols w:space="425"/>
          <w:docGrid w:type="lines" w:linePitch="312"/>
        </w:sectPr>
      </w:pPr>
      <w:r w:rsidRPr="00302241">
        <w:rPr>
          <w:rFonts w:ascii="Times New Roman" w:hAnsi="Times New Roman" w:cs="Times New Roman"/>
          <w:sz w:val="24"/>
          <w:szCs w:val="24"/>
          <w:lang w:val="de-DE"/>
        </w:rPr>
        <w:br w:type="page"/>
      </w:r>
    </w:p>
    <w:p w:rsidR="007D2AF7" w:rsidRPr="00302241" w:rsidRDefault="007D2AF7">
      <w:pPr>
        <w:widowControl/>
        <w:jc w:val="left"/>
        <w:rPr>
          <w:rFonts w:ascii="Times New Roman" w:hAnsi="Times New Roman" w:cs="Times New Roman"/>
          <w:sz w:val="24"/>
          <w:szCs w:val="24"/>
          <w:lang w:val="de-DE"/>
        </w:rPr>
      </w:pPr>
    </w:p>
    <w:p w:rsidR="005C61FC" w:rsidRPr="00302241" w:rsidRDefault="00366E58" w:rsidP="005C61FC">
      <w:pPr>
        <w:widowControl/>
        <w:rPr>
          <w:rFonts w:ascii="Times New Roman" w:hAnsi="Times New Roman" w:cs="Times New Roman"/>
          <w:b/>
          <w:bCs/>
          <w:sz w:val="24"/>
          <w:szCs w:val="24"/>
          <w:lang w:val="de-DE"/>
        </w:rPr>
      </w:pPr>
      <w:r w:rsidRPr="00302241">
        <w:rPr>
          <w:rFonts w:ascii="Times New Roman" w:hAnsi="Times New Roman" w:cs="Times New Roman"/>
          <w:b/>
          <w:bCs/>
          <w:sz w:val="24"/>
          <w:szCs w:val="24"/>
          <w:lang w:val="de-DE"/>
        </w:rPr>
        <w:t>Tables</w:t>
      </w:r>
    </w:p>
    <w:p w:rsidR="00302241" w:rsidRPr="00170994" w:rsidRDefault="00302241" w:rsidP="00F779B5">
      <w:pPr>
        <w:widowControl/>
        <w:rPr>
          <w:rFonts w:ascii="Times New Roman" w:hAnsi="Times New Roman" w:cs="Times New Roman"/>
          <w:b/>
          <w:bCs/>
          <w:sz w:val="24"/>
          <w:szCs w:val="24"/>
          <w:lang w:val="de-DE"/>
        </w:rPr>
      </w:pPr>
    </w:p>
    <w:p w:rsidR="00F779B5" w:rsidRPr="00F779B5" w:rsidRDefault="00F779B5" w:rsidP="00F779B5">
      <w:pPr>
        <w:widowControl/>
        <w:rPr>
          <w:rFonts w:ascii="Times New Roman" w:hAnsi="Times New Roman" w:cs="Times New Roman"/>
          <w:sz w:val="24"/>
          <w:szCs w:val="24"/>
        </w:rPr>
      </w:pPr>
      <w:r w:rsidRPr="00F779B5">
        <w:rPr>
          <w:rFonts w:ascii="Times New Roman" w:hAnsi="Times New Roman" w:cs="Times New Roman"/>
          <w:sz w:val="24"/>
          <w:szCs w:val="24"/>
        </w:rPr>
        <w:t>Table S1. Topographic, climatic, soil properties, and vegetation of the study sites. Topographic variables include latitude, longitude, and elevation (https://en-us.topographic-map.com). Climatic variables include mean annual temperature (MAT) and mean annual precipitation (MAP) (</w:t>
      </w:r>
      <w:hyperlink r:id="rId6" w:history="1">
        <w:r w:rsidRPr="00F779B5">
          <w:rPr>
            <w:rStyle w:val="ae"/>
            <w:rFonts w:ascii="Times New Roman" w:hAnsi="Times New Roman" w:cs="Times New Roman"/>
            <w:color w:val="auto"/>
            <w:sz w:val="24"/>
            <w:szCs w:val="24"/>
            <w:u w:val="none"/>
          </w:rPr>
          <w:t>https://www.metoffice.gov.uk</w:t>
        </w:r>
      </w:hyperlink>
      <w:r w:rsidRPr="00F779B5">
        <w:rPr>
          <w:rFonts w:ascii="Times New Roman" w:hAnsi="Times New Roman" w:cs="Times New Roman"/>
          <w:sz w:val="24"/>
          <w:szCs w:val="24"/>
        </w:rPr>
        <w:t>). Soil variables include soil water content (SWC), soil pH, soil organic carbon (SOC), total nitrogen (TN), dissolved organic carbon (DOC), available nitrogen (AN), available phosphorus (AP), microbial biomass carbon (MBC), and microbial biomass nitrogen (MBN). Vegetation includes dominant species. Values are presented as mean ± standard error (SE), with n = 4 replicates per measurement.</w:t>
      </w:r>
    </w:p>
    <w:tbl>
      <w:tblPr>
        <w:tblStyle w:val="af"/>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9"/>
        <w:gridCol w:w="4124"/>
        <w:gridCol w:w="1921"/>
        <w:gridCol w:w="3626"/>
        <w:gridCol w:w="2538"/>
      </w:tblGrid>
      <w:tr w:rsidR="00F779B5" w:rsidRPr="00F779B5" w:rsidTr="00ED0A7C">
        <w:tc>
          <w:tcPr>
            <w:tcW w:w="626" w:type="pct"/>
            <w:tcBorders>
              <w:top w:val="single" w:sz="4" w:space="0" w:color="auto"/>
              <w:bottom w:val="single" w:sz="4" w:space="0" w:color="auto"/>
            </w:tcBorders>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Data type</w:t>
            </w:r>
          </w:p>
        </w:tc>
        <w:tc>
          <w:tcPr>
            <w:tcW w:w="1477" w:type="pct"/>
            <w:tcBorders>
              <w:top w:val="single" w:sz="4" w:space="0" w:color="auto"/>
              <w:bottom w:val="single" w:sz="4" w:space="0" w:color="auto"/>
            </w:tcBorders>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Factors</w:t>
            </w:r>
          </w:p>
        </w:tc>
        <w:tc>
          <w:tcPr>
            <w:tcW w:w="688" w:type="pct"/>
            <w:tcBorders>
              <w:top w:val="single" w:sz="4" w:space="0" w:color="auto"/>
              <w:bottom w:val="single" w:sz="4" w:space="0" w:color="auto"/>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Jiulianshan</w:t>
            </w:r>
          </w:p>
        </w:tc>
        <w:tc>
          <w:tcPr>
            <w:tcW w:w="1299" w:type="pct"/>
            <w:tcBorders>
              <w:top w:val="single" w:sz="4" w:space="0" w:color="auto"/>
              <w:bottom w:val="single" w:sz="4" w:space="0" w:color="auto"/>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Baotianman</w:t>
            </w:r>
          </w:p>
        </w:tc>
        <w:tc>
          <w:tcPr>
            <w:tcW w:w="909" w:type="pct"/>
            <w:tcBorders>
              <w:top w:val="single" w:sz="4" w:space="0" w:color="auto"/>
              <w:bottom w:val="single" w:sz="4" w:space="0" w:color="auto"/>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Yangjiagou</w:t>
            </w:r>
          </w:p>
        </w:tc>
      </w:tr>
      <w:tr w:rsidR="00F779B5" w:rsidRPr="00F779B5" w:rsidTr="00ED0A7C">
        <w:tc>
          <w:tcPr>
            <w:tcW w:w="626" w:type="pct"/>
            <w:vMerge w:val="restart"/>
            <w:tcBorders>
              <w:top w:val="single" w:sz="4" w:space="0" w:color="auto"/>
            </w:tcBorders>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Topography</w:t>
            </w:r>
          </w:p>
        </w:tc>
        <w:tc>
          <w:tcPr>
            <w:tcW w:w="1477" w:type="pct"/>
            <w:tcBorders>
              <w:top w:val="single" w:sz="4" w:space="0" w:color="auto"/>
              <w:bottom w:val="nil"/>
            </w:tcBorders>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Latitude</w:t>
            </w:r>
          </w:p>
        </w:tc>
        <w:tc>
          <w:tcPr>
            <w:tcW w:w="688" w:type="pct"/>
            <w:tcBorders>
              <w:top w:val="single" w:sz="4" w:space="0" w:color="auto"/>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24</w:t>
            </w:r>
            <w:r w:rsidRPr="00F779B5">
              <w:rPr>
                <w:rFonts w:ascii="Times New Roman" w:hAnsi="Times New Roman" w:cs="Times New Roman"/>
                <w:sz w:val="24"/>
                <w:szCs w:val="24"/>
                <w:vertAlign w:val="superscript"/>
              </w:rPr>
              <w:t>o</w:t>
            </w:r>
            <w:r w:rsidRPr="00F779B5">
              <w:rPr>
                <w:rFonts w:ascii="Times New Roman" w:hAnsi="Times New Roman" w:cs="Times New Roman"/>
                <w:sz w:val="24"/>
                <w:szCs w:val="24"/>
              </w:rPr>
              <w:t>34</w:t>
            </w:r>
            <w:r w:rsidRPr="00F779B5">
              <w:rPr>
                <w:rFonts w:ascii="Times New Roman" w:eastAsia="宋体" w:hAnsi="Times New Roman" w:cs="Times New Roman"/>
                <w:sz w:val="24"/>
                <w:szCs w:val="24"/>
              </w:rPr>
              <w:t>′</w:t>
            </w:r>
            <w:r w:rsidRPr="00F779B5">
              <w:rPr>
                <w:rFonts w:ascii="Times New Roman" w:hAnsi="Times New Roman" w:cs="Times New Roman"/>
                <w:sz w:val="24"/>
                <w:szCs w:val="24"/>
              </w:rPr>
              <w:t xml:space="preserve"> N</w:t>
            </w:r>
          </w:p>
        </w:tc>
        <w:tc>
          <w:tcPr>
            <w:tcW w:w="1299" w:type="pct"/>
            <w:tcBorders>
              <w:top w:val="single" w:sz="4" w:space="0" w:color="auto"/>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33</w:t>
            </w:r>
            <w:r w:rsidRPr="00F779B5">
              <w:rPr>
                <w:rFonts w:ascii="Times New Roman" w:hAnsi="Times New Roman" w:cs="Times New Roman"/>
                <w:sz w:val="24"/>
                <w:szCs w:val="24"/>
                <w:vertAlign w:val="superscript"/>
              </w:rPr>
              <w:t>o</w:t>
            </w:r>
            <w:r w:rsidRPr="00F779B5">
              <w:rPr>
                <w:rFonts w:ascii="Times New Roman" w:hAnsi="Times New Roman" w:cs="Times New Roman"/>
                <w:sz w:val="24"/>
                <w:szCs w:val="24"/>
              </w:rPr>
              <w:t>28</w:t>
            </w:r>
            <w:r w:rsidRPr="00F779B5">
              <w:rPr>
                <w:rFonts w:ascii="Times New Roman" w:eastAsia="宋体" w:hAnsi="Times New Roman" w:cs="Times New Roman"/>
                <w:sz w:val="24"/>
                <w:szCs w:val="24"/>
              </w:rPr>
              <w:t>′</w:t>
            </w:r>
            <w:r w:rsidRPr="00F779B5">
              <w:rPr>
                <w:rFonts w:ascii="Times New Roman" w:hAnsi="Times New Roman" w:cs="Times New Roman"/>
                <w:sz w:val="24"/>
                <w:szCs w:val="24"/>
              </w:rPr>
              <w:t xml:space="preserve"> N</w:t>
            </w:r>
          </w:p>
        </w:tc>
        <w:tc>
          <w:tcPr>
            <w:tcW w:w="909" w:type="pct"/>
            <w:tcBorders>
              <w:top w:val="single" w:sz="4" w:space="0" w:color="auto"/>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35</w:t>
            </w:r>
            <w:r w:rsidRPr="00F779B5">
              <w:rPr>
                <w:rFonts w:ascii="Times New Roman" w:hAnsi="Times New Roman" w:cs="Times New Roman"/>
                <w:sz w:val="24"/>
                <w:szCs w:val="24"/>
                <w:vertAlign w:val="superscript"/>
              </w:rPr>
              <w:t>o</w:t>
            </w:r>
            <w:r w:rsidRPr="00F779B5">
              <w:rPr>
                <w:rFonts w:ascii="Times New Roman" w:hAnsi="Times New Roman" w:cs="Times New Roman"/>
                <w:sz w:val="24"/>
                <w:szCs w:val="24"/>
              </w:rPr>
              <w:t>42</w:t>
            </w:r>
            <w:r w:rsidRPr="00F779B5">
              <w:rPr>
                <w:rFonts w:ascii="Times New Roman" w:eastAsia="宋体" w:hAnsi="Times New Roman" w:cs="Times New Roman"/>
                <w:sz w:val="24"/>
                <w:szCs w:val="24"/>
              </w:rPr>
              <w:t>′</w:t>
            </w:r>
            <w:r w:rsidRPr="00F779B5">
              <w:rPr>
                <w:rFonts w:ascii="Times New Roman" w:hAnsi="Times New Roman" w:cs="Times New Roman"/>
                <w:sz w:val="24"/>
                <w:szCs w:val="24"/>
              </w:rPr>
              <w:t xml:space="preserve"> N</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rPr>
            </w:pPr>
          </w:p>
        </w:tc>
        <w:tc>
          <w:tcPr>
            <w:tcW w:w="1477" w:type="pct"/>
            <w:tcBorders>
              <w:top w:val="nil"/>
              <w:bottom w:val="nil"/>
            </w:tcBorders>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Longitude</w:t>
            </w:r>
          </w:p>
        </w:tc>
        <w:tc>
          <w:tcPr>
            <w:tcW w:w="688"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114</w:t>
            </w:r>
            <w:r w:rsidRPr="00F779B5">
              <w:rPr>
                <w:rFonts w:ascii="Times New Roman" w:hAnsi="Times New Roman" w:cs="Times New Roman"/>
                <w:sz w:val="24"/>
                <w:szCs w:val="24"/>
                <w:vertAlign w:val="superscript"/>
              </w:rPr>
              <w:t>o</w:t>
            </w:r>
            <w:r w:rsidRPr="00F779B5">
              <w:rPr>
                <w:rFonts w:ascii="Times New Roman" w:hAnsi="Times New Roman" w:cs="Times New Roman"/>
                <w:sz w:val="24"/>
                <w:szCs w:val="24"/>
              </w:rPr>
              <w:t>25</w:t>
            </w:r>
            <w:r w:rsidRPr="00F779B5">
              <w:rPr>
                <w:rFonts w:ascii="Times New Roman" w:eastAsia="宋体" w:hAnsi="Times New Roman" w:cs="Times New Roman"/>
                <w:sz w:val="24"/>
                <w:szCs w:val="24"/>
              </w:rPr>
              <w:t xml:space="preserve">′ </w:t>
            </w:r>
            <w:r w:rsidRPr="00F779B5">
              <w:rPr>
                <w:rFonts w:ascii="Times New Roman" w:hAnsi="Times New Roman" w:cs="Times New Roman"/>
                <w:sz w:val="24"/>
                <w:szCs w:val="24"/>
              </w:rPr>
              <w:t>E</w:t>
            </w:r>
          </w:p>
        </w:tc>
        <w:tc>
          <w:tcPr>
            <w:tcW w:w="1299"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111</w:t>
            </w:r>
            <w:r w:rsidRPr="00F779B5">
              <w:rPr>
                <w:rFonts w:ascii="Times New Roman" w:hAnsi="Times New Roman" w:cs="Times New Roman"/>
                <w:sz w:val="24"/>
                <w:szCs w:val="24"/>
                <w:vertAlign w:val="superscript"/>
              </w:rPr>
              <w:t>o</w:t>
            </w:r>
            <w:r w:rsidRPr="00F779B5">
              <w:rPr>
                <w:rFonts w:ascii="Times New Roman" w:hAnsi="Times New Roman" w:cs="Times New Roman"/>
                <w:sz w:val="24"/>
                <w:szCs w:val="24"/>
              </w:rPr>
              <w:t>52</w:t>
            </w:r>
            <w:r w:rsidRPr="00F779B5">
              <w:rPr>
                <w:rFonts w:ascii="Times New Roman" w:eastAsia="宋体" w:hAnsi="Times New Roman" w:cs="Times New Roman"/>
                <w:sz w:val="24"/>
                <w:szCs w:val="24"/>
              </w:rPr>
              <w:t xml:space="preserve">′ </w:t>
            </w:r>
            <w:r w:rsidRPr="00F779B5">
              <w:rPr>
                <w:rFonts w:ascii="Times New Roman" w:hAnsi="Times New Roman" w:cs="Times New Roman"/>
                <w:sz w:val="24"/>
                <w:szCs w:val="24"/>
              </w:rPr>
              <w:t>E</w:t>
            </w:r>
          </w:p>
        </w:tc>
        <w:tc>
          <w:tcPr>
            <w:tcW w:w="909"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107</w:t>
            </w:r>
            <w:r w:rsidRPr="00F779B5">
              <w:rPr>
                <w:rFonts w:ascii="Times New Roman" w:hAnsi="Times New Roman" w:cs="Times New Roman"/>
                <w:sz w:val="24"/>
                <w:szCs w:val="24"/>
                <w:vertAlign w:val="superscript"/>
              </w:rPr>
              <w:t>o</w:t>
            </w:r>
            <w:r w:rsidRPr="00F779B5">
              <w:rPr>
                <w:rFonts w:ascii="Times New Roman" w:hAnsi="Times New Roman" w:cs="Times New Roman"/>
                <w:sz w:val="24"/>
                <w:szCs w:val="24"/>
              </w:rPr>
              <w:t>33</w:t>
            </w:r>
            <w:r w:rsidRPr="00F779B5">
              <w:rPr>
                <w:rFonts w:ascii="Times New Roman" w:eastAsia="宋体" w:hAnsi="Times New Roman" w:cs="Times New Roman"/>
                <w:sz w:val="24"/>
                <w:szCs w:val="24"/>
              </w:rPr>
              <w:t xml:space="preserve">′ </w:t>
            </w:r>
            <w:r w:rsidRPr="00F779B5">
              <w:rPr>
                <w:rFonts w:ascii="Times New Roman" w:hAnsi="Times New Roman" w:cs="Times New Roman"/>
                <w:sz w:val="24"/>
                <w:szCs w:val="24"/>
              </w:rPr>
              <w:t>E</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rPr>
            </w:pPr>
          </w:p>
        </w:tc>
        <w:tc>
          <w:tcPr>
            <w:tcW w:w="1477" w:type="pct"/>
            <w:tcBorders>
              <w:top w:val="nil"/>
              <w:bottom w:val="nil"/>
            </w:tcBorders>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Elevation (m)</w:t>
            </w:r>
          </w:p>
        </w:tc>
        <w:tc>
          <w:tcPr>
            <w:tcW w:w="688"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495</w:t>
            </w:r>
          </w:p>
        </w:tc>
        <w:tc>
          <w:tcPr>
            <w:tcW w:w="1299"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629</w:t>
            </w:r>
          </w:p>
        </w:tc>
        <w:tc>
          <w:tcPr>
            <w:tcW w:w="909"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1320</w:t>
            </w:r>
          </w:p>
        </w:tc>
      </w:tr>
      <w:tr w:rsidR="00F779B5" w:rsidRPr="00F779B5" w:rsidTr="00ED0A7C">
        <w:tc>
          <w:tcPr>
            <w:tcW w:w="626" w:type="pct"/>
            <w:vMerge w:val="restart"/>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Climatic</w:t>
            </w:r>
          </w:p>
        </w:tc>
        <w:tc>
          <w:tcPr>
            <w:tcW w:w="1477" w:type="pct"/>
            <w:tcBorders>
              <w:top w:val="nil"/>
              <w:bottom w:val="nil"/>
            </w:tcBorders>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lang w:val="da-DK"/>
              </w:rPr>
              <w:t>MAT (</w:t>
            </w:r>
            <w:r w:rsidRPr="00F779B5">
              <w:rPr>
                <w:rFonts w:ascii="Times New Roman" w:hAnsi="Times New Roman" w:cs="Times New Roman"/>
                <w:sz w:val="24"/>
                <w:szCs w:val="24"/>
                <w:vertAlign w:val="superscript"/>
                <w:lang w:val="da-DK"/>
              </w:rPr>
              <w:t>o</w:t>
            </w:r>
            <w:r w:rsidRPr="00F779B5">
              <w:rPr>
                <w:rFonts w:ascii="Times New Roman" w:hAnsi="Times New Roman" w:cs="Times New Roman"/>
                <w:sz w:val="24"/>
                <w:szCs w:val="24"/>
                <w:lang w:val="da-DK"/>
              </w:rPr>
              <w:t>)</w:t>
            </w:r>
            <w:r w:rsidRPr="00F779B5">
              <w:rPr>
                <w:rFonts w:ascii="Times New Roman" w:hAnsi="Times New Roman" w:cs="Times New Roman"/>
                <w:sz w:val="24"/>
                <w:szCs w:val="24"/>
              </w:rPr>
              <w:t xml:space="preserve"> </w:t>
            </w:r>
          </w:p>
        </w:tc>
        <w:tc>
          <w:tcPr>
            <w:tcW w:w="688"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16.4</w:t>
            </w:r>
          </w:p>
        </w:tc>
        <w:tc>
          <w:tcPr>
            <w:tcW w:w="1299"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15.1</w:t>
            </w:r>
          </w:p>
        </w:tc>
        <w:tc>
          <w:tcPr>
            <w:tcW w:w="909"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11.8</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rPr>
            </w:pPr>
          </w:p>
        </w:tc>
        <w:tc>
          <w:tcPr>
            <w:tcW w:w="1477" w:type="pct"/>
            <w:tcBorders>
              <w:top w:val="nil"/>
              <w:bottom w:val="nil"/>
            </w:tcBorders>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MAP (mm)</w:t>
            </w:r>
          </w:p>
        </w:tc>
        <w:tc>
          <w:tcPr>
            <w:tcW w:w="688"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2156</w:t>
            </w:r>
          </w:p>
        </w:tc>
        <w:tc>
          <w:tcPr>
            <w:tcW w:w="1299"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856</w:t>
            </w:r>
          </w:p>
        </w:tc>
        <w:tc>
          <w:tcPr>
            <w:tcW w:w="909" w:type="pct"/>
            <w:tcBorders>
              <w:top w:val="nil"/>
              <w:bottom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584</w:t>
            </w:r>
          </w:p>
        </w:tc>
      </w:tr>
      <w:tr w:rsidR="00F779B5" w:rsidRPr="00F779B5" w:rsidTr="00ED0A7C">
        <w:tc>
          <w:tcPr>
            <w:tcW w:w="626" w:type="pct"/>
            <w:vMerge w:val="restart"/>
            <w:tcBorders>
              <w:top w:val="nil"/>
            </w:tcBorders>
          </w:tcPr>
          <w:p w:rsidR="00F779B5" w:rsidRPr="00F779B5" w:rsidRDefault="00F779B5" w:rsidP="00ED0A7C">
            <w:pPr>
              <w:widowControl/>
              <w:jc w:val="left"/>
              <w:rPr>
                <w:rFonts w:ascii="Times New Roman" w:hAnsi="Times New Roman" w:cs="Times New Roman"/>
                <w:sz w:val="24"/>
                <w:szCs w:val="24"/>
              </w:rPr>
            </w:pPr>
            <w:bookmarkStart w:id="10" w:name="_Hlk206427646"/>
            <w:r w:rsidRPr="00F779B5">
              <w:rPr>
                <w:rFonts w:ascii="Times New Roman" w:hAnsi="Times New Roman" w:cs="Times New Roman"/>
                <w:sz w:val="24"/>
                <w:szCs w:val="24"/>
              </w:rPr>
              <w:t>Soil properties</w:t>
            </w:r>
            <w:bookmarkEnd w:id="10"/>
          </w:p>
        </w:tc>
        <w:tc>
          <w:tcPr>
            <w:tcW w:w="1477" w:type="pct"/>
            <w:tcBorders>
              <w:top w:val="nil"/>
            </w:tcBorders>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Soil water content (%)</w:t>
            </w:r>
          </w:p>
        </w:tc>
        <w:tc>
          <w:tcPr>
            <w:tcW w:w="688"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35.3 ± 3.2 a</w:t>
            </w:r>
          </w:p>
        </w:tc>
        <w:tc>
          <w:tcPr>
            <w:tcW w:w="1299"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38.9 ± 1.4 a</w:t>
            </w:r>
          </w:p>
        </w:tc>
        <w:tc>
          <w:tcPr>
            <w:tcW w:w="909"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6.4 ± 0.1 b</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rPr>
            </w:pPr>
          </w:p>
        </w:tc>
        <w:tc>
          <w:tcPr>
            <w:tcW w:w="1477" w:type="pct"/>
            <w:tcBorders>
              <w:top w:val="nil"/>
            </w:tcBorders>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Soil pH</w:t>
            </w:r>
          </w:p>
        </w:tc>
        <w:tc>
          <w:tcPr>
            <w:tcW w:w="688"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4.7 ± 0.1 c</w:t>
            </w:r>
          </w:p>
        </w:tc>
        <w:tc>
          <w:tcPr>
            <w:tcW w:w="1299"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7.2 ± 0.0 b</w:t>
            </w:r>
          </w:p>
        </w:tc>
        <w:tc>
          <w:tcPr>
            <w:tcW w:w="909"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8.2 ± 0.0 a</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rPr>
            </w:pPr>
          </w:p>
        </w:tc>
        <w:tc>
          <w:tcPr>
            <w:tcW w:w="1477" w:type="pct"/>
            <w:tcBorders>
              <w:top w:val="nil"/>
            </w:tcBorders>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Soil organic carbon (g kg</w:t>
            </w:r>
            <w:r w:rsidRPr="00F779B5">
              <w:rPr>
                <w:rFonts w:ascii="Times New Roman" w:hAnsi="Times New Roman" w:cs="Times New Roman"/>
                <w:sz w:val="24"/>
                <w:szCs w:val="24"/>
                <w:vertAlign w:val="superscript"/>
              </w:rPr>
              <w:t>-1</w:t>
            </w:r>
            <w:r w:rsidRPr="00F779B5">
              <w:rPr>
                <w:rFonts w:ascii="Times New Roman" w:hAnsi="Times New Roman" w:cs="Times New Roman"/>
                <w:sz w:val="24"/>
                <w:szCs w:val="24"/>
              </w:rPr>
              <w:t>)</w:t>
            </w:r>
          </w:p>
        </w:tc>
        <w:tc>
          <w:tcPr>
            <w:tcW w:w="688"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28.6 ± 4.2 b</w:t>
            </w:r>
          </w:p>
        </w:tc>
        <w:tc>
          <w:tcPr>
            <w:tcW w:w="1299"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87.8 ± 1.1 a</w:t>
            </w:r>
          </w:p>
        </w:tc>
        <w:tc>
          <w:tcPr>
            <w:tcW w:w="909"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4.9 ± 0.3 c</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rPr>
            </w:pPr>
          </w:p>
        </w:tc>
        <w:tc>
          <w:tcPr>
            <w:tcW w:w="1477" w:type="pct"/>
            <w:tcBorders>
              <w:top w:val="nil"/>
            </w:tcBorders>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Total nitrogen (g kg</w:t>
            </w:r>
            <w:r w:rsidRPr="00F779B5">
              <w:rPr>
                <w:rFonts w:ascii="Times New Roman" w:hAnsi="Times New Roman" w:cs="Times New Roman"/>
                <w:sz w:val="24"/>
                <w:szCs w:val="24"/>
                <w:vertAlign w:val="superscript"/>
              </w:rPr>
              <w:t>-1</w:t>
            </w:r>
            <w:r w:rsidRPr="00F779B5">
              <w:rPr>
                <w:rFonts w:ascii="Times New Roman" w:hAnsi="Times New Roman" w:cs="Times New Roman"/>
                <w:sz w:val="24"/>
                <w:szCs w:val="24"/>
              </w:rPr>
              <w:t>)</w:t>
            </w:r>
          </w:p>
        </w:tc>
        <w:tc>
          <w:tcPr>
            <w:tcW w:w="688"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2.4 ± 0.3 b</w:t>
            </w:r>
          </w:p>
        </w:tc>
        <w:tc>
          <w:tcPr>
            <w:tcW w:w="1299"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6.3 ± 0.3 a</w:t>
            </w:r>
          </w:p>
        </w:tc>
        <w:tc>
          <w:tcPr>
            <w:tcW w:w="909" w:type="pct"/>
            <w:tcBorders>
              <w:top w:val="nil"/>
            </w:tcBorders>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0.4 ± 0.0 c</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rPr>
            </w:pPr>
          </w:p>
        </w:tc>
        <w:tc>
          <w:tcPr>
            <w:tcW w:w="1477" w:type="pct"/>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Dissolved organic carbon (mg kg</w:t>
            </w:r>
            <w:r w:rsidRPr="00F779B5">
              <w:rPr>
                <w:rFonts w:ascii="Times New Roman" w:hAnsi="Times New Roman" w:cs="Times New Roman"/>
                <w:sz w:val="24"/>
                <w:szCs w:val="24"/>
                <w:vertAlign w:val="superscript"/>
              </w:rPr>
              <w:t>-1</w:t>
            </w:r>
            <w:r w:rsidRPr="00F779B5">
              <w:rPr>
                <w:rFonts w:ascii="Times New Roman" w:hAnsi="Times New Roman" w:cs="Times New Roman"/>
                <w:sz w:val="24"/>
                <w:szCs w:val="24"/>
              </w:rPr>
              <w:t>)</w:t>
            </w:r>
          </w:p>
        </w:tc>
        <w:tc>
          <w:tcPr>
            <w:tcW w:w="688"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64.3 ± 7.8 b</w:t>
            </w:r>
          </w:p>
        </w:tc>
        <w:tc>
          <w:tcPr>
            <w:tcW w:w="1299"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222.0 ± 10.8 a</w:t>
            </w:r>
          </w:p>
        </w:tc>
        <w:tc>
          <w:tcPr>
            <w:tcW w:w="909"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77.7 ± 4.5 b</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rPr>
            </w:pPr>
          </w:p>
        </w:tc>
        <w:tc>
          <w:tcPr>
            <w:tcW w:w="1477" w:type="pct"/>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Available nitrogen (mg kg</w:t>
            </w:r>
            <w:r w:rsidRPr="00F779B5">
              <w:rPr>
                <w:rFonts w:ascii="Times New Roman" w:hAnsi="Times New Roman" w:cs="Times New Roman"/>
                <w:sz w:val="24"/>
                <w:szCs w:val="24"/>
                <w:vertAlign w:val="superscript"/>
              </w:rPr>
              <w:t>-1</w:t>
            </w:r>
            <w:r w:rsidRPr="00F779B5">
              <w:rPr>
                <w:rFonts w:ascii="Times New Roman" w:hAnsi="Times New Roman" w:cs="Times New Roman"/>
                <w:sz w:val="24"/>
                <w:szCs w:val="24"/>
              </w:rPr>
              <w:t>)</w:t>
            </w:r>
          </w:p>
        </w:tc>
        <w:tc>
          <w:tcPr>
            <w:tcW w:w="688"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66.0 ± 2.7 a</w:t>
            </w:r>
          </w:p>
        </w:tc>
        <w:tc>
          <w:tcPr>
            <w:tcW w:w="1299"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60.5 ± 4.5 a</w:t>
            </w:r>
          </w:p>
        </w:tc>
        <w:tc>
          <w:tcPr>
            <w:tcW w:w="909"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14.0 ± 2.7 b</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rPr>
            </w:pPr>
          </w:p>
        </w:tc>
        <w:tc>
          <w:tcPr>
            <w:tcW w:w="1477" w:type="pct"/>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Available phosphorus (mg kg</w:t>
            </w:r>
            <w:r w:rsidRPr="00F779B5">
              <w:rPr>
                <w:rFonts w:ascii="Times New Roman" w:hAnsi="Times New Roman" w:cs="Times New Roman"/>
                <w:sz w:val="24"/>
                <w:szCs w:val="24"/>
                <w:vertAlign w:val="superscript"/>
              </w:rPr>
              <w:t>-1</w:t>
            </w:r>
            <w:r w:rsidRPr="00F779B5">
              <w:rPr>
                <w:rFonts w:ascii="Times New Roman" w:hAnsi="Times New Roman" w:cs="Times New Roman"/>
                <w:sz w:val="24"/>
                <w:szCs w:val="24"/>
              </w:rPr>
              <w:t>)</w:t>
            </w:r>
          </w:p>
        </w:tc>
        <w:tc>
          <w:tcPr>
            <w:tcW w:w="688"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2.2 ± 0.1 b</w:t>
            </w:r>
          </w:p>
        </w:tc>
        <w:tc>
          <w:tcPr>
            <w:tcW w:w="1299"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19.1 ± 1.1 a</w:t>
            </w:r>
          </w:p>
        </w:tc>
        <w:tc>
          <w:tcPr>
            <w:tcW w:w="909"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3.7 ± 0.1 b</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rPr>
            </w:pPr>
          </w:p>
        </w:tc>
        <w:tc>
          <w:tcPr>
            <w:tcW w:w="1477" w:type="pct"/>
            <w:vAlign w:val="center"/>
          </w:tcPr>
          <w:p w:rsidR="00F779B5" w:rsidRPr="00F779B5" w:rsidRDefault="00F779B5" w:rsidP="00ED0A7C">
            <w:pPr>
              <w:widowControl/>
              <w:jc w:val="left"/>
              <w:rPr>
                <w:rFonts w:ascii="Times New Roman" w:hAnsi="Times New Roman" w:cs="Times New Roman"/>
                <w:sz w:val="24"/>
                <w:szCs w:val="24"/>
              </w:rPr>
            </w:pPr>
            <w:r w:rsidRPr="00F779B5">
              <w:rPr>
                <w:rFonts w:ascii="Times New Roman" w:hAnsi="Times New Roman" w:cs="Times New Roman"/>
                <w:sz w:val="24"/>
                <w:szCs w:val="24"/>
              </w:rPr>
              <w:t>Microbial biomass carbon (mg kg</w:t>
            </w:r>
            <w:r w:rsidRPr="00F779B5">
              <w:rPr>
                <w:rFonts w:ascii="Times New Roman" w:hAnsi="Times New Roman" w:cs="Times New Roman"/>
                <w:sz w:val="24"/>
                <w:szCs w:val="24"/>
                <w:vertAlign w:val="superscript"/>
              </w:rPr>
              <w:t>-1</w:t>
            </w:r>
            <w:r w:rsidRPr="00F779B5">
              <w:rPr>
                <w:rFonts w:ascii="Times New Roman" w:hAnsi="Times New Roman" w:cs="Times New Roman"/>
                <w:sz w:val="24"/>
                <w:szCs w:val="24"/>
              </w:rPr>
              <w:t>)</w:t>
            </w:r>
          </w:p>
        </w:tc>
        <w:tc>
          <w:tcPr>
            <w:tcW w:w="688"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729.1 ± 42.8 b</w:t>
            </w:r>
          </w:p>
        </w:tc>
        <w:tc>
          <w:tcPr>
            <w:tcW w:w="1299" w:type="pct"/>
            <w:vAlign w:val="center"/>
          </w:tcPr>
          <w:p w:rsidR="00F779B5" w:rsidRPr="00F779B5" w:rsidRDefault="00302241" w:rsidP="00ED0A7C">
            <w:pPr>
              <w:widowControl/>
              <w:jc w:val="center"/>
              <w:rPr>
                <w:rFonts w:ascii="Times New Roman" w:hAnsi="Times New Roman" w:cs="Times New Roman"/>
                <w:sz w:val="24"/>
                <w:szCs w:val="24"/>
              </w:rPr>
            </w:pPr>
            <w:r>
              <w:rPr>
                <w:rFonts w:ascii="Times New Roman" w:hAnsi="Times New Roman" w:cs="Times New Roman" w:hint="eastAsia"/>
                <w:sz w:val="24"/>
                <w:szCs w:val="24"/>
              </w:rPr>
              <w:t>1051.5</w:t>
            </w:r>
            <w:r w:rsidR="00F779B5" w:rsidRPr="00F779B5">
              <w:rPr>
                <w:rFonts w:ascii="Times New Roman" w:hAnsi="Times New Roman" w:cs="Times New Roman"/>
                <w:sz w:val="24"/>
                <w:szCs w:val="24"/>
              </w:rPr>
              <w:t xml:space="preserve"> ± </w:t>
            </w:r>
            <w:r>
              <w:rPr>
                <w:rFonts w:ascii="Times New Roman" w:hAnsi="Times New Roman" w:cs="Times New Roman" w:hint="eastAsia"/>
                <w:sz w:val="24"/>
                <w:szCs w:val="24"/>
              </w:rPr>
              <w:t>82.5</w:t>
            </w:r>
            <w:r w:rsidR="00F779B5" w:rsidRPr="00F779B5">
              <w:rPr>
                <w:rFonts w:ascii="Times New Roman" w:hAnsi="Times New Roman" w:cs="Times New Roman"/>
                <w:sz w:val="24"/>
                <w:szCs w:val="24"/>
              </w:rPr>
              <w:t xml:space="preserve"> a</w:t>
            </w:r>
          </w:p>
        </w:tc>
        <w:tc>
          <w:tcPr>
            <w:tcW w:w="909"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255.2 ± 49.0 c</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rPr>
            </w:pPr>
          </w:p>
        </w:tc>
        <w:tc>
          <w:tcPr>
            <w:tcW w:w="1477" w:type="pct"/>
            <w:vAlign w:val="center"/>
          </w:tcPr>
          <w:p w:rsidR="00F779B5" w:rsidRPr="00F779B5" w:rsidRDefault="00F779B5" w:rsidP="00ED0A7C">
            <w:pPr>
              <w:widowControl/>
              <w:jc w:val="left"/>
              <w:rPr>
                <w:rFonts w:ascii="Times New Roman" w:hAnsi="Times New Roman" w:cs="Times New Roman"/>
                <w:sz w:val="24"/>
                <w:szCs w:val="24"/>
                <w:lang w:val="de-DE"/>
              </w:rPr>
            </w:pPr>
            <w:r w:rsidRPr="00F779B5">
              <w:rPr>
                <w:rFonts w:ascii="Times New Roman" w:hAnsi="Times New Roman" w:cs="Times New Roman"/>
                <w:sz w:val="24"/>
                <w:szCs w:val="24"/>
                <w:lang w:val="de-DE"/>
              </w:rPr>
              <w:t>Microbial biomass nitrogen (mg kg</w:t>
            </w:r>
            <w:r w:rsidRPr="00F779B5">
              <w:rPr>
                <w:rFonts w:ascii="Times New Roman" w:hAnsi="Times New Roman" w:cs="Times New Roman"/>
                <w:sz w:val="24"/>
                <w:szCs w:val="24"/>
                <w:vertAlign w:val="superscript"/>
                <w:lang w:val="de-DE"/>
              </w:rPr>
              <w:t>-1</w:t>
            </w:r>
            <w:r w:rsidRPr="00F779B5">
              <w:rPr>
                <w:rFonts w:ascii="Times New Roman" w:hAnsi="Times New Roman" w:cs="Times New Roman"/>
                <w:sz w:val="24"/>
                <w:szCs w:val="24"/>
                <w:lang w:val="de-DE"/>
              </w:rPr>
              <w:t>)</w:t>
            </w:r>
          </w:p>
        </w:tc>
        <w:tc>
          <w:tcPr>
            <w:tcW w:w="688"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109.5 ± 19.9 c</w:t>
            </w:r>
          </w:p>
        </w:tc>
        <w:tc>
          <w:tcPr>
            <w:tcW w:w="1299"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252.0 ± 6.8 a</w:t>
            </w:r>
          </w:p>
        </w:tc>
        <w:tc>
          <w:tcPr>
            <w:tcW w:w="909" w:type="pc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sz w:val="24"/>
                <w:szCs w:val="24"/>
              </w:rPr>
              <w:t>171.5 ± 6.1 b</w:t>
            </w:r>
          </w:p>
        </w:tc>
      </w:tr>
      <w:tr w:rsidR="00F779B5" w:rsidRPr="00F779B5" w:rsidTr="00ED0A7C">
        <w:tc>
          <w:tcPr>
            <w:tcW w:w="626" w:type="pct"/>
            <w:vMerge w:val="restart"/>
          </w:tcPr>
          <w:p w:rsidR="00F779B5" w:rsidRPr="00F779B5" w:rsidRDefault="00F779B5" w:rsidP="00ED0A7C">
            <w:pPr>
              <w:widowControl/>
              <w:jc w:val="left"/>
              <w:rPr>
                <w:rFonts w:ascii="Times New Roman" w:hAnsi="Times New Roman" w:cs="Times New Roman"/>
                <w:sz w:val="24"/>
                <w:szCs w:val="24"/>
                <w:lang w:val="de-DE"/>
              </w:rPr>
            </w:pPr>
            <w:r w:rsidRPr="00F779B5">
              <w:rPr>
                <w:rFonts w:ascii="Times New Roman" w:hAnsi="Times New Roman" w:cs="Times New Roman"/>
                <w:sz w:val="24"/>
                <w:szCs w:val="24"/>
                <w:lang w:val="de-DE"/>
              </w:rPr>
              <w:t>Vegetation</w:t>
            </w:r>
          </w:p>
        </w:tc>
        <w:tc>
          <w:tcPr>
            <w:tcW w:w="1477" w:type="pct"/>
            <w:vMerge w:val="restart"/>
          </w:tcPr>
          <w:p w:rsidR="00F779B5" w:rsidRPr="00F779B5" w:rsidRDefault="00F779B5" w:rsidP="00ED0A7C">
            <w:pPr>
              <w:widowControl/>
              <w:jc w:val="left"/>
              <w:rPr>
                <w:rFonts w:ascii="Times New Roman" w:hAnsi="Times New Roman" w:cs="Times New Roman"/>
                <w:sz w:val="24"/>
                <w:szCs w:val="24"/>
                <w:lang w:val="de-DE"/>
              </w:rPr>
            </w:pPr>
            <w:r w:rsidRPr="00F779B5">
              <w:rPr>
                <w:rFonts w:ascii="Times New Roman" w:hAnsi="Times New Roman" w:cs="Times New Roman"/>
                <w:sz w:val="24"/>
                <w:szCs w:val="24"/>
                <w:lang w:val="de-DE"/>
              </w:rPr>
              <w:t>Dominant species</w:t>
            </w:r>
          </w:p>
        </w:tc>
        <w:tc>
          <w:tcPr>
            <w:tcW w:w="688" w:type="pct"/>
            <w:vAlign w:val="center"/>
          </w:tcPr>
          <w:p w:rsidR="00F779B5" w:rsidRPr="00F779B5" w:rsidRDefault="00F779B5" w:rsidP="00ED0A7C">
            <w:pPr>
              <w:widowControl/>
              <w:jc w:val="center"/>
              <w:rPr>
                <w:rFonts w:ascii="Times New Roman" w:hAnsi="Times New Roman" w:cs="Times New Roman"/>
                <w:i/>
                <w:iCs/>
                <w:sz w:val="24"/>
                <w:szCs w:val="24"/>
              </w:rPr>
            </w:pPr>
            <w:r w:rsidRPr="00F779B5">
              <w:rPr>
                <w:rFonts w:ascii="Times New Roman" w:hAnsi="Times New Roman" w:cs="Times New Roman"/>
                <w:i/>
                <w:iCs/>
                <w:sz w:val="24"/>
                <w:szCs w:val="24"/>
              </w:rPr>
              <w:t>Schima superba</w:t>
            </w:r>
          </w:p>
        </w:tc>
        <w:tc>
          <w:tcPr>
            <w:tcW w:w="1299" w:type="pct"/>
            <w:vMerge w:val="restart"/>
            <w:vAlign w:val="center"/>
          </w:tcPr>
          <w:p w:rsidR="00F779B5" w:rsidRPr="00F779B5" w:rsidRDefault="00F779B5" w:rsidP="00ED0A7C">
            <w:pPr>
              <w:widowControl/>
              <w:jc w:val="center"/>
              <w:rPr>
                <w:rFonts w:ascii="Times New Roman" w:hAnsi="Times New Roman" w:cs="Times New Roman"/>
                <w:sz w:val="24"/>
                <w:szCs w:val="24"/>
              </w:rPr>
            </w:pPr>
            <w:r w:rsidRPr="00F779B5">
              <w:rPr>
                <w:rFonts w:ascii="Times New Roman" w:hAnsi="Times New Roman" w:cs="Times New Roman"/>
                <w:i/>
                <w:iCs/>
                <w:sz w:val="24"/>
                <w:szCs w:val="24"/>
              </w:rPr>
              <w:t xml:space="preserve">Quercus aliena </w:t>
            </w:r>
            <w:r w:rsidRPr="00F779B5">
              <w:rPr>
                <w:rFonts w:ascii="Times New Roman" w:hAnsi="Times New Roman" w:cs="Times New Roman"/>
                <w:sz w:val="24"/>
                <w:szCs w:val="24"/>
              </w:rPr>
              <w:t xml:space="preserve">var. </w:t>
            </w:r>
            <w:r w:rsidRPr="00F779B5">
              <w:rPr>
                <w:rFonts w:ascii="Times New Roman" w:hAnsi="Times New Roman" w:cs="Times New Roman"/>
                <w:i/>
                <w:iCs/>
                <w:sz w:val="24"/>
                <w:szCs w:val="24"/>
              </w:rPr>
              <w:t>acuteserrata</w:t>
            </w:r>
          </w:p>
        </w:tc>
        <w:tc>
          <w:tcPr>
            <w:tcW w:w="909" w:type="pct"/>
            <w:vMerge w:val="restart"/>
            <w:vAlign w:val="center"/>
          </w:tcPr>
          <w:p w:rsidR="00F779B5" w:rsidRPr="00F779B5" w:rsidRDefault="00F779B5" w:rsidP="00ED0A7C">
            <w:pPr>
              <w:widowControl/>
              <w:jc w:val="center"/>
              <w:rPr>
                <w:rFonts w:ascii="Times New Roman" w:hAnsi="Times New Roman" w:cs="Times New Roman"/>
                <w:i/>
                <w:iCs/>
                <w:sz w:val="24"/>
                <w:szCs w:val="24"/>
              </w:rPr>
            </w:pPr>
            <w:r w:rsidRPr="00F779B5">
              <w:rPr>
                <w:rFonts w:ascii="Times New Roman" w:hAnsi="Times New Roman" w:cs="Times New Roman"/>
                <w:i/>
                <w:iCs/>
                <w:sz w:val="24"/>
                <w:szCs w:val="24"/>
              </w:rPr>
              <w:t>Robinia pseudoacacia</w:t>
            </w:r>
          </w:p>
        </w:tc>
      </w:tr>
      <w:tr w:rsidR="00F779B5" w:rsidRPr="00F779B5" w:rsidTr="00ED0A7C">
        <w:tc>
          <w:tcPr>
            <w:tcW w:w="626" w:type="pct"/>
            <w:vMerge/>
          </w:tcPr>
          <w:p w:rsidR="00F779B5" w:rsidRPr="00F779B5" w:rsidRDefault="00F779B5" w:rsidP="00ED0A7C">
            <w:pPr>
              <w:widowControl/>
              <w:jc w:val="left"/>
              <w:rPr>
                <w:rFonts w:ascii="Times New Roman" w:hAnsi="Times New Roman" w:cs="Times New Roman"/>
                <w:sz w:val="24"/>
                <w:szCs w:val="24"/>
                <w:lang w:val="de-DE"/>
              </w:rPr>
            </w:pPr>
          </w:p>
        </w:tc>
        <w:tc>
          <w:tcPr>
            <w:tcW w:w="1477" w:type="pct"/>
            <w:vMerge/>
            <w:vAlign w:val="center"/>
          </w:tcPr>
          <w:p w:rsidR="00F779B5" w:rsidRPr="00F779B5" w:rsidRDefault="00F779B5" w:rsidP="00ED0A7C">
            <w:pPr>
              <w:widowControl/>
              <w:jc w:val="left"/>
              <w:rPr>
                <w:rFonts w:ascii="Times New Roman" w:hAnsi="Times New Roman" w:cs="Times New Roman"/>
                <w:sz w:val="24"/>
                <w:szCs w:val="24"/>
                <w:lang w:val="de-DE"/>
              </w:rPr>
            </w:pPr>
          </w:p>
        </w:tc>
        <w:tc>
          <w:tcPr>
            <w:tcW w:w="688" w:type="pct"/>
            <w:vAlign w:val="center"/>
          </w:tcPr>
          <w:p w:rsidR="00F779B5" w:rsidRPr="00F779B5" w:rsidRDefault="00F779B5" w:rsidP="00ED0A7C">
            <w:pPr>
              <w:widowControl/>
              <w:jc w:val="center"/>
              <w:rPr>
                <w:rFonts w:ascii="Times New Roman" w:hAnsi="Times New Roman" w:cs="Times New Roman"/>
                <w:i/>
                <w:iCs/>
                <w:sz w:val="24"/>
                <w:szCs w:val="24"/>
              </w:rPr>
            </w:pPr>
            <w:r w:rsidRPr="00F779B5">
              <w:rPr>
                <w:rFonts w:ascii="Times New Roman" w:hAnsi="Times New Roman" w:cs="Times New Roman"/>
                <w:i/>
                <w:iCs/>
                <w:sz w:val="24"/>
                <w:szCs w:val="24"/>
              </w:rPr>
              <w:t>Castanopsis spp</w:t>
            </w:r>
          </w:p>
        </w:tc>
        <w:tc>
          <w:tcPr>
            <w:tcW w:w="1299" w:type="pct"/>
            <w:vMerge/>
            <w:vAlign w:val="center"/>
          </w:tcPr>
          <w:p w:rsidR="00F779B5" w:rsidRPr="00F779B5" w:rsidRDefault="00F779B5" w:rsidP="00ED0A7C">
            <w:pPr>
              <w:widowControl/>
              <w:jc w:val="left"/>
              <w:rPr>
                <w:rFonts w:ascii="Times New Roman" w:hAnsi="Times New Roman" w:cs="Times New Roman"/>
                <w:sz w:val="24"/>
                <w:szCs w:val="24"/>
              </w:rPr>
            </w:pPr>
          </w:p>
        </w:tc>
        <w:tc>
          <w:tcPr>
            <w:tcW w:w="909" w:type="pct"/>
            <w:vMerge/>
            <w:vAlign w:val="center"/>
          </w:tcPr>
          <w:p w:rsidR="00F779B5" w:rsidRPr="00F779B5" w:rsidRDefault="00F779B5" w:rsidP="00ED0A7C">
            <w:pPr>
              <w:widowControl/>
              <w:jc w:val="left"/>
              <w:rPr>
                <w:rFonts w:ascii="Times New Roman" w:hAnsi="Times New Roman" w:cs="Times New Roman"/>
                <w:sz w:val="24"/>
                <w:szCs w:val="24"/>
              </w:rPr>
            </w:pPr>
          </w:p>
        </w:tc>
      </w:tr>
    </w:tbl>
    <w:p w:rsidR="00F779B5" w:rsidRPr="00F779B5" w:rsidRDefault="00F779B5" w:rsidP="00F779B5">
      <w:pPr>
        <w:widowControl/>
        <w:rPr>
          <w:rFonts w:ascii="Times New Roman" w:hAnsi="Times New Roman" w:cs="Times New Roman"/>
          <w:sz w:val="24"/>
          <w:szCs w:val="24"/>
        </w:rPr>
        <w:sectPr w:rsidR="00F779B5" w:rsidRPr="00F779B5" w:rsidSect="00F779B5">
          <w:pgSz w:w="16838" w:h="11906" w:orient="landscape"/>
          <w:pgMar w:top="1800" w:right="1440" w:bottom="1800" w:left="1440" w:header="851" w:footer="992" w:gutter="0"/>
          <w:lnNumType w:countBy="1" w:restart="continuous"/>
          <w:cols w:space="425"/>
          <w:docGrid w:type="lines" w:linePitch="312"/>
        </w:sectPr>
      </w:pPr>
    </w:p>
    <w:p w:rsidR="00F779B5" w:rsidRPr="00F779B5" w:rsidRDefault="00F779B5" w:rsidP="00F779B5">
      <w:pPr>
        <w:widowControl/>
        <w:rPr>
          <w:rFonts w:ascii="Times New Roman" w:hAnsi="Times New Roman" w:cs="Times New Roman"/>
          <w:color w:val="000000" w:themeColor="text1"/>
          <w:sz w:val="24"/>
          <w:szCs w:val="24"/>
        </w:rPr>
      </w:pPr>
      <w:r w:rsidRPr="00F779B5">
        <w:rPr>
          <w:rFonts w:ascii="Times New Roman" w:hAnsi="Times New Roman" w:cs="Times New Roman"/>
          <w:sz w:val="24"/>
          <w:szCs w:val="24"/>
        </w:rPr>
        <w:lastRenderedPageBreak/>
        <w:t xml:space="preserve">Table S2 </w:t>
      </w:r>
      <w:r w:rsidRPr="00F779B5">
        <w:rPr>
          <w:rFonts w:ascii="Times New Roman" w:hAnsi="Times New Roman" w:cs="Times New Roman"/>
          <w:noProof/>
          <w:sz w:val="24"/>
          <w:szCs w:val="24"/>
        </w:rPr>
        <w:t>Microbial extracellular</w:t>
      </w:r>
      <w:r w:rsidRPr="00F779B5">
        <w:rPr>
          <w:rFonts w:ascii="Times New Roman" w:hAnsi="Times New Roman" w:cs="Times New Roman"/>
          <w:sz w:val="24"/>
          <w:szCs w:val="24"/>
        </w:rPr>
        <w:t xml:space="preserve"> enzyme activities, synthetic substrate, reaction catalyzed, and enzyme commission (EC) in the current study</w:t>
      </w:r>
    </w:p>
    <w:tbl>
      <w:tblPr>
        <w:tblStyle w:val="af"/>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2864"/>
        <w:gridCol w:w="2628"/>
        <w:gridCol w:w="931"/>
      </w:tblGrid>
      <w:tr w:rsidR="00F779B5" w:rsidRPr="00F779B5" w:rsidTr="00ED0A7C">
        <w:trPr>
          <w:jc w:val="center"/>
        </w:trPr>
        <w:tc>
          <w:tcPr>
            <w:tcW w:w="1147" w:type="pct"/>
            <w:tcBorders>
              <w:top w:val="single" w:sz="4" w:space="0" w:color="auto"/>
              <w:bottom w:val="single" w:sz="4" w:space="0" w:color="auto"/>
            </w:tcBorders>
            <w:vAlign w:val="center"/>
          </w:tcPr>
          <w:p w:rsidR="00F779B5" w:rsidRPr="00F779B5" w:rsidRDefault="00F779B5" w:rsidP="00ED0A7C">
            <w:pPr>
              <w:widowControl/>
              <w:jc w:val="left"/>
              <w:rPr>
                <w:rFonts w:ascii="Times New Roman" w:hAnsi="Times New Roman" w:cs="Times New Roman"/>
                <w:sz w:val="22"/>
              </w:rPr>
            </w:pPr>
            <w:r w:rsidRPr="00F779B5">
              <w:rPr>
                <w:rFonts w:ascii="Times New Roman" w:hAnsi="Times New Roman" w:cs="Times New Roman"/>
                <w:sz w:val="22"/>
              </w:rPr>
              <w:t>Enzyme</w:t>
            </w:r>
          </w:p>
        </w:tc>
        <w:tc>
          <w:tcPr>
            <w:tcW w:w="1737" w:type="pct"/>
            <w:tcBorders>
              <w:top w:val="single" w:sz="4" w:space="0" w:color="auto"/>
              <w:bottom w:val="single" w:sz="4" w:space="0" w:color="auto"/>
            </w:tcBorders>
            <w:vAlign w:val="center"/>
          </w:tcPr>
          <w:p w:rsidR="00F779B5" w:rsidRPr="00F779B5" w:rsidRDefault="00F779B5" w:rsidP="00ED0A7C">
            <w:pPr>
              <w:widowControl/>
              <w:jc w:val="center"/>
              <w:rPr>
                <w:rFonts w:ascii="Times New Roman" w:hAnsi="Times New Roman" w:cs="Times New Roman"/>
                <w:sz w:val="22"/>
              </w:rPr>
            </w:pPr>
            <w:r w:rsidRPr="00F779B5">
              <w:rPr>
                <w:rFonts w:ascii="Times New Roman" w:hAnsi="Times New Roman" w:cs="Times New Roman"/>
                <w:sz w:val="22"/>
              </w:rPr>
              <w:t xml:space="preserve">Synthetic substrate </w:t>
            </w:r>
          </w:p>
        </w:tc>
        <w:tc>
          <w:tcPr>
            <w:tcW w:w="1595" w:type="pct"/>
            <w:tcBorders>
              <w:top w:val="single" w:sz="4" w:space="0" w:color="auto"/>
              <w:bottom w:val="single" w:sz="4" w:space="0" w:color="auto"/>
            </w:tcBorders>
            <w:vAlign w:val="center"/>
          </w:tcPr>
          <w:p w:rsidR="00F779B5" w:rsidRPr="00F779B5" w:rsidRDefault="00F779B5" w:rsidP="00ED0A7C">
            <w:pPr>
              <w:widowControl/>
              <w:jc w:val="center"/>
              <w:rPr>
                <w:rFonts w:ascii="Times New Roman" w:hAnsi="Times New Roman" w:cs="Times New Roman"/>
                <w:sz w:val="22"/>
              </w:rPr>
            </w:pPr>
            <w:r w:rsidRPr="00F779B5">
              <w:rPr>
                <w:rFonts w:ascii="Times New Roman" w:hAnsi="Times New Roman" w:cs="Times New Roman"/>
                <w:sz w:val="22"/>
              </w:rPr>
              <w:t>Reaction catalyzed</w:t>
            </w:r>
          </w:p>
        </w:tc>
        <w:tc>
          <w:tcPr>
            <w:tcW w:w="521" w:type="pct"/>
            <w:tcBorders>
              <w:top w:val="single" w:sz="4" w:space="0" w:color="auto"/>
              <w:bottom w:val="single" w:sz="4" w:space="0" w:color="auto"/>
            </w:tcBorders>
            <w:vAlign w:val="center"/>
          </w:tcPr>
          <w:p w:rsidR="00F779B5" w:rsidRPr="00F779B5" w:rsidRDefault="00F779B5" w:rsidP="00ED0A7C">
            <w:pPr>
              <w:widowControl/>
              <w:jc w:val="center"/>
              <w:rPr>
                <w:rFonts w:ascii="Times New Roman" w:hAnsi="Times New Roman" w:cs="Times New Roman"/>
                <w:sz w:val="22"/>
              </w:rPr>
            </w:pPr>
            <w:r w:rsidRPr="00F779B5">
              <w:rPr>
                <w:rFonts w:ascii="Times New Roman" w:eastAsia="等线" w:hAnsi="Times New Roman" w:cs="Times New Roman"/>
                <w:color w:val="000000"/>
                <w:kern w:val="0"/>
                <w:sz w:val="22"/>
              </w:rPr>
              <w:t>EC</w:t>
            </w:r>
          </w:p>
        </w:tc>
      </w:tr>
      <w:tr w:rsidR="00F779B5" w:rsidRPr="00F779B5" w:rsidTr="00ED0A7C">
        <w:trPr>
          <w:jc w:val="center"/>
        </w:trPr>
        <w:tc>
          <w:tcPr>
            <w:tcW w:w="1147" w:type="pct"/>
            <w:tcBorders>
              <w:top w:val="single" w:sz="4" w:space="0" w:color="auto"/>
              <w:bottom w:val="nil"/>
            </w:tcBorders>
            <w:vAlign w:val="center"/>
          </w:tcPr>
          <w:p w:rsidR="00F779B5" w:rsidRPr="00F779B5" w:rsidRDefault="00F779B5" w:rsidP="00ED0A7C">
            <w:pPr>
              <w:widowControl/>
              <w:jc w:val="left"/>
              <w:rPr>
                <w:rFonts w:ascii="Times New Roman" w:hAnsi="Times New Roman" w:cs="Times New Roman"/>
                <w:sz w:val="22"/>
              </w:rPr>
            </w:pPr>
            <w:r w:rsidRPr="00F779B5">
              <w:rPr>
                <w:rFonts w:ascii="Times New Roman" w:hAnsi="Times New Roman" w:cs="Times New Roman"/>
                <w:sz w:val="22"/>
              </w:rPr>
              <w:t xml:space="preserve">α-1,4-glucosidase </w:t>
            </w:r>
          </w:p>
        </w:tc>
        <w:tc>
          <w:tcPr>
            <w:tcW w:w="1737" w:type="pct"/>
            <w:tcBorders>
              <w:top w:val="single" w:sz="4" w:space="0" w:color="auto"/>
              <w:bottom w:val="nil"/>
            </w:tcBorders>
            <w:vAlign w:val="center"/>
          </w:tcPr>
          <w:p w:rsidR="00F779B5" w:rsidRPr="00F779B5" w:rsidRDefault="00F779B5" w:rsidP="00ED0A7C">
            <w:pPr>
              <w:widowControl/>
              <w:jc w:val="center"/>
              <w:rPr>
                <w:rFonts w:ascii="Times New Roman" w:hAnsi="Times New Roman" w:cs="Times New Roman"/>
                <w:sz w:val="22"/>
              </w:rPr>
            </w:pPr>
            <w:r w:rsidRPr="00F779B5">
              <w:rPr>
                <w:rFonts w:ascii="Times New Roman" w:hAnsi="Times New Roman" w:cs="Times New Roman"/>
                <w:sz w:val="22"/>
              </w:rPr>
              <w:t>4-MUB-α-D-glucopyranoside</w:t>
            </w:r>
          </w:p>
        </w:tc>
        <w:tc>
          <w:tcPr>
            <w:tcW w:w="1595" w:type="pct"/>
            <w:tcBorders>
              <w:top w:val="single" w:sz="4" w:space="0" w:color="auto"/>
              <w:bottom w:val="nil"/>
            </w:tcBorders>
            <w:vAlign w:val="center"/>
          </w:tcPr>
          <w:p w:rsidR="00F779B5" w:rsidRPr="00F779B5" w:rsidRDefault="00F779B5" w:rsidP="00ED0A7C">
            <w:pPr>
              <w:widowControl/>
              <w:jc w:val="center"/>
              <w:rPr>
                <w:rFonts w:ascii="Times New Roman" w:hAnsi="Times New Roman" w:cs="Times New Roman"/>
                <w:sz w:val="22"/>
              </w:rPr>
            </w:pPr>
            <w:r w:rsidRPr="00F779B5">
              <w:rPr>
                <w:rFonts w:ascii="Times New Roman" w:hAnsi="Times New Roman" w:cs="Times New Roman"/>
                <w:sz w:val="22"/>
              </w:rPr>
              <w:t>Glucoside + H</w:t>
            </w:r>
            <w:r w:rsidRPr="00F779B5">
              <w:rPr>
                <w:rFonts w:ascii="Times New Roman" w:hAnsi="Times New Roman" w:cs="Times New Roman"/>
                <w:sz w:val="22"/>
                <w:vertAlign w:val="subscript"/>
              </w:rPr>
              <w:t>2</w:t>
            </w:r>
            <w:r w:rsidRPr="00F779B5">
              <w:rPr>
                <w:rFonts w:ascii="Times New Roman" w:hAnsi="Times New Roman" w:cs="Times New Roman"/>
                <w:sz w:val="22"/>
              </w:rPr>
              <w:t>O →ROH + Glucose</w:t>
            </w:r>
          </w:p>
        </w:tc>
        <w:tc>
          <w:tcPr>
            <w:tcW w:w="521" w:type="pct"/>
            <w:tcBorders>
              <w:top w:val="single" w:sz="4" w:space="0" w:color="auto"/>
              <w:bottom w:val="nil"/>
            </w:tcBorders>
            <w:vAlign w:val="center"/>
          </w:tcPr>
          <w:p w:rsidR="00F779B5" w:rsidRPr="00F779B5" w:rsidRDefault="00F779B5" w:rsidP="00ED0A7C">
            <w:pPr>
              <w:widowControl/>
              <w:jc w:val="center"/>
              <w:rPr>
                <w:rFonts w:ascii="Times New Roman" w:hAnsi="Times New Roman" w:cs="Times New Roman"/>
                <w:sz w:val="22"/>
              </w:rPr>
            </w:pPr>
            <w:r w:rsidRPr="00F779B5">
              <w:rPr>
                <w:rFonts w:ascii="Times New Roman" w:eastAsia="Times New Roman" w:hAnsi="Times New Roman" w:cs="Times New Roman"/>
                <w:kern w:val="0"/>
                <w:sz w:val="22"/>
              </w:rPr>
              <w:t>3.2.1.20</w:t>
            </w:r>
          </w:p>
        </w:tc>
      </w:tr>
      <w:tr w:rsidR="00F779B5" w:rsidRPr="00F779B5" w:rsidTr="00ED0A7C">
        <w:trPr>
          <w:jc w:val="center"/>
        </w:trPr>
        <w:tc>
          <w:tcPr>
            <w:tcW w:w="1147" w:type="pct"/>
            <w:tcBorders>
              <w:top w:val="nil"/>
              <w:bottom w:val="nil"/>
            </w:tcBorders>
            <w:vAlign w:val="center"/>
          </w:tcPr>
          <w:p w:rsidR="00F779B5" w:rsidRPr="00F779B5" w:rsidRDefault="00F779B5" w:rsidP="00ED0A7C">
            <w:pPr>
              <w:widowControl/>
              <w:jc w:val="left"/>
              <w:rPr>
                <w:rFonts w:ascii="Times New Roman" w:hAnsi="Times New Roman" w:cs="Times New Roman"/>
                <w:sz w:val="22"/>
              </w:rPr>
            </w:pPr>
            <w:r w:rsidRPr="00F779B5">
              <w:rPr>
                <w:rFonts w:ascii="Times New Roman" w:hAnsi="Times New Roman" w:cs="Times New Roman"/>
                <w:sz w:val="22"/>
              </w:rPr>
              <w:t>β-1,4-glucosidase</w:t>
            </w:r>
          </w:p>
        </w:tc>
        <w:tc>
          <w:tcPr>
            <w:tcW w:w="1737" w:type="pct"/>
            <w:tcBorders>
              <w:top w:val="nil"/>
              <w:bottom w:val="nil"/>
            </w:tcBorders>
            <w:vAlign w:val="center"/>
          </w:tcPr>
          <w:p w:rsidR="00F779B5" w:rsidRPr="00F779B5" w:rsidRDefault="00F779B5" w:rsidP="00ED0A7C">
            <w:pPr>
              <w:widowControl/>
              <w:jc w:val="center"/>
              <w:rPr>
                <w:rFonts w:ascii="Times New Roman" w:hAnsi="Times New Roman" w:cs="Times New Roman"/>
                <w:sz w:val="22"/>
              </w:rPr>
            </w:pPr>
            <w:r w:rsidRPr="00F779B5">
              <w:rPr>
                <w:rFonts w:ascii="Times New Roman" w:hAnsi="Times New Roman" w:cs="Times New Roman"/>
                <w:sz w:val="22"/>
              </w:rPr>
              <w:t>4-MUB-β-D-glucopyranoside</w:t>
            </w:r>
          </w:p>
        </w:tc>
        <w:tc>
          <w:tcPr>
            <w:tcW w:w="1595" w:type="pct"/>
            <w:tcBorders>
              <w:top w:val="nil"/>
              <w:bottom w:val="nil"/>
            </w:tcBorders>
            <w:vAlign w:val="center"/>
          </w:tcPr>
          <w:p w:rsidR="00F779B5" w:rsidRPr="00F779B5" w:rsidRDefault="00F779B5" w:rsidP="00ED0A7C">
            <w:pPr>
              <w:widowControl/>
              <w:jc w:val="center"/>
              <w:rPr>
                <w:rFonts w:ascii="Times New Roman" w:hAnsi="Times New Roman" w:cs="Times New Roman"/>
                <w:sz w:val="22"/>
              </w:rPr>
            </w:pPr>
            <w:r w:rsidRPr="00F779B5">
              <w:rPr>
                <w:rFonts w:ascii="Times New Roman" w:hAnsi="Times New Roman" w:cs="Times New Roman"/>
                <w:sz w:val="22"/>
              </w:rPr>
              <w:t>Glucoside + H</w:t>
            </w:r>
            <w:r w:rsidRPr="00F779B5">
              <w:rPr>
                <w:rFonts w:ascii="Times New Roman" w:hAnsi="Times New Roman" w:cs="Times New Roman"/>
                <w:sz w:val="22"/>
                <w:vertAlign w:val="subscript"/>
              </w:rPr>
              <w:t>2</w:t>
            </w:r>
            <w:r w:rsidRPr="00F779B5">
              <w:rPr>
                <w:rFonts w:ascii="Times New Roman" w:hAnsi="Times New Roman" w:cs="Times New Roman"/>
                <w:sz w:val="22"/>
              </w:rPr>
              <w:t>O→ROH + Glucose</w:t>
            </w:r>
          </w:p>
        </w:tc>
        <w:tc>
          <w:tcPr>
            <w:tcW w:w="521" w:type="pct"/>
            <w:tcBorders>
              <w:top w:val="nil"/>
              <w:bottom w:val="nil"/>
            </w:tcBorders>
            <w:vAlign w:val="center"/>
          </w:tcPr>
          <w:p w:rsidR="00F779B5" w:rsidRPr="00F779B5" w:rsidRDefault="00F779B5" w:rsidP="00ED0A7C">
            <w:pPr>
              <w:widowControl/>
              <w:jc w:val="center"/>
              <w:rPr>
                <w:rFonts w:ascii="Times New Roman" w:hAnsi="Times New Roman" w:cs="Times New Roman"/>
                <w:sz w:val="22"/>
              </w:rPr>
            </w:pPr>
            <w:r w:rsidRPr="00F779B5">
              <w:rPr>
                <w:rFonts w:ascii="Times New Roman" w:eastAsia="等线" w:hAnsi="Times New Roman" w:cs="Times New Roman"/>
                <w:color w:val="000000"/>
                <w:kern w:val="0"/>
                <w:sz w:val="22"/>
              </w:rPr>
              <w:t>3.2.1.21</w:t>
            </w:r>
          </w:p>
        </w:tc>
      </w:tr>
      <w:tr w:rsidR="00F779B5" w:rsidRPr="00F779B5" w:rsidTr="00ED0A7C">
        <w:trPr>
          <w:jc w:val="center"/>
        </w:trPr>
        <w:tc>
          <w:tcPr>
            <w:tcW w:w="1147" w:type="pct"/>
            <w:tcBorders>
              <w:top w:val="nil"/>
              <w:bottom w:val="nil"/>
            </w:tcBorders>
            <w:vAlign w:val="center"/>
          </w:tcPr>
          <w:p w:rsidR="00F779B5" w:rsidRPr="00F779B5" w:rsidRDefault="00F779B5" w:rsidP="00ED0A7C">
            <w:pPr>
              <w:widowControl/>
              <w:jc w:val="left"/>
              <w:rPr>
                <w:rFonts w:ascii="Times New Roman" w:hAnsi="Times New Roman" w:cs="Times New Roman"/>
                <w:sz w:val="22"/>
              </w:rPr>
            </w:pPr>
            <w:r w:rsidRPr="00F779B5">
              <w:rPr>
                <w:rFonts w:ascii="Times New Roman" w:hAnsi="Times New Roman" w:cs="Times New Roman"/>
                <w:sz w:val="22"/>
              </w:rPr>
              <w:t>β-xylanase</w:t>
            </w:r>
          </w:p>
        </w:tc>
        <w:tc>
          <w:tcPr>
            <w:tcW w:w="1737"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4-MUB-β-D-xylopyranoside</w:t>
            </w:r>
          </w:p>
        </w:tc>
        <w:tc>
          <w:tcPr>
            <w:tcW w:w="1595"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Hemicellulose + H</w:t>
            </w:r>
            <w:r w:rsidRPr="00F779B5">
              <w:rPr>
                <w:rFonts w:ascii="Times New Roman" w:hAnsi="Times New Roman" w:cs="Times New Roman"/>
                <w:sz w:val="22"/>
                <w:vertAlign w:val="subscript"/>
              </w:rPr>
              <w:t>2</w:t>
            </w:r>
            <w:r w:rsidRPr="00F779B5">
              <w:rPr>
                <w:rFonts w:ascii="Times New Roman" w:hAnsi="Times New Roman" w:cs="Times New Roman"/>
                <w:sz w:val="22"/>
              </w:rPr>
              <w:t>O→ xilose + other monoglucosides</w:t>
            </w:r>
          </w:p>
        </w:tc>
        <w:tc>
          <w:tcPr>
            <w:tcW w:w="521"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eastAsia="Times New Roman" w:hAnsi="Times New Roman" w:cs="Times New Roman"/>
                <w:kern w:val="0"/>
                <w:sz w:val="22"/>
              </w:rPr>
              <w:t>3.2.1.37</w:t>
            </w:r>
          </w:p>
        </w:tc>
      </w:tr>
      <w:tr w:rsidR="00F779B5" w:rsidRPr="00F779B5" w:rsidTr="00ED0A7C">
        <w:trPr>
          <w:jc w:val="center"/>
        </w:trPr>
        <w:tc>
          <w:tcPr>
            <w:tcW w:w="1147" w:type="pct"/>
            <w:tcBorders>
              <w:top w:val="nil"/>
              <w:bottom w:val="nil"/>
            </w:tcBorders>
            <w:vAlign w:val="center"/>
          </w:tcPr>
          <w:p w:rsidR="00F779B5" w:rsidRPr="00F779B5" w:rsidRDefault="00F779B5" w:rsidP="00ED0A7C">
            <w:pPr>
              <w:widowControl/>
              <w:jc w:val="left"/>
              <w:rPr>
                <w:rFonts w:ascii="Times New Roman" w:hAnsi="Times New Roman" w:cs="Times New Roman"/>
                <w:sz w:val="22"/>
              </w:rPr>
            </w:pPr>
            <w:r w:rsidRPr="00F779B5">
              <w:rPr>
                <w:rFonts w:ascii="Times New Roman" w:hAnsi="Times New Roman" w:cs="Times New Roman"/>
                <w:sz w:val="22"/>
              </w:rPr>
              <w:t xml:space="preserve">Cellobiohydrolase </w:t>
            </w:r>
          </w:p>
        </w:tc>
        <w:tc>
          <w:tcPr>
            <w:tcW w:w="1737"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4-MUB-β-D-cellobioside</w:t>
            </w:r>
          </w:p>
        </w:tc>
        <w:tc>
          <w:tcPr>
            <w:tcW w:w="1595"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Hydrolysis of β- 1,4glucan bonds</w:t>
            </w:r>
          </w:p>
        </w:tc>
        <w:tc>
          <w:tcPr>
            <w:tcW w:w="521"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eastAsia="等线" w:hAnsi="Times New Roman" w:cs="Times New Roman"/>
                <w:color w:val="000000"/>
                <w:kern w:val="0"/>
                <w:sz w:val="22"/>
              </w:rPr>
              <w:t>3.2.1.91</w:t>
            </w:r>
          </w:p>
        </w:tc>
      </w:tr>
      <w:tr w:rsidR="00F779B5" w:rsidRPr="00F779B5" w:rsidTr="00ED0A7C">
        <w:trPr>
          <w:jc w:val="center"/>
        </w:trPr>
        <w:tc>
          <w:tcPr>
            <w:tcW w:w="1147" w:type="pct"/>
            <w:tcBorders>
              <w:top w:val="nil"/>
              <w:bottom w:val="nil"/>
            </w:tcBorders>
            <w:vAlign w:val="center"/>
          </w:tcPr>
          <w:p w:rsidR="00F779B5" w:rsidRPr="00F779B5" w:rsidRDefault="00F779B5" w:rsidP="00ED0A7C">
            <w:pPr>
              <w:widowControl/>
              <w:jc w:val="left"/>
              <w:rPr>
                <w:rFonts w:ascii="Times New Roman" w:hAnsi="Times New Roman" w:cs="Times New Roman"/>
                <w:sz w:val="22"/>
              </w:rPr>
            </w:pPr>
            <w:bookmarkStart w:id="11" w:name="_Hlk213659223"/>
            <w:r w:rsidRPr="00F779B5">
              <w:rPr>
                <w:rFonts w:ascii="Times New Roman" w:hAnsi="Times New Roman" w:cs="Times New Roman"/>
                <w:sz w:val="22"/>
              </w:rPr>
              <w:t>N-acetyl-glucosaminidase</w:t>
            </w:r>
            <w:bookmarkEnd w:id="11"/>
            <w:r w:rsidRPr="00F779B5">
              <w:rPr>
                <w:rFonts w:ascii="Times New Roman" w:hAnsi="Times New Roman" w:cs="Times New Roman"/>
                <w:sz w:val="22"/>
              </w:rPr>
              <w:t xml:space="preserve"> </w:t>
            </w:r>
          </w:p>
        </w:tc>
        <w:tc>
          <w:tcPr>
            <w:tcW w:w="1737" w:type="pct"/>
            <w:tcBorders>
              <w:top w:val="nil"/>
              <w:bottom w:val="nil"/>
            </w:tcBorders>
            <w:vAlign w:val="center"/>
          </w:tcPr>
          <w:p w:rsidR="00F779B5" w:rsidRPr="00F779B5" w:rsidRDefault="00F779B5" w:rsidP="00ED0A7C">
            <w:pPr>
              <w:jc w:val="center"/>
              <w:rPr>
                <w:rFonts w:ascii="Times New Roman" w:hAnsi="Times New Roman" w:cs="Times New Roman"/>
                <w:sz w:val="22"/>
                <w:lang w:val="es-ES"/>
              </w:rPr>
            </w:pPr>
            <w:r w:rsidRPr="00F779B5">
              <w:rPr>
                <w:rFonts w:ascii="Times New Roman" w:hAnsi="Times New Roman" w:cs="Times New Roman"/>
                <w:sz w:val="22"/>
                <w:lang w:val="es-ES"/>
              </w:rPr>
              <w:t>4-MUB-N-acetyl-</w:t>
            </w:r>
            <w:r w:rsidRPr="00F779B5">
              <w:rPr>
                <w:rFonts w:ascii="Times New Roman" w:hAnsi="Times New Roman" w:cs="Times New Roman"/>
                <w:sz w:val="22"/>
              </w:rPr>
              <w:t>β</w:t>
            </w:r>
            <w:r w:rsidRPr="00F779B5">
              <w:rPr>
                <w:rFonts w:ascii="Times New Roman" w:hAnsi="Times New Roman" w:cs="Times New Roman"/>
                <w:sz w:val="22"/>
                <w:lang w:val="es-ES"/>
              </w:rPr>
              <w:t>-D-glucosaminide</w:t>
            </w:r>
          </w:p>
        </w:tc>
        <w:tc>
          <w:tcPr>
            <w:tcW w:w="1595"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Chitin + H</w:t>
            </w:r>
            <w:r w:rsidRPr="00F779B5">
              <w:rPr>
                <w:rFonts w:ascii="Times New Roman" w:hAnsi="Times New Roman" w:cs="Times New Roman"/>
                <w:sz w:val="22"/>
                <w:vertAlign w:val="subscript"/>
              </w:rPr>
              <w:t>2</w:t>
            </w:r>
            <w:r w:rsidRPr="00F779B5">
              <w:rPr>
                <w:rFonts w:ascii="Times New Roman" w:hAnsi="Times New Roman" w:cs="Times New Roman"/>
                <w:sz w:val="22"/>
              </w:rPr>
              <w:t>O → N +monosaccharides</w:t>
            </w:r>
          </w:p>
        </w:tc>
        <w:tc>
          <w:tcPr>
            <w:tcW w:w="521"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eastAsia="等线" w:hAnsi="Times New Roman" w:cs="Times New Roman"/>
                <w:color w:val="000000"/>
                <w:kern w:val="0"/>
                <w:sz w:val="22"/>
              </w:rPr>
              <w:t>3.1.6.1</w:t>
            </w:r>
          </w:p>
        </w:tc>
      </w:tr>
      <w:tr w:rsidR="00F779B5" w:rsidRPr="00F779B5" w:rsidTr="00ED0A7C">
        <w:trPr>
          <w:jc w:val="center"/>
        </w:trPr>
        <w:tc>
          <w:tcPr>
            <w:tcW w:w="1147" w:type="pct"/>
            <w:tcBorders>
              <w:top w:val="nil"/>
              <w:bottom w:val="nil"/>
            </w:tcBorders>
            <w:vAlign w:val="center"/>
          </w:tcPr>
          <w:p w:rsidR="00F779B5" w:rsidRPr="00F779B5" w:rsidRDefault="00F779B5" w:rsidP="00ED0A7C">
            <w:pPr>
              <w:widowControl/>
              <w:jc w:val="left"/>
              <w:rPr>
                <w:rFonts w:ascii="Times New Roman" w:hAnsi="Times New Roman" w:cs="Times New Roman"/>
                <w:sz w:val="22"/>
              </w:rPr>
            </w:pPr>
            <w:r w:rsidRPr="00F779B5">
              <w:rPr>
                <w:rFonts w:ascii="Times New Roman" w:hAnsi="Times New Roman" w:cs="Times New Roman"/>
                <w:sz w:val="22"/>
              </w:rPr>
              <w:t xml:space="preserve">Leucine aminopeptidase </w:t>
            </w:r>
          </w:p>
        </w:tc>
        <w:tc>
          <w:tcPr>
            <w:tcW w:w="1737"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L-leucine-7-amido-4-methylcoumarin hydrochloride</w:t>
            </w:r>
          </w:p>
        </w:tc>
        <w:tc>
          <w:tcPr>
            <w:tcW w:w="1595"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Polypeptide (n) + H</w:t>
            </w:r>
            <w:r w:rsidRPr="00F779B5">
              <w:rPr>
                <w:rFonts w:ascii="Times New Roman" w:hAnsi="Times New Roman" w:cs="Times New Roman"/>
                <w:sz w:val="22"/>
                <w:vertAlign w:val="subscript"/>
              </w:rPr>
              <w:t>2</w:t>
            </w:r>
            <w:r w:rsidRPr="00F779B5">
              <w:rPr>
                <w:rFonts w:ascii="Times New Roman" w:hAnsi="Times New Roman" w:cs="Times New Roman"/>
                <w:sz w:val="22"/>
              </w:rPr>
              <w:t>O→ aminoacid +polypeptide (n-1)</w:t>
            </w:r>
          </w:p>
        </w:tc>
        <w:tc>
          <w:tcPr>
            <w:tcW w:w="521"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eastAsia="等线" w:hAnsi="Times New Roman" w:cs="Times New Roman"/>
                <w:color w:val="000000"/>
                <w:kern w:val="0"/>
                <w:sz w:val="22"/>
              </w:rPr>
              <w:t>3.1.3.2</w:t>
            </w:r>
          </w:p>
        </w:tc>
      </w:tr>
      <w:tr w:rsidR="00F779B5" w:rsidRPr="00F779B5" w:rsidTr="00ED0A7C">
        <w:trPr>
          <w:jc w:val="center"/>
        </w:trPr>
        <w:tc>
          <w:tcPr>
            <w:tcW w:w="1147" w:type="pct"/>
            <w:tcBorders>
              <w:top w:val="nil"/>
              <w:bottom w:val="nil"/>
            </w:tcBorders>
            <w:vAlign w:val="center"/>
          </w:tcPr>
          <w:p w:rsidR="00F779B5" w:rsidRPr="00F779B5" w:rsidRDefault="00F779B5" w:rsidP="00ED0A7C">
            <w:pPr>
              <w:widowControl/>
              <w:jc w:val="left"/>
              <w:rPr>
                <w:rFonts w:ascii="Times New Roman" w:hAnsi="Times New Roman" w:cs="Times New Roman"/>
                <w:sz w:val="22"/>
              </w:rPr>
            </w:pPr>
            <w:r w:rsidRPr="00F779B5">
              <w:rPr>
                <w:rFonts w:ascii="Times New Roman" w:hAnsi="Times New Roman" w:cs="Times New Roman"/>
                <w:sz w:val="22"/>
              </w:rPr>
              <w:t>Phosphatase</w:t>
            </w:r>
          </w:p>
        </w:tc>
        <w:tc>
          <w:tcPr>
            <w:tcW w:w="1737"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4-MUB Phosphate</w:t>
            </w:r>
          </w:p>
        </w:tc>
        <w:tc>
          <w:tcPr>
            <w:tcW w:w="1595"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Phosphate ester + H</w:t>
            </w:r>
            <w:r w:rsidRPr="00F779B5">
              <w:rPr>
                <w:rFonts w:ascii="Times New Roman" w:hAnsi="Times New Roman" w:cs="Times New Roman"/>
                <w:sz w:val="22"/>
                <w:vertAlign w:val="subscript"/>
              </w:rPr>
              <w:t>2</w:t>
            </w:r>
            <w:r w:rsidRPr="00F779B5">
              <w:rPr>
                <w:rFonts w:ascii="Times New Roman" w:hAnsi="Times New Roman" w:cs="Times New Roman"/>
                <w:sz w:val="22"/>
              </w:rPr>
              <w:t>O→ ROH phosphate</w:t>
            </w:r>
          </w:p>
        </w:tc>
        <w:tc>
          <w:tcPr>
            <w:tcW w:w="521"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eastAsia="等线" w:hAnsi="Times New Roman" w:cs="Times New Roman"/>
                <w:color w:val="000000"/>
                <w:sz w:val="22"/>
              </w:rPr>
              <w:t>3.4.11.1</w:t>
            </w:r>
          </w:p>
        </w:tc>
      </w:tr>
      <w:tr w:rsidR="00F779B5" w:rsidRPr="00F779B5" w:rsidTr="00ED0A7C">
        <w:trPr>
          <w:jc w:val="center"/>
        </w:trPr>
        <w:tc>
          <w:tcPr>
            <w:tcW w:w="1147" w:type="pct"/>
            <w:tcBorders>
              <w:top w:val="nil"/>
              <w:bottom w:val="nil"/>
            </w:tcBorders>
            <w:vAlign w:val="center"/>
          </w:tcPr>
          <w:p w:rsidR="00F779B5" w:rsidRPr="00F779B5" w:rsidRDefault="00F779B5" w:rsidP="00ED0A7C">
            <w:pPr>
              <w:widowControl/>
              <w:jc w:val="left"/>
              <w:rPr>
                <w:rFonts w:ascii="Times New Roman" w:hAnsi="Times New Roman" w:cs="Times New Roman"/>
                <w:sz w:val="22"/>
              </w:rPr>
            </w:pPr>
            <w:r w:rsidRPr="00F779B5">
              <w:rPr>
                <w:rFonts w:ascii="Times New Roman" w:hAnsi="Times New Roman" w:cs="Times New Roman"/>
                <w:sz w:val="22"/>
              </w:rPr>
              <w:t xml:space="preserve">Phenol oxidase </w:t>
            </w:r>
          </w:p>
        </w:tc>
        <w:tc>
          <w:tcPr>
            <w:tcW w:w="1737"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L-3,4-dihydroxyphenylalanine + H</w:t>
            </w:r>
            <w:r w:rsidRPr="00F779B5">
              <w:rPr>
                <w:rFonts w:ascii="Times New Roman" w:hAnsi="Times New Roman" w:cs="Times New Roman"/>
                <w:sz w:val="22"/>
                <w:vertAlign w:val="subscript"/>
              </w:rPr>
              <w:t>2</w:t>
            </w:r>
            <w:r w:rsidRPr="00F779B5">
              <w:rPr>
                <w:rFonts w:ascii="Times New Roman" w:hAnsi="Times New Roman" w:cs="Times New Roman"/>
                <w:sz w:val="22"/>
              </w:rPr>
              <w:t>O</w:t>
            </w:r>
            <w:r w:rsidRPr="00F779B5">
              <w:rPr>
                <w:rFonts w:ascii="Times New Roman" w:hAnsi="Times New Roman" w:cs="Times New Roman"/>
                <w:sz w:val="22"/>
                <w:vertAlign w:val="subscript"/>
              </w:rPr>
              <w:t>2</w:t>
            </w:r>
          </w:p>
        </w:tc>
        <w:tc>
          <w:tcPr>
            <w:tcW w:w="1595" w:type="pct"/>
            <w:tcBorders>
              <w:top w:val="nil"/>
              <w:bottom w:val="nil"/>
            </w:tcBorders>
            <w:vAlign w:val="center"/>
          </w:tcPr>
          <w:p w:rsidR="00F779B5" w:rsidRPr="00F779B5" w:rsidRDefault="00F779B5" w:rsidP="00ED0A7C">
            <w:pPr>
              <w:jc w:val="center"/>
              <w:rPr>
                <w:rFonts w:ascii="Times New Roman" w:hAnsi="Times New Roman" w:cs="Times New Roman"/>
                <w:sz w:val="22"/>
                <w:lang w:val="es-ES"/>
              </w:rPr>
            </w:pPr>
            <w:r w:rsidRPr="00F779B5">
              <w:rPr>
                <w:rFonts w:ascii="Times New Roman" w:hAnsi="Times New Roman" w:cs="Times New Roman"/>
                <w:sz w:val="22"/>
                <w:lang w:val="es-ES"/>
              </w:rPr>
              <w:t>A + H</w:t>
            </w:r>
            <w:r w:rsidRPr="00F779B5">
              <w:rPr>
                <w:rFonts w:ascii="Times New Roman" w:hAnsi="Times New Roman" w:cs="Times New Roman"/>
                <w:sz w:val="22"/>
                <w:vertAlign w:val="subscript"/>
                <w:lang w:val="es-ES"/>
              </w:rPr>
              <w:t>2</w:t>
            </w:r>
            <w:r w:rsidRPr="00F779B5">
              <w:rPr>
                <w:rFonts w:ascii="Times New Roman" w:hAnsi="Times New Roman" w:cs="Times New Roman"/>
                <w:sz w:val="22"/>
                <w:lang w:val="es-ES"/>
              </w:rPr>
              <w:t>O</w:t>
            </w:r>
            <w:r w:rsidRPr="00F779B5">
              <w:rPr>
                <w:rFonts w:ascii="Times New Roman" w:hAnsi="Times New Roman" w:cs="Times New Roman"/>
                <w:sz w:val="22"/>
                <w:vertAlign w:val="subscript"/>
                <w:lang w:val="es-ES"/>
              </w:rPr>
              <w:t>2</w:t>
            </w:r>
            <w:r w:rsidRPr="00F779B5">
              <w:rPr>
                <w:rFonts w:ascii="Times New Roman" w:hAnsi="Times New Roman" w:cs="Times New Roman"/>
                <w:sz w:val="22"/>
                <w:lang w:val="es-ES"/>
              </w:rPr>
              <w:t xml:space="preserve"> → oxidized A+ H</w:t>
            </w:r>
            <w:r w:rsidRPr="00F779B5">
              <w:rPr>
                <w:rFonts w:ascii="Times New Roman" w:hAnsi="Times New Roman" w:cs="Times New Roman"/>
                <w:sz w:val="22"/>
                <w:vertAlign w:val="subscript"/>
                <w:lang w:val="es-ES"/>
              </w:rPr>
              <w:t>2</w:t>
            </w:r>
            <w:r w:rsidRPr="00F779B5">
              <w:rPr>
                <w:rFonts w:ascii="Times New Roman" w:hAnsi="Times New Roman" w:cs="Times New Roman"/>
                <w:sz w:val="22"/>
                <w:lang w:val="es-ES"/>
              </w:rPr>
              <w:t>O</w:t>
            </w:r>
          </w:p>
        </w:tc>
        <w:tc>
          <w:tcPr>
            <w:tcW w:w="521" w:type="pct"/>
            <w:tcBorders>
              <w:top w:val="nil"/>
              <w:bottom w:val="nil"/>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eastAsia="等线" w:hAnsi="Times New Roman" w:cs="Times New Roman"/>
                <w:color w:val="000000"/>
                <w:kern w:val="0"/>
                <w:sz w:val="22"/>
              </w:rPr>
              <w:t>1.10.3.2</w:t>
            </w:r>
          </w:p>
        </w:tc>
      </w:tr>
      <w:tr w:rsidR="00F779B5" w:rsidRPr="00F779B5" w:rsidTr="00ED0A7C">
        <w:trPr>
          <w:jc w:val="center"/>
        </w:trPr>
        <w:tc>
          <w:tcPr>
            <w:tcW w:w="1147" w:type="pct"/>
            <w:tcBorders>
              <w:top w:val="nil"/>
              <w:bottom w:val="single" w:sz="4" w:space="0" w:color="auto"/>
            </w:tcBorders>
            <w:vAlign w:val="center"/>
          </w:tcPr>
          <w:p w:rsidR="00F779B5" w:rsidRPr="00F779B5" w:rsidRDefault="00F779B5" w:rsidP="00ED0A7C">
            <w:pPr>
              <w:widowControl/>
              <w:jc w:val="left"/>
              <w:rPr>
                <w:rFonts w:ascii="Times New Roman" w:hAnsi="Times New Roman" w:cs="Times New Roman"/>
                <w:sz w:val="22"/>
              </w:rPr>
            </w:pPr>
            <w:r w:rsidRPr="00F779B5">
              <w:rPr>
                <w:rFonts w:ascii="Times New Roman" w:hAnsi="Times New Roman" w:cs="Times New Roman"/>
                <w:sz w:val="22"/>
              </w:rPr>
              <w:t xml:space="preserve">Peroxidase </w:t>
            </w:r>
          </w:p>
        </w:tc>
        <w:tc>
          <w:tcPr>
            <w:tcW w:w="1737" w:type="pct"/>
            <w:tcBorders>
              <w:top w:val="nil"/>
              <w:bottom w:val="single" w:sz="4" w:space="0" w:color="auto"/>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L-3,4-dihydroxyphenylalanine</w:t>
            </w:r>
          </w:p>
        </w:tc>
        <w:tc>
          <w:tcPr>
            <w:tcW w:w="1595" w:type="pct"/>
            <w:tcBorders>
              <w:top w:val="nil"/>
              <w:bottom w:val="single" w:sz="4" w:space="0" w:color="auto"/>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hAnsi="Times New Roman" w:cs="Times New Roman"/>
                <w:sz w:val="22"/>
              </w:rPr>
              <w:t>ROOR’ + 2e</w:t>
            </w:r>
            <w:r w:rsidRPr="00F779B5">
              <w:rPr>
                <w:rFonts w:ascii="Times New Roman" w:hAnsi="Times New Roman" w:cs="Times New Roman"/>
                <w:sz w:val="22"/>
                <w:vertAlign w:val="superscript"/>
              </w:rPr>
              <w:t>−</w:t>
            </w:r>
            <w:r w:rsidRPr="00F779B5">
              <w:rPr>
                <w:rFonts w:ascii="Times New Roman" w:hAnsi="Times New Roman" w:cs="Times New Roman"/>
                <w:sz w:val="22"/>
              </w:rPr>
              <w:t xml:space="preserve"> + 2H</w:t>
            </w:r>
            <w:r w:rsidRPr="00F779B5">
              <w:rPr>
                <w:rFonts w:ascii="Times New Roman" w:hAnsi="Times New Roman" w:cs="Times New Roman"/>
                <w:sz w:val="22"/>
                <w:vertAlign w:val="superscript"/>
              </w:rPr>
              <w:t xml:space="preserve">+ </w:t>
            </w:r>
            <w:r w:rsidRPr="00F779B5">
              <w:rPr>
                <w:rFonts w:ascii="Times New Roman" w:hAnsi="Times New Roman" w:cs="Times New Roman"/>
                <w:sz w:val="22"/>
              </w:rPr>
              <w:t>→ROH + R'OH</w:t>
            </w:r>
          </w:p>
        </w:tc>
        <w:tc>
          <w:tcPr>
            <w:tcW w:w="521" w:type="pct"/>
            <w:tcBorders>
              <w:top w:val="nil"/>
              <w:bottom w:val="single" w:sz="4" w:space="0" w:color="auto"/>
            </w:tcBorders>
            <w:vAlign w:val="center"/>
          </w:tcPr>
          <w:p w:rsidR="00F779B5" w:rsidRPr="00F779B5" w:rsidRDefault="00F779B5" w:rsidP="00ED0A7C">
            <w:pPr>
              <w:jc w:val="center"/>
              <w:rPr>
                <w:rFonts w:ascii="Times New Roman" w:hAnsi="Times New Roman" w:cs="Times New Roman"/>
                <w:sz w:val="22"/>
              </w:rPr>
            </w:pPr>
            <w:r w:rsidRPr="00F779B5">
              <w:rPr>
                <w:rFonts w:ascii="Times New Roman" w:eastAsia="等线" w:hAnsi="Times New Roman" w:cs="Times New Roman"/>
                <w:color w:val="000000"/>
                <w:kern w:val="0"/>
                <w:sz w:val="22"/>
              </w:rPr>
              <w:t>1.11.1.7</w:t>
            </w:r>
          </w:p>
        </w:tc>
      </w:tr>
    </w:tbl>
    <w:p w:rsidR="00F779B5" w:rsidRPr="00F779B5" w:rsidRDefault="00F779B5">
      <w:pPr>
        <w:widowControl/>
        <w:jc w:val="left"/>
        <w:rPr>
          <w:rFonts w:ascii="Times New Roman" w:hAnsi="Times New Roman" w:cs="Times New Roman"/>
          <w:b/>
          <w:bCs/>
          <w:sz w:val="24"/>
          <w:szCs w:val="24"/>
        </w:rPr>
      </w:pPr>
    </w:p>
    <w:p w:rsidR="00F779B5" w:rsidRPr="00F779B5" w:rsidRDefault="00F779B5" w:rsidP="00F779B5">
      <w:pPr>
        <w:rPr>
          <w:rFonts w:ascii="Times New Roman" w:hAnsi="Times New Roman" w:cs="Times New Roman"/>
        </w:rPr>
      </w:pPr>
      <w:r w:rsidRPr="00F779B5">
        <w:rPr>
          <w:rFonts w:ascii="Times New Roman" w:hAnsi="Times New Roman" w:cs="Times New Roman"/>
        </w:rPr>
        <w:br w:type="page"/>
      </w:r>
    </w:p>
    <w:p w:rsidR="00F779B5" w:rsidRPr="00F779B5" w:rsidRDefault="00F779B5" w:rsidP="00F779B5">
      <w:pPr>
        <w:widowControl/>
        <w:rPr>
          <w:rFonts w:ascii="Times New Roman" w:hAnsi="Times New Roman" w:cs="Times New Roman"/>
          <w:sz w:val="24"/>
          <w:szCs w:val="24"/>
        </w:rPr>
      </w:pPr>
      <w:r w:rsidRPr="00F779B5">
        <w:rPr>
          <w:rFonts w:ascii="Times New Roman" w:hAnsi="Times New Roman" w:cs="Times New Roman"/>
          <w:sz w:val="24"/>
          <w:szCs w:val="24"/>
        </w:rPr>
        <w:lastRenderedPageBreak/>
        <w:t>Table S3</w:t>
      </w:r>
      <w:r w:rsidRPr="00F779B5">
        <w:rPr>
          <w:rFonts w:ascii="Times New Roman" w:hAnsi="Times New Roman" w:cs="Times New Roman"/>
        </w:rPr>
        <w:t xml:space="preserve"> </w:t>
      </w:r>
      <w:r w:rsidRPr="00F779B5">
        <w:rPr>
          <w:rFonts w:ascii="Times New Roman" w:hAnsi="Times New Roman" w:cs="Times New Roman"/>
          <w:sz w:val="24"/>
          <w:szCs w:val="24"/>
        </w:rPr>
        <w:t xml:space="preserve">Variance analysis of the effects of storage conditions, soil types, enzyme types, and their interactions on </w:t>
      </w:r>
      <w:r w:rsidRPr="00F779B5">
        <w:rPr>
          <w:rFonts w:ascii="Times New Roman" w:hAnsi="Times New Roman" w:cs="Times New Roman"/>
          <w:noProof/>
          <w:sz w:val="24"/>
          <w:szCs w:val="24"/>
        </w:rPr>
        <w:t>microbial extracellular</w:t>
      </w:r>
      <w:r w:rsidRPr="00F779B5">
        <w:rPr>
          <w:rFonts w:ascii="Times New Roman" w:hAnsi="Times New Roman" w:cs="Times New Roman"/>
          <w:sz w:val="24"/>
          <w:szCs w:val="24"/>
        </w:rPr>
        <w:t xml:space="preserve"> enzyme activities.</w:t>
      </w:r>
    </w:p>
    <w:tbl>
      <w:tblPr>
        <w:tblStyle w:val="af"/>
        <w:tblpPr w:leftFromText="180" w:rightFromText="180" w:vertAnchor="text" w:horzAnchor="margin" w:tblpY="98"/>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4"/>
        <w:gridCol w:w="505"/>
        <w:gridCol w:w="872"/>
        <w:gridCol w:w="1201"/>
        <w:gridCol w:w="924"/>
      </w:tblGrid>
      <w:tr w:rsidR="00F779B5" w:rsidRPr="00F779B5" w:rsidTr="00ED0A7C">
        <w:tc>
          <w:tcPr>
            <w:tcW w:w="2892" w:type="pct"/>
            <w:tcBorders>
              <w:top w:val="single" w:sz="4" w:space="0" w:color="auto"/>
              <w:bottom w:val="single" w:sz="4" w:space="0" w:color="auto"/>
            </w:tcBorders>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sz w:val="24"/>
                <w:szCs w:val="24"/>
              </w:rPr>
              <w:t>Treatment</w:t>
            </w:r>
          </w:p>
        </w:tc>
        <w:tc>
          <w:tcPr>
            <w:tcW w:w="304" w:type="pct"/>
            <w:tcBorders>
              <w:top w:val="single" w:sz="4" w:space="0" w:color="auto"/>
              <w:bottom w:val="single" w:sz="4" w:space="0" w:color="auto"/>
            </w:tcBorders>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 xml:space="preserve">Df </w:t>
            </w:r>
          </w:p>
        </w:tc>
        <w:tc>
          <w:tcPr>
            <w:tcW w:w="525" w:type="pct"/>
            <w:tcBorders>
              <w:top w:val="single" w:sz="4" w:space="0" w:color="auto"/>
              <w:bottom w:val="single" w:sz="4" w:space="0" w:color="auto"/>
            </w:tcBorders>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Df.res</w:t>
            </w:r>
          </w:p>
        </w:tc>
        <w:tc>
          <w:tcPr>
            <w:tcW w:w="723" w:type="pct"/>
            <w:tcBorders>
              <w:top w:val="single" w:sz="4" w:space="0" w:color="auto"/>
              <w:bottom w:val="single" w:sz="4" w:space="0" w:color="auto"/>
            </w:tcBorders>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rPr>
              <w:t>F-value</w:t>
            </w:r>
          </w:p>
        </w:tc>
        <w:tc>
          <w:tcPr>
            <w:tcW w:w="556" w:type="pct"/>
            <w:tcBorders>
              <w:top w:val="single" w:sz="4" w:space="0" w:color="auto"/>
              <w:bottom w:val="single" w:sz="4" w:space="0" w:color="auto"/>
            </w:tcBorders>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rPr>
              <w:t>P-value</w:t>
            </w:r>
          </w:p>
        </w:tc>
      </w:tr>
      <w:tr w:rsidR="00F779B5" w:rsidRPr="00F779B5" w:rsidTr="00ED0A7C">
        <w:tc>
          <w:tcPr>
            <w:tcW w:w="2892" w:type="pct"/>
            <w:tcBorders>
              <w:top w:val="single" w:sz="4" w:space="0" w:color="auto"/>
            </w:tcBorders>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sz w:val="24"/>
                <w:szCs w:val="24"/>
              </w:rPr>
              <w:t>Storage condition</w:t>
            </w:r>
          </w:p>
        </w:tc>
        <w:tc>
          <w:tcPr>
            <w:tcW w:w="304" w:type="pct"/>
            <w:tcBorders>
              <w:top w:val="single" w:sz="4" w:space="0" w:color="auto"/>
            </w:tcBorders>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2</w:t>
            </w:r>
          </w:p>
        </w:tc>
        <w:tc>
          <w:tcPr>
            <w:tcW w:w="525" w:type="pct"/>
            <w:tcBorders>
              <w:top w:val="single" w:sz="4" w:space="0" w:color="auto"/>
            </w:tcBorders>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294</w:t>
            </w:r>
          </w:p>
        </w:tc>
        <w:tc>
          <w:tcPr>
            <w:tcW w:w="723" w:type="pct"/>
            <w:tcBorders>
              <w:top w:val="single" w:sz="4" w:space="0" w:color="auto"/>
            </w:tcBorders>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171.5158</w:t>
            </w:r>
          </w:p>
        </w:tc>
        <w:tc>
          <w:tcPr>
            <w:tcW w:w="556" w:type="pct"/>
            <w:tcBorders>
              <w:top w:val="single" w:sz="4" w:space="0" w:color="auto"/>
            </w:tcBorders>
          </w:tcPr>
          <w:p w:rsidR="00F779B5" w:rsidRPr="00F779B5" w:rsidRDefault="00F779B5" w:rsidP="00ED0A7C">
            <w:pPr>
              <w:widowControl/>
              <w:spacing w:line="360" w:lineRule="auto"/>
              <w:jc w:val="left"/>
              <w:rPr>
                <w:rFonts w:ascii="Times New Roman" w:hAnsi="Times New Roman" w:cs="Times New Roman"/>
                <w:b/>
                <w:bCs/>
                <w:sz w:val="24"/>
                <w:szCs w:val="24"/>
              </w:rPr>
            </w:pPr>
            <w:r w:rsidRPr="00F779B5">
              <w:rPr>
                <w:rFonts w:ascii="Times New Roman" w:hAnsi="Times New Roman" w:cs="Times New Roman"/>
                <w:b/>
                <w:bCs/>
                <w:sz w:val="24"/>
                <w:szCs w:val="24"/>
              </w:rPr>
              <w:t>&lt; 0.01</w:t>
            </w:r>
          </w:p>
        </w:tc>
      </w:tr>
      <w:tr w:rsidR="00F779B5" w:rsidRPr="00F779B5" w:rsidTr="00ED0A7C">
        <w:tc>
          <w:tcPr>
            <w:tcW w:w="2892" w:type="pct"/>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sz w:val="24"/>
                <w:szCs w:val="24"/>
              </w:rPr>
              <w:t>Soil type</w:t>
            </w:r>
          </w:p>
        </w:tc>
        <w:tc>
          <w:tcPr>
            <w:tcW w:w="304"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2</w:t>
            </w:r>
          </w:p>
        </w:tc>
        <w:tc>
          <w:tcPr>
            <w:tcW w:w="525"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294</w:t>
            </w:r>
          </w:p>
        </w:tc>
        <w:tc>
          <w:tcPr>
            <w:tcW w:w="723"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93.8505</w:t>
            </w:r>
          </w:p>
        </w:tc>
        <w:tc>
          <w:tcPr>
            <w:tcW w:w="556" w:type="pct"/>
          </w:tcPr>
          <w:p w:rsidR="00F779B5" w:rsidRPr="00F779B5" w:rsidRDefault="00F779B5" w:rsidP="00ED0A7C">
            <w:pPr>
              <w:widowControl/>
              <w:spacing w:line="360" w:lineRule="auto"/>
              <w:jc w:val="left"/>
              <w:rPr>
                <w:rFonts w:ascii="Times New Roman" w:hAnsi="Times New Roman" w:cs="Times New Roman"/>
                <w:b/>
                <w:bCs/>
                <w:sz w:val="24"/>
                <w:szCs w:val="24"/>
              </w:rPr>
            </w:pPr>
            <w:r w:rsidRPr="00F779B5">
              <w:rPr>
                <w:rFonts w:ascii="Times New Roman" w:hAnsi="Times New Roman" w:cs="Times New Roman"/>
                <w:b/>
                <w:bCs/>
                <w:sz w:val="24"/>
                <w:szCs w:val="24"/>
              </w:rPr>
              <w:t>&lt; 0.01</w:t>
            </w:r>
          </w:p>
        </w:tc>
      </w:tr>
      <w:tr w:rsidR="00F779B5" w:rsidRPr="00F779B5" w:rsidTr="00ED0A7C">
        <w:tc>
          <w:tcPr>
            <w:tcW w:w="2892" w:type="pct"/>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sz w:val="24"/>
                <w:szCs w:val="24"/>
              </w:rPr>
              <w:t>Enzyme type</w:t>
            </w:r>
          </w:p>
        </w:tc>
        <w:tc>
          <w:tcPr>
            <w:tcW w:w="304"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10</w:t>
            </w:r>
          </w:p>
        </w:tc>
        <w:tc>
          <w:tcPr>
            <w:tcW w:w="525"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294</w:t>
            </w:r>
          </w:p>
        </w:tc>
        <w:tc>
          <w:tcPr>
            <w:tcW w:w="723"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87.6287</w:t>
            </w:r>
          </w:p>
        </w:tc>
        <w:tc>
          <w:tcPr>
            <w:tcW w:w="556" w:type="pct"/>
          </w:tcPr>
          <w:p w:rsidR="00F779B5" w:rsidRPr="00F779B5" w:rsidRDefault="00F779B5" w:rsidP="00ED0A7C">
            <w:pPr>
              <w:widowControl/>
              <w:spacing w:line="360" w:lineRule="auto"/>
              <w:jc w:val="left"/>
              <w:rPr>
                <w:rFonts w:ascii="Times New Roman" w:hAnsi="Times New Roman" w:cs="Times New Roman"/>
                <w:b/>
                <w:bCs/>
                <w:sz w:val="24"/>
                <w:szCs w:val="24"/>
              </w:rPr>
            </w:pPr>
            <w:r w:rsidRPr="00F779B5">
              <w:rPr>
                <w:rFonts w:ascii="Times New Roman" w:hAnsi="Times New Roman" w:cs="Times New Roman"/>
                <w:b/>
                <w:bCs/>
                <w:sz w:val="24"/>
                <w:szCs w:val="24"/>
              </w:rPr>
              <w:t>&lt; 0.01</w:t>
            </w:r>
          </w:p>
        </w:tc>
      </w:tr>
      <w:tr w:rsidR="00F779B5" w:rsidRPr="00F779B5" w:rsidTr="00ED0A7C">
        <w:tc>
          <w:tcPr>
            <w:tcW w:w="2892" w:type="pct"/>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sz w:val="24"/>
                <w:szCs w:val="24"/>
              </w:rPr>
              <w:t>Storage condition × soil type</w:t>
            </w:r>
          </w:p>
        </w:tc>
        <w:tc>
          <w:tcPr>
            <w:tcW w:w="304"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4</w:t>
            </w:r>
          </w:p>
        </w:tc>
        <w:tc>
          <w:tcPr>
            <w:tcW w:w="525"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294</w:t>
            </w:r>
          </w:p>
        </w:tc>
        <w:tc>
          <w:tcPr>
            <w:tcW w:w="723"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58.3043</w:t>
            </w:r>
          </w:p>
        </w:tc>
        <w:tc>
          <w:tcPr>
            <w:tcW w:w="556" w:type="pct"/>
          </w:tcPr>
          <w:p w:rsidR="00F779B5" w:rsidRPr="00F779B5" w:rsidRDefault="00F779B5" w:rsidP="00ED0A7C">
            <w:pPr>
              <w:widowControl/>
              <w:spacing w:line="360" w:lineRule="auto"/>
              <w:jc w:val="left"/>
              <w:rPr>
                <w:rFonts w:ascii="Times New Roman" w:hAnsi="Times New Roman" w:cs="Times New Roman"/>
                <w:b/>
                <w:bCs/>
                <w:sz w:val="24"/>
                <w:szCs w:val="24"/>
              </w:rPr>
            </w:pPr>
            <w:r w:rsidRPr="00F779B5">
              <w:rPr>
                <w:rFonts w:ascii="Times New Roman" w:hAnsi="Times New Roman" w:cs="Times New Roman"/>
                <w:b/>
                <w:bCs/>
                <w:sz w:val="24"/>
                <w:szCs w:val="24"/>
              </w:rPr>
              <w:t>&lt; 0.01</w:t>
            </w:r>
          </w:p>
        </w:tc>
      </w:tr>
      <w:tr w:rsidR="00F779B5" w:rsidRPr="00F779B5" w:rsidTr="00ED0A7C">
        <w:tc>
          <w:tcPr>
            <w:tcW w:w="2892" w:type="pct"/>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sz w:val="24"/>
                <w:szCs w:val="24"/>
              </w:rPr>
              <w:t>Storage condition × enzyme type</w:t>
            </w:r>
          </w:p>
        </w:tc>
        <w:tc>
          <w:tcPr>
            <w:tcW w:w="304"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20</w:t>
            </w:r>
          </w:p>
        </w:tc>
        <w:tc>
          <w:tcPr>
            <w:tcW w:w="525"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294</w:t>
            </w:r>
          </w:p>
        </w:tc>
        <w:tc>
          <w:tcPr>
            <w:tcW w:w="723"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4"/>
                <w:szCs w:val="24"/>
              </w:rPr>
              <w:t>28.6293</w:t>
            </w:r>
          </w:p>
        </w:tc>
        <w:tc>
          <w:tcPr>
            <w:tcW w:w="556" w:type="pct"/>
          </w:tcPr>
          <w:p w:rsidR="00F779B5" w:rsidRPr="00F779B5" w:rsidRDefault="00F779B5" w:rsidP="00ED0A7C">
            <w:pPr>
              <w:widowControl/>
              <w:spacing w:line="360" w:lineRule="auto"/>
              <w:jc w:val="left"/>
              <w:rPr>
                <w:rFonts w:ascii="Times New Roman" w:hAnsi="Times New Roman" w:cs="Times New Roman"/>
                <w:b/>
                <w:bCs/>
                <w:sz w:val="24"/>
                <w:szCs w:val="24"/>
              </w:rPr>
            </w:pPr>
            <w:r w:rsidRPr="00F779B5">
              <w:rPr>
                <w:rFonts w:ascii="Times New Roman" w:hAnsi="Times New Roman" w:cs="Times New Roman"/>
                <w:b/>
                <w:bCs/>
                <w:sz w:val="24"/>
                <w:szCs w:val="24"/>
              </w:rPr>
              <w:t>&lt; 0.01</w:t>
            </w:r>
          </w:p>
        </w:tc>
      </w:tr>
      <w:tr w:rsidR="00F779B5" w:rsidRPr="00F779B5" w:rsidTr="00ED0A7C">
        <w:tc>
          <w:tcPr>
            <w:tcW w:w="2892" w:type="pct"/>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sz w:val="24"/>
                <w:szCs w:val="24"/>
              </w:rPr>
              <w:t>Soil type × enzyme type</w:t>
            </w:r>
          </w:p>
        </w:tc>
        <w:tc>
          <w:tcPr>
            <w:tcW w:w="304" w:type="pct"/>
            <w:vAlign w:val="center"/>
          </w:tcPr>
          <w:p w:rsidR="00F779B5" w:rsidRPr="00F779B5" w:rsidRDefault="00F779B5" w:rsidP="00ED0A7C">
            <w:pPr>
              <w:widowControl/>
              <w:spacing w:line="360" w:lineRule="auto"/>
              <w:jc w:val="left"/>
              <w:rPr>
                <w:rFonts w:ascii="Times New Roman" w:eastAsia="等线" w:hAnsi="Times New Roman" w:cs="Times New Roman"/>
                <w:color w:val="000000"/>
                <w:sz w:val="24"/>
                <w:szCs w:val="24"/>
              </w:rPr>
            </w:pPr>
            <w:r w:rsidRPr="00F779B5">
              <w:rPr>
                <w:rFonts w:ascii="Times New Roman" w:eastAsia="等线" w:hAnsi="Times New Roman" w:cs="Times New Roman"/>
                <w:color w:val="000000"/>
                <w:sz w:val="24"/>
                <w:szCs w:val="24"/>
              </w:rPr>
              <w:t>20</w:t>
            </w:r>
          </w:p>
        </w:tc>
        <w:tc>
          <w:tcPr>
            <w:tcW w:w="525" w:type="pct"/>
            <w:vAlign w:val="center"/>
          </w:tcPr>
          <w:p w:rsidR="00F779B5" w:rsidRPr="00F779B5" w:rsidRDefault="00F779B5" w:rsidP="00ED0A7C">
            <w:pPr>
              <w:widowControl/>
              <w:spacing w:line="360" w:lineRule="auto"/>
              <w:jc w:val="left"/>
              <w:rPr>
                <w:rFonts w:ascii="Times New Roman" w:eastAsia="等线" w:hAnsi="Times New Roman" w:cs="Times New Roman"/>
                <w:color w:val="000000"/>
                <w:sz w:val="24"/>
                <w:szCs w:val="24"/>
              </w:rPr>
            </w:pPr>
            <w:r w:rsidRPr="00F779B5">
              <w:rPr>
                <w:rFonts w:ascii="Times New Roman" w:eastAsia="等线" w:hAnsi="Times New Roman" w:cs="Times New Roman"/>
                <w:color w:val="000000"/>
                <w:sz w:val="24"/>
                <w:szCs w:val="24"/>
              </w:rPr>
              <w:t>294</w:t>
            </w:r>
          </w:p>
        </w:tc>
        <w:tc>
          <w:tcPr>
            <w:tcW w:w="723" w:type="pct"/>
            <w:vAlign w:val="center"/>
          </w:tcPr>
          <w:p w:rsidR="00F779B5" w:rsidRPr="00F779B5" w:rsidRDefault="00F779B5" w:rsidP="00ED0A7C">
            <w:pPr>
              <w:widowControl/>
              <w:spacing w:line="360" w:lineRule="auto"/>
              <w:jc w:val="left"/>
              <w:rPr>
                <w:rFonts w:ascii="Times New Roman" w:eastAsia="等线" w:hAnsi="Times New Roman" w:cs="Times New Roman"/>
                <w:color w:val="000000"/>
                <w:sz w:val="24"/>
                <w:szCs w:val="24"/>
              </w:rPr>
            </w:pPr>
            <w:r w:rsidRPr="00F779B5">
              <w:rPr>
                <w:rFonts w:ascii="Times New Roman" w:eastAsia="等线" w:hAnsi="Times New Roman" w:cs="Times New Roman"/>
                <w:color w:val="000000"/>
                <w:sz w:val="24"/>
                <w:szCs w:val="24"/>
              </w:rPr>
              <w:t>17.8631</w:t>
            </w:r>
          </w:p>
        </w:tc>
        <w:tc>
          <w:tcPr>
            <w:tcW w:w="556" w:type="pct"/>
          </w:tcPr>
          <w:p w:rsidR="00F779B5" w:rsidRPr="00F779B5" w:rsidRDefault="00F779B5" w:rsidP="00ED0A7C">
            <w:pPr>
              <w:widowControl/>
              <w:spacing w:line="360" w:lineRule="auto"/>
              <w:jc w:val="left"/>
              <w:rPr>
                <w:rFonts w:ascii="Times New Roman" w:hAnsi="Times New Roman" w:cs="Times New Roman"/>
                <w:b/>
                <w:bCs/>
                <w:sz w:val="24"/>
                <w:szCs w:val="24"/>
              </w:rPr>
            </w:pPr>
            <w:r w:rsidRPr="00F779B5">
              <w:rPr>
                <w:rFonts w:ascii="Times New Roman" w:hAnsi="Times New Roman" w:cs="Times New Roman"/>
                <w:b/>
                <w:bCs/>
                <w:sz w:val="24"/>
                <w:szCs w:val="24"/>
              </w:rPr>
              <w:t>&lt; 0.01</w:t>
            </w:r>
          </w:p>
        </w:tc>
      </w:tr>
      <w:tr w:rsidR="00F779B5" w:rsidRPr="00F779B5" w:rsidTr="00ED0A7C">
        <w:tc>
          <w:tcPr>
            <w:tcW w:w="2892" w:type="pct"/>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sz w:val="24"/>
                <w:szCs w:val="24"/>
              </w:rPr>
              <w:t>Storage condition × soil type × enzyme type</w:t>
            </w:r>
          </w:p>
        </w:tc>
        <w:tc>
          <w:tcPr>
            <w:tcW w:w="304"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sz w:val="24"/>
                <w:szCs w:val="24"/>
              </w:rPr>
              <w:t>40</w:t>
            </w:r>
          </w:p>
        </w:tc>
        <w:tc>
          <w:tcPr>
            <w:tcW w:w="525"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hAnsi="Times New Roman" w:cs="Times New Roman"/>
                <w:sz w:val="24"/>
                <w:szCs w:val="24"/>
              </w:rPr>
              <w:t>294</w:t>
            </w:r>
          </w:p>
        </w:tc>
        <w:tc>
          <w:tcPr>
            <w:tcW w:w="723" w:type="pct"/>
            <w:vAlign w:val="center"/>
          </w:tcPr>
          <w:p w:rsidR="00F779B5" w:rsidRPr="00F779B5" w:rsidRDefault="00F779B5" w:rsidP="00ED0A7C">
            <w:pPr>
              <w:widowControl/>
              <w:spacing w:line="360" w:lineRule="auto"/>
              <w:jc w:val="left"/>
              <w:rPr>
                <w:rFonts w:ascii="Times New Roman" w:hAnsi="Times New Roman" w:cs="Times New Roman"/>
                <w:sz w:val="24"/>
                <w:szCs w:val="24"/>
              </w:rPr>
            </w:pPr>
            <w:r w:rsidRPr="00F779B5">
              <w:rPr>
                <w:rFonts w:ascii="Times New Roman" w:eastAsia="等线" w:hAnsi="Times New Roman" w:cs="Times New Roman"/>
                <w:color w:val="000000"/>
                <w:sz w:val="22"/>
              </w:rPr>
              <w:t>8.3581</w:t>
            </w:r>
          </w:p>
        </w:tc>
        <w:tc>
          <w:tcPr>
            <w:tcW w:w="556" w:type="pct"/>
          </w:tcPr>
          <w:p w:rsidR="00F779B5" w:rsidRPr="00F779B5" w:rsidRDefault="00F779B5" w:rsidP="00ED0A7C">
            <w:pPr>
              <w:widowControl/>
              <w:spacing w:line="360" w:lineRule="auto"/>
              <w:jc w:val="left"/>
              <w:rPr>
                <w:rFonts w:ascii="Times New Roman" w:hAnsi="Times New Roman" w:cs="Times New Roman"/>
                <w:b/>
                <w:bCs/>
                <w:sz w:val="24"/>
                <w:szCs w:val="24"/>
              </w:rPr>
            </w:pPr>
            <w:r w:rsidRPr="00F779B5">
              <w:rPr>
                <w:rFonts w:ascii="Times New Roman" w:hAnsi="Times New Roman" w:cs="Times New Roman"/>
                <w:b/>
                <w:bCs/>
                <w:sz w:val="24"/>
                <w:szCs w:val="24"/>
              </w:rPr>
              <w:t>&lt; 0.01</w:t>
            </w:r>
          </w:p>
        </w:tc>
      </w:tr>
    </w:tbl>
    <w:p w:rsidR="00F779B5" w:rsidRPr="00F779B5" w:rsidRDefault="00F779B5" w:rsidP="00F779B5">
      <w:pPr>
        <w:widowControl/>
        <w:rPr>
          <w:rFonts w:ascii="Times New Roman" w:hAnsi="Times New Roman" w:cs="Times New Roman"/>
          <w:sz w:val="24"/>
          <w:szCs w:val="28"/>
        </w:rPr>
      </w:pPr>
      <w:r w:rsidRPr="00F779B5">
        <w:rPr>
          <w:rFonts w:ascii="Times New Roman" w:hAnsi="Times New Roman" w:cs="Times New Roman"/>
          <w:sz w:val="24"/>
          <w:szCs w:val="28"/>
        </w:rPr>
        <w:t>Df, numerator degree of freedom. Df. res, denominator degree of freedom. Linear mixed-effects models were conducted, storage conditions, soil types, enzyme types and their interaction were considered as fixed factors, while plots nested within blocks were considered as random factors.</w:t>
      </w:r>
    </w:p>
    <w:p w:rsidR="00F779B5" w:rsidRPr="00F779B5" w:rsidRDefault="00F779B5">
      <w:pPr>
        <w:widowControl/>
        <w:jc w:val="left"/>
        <w:rPr>
          <w:rFonts w:ascii="Times New Roman" w:hAnsi="Times New Roman" w:cs="Times New Roman"/>
          <w:b/>
          <w:bCs/>
          <w:sz w:val="24"/>
          <w:szCs w:val="24"/>
        </w:rPr>
      </w:pPr>
      <w:r w:rsidRPr="00F779B5">
        <w:rPr>
          <w:rFonts w:ascii="Times New Roman" w:hAnsi="Times New Roman" w:cs="Times New Roman"/>
          <w:b/>
          <w:bCs/>
          <w:sz w:val="24"/>
          <w:szCs w:val="24"/>
        </w:rPr>
        <w:br w:type="page"/>
      </w:r>
    </w:p>
    <w:p w:rsidR="00034F15" w:rsidRPr="00F779B5" w:rsidRDefault="00034F15" w:rsidP="00034F15">
      <w:pPr>
        <w:widowControl/>
        <w:jc w:val="left"/>
        <w:rPr>
          <w:rFonts w:ascii="Times New Roman" w:hAnsi="Times New Roman" w:cs="Times New Roman"/>
          <w:b/>
          <w:bCs/>
          <w:sz w:val="24"/>
          <w:szCs w:val="24"/>
        </w:rPr>
      </w:pPr>
      <w:r w:rsidRPr="00F779B5">
        <w:rPr>
          <w:rFonts w:ascii="Times New Roman" w:hAnsi="Times New Roman" w:cs="Times New Roman"/>
          <w:b/>
          <w:bCs/>
          <w:sz w:val="24"/>
          <w:szCs w:val="24"/>
        </w:rPr>
        <w:lastRenderedPageBreak/>
        <w:t>Figures</w:t>
      </w:r>
    </w:p>
    <w:p w:rsidR="00F779B5" w:rsidRPr="00F779B5" w:rsidRDefault="00F779B5" w:rsidP="00F779B5">
      <w:pPr>
        <w:widowControl/>
        <w:jc w:val="center"/>
        <w:rPr>
          <w:rFonts w:ascii="Times New Roman" w:hAnsi="Times New Roman" w:cs="Times New Roman"/>
          <w:noProof/>
          <w:sz w:val="24"/>
          <w:szCs w:val="24"/>
        </w:rPr>
      </w:pPr>
      <w:r w:rsidRPr="00F779B5">
        <w:rPr>
          <w:rFonts w:ascii="Times New Roman" w:hAnsi="Times New Roman" w:cs="Times New Roman"/>
          <w:noProof/>
          <w:sz w:val="24"/>
          <w:szCs w:val="24"/>
        </w:rPr>
        <w:drawing>
          <wp:inline distT="0" distB="0" distL="0" distR="0" wp14:anchorId="3F022F2D" wp14:editId="51D89D40">
            <wp:extent cx="5191125" cy="4898488"/>
            <wp:effectExtent l="0" t="0" r="0" b="0"/>
            <wp:docPr id="1325696761" name="图片 19"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696761" name="图片 19" descr="图表&#10;&#10;AI 生成的内容可能不正确。"/>
                    <pic:cNvPicPr/>
                  </pic:nvPicPr>
                  <pic:blipFill rotWithShape="1">
                    <a:blip r:embed="rId7" cstate="print">
                      <a:extLst>
                        <a:ext uri="{28A0092B-C50C-407E-A947-70E740481C1C}">
                          <a14:useLocalDpi xmlns:a14="http://schemas.microsoft.com/office/drawing/2010/main" val="0"/>
                        </a:ext>
                      </a:extLst>
                    </a:blip>
                    <a:srcRect l="13184" r="13135" b="1886"/>
                    <a:stretch>
                      <a:fillRect/>
                    </a:stretch>
                  </pic:blipFill>
                  <pic:spPr bwMode="auto">
                    <a:xfrm>
                      <a:off x="0" y="0"/>
                      <a:ext cx="5197672" cy="4904666"/>
                    </a:xfrm>
                    <a:prstGeom prst="rect">
                      <a:avLst/>
                    </a:prstGeom>
                    <a:ln>
                      <a:noFill/>
                    </a:ln>
                    <a:extLst>
                      <a:ext uri="{53640926-AAD7-44D8-BBD7-CCE9431645EC}">
                        <a14:shadowObscured xmlns:a14="http://schemas.microsoft.com/office/drawing/2010/main"/>
                      </a:ext>
                    </a:extLst>
                  </pic:spPr>
                </pic:pic>
              </a:graphicData>
            </a:graphic>
          </wp:inline>
        </w:drawing>
      </w:r>
    </w:p>
    <w:p w:rsidR="00F779B5" w:rsidRPr="00F779B5" w:rsidRDefault="00F779B5" w:rsidP="00F779B5">
      <w:pPr>
        <w:widowControl/>
        <w:rPr>
          <w:rFonts w:ascii="Times New Roman" w:hAnsi="Times New Roman" w:cs="Times New Roman"/>
          <w:noProof/>
          <w:sz w:val="24"/>
          <w:szCs w:val="24"/>
        </w:rPr>
      </w:pPr>
      <w:r w:rsidRPr="00F779B5">
        <w:rPr>
          <w:rFonts w:ascii="Times New Roman" w:hAnsi="Times New Roman" w:cs="Times New Roman"/>
          <w:b/>
          <w:bCs/>
          <w:noProof/>
          <w:sz w:val="24"/>
          <w:szCs w:val="24"/>
        </w:rPr>
        <w:t xml:space="preserve">Figure S1. Responses of hydrolytic enzyme activities to storage conditions. </w:t>
      </w:r>
      <w:r w:rsidRPr="00F779B5">
        <w:rPr>
          <w:rFonts w:ascii="Times New Roman" w:hAnsi="Times New Roman" w:cs="Times New Roman"/>
          <w:noProof/>
          <w:sz w:val="24"/>
          <w:szCs w:val="24"/>
        </w:rPr>
        <w:t xml:space="preserve">(a) α-1,4-glucosidase, (b) β-1,4-glucosidase, (c) </w:t>
      </w:r>
      <w:bookmarkStart w:id="12" w:name="_Hlk214888307"/>
      <w:r w:rsidRPr="00F779B5">
        <w:rPr>
          <w:rFonts w:ascii="Times New Roman" w:hAnsi="Times New Roman" w:cs="Times New Roman"/>
          <w:noProof/>
          <w:sz w:val="24"/>
          <w:szCs w:val="24"/>
        </w:rPr>
        <w:t>β-xylanase</w:t>
      </w:r>
      <w:bookmarkEnd w:id="12"/>
      <w:r w:rsidRPr="00F779B5">
        <w:rPr>
          <w:rFonts w:ascii="Times New Roman" w:hAnsi="Times New Roman" w:cs="Times New Roman"/>
          <w:noProof/>
          <w:sz w:val="24"/>
          <w:szCs w:val="24"/>
        </w:rPr>
        <w:t xml:space="preserve">, (d) </w:t>
      </w:r>
      <w:bookmarkStart w:id="13" w:name="_Hlk214900246"/>
      <w:r w:rsidRPr="00F779B5">
        <w:rPr>
          <w:rFonts w:ascii="Times New Roman" w:hAnsi="Times New Roman" w:cs="Times New Roman"/>
          <w:noProof/>
          <w:sz w:val="24"/>
          <w:szCs w:val="24"/>
        </w:rPr>
        <w:t>cellobiohydrolase</w:t>
      </w:r>
      <w:bookmarkEnd w:id="13"/>
      <w:r w:rsidRPr="00F779B5">
        <w:rPr>
          <w:rFonts w:ascii="Times New Roman" w:hAnsi="Times New Roman" w:cs="Times New Roman"/>
          <w:noProof/>
          <w:sz w:val="24"/>
          <w:szCs w:val="24"/>
        </w:rPr>
        <w:t>, (e) leucine aminopeptidase, (f) N-acetyl-glucosaminidase, and (g) phosphatase.</w:t>
      </w:r>
      <w:r w:rsidRPr="00F779B5">
        <w:rPr>
          <w:rFonts w:ascii="Times New Roman" w:hAnsi="Times New Roman" w:cs="Times New Roman"/>
        </w:rPr>
        <w:t xml:space="preserve"> </w:t>
      </w:r>
      <w:r w:rsidRPr="00F779B5">
        <w:rPr>
          <w:rFonts w:ascii="Times New Roman" w:hAnsi="Times New Roman" w:cs="Times New Roman"/>
          <w:noProof/>
          <w:sz w:val="24"/>
          <w:szCs w:val="24"/>
        </w:rPr>
        <w:t>The activity of leucine aminopeptidase met normality assumptions and was analyzed using linear mixed-effects models, followed by Dunn’s post hoc tests. The activities of α-1,4-glucosidase, β-1,4-glucosidase, β-xylanase, cellobiohydrolase, N-acetyl-glucosaminidase, and phosphatase did not meet normality assumptions and were analyzed using Kruskal–Wallis tests, followed by Dunn’s post hoc tests with Bonferroni correction. Different lowercase letters indicate significant differences between storage conditions (</w:t>
      </w:r>
      <w:r w:rsidRPr="00F779B5">
        <w:rPr>
          <w:rFonts w:ascii="Times New Roman" w:hAnsi="Times New Roman" w:cs="Times New Roman"/>
          <w:i/>
          <w:iCs/>
          <w:noProof/>
          <w:sz w:val="24"/>
          <w:szCs w:val="24"/>
        </w:rPr>
        <w:t>p</w:t>
      </w:r>
      <w:r w:rsidRPr="00F779B5">
        <w:rPr>
          <w:rFonts w:ascii="Times New Roman" w:hAnsi="Times New Roman" w:cs="Times New Roman"/>
          <w:noProof/>
          <w:sz w:val="24"/>
          <w:szCs w:val="24"/>
        </w:rPr>
        <w:t> &lt; 0.05).</w:t>
      </w:r>
      <w:r w:rsidRPr="00F779B5">
        <w:rPr>
          <w:rFonts w:ascii="Times New Roman" w:hAnsi="Times New Roman" w:cs="Times New Roman"/>
        </w:rPr>
        <w:t xml:space="preserve"> </w:t>
      </w:r>
      <w:r w:rsidRPr="00F779B5">
        <w:rPr>
          <w:rFonts w:ascii="Times New Roman" w:hAnsi="Times New Roman" w:cs="Times New Roman"/>
          <w:noProof/>
          <w:sz w:val="24"/>
          <w:szCs w:val="24"/>
        </w:rPr>
        <w:t>Values are presented as mean ± standard error (SE).</w:t>
      </w:r>
    </w:p>
    <w:p w:rsidR="00034F15" w:rsidRPr="00F779B5" w:rsidRDefault="00034F15" w:rsidP="00034F15">
      <w:pPr>
        <w:widowControl/>
        <w:jc w:val="left"/>
        <w:rPr>
          <w:rFonts w:ascii="Times New Roman" w:hAnsi="Times New Roman" w:cs="Times New Roman"/>
          <w:sz w:val="24"/>
          <w:szCs w:val="24"/>
        </w:rPr>
      </w:pPr>
    </w:p>
    <w:p w:rsidR="00034F15" w:rsidRPr="00F779B5" w:rsidRDefault="00034F15" w:rsidP="00034F15">
      <w:pPr>
        <w:widowControl/>
        <w:jc w:val="left"/>
        <w:rPr>
          <w:rFonts w:ascii="Times New Roman" w:hAnsi="Times New Roman" w:cs="Times New Roman"/>
          <w:sz w:val="24"/>
          <w:szCs w:val="24"/>
        </w:rPr>
        <w:sectPr w:rsidR="00034F15" w:rsidRPr="00F779B5" w:rsidSect="00034F15">
          <w:pgSz w:w="11906" w:h="16838"/>
          <w:pgMar w:top="1440" w:right="1800" w:bottom="1440" w:left="1800" w:header="851" w:footer="992" w:gutter="0"/>
          <w:lnNumType w:countBy="1" w:restart="continuous"/>
          <w:cols w:space="425"/>
          <w:docGrid w:type="lines" w:linePitch="312"/>
        </w:sectPr>
      </w:pPr>
    </w:p>
    <w:p w:rsidR="00F779B5" w:rsidRPr="00F779B5" w:rsidRDefault="00F779B5" w:rsidP="00F779B5">
      <w:pPr>
        <w:rPr>
          <w:rFonts w:ascii="Times New Roman" w:hAnsi="Times New Roman" w:cs="Times New Roman"/>
          <w:sz w:val="20"/>
          <w:szCs w:val="20"/>
        </w:rPr>
      </w:pPr>
      <w:r w:rsidRPr="00F779B5">
        <w:rPr>
          <w:rFonts w:ascii="Times New Roman" w:hAnsi="Times New Roman" w:cs="Times New Roman"/>
          <w:noProof/>
          <w:sz w:val="20"/>
          <w:szCs w:val="20"/>
        </w:rPr>
        <w:lastRenderedPageBreak/>
        <w:drawing>
          <wp:inline distT="0" distB="0" distL="0" distR="0" wp14:anchorId="6DB75FB7" wp14:editId="2EDFEBF0">
            <wp:extent cx="5274310" cy="2981960"/>
            <wp:effectExtent l="0" t="0" r="2540" b="0"/>
            <wp:docPr id="1098286755" name="图片 15" descr="图表, 箱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286755" name="图片 15" descr="图表, 箱线图&#10;&#10;AI 生成的内容可能不正确。"/>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981960"/>
                    </a:xfrm>
                    <a:prstGeom prst="rect">
                      <a:avLst/>
                    </a:prstGeom>
                  </pic:spPr>
                </pic:pic>
              </a:graphicData>
            </a:graphic>
          </wp:inline>
        </w:drawing>
      </w:r>
    </w:p>
    <w:p w:rsidR="00F779B5" w:rsidRPr="00F779B5" w:rsidRDefault="00F779B5" w:rsidP="00F779B5">
      <w:pPr>
        <w:rPr>
          <w:rFonts w:ascii="Times New Roman" w:hAnsi="Times New Roman" w:cs="Times New Roman"/>
          <w:sz w:val="24"/>
          <w:szCs w:val="24"/>
        </w:rPr>
      </w:pPr>
      <w:r w:rsidRPr="00F779B5">
        <w:rPr>
          <w:rFonts w:ascii="Times New Roman" w:hAnsi="Times New Roman" w:cs="Times New Roman"/>
          <w:b/>
          <w:bCs/>
          <w:sz w:val="24"/>
          <w:szCs w:val="24"/>
        </w:rPr>
        <w:t xml:space="preserve">Figure S2. Responses of oxidative enzyme activities to storage conditions. </w:t>
      </w:r>
      <w:r w:rsidRPr="00F779B5">
        <w:rPr>
          <w:rFonts w:ascii="Times New Roman" w:hAnsi="Times New Roman" w:cs="Times New Roman"/>
          <w:sz w:val="24"/>
          <w:szCs w:val="24"/>
        </w:rPr>
        <w:t>(a) phenol oxidase and (b) peroxidase. Different lowercase letters indicate significant differences between storage at -20 °C, air-drying, and freeze-drying (</w:t>
      </w:r>
      <w:r w:rsidRPr="00F779B5">
        <w:rPr>
          <w:rFonts w:ascii="Times New Roman" w:hAnsi="Times New Roman" w:cs="Times New Roman"/>
          <w:i/>
          <w:iCs/>
          <w:sz w:val="24"/>
          <w:szCs w:val="24"/>
        </w:rPr>
        <w:t>p</w:t>
      </w:r>
      <w:r w:rsidRPr="00F779B5">
        <w:rPr>
          <w:rFonts w:ascii="Times New Roman" w:hAnsi="Times New Roman" w:cs="Times New Roman"/>
          <w:sz w:val="24"/>
          <w:szCs w:val="24"/>
        </w:rPr>
        <w:t xml:space="preserve"> &lt; 0.05; linear mixed-effects model followed by Duncan's post hoc tests).</w:t>
      </w:r>
      <w:r w:rsidRPr="00F779B5">
        <w:rPr>
          <w:rFonts w:ascii="Times New Roman" w:hAnsi="Times New Roman" w:cs="Times New Roman"/>
        </w:rPr>
        <w:t xml:space="preserve"> </w:t>
      </w:r>
      <w:r w:rsidRPr="00F779B5">
        <w:rPr>
          <w:rFonts w:ascii="Times New Roman" w:hAnsi="Times New Roman" w:cs="Times New Roman"/>
          <w:sz w:val="24"/>
          <w:szCs w:val="24"/>
        </w:rPr>
        <w:t>Values are presented as mean ± standard error (SE).</w:t>
      </w:r>
    </w:p>
    <w:p w:rsidR="00034F15" w:rsidRPr="00F779B5" w:rsidRDefault="00034F15" w:rsidP="00034F15">
      <w:pPr>
        <w:rPr>
          <w:rFonts w:ascii="Times New Roman" w:hAnsi="Times New Roman" w:cs="Times New Roman"/>
        </w:rPr>
      </w:pPr>
      <w:r w:rsidRPr="00F779B5">
        <w:rPr>
          <w:rFonts w:ascii="Times New Roman" w:hAnsi="Times New Roman" w:cs="Times New Roman"/>
        </w:rPr>
        <w:br w:type="page"/>
      </w:r>
    </w:p>
    <w:p w:rsidR="00F779B5" w:rsidRPr="00F779B5" w:rsidRDefault="00170994" w:rsidP="00F779B5">
      <w:pPr>
        <w:widowControl/>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3737610"/>
            <wp:effectExtent l="0" t="0" r="0" b="0"/>
            <wp:docPr id="1669558121" name="图片 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558121" name="图片 1" descr="图表&#10;&#10;AI 生成的内容可能不正确。"/>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737610"/>
                    </a:xfrm>
                    <a:prstGeom prst="rect">
                      <a:avLst/>
                    </a:prstGeom>
                  </pic:spPr>
                </pic:pic>
              </a:graphicData>
            </a:graphic>
          </wp:inline>
        </w:drawing>
      </w:r>
    </w:p>
    <w:p w:rsidR="00F779B5" w:rsidRPr="00F779B5" w:rsidRDefault="00F779B5" w:rsidP="00F779B5">
      <w:pPr>
        <w:rPr>
          <w:rFonts w:ascii="Times New Roman" w:hAnsi="Times New Roman" w:cs="Times New Roman"/>
          <w:sz w:val="24"/>
          <w:szCs w:val="24"/>
        </w:rPr>
      </w:pPr>
      <w:r w:rsidRPr="00F779B5">
        <w:rPr>
          <w:rFonts w:ascii="Times New Roman" w:hAnsi="Times New Roman" w:cs="Times New Roman"/>
          <w:b/>
          <w:bCs/>
          <w:sz w:val="24"/>
          <w:szCs w:val="24"/>
        </w:rPr>
        <w:t>Figure S3.</w:t>
      </w:r>
      <w:r w:rsidRPr="00F779B5">
        <w:rPr>
          <w:rFonts w:ascii="Times New Roman" w:hAnsi="Times New Roman" w:cs="Times New Roman"/>
          <w:b/>
          <w:bCs/>
        </w:rPr>
        <w:t xml:space="preserve"> </w:t>
      </w:r>
      <w:r w:rsidRPr="00F779B5">
        <w:rPr>
          <w:rFonts w:ascii="Times New Roman" w:hAnsi="Times New Roman" w:cs="Times New Roman"/>
          <w:b/>
          <w:bCs/>
          <w:sz w:val="24"/>
          <w:szCs w:val="24"/>
        </w:rPr>
        <w:t xml:space="preserve">Responses of hydrolytic enzyme activities to storage conditions in </w:t>
      </w:r>
      <w:r w:rsidR="00170994" w:rsidRPr="00170994">
        <w:rPr>
          <w:rFonts w:ascii="Times New Roman" w:hAnsi="Times New Roman" w:cs="Times New Roman" w:hint="eastAsia"/>
          <w:b/>
          <w:bCs/>
          <w:sz w:val="24"/>
          <w:szCs w:val="24"/>
        </w:rPr>
        <w:t>Acrisols</w:t>
      </w:r>
      <w:r w:rsidRPr="00F779B5">
        <w:rPr>
          <w:rFonts w:ascii="Times New Roman" w:hAnsi="Times New Roman" w:cs="Times New Roman"/>
          <w:b/>
          <w:bCs/>
          <w:sz w:val="24"/>
          <w:szCs w:val="24"/>
        </w:rPr>
        <w:t>.</w:t>
      </w:r>
      <w:r w:rsidRPr="00F779B5">
        <w:rPr>
          <w:rFonts w:ascii="Times New Roman" w:hAnsi="Times New Roman" w:cs="Times New Roman"/>
          <w:sz w:val="24"/>
          <w:szCs w:val="24"/>
        </w:rPr>
        <w:t xml:space="preserve"> (a) α-1,4-glucosidase, (b) β-1,4-glucosidase, (c) β-xylanase, (d) cellobiohydrolase, (e) leucine aminopeptidase, (f) N-acetyl-glucosaminidase, and (g) phosphatase. The activities of β-xylanase, cellobiohydrolase, and phosphatase met normality assumptions and was analyzed using linear mixed-effects models, followed by Dunn’s post hoc tests. The activities of α-1,4-glucosidase, β-1,4-glucosidase, N-acetyl-glucosaminidase, and leucine aminopeptidase did not meet normality assumptions and were analyzed using Kruskal–Wallis tests, followed by Dunn’s post hoc tests with Bonferroni correction. Different lowercase letters indicate significant differences between storage conditions (</w:t>
      </w:r>
      <w:r w:rsidRPr="00F779B5">
        <w:rPr>
          <w:rFonts w:ascii="Times New Roman" w:hAnsi="Times New Roman" w:cs="Times New Roman"/>
          <w:i/>
          <w:iCs/>
          <w:sz w:val="24"/>
          <w:szCs w:val="24"/>
        </w:rPr>
        <w:t>p</w:t>
      </w:r>
      <w:r w:rsidRPr="00F779B5">
        <w:rPr>
          <w:rFonts w:ascii="Times New Roman" w:hAnsi="Times New Roman" w:cs="Times New Roman"/>
          <w:sz w:val="24"/>
          <w:szCs w:val="24"/>
        </w:rPr>
        <w:t> &lt; 0.05).</w:t>
      </w:r>
      <w:r w:rsidRPr="00F779B5">
        <w:rPr>
          <w:rFonts w:ascii="Times New Roman" w:hAnsi="Times New Roman" w:cs="Times New Roman"/>
        </w:rPr>
        <w:t xml:space="preserve"> </w:t>
      </w:r>
      <w:r w:rsidRPr="00F779B5">
        <w:rPr>
          <w:rFonts w:ascii="Times New Roman" w:hAnsi="Times New Roman" w:cs="Times New Roman"/>
          <w:sz w:val="24"/>
          <w:szCs w:val="24"/>
        </w:rPr>
        <w:t>Values are presented as mean ± standard error (SE).</w:t>
      </w:r>
    </w:p>
    <w:p w:rsidR="00034F15" w:rsidRPr="00F779B5" w:rsidRDefault="00034F15" w:rsidP="00034F15">
      <w:pPr>
        <w:widowControl/>
        <w:jc w:val="left"/>
        <w:rPr>
          <w:rFonts w:ascii="Times New Roman" w:hAnsi="Times New Roman" w:cs="Times New Roman"/>
          <w:sz w:val="24"/>
          <w:szCs w:val="24"/>
        </w:rPr>
      </w:pPr>
      <w:r w:rsidRPr="00F779B5">
        <w:rPr>
          <w:rFonts w:ascii="Times New Roman" w:hAnsi="Times New Roman" w:cs="Times New Roman"/>
          <w:sz w:val="24"/>
          <w:szCs w:val="24"/>
        </w:rPr>
        <w:br w:type="page"/>
      </w:r>
    </w:p>
    <w:p w:rsidR="00F779B5" w:rsidRPr="00F779B5" w:rsidRDefault="00170994" w:rsidP="00F779B5">
      <w:pPr>
        <w:widowControl/>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2981960"/>
            <wp:effectExtent l="0" t="0" r="2540" b="0"/>
            <wp:docPr id="895310544" name="图片 2" descr="图表, 瀑布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310544" name="图片 2" descr="图表, 瀑布图&#10;&#10;AI 生成的内容可能不正确。"/>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981960"/>
                    </a:xfrm>
                    <a:prstGeom prst="rect">
                      <a:avLst/>
                    </a:prstGeom>
                  </pic:spPr>
                </pic:pic>
              </a:graphicData>
            </a:graphic>
          </wp:inline>
        </w:drawing>
      </w:r>
    </w:p>
    <w:p w:rsidR="00F779B5" w:rsidRPr="00F779B5" w:rsidRDefault="00F779B5" w:rsidP="00F779B5">
      <w:pPr>
        <w:widowControl/>
        <w:rPr>
          <w:rFonts w:ascii="Times New Roman" w:hAnsi="Times New Roman" w:cs="Times New Roman"/>
          <w:sz w:val="24"/>
          <w:szCs w:val="24"/>
        </w:rPr>
      </w:pPr>
      <w:r w:rsidRPr="00F779B5">
        <w:rPr>
          <w:rFonts w:ascii="Times New Roman" w:hAnsi="Times New Roman" w:cs="Times New Roman"/>
          <w:b/>
          <w:bCs/>
          <w:sz w:val="24"/>
          <w:szCs w:val="24"/>
        </w:rPr>
        <w:t xml:space="preserve">Figure S4. Responses of oxidative enzyme activities to storage conditions in </w:t>
      </w:r>
      <w:r w:rsidR="00170994" w:rsidRPr="00170994">
        <w:rPr>
          <w:rFonts w:ascii="Times New Roman" w:hAnsi="Times New Roman" w:cs="Times New Roman" w:hint="eastAsia"/>
          <w:b/>
          <w:bCs/>
          <w:sz w:val="24"/>
          <w:szCs w:val="24"/>
        </w:rPr>
        <w:t>Acrisols</w:t>
      </w:r>
      <w:r w:rsidRPr="00F779B5">
        <w:rPr>
          <w:rFonts w:ascii="Times New Roman" w:hAnsi="Times New Roman" w:cs="Times New Roman"/>
          <w:b/>
          <w:bCs/>
          <w:sz w:val="24"/>
          <w:szCs w:val="24"/>
        </w:rPr>
        <w:t>.</w:t>
      </w:r>
      <w:r w:rsidRPr="00F779B5">
        <w:rPr>
          <w:rFonts w:ascii="Times New Roman" w:hAnsi="Times New Roman" w:cs="Times New Roman"/>
          <w:sz w:val="24"/>
          <w:szCs w:val="24"/>
        </w:rPr>
        <w:t xml:space="preserve"> (a) phenol oxidase and (b) peroxidase. Different lowercase letters indicate significant differences between storage at -20 °C, air-drying, and freeze-drying (</w:t>
      </w:r>
      <w:r w:rsidRPr="00F779B5">
        <w:rPr>
          <w:rFonts w:ascii="Times New Roman" w:hAnsi="Times New Roman" w:cs="Times New Roman"/>
          <w:i/>
          <w:iCs/>
          <w:sz w:val="24"/>
          <w:szCs w:val="24"/>
        </w:rPr>
        <w:t>p</w:t>
      </w:r>
      <w:r w:rsidRPr="00F779B5">
        <w:rPr>
          <w:rFonts w:ascii="Times New Roman" w:hAnsi="Times New Roman" w:cs="Times New Roman"/>
          <w:sz w:val="24"/>
          <w:szCs w:val="24"/>
        </w:rPr>
        <w:t xml:space="preserve"> &lt; 0.05; linear mixed-effects model followed by Duncan's post hoc tests). Values are presented as mean ± standard error (SE).</w:t>
      </w:r>
    </w:p>
    <w:p w:rsidR="00034F15" w:rsidRPr="00F779B5" w:rsidRDefault="00034F15" w:rsidP="00034F15">
      <w:pPr>
        <w:widowControl/>
        <w:jc w:val="left"/>
        <w:rPr>
          <w:rFonts w:ascii="Times New Roman" w:hAnsi="Times New Roman" w:cs="Times New Roman"/>
          <w:sz w:val="24"/>
          <w:szCs w:val="24"/>
        </w:rPr>
      </w:pPr>
      <w:r w:rsidRPr="00F779B5">
        <w:rPr>
          <w:rFonts w:ascii="Times New Roman" w:hAnsi="Times New Roman" w:cs="Times New Roman"/>
          <w:sz w:val="24"/>
          <w:szCs w:val="24"/>
        </w:rPr>
        <w:br w:type="page"/>
      </w:r>
    </w:p>
    <w:p w:rsidR="00F779B5" w:rsidRPr="00F779B5" w:rsidRDefault="00170994" w:rsidP="00F779B5">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3737610"/>
            <wp:effectExtent l="0" t="0" r="0" b="0"/>
            <wp:docPr id="2099023839" name="图片 3"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23839" name="图片 3" descr="图表&#10;&#10;AI 生成的内容可能不正确。"/>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3737610"/>
                    </a:xfrm>
                    <a:prstGeom prst="rect">
                      <a:avLst/>
                    </a:prstGeom>
                  </pic:spPr>
                </pic:pic>
              </a:graphicData>
            </a:graphic>
          </wp:inline>
        </w:drawing>
      </w:r>
    </w:p>
    <w:p w:rsidR="00F779B5" w:rsidRPr="00F779B5" w:rsidRDefault="00F779B5" w:rsidP="00F779B5">
      <w:pPr>
        <w:rPr>
          <w:rFonts w:ascii="Times New Roman" w:hAnsi="Times New Roman" w:cs="Times New Roman"/>
          <w:sz w:val="24"/>
          <w:szCs w:val="24"/>
        </w:rPr>
      </w:pPr>
      <w:r w:rsidRPr="00F779B5">
        <w:rPr>
          <w:rFonts w:ascii="Times New Roman" w:hAnsi="Times New Roman" w:cs="Times New Roman"/>
          <w:b/>
          <w:bCs/>
          <w:sz w:val="24"/>
          <w:szCs w:val="24"/>
        </w:rPr>
        <w:t xml:space="preserve">Figure S5. Responses of hydrolytic enzyme activities to storage conditions in </w:t>
      </w:r>
      <w:r w:rsidR="00170994" w:rsidRPr="00170994">
        <w:rPr>
          <w:rFonts w:ascii="Times New Roman" w:hAnsi="Times New Roman" w:cs="Times New Roman" w:hint="eastAsia"/>
          <w:b/>
          <w:bCs/>
          <w:sz w:val="24"/>
          <w:szCs w:val="24"/>
        </w:rPr>
        <w:t>Luvisols</w:t>
      </w:r>
      <w:r w:rsidRPr="00F779B5">
        <w:rPr>
          <w:rFonts w:ascii="Times New Roman" w:hAnsi="Times New Roman" w:cs="Times New Roman"/>
          <w:b/>
          <w:bCs/>
          <w:sz w:val="24"/>
          <w:szCs w:val="24"/>
        </w:rPr>
        <w:t>.</w:t>
      </w:r>
      <w:r w:rsidRPr="00F779B5">
        <w:rPr>
          <w:rFonts w:ascii="Times New Roman" w:hAnsi="Times New Roman" w:cs="Times New Roman"/>
          <w:sz w:val="24"/>
          <w:szCs w:val="24"/>
        </w:rPr>
        <w:t xml:space="preserve"> (a) α-1,4-glucosidase, (b) β-1,4-glucosidase, (c) β-xylanase, (d) cellobiohydrolase, (e) leucine aminopeptidase, (f) N-acetyl-glucosaminidase, and (g) phosphatase. The activity of phosphatase met normality assumptions and was analyzed using linear mixed-effects models, followed by Dunn’s post hoc tests. The activities of α-1,4-glucosidase, β-1,4-glucosidase, β-xylanase, cellobiohydrolase, N-acetyl-glucosaminidase, and leucine aminopeptidase did not meet normality assumptions and were analyzed using Kruskal–Wallis tests, followed by Dunn’s post hoc tests with Bonferroni correction. Different lowercase letters indicate significant differences between storage conditions (</w:t>
      </w:r>
      <w:r w:rsidRPr="00F779B5">
        <w:rPr>
          <w:rFonts w:ascii="Times New Roman" w:hAnsi="Times New Roman" w:cs="Times New Roman"/>
          <w:i/>
          <w:iCs/>
          <w:sz w:val="24"/>
          <w:szCs w:val="24"/>
        </w:rPr>
        <w:t>p</w:t>
      </w:r>
      <w:r w:rsidRPr="00F779B5">
        <w:rPr>
          <w:rFonts w:ascii="Times New Roman" w:hAnsi="Times New Roman" w:cs="Times New Roman"/>
          <w:sz w:val="24"/>
          <w:szCs w:val="24"/>
        </w:rPr>
        <w:t> &lt; 0.05).</w:t>
      </w:r>
      <w:r w:rsidRPr="00F779B5">
        <w:rPr>
          <w:rFonts w:ascii="Times New Roman" w:hAnsi="Times New Roman" w:cs="Times New Roman"/>
        </w:rPr>
        <w:t xml:space="preserve"> </w:t>
      </w:r>
      <w:r w:rsidRPr="00F779B5">
        <w:rPr>
          <w:rFonts w:ascii="Times New Roman" w:hAnsi="Times New Roman" w:cs="Times New Roman"/>
          <w:sz w:val="24"/>
          <w:szCs w:val="24"/>
        </w:rPr>
        <w:t>Values are presented as mean ± standard error (SE).</w:t>
      </w:r>
    </w:p>
    <w:p w:rsidR="00F779B5" w:rsidRPr="00F779B5" w:rsidRDefault="00F779B5" w:rsidP="00F779B5">
      <w:pPr>
        <w:widowControl/>
        <w:jc w:val="left"/>
        <w:rPr>
          <w:rFonts w:ascii="Times New Roman" w:hAnsi="Times New Roman" w:cs="Times New Roman"/>
          <w:sz w:val="24"/>
          <w:szCs w:val="24"/>
        </w:rPr>
      </w:pPr>
      <w:r w:rsidRPr="00F779B5">
        <w:rPr>
          <w:rFonts w:ascii="Times New Roman" w:hAnsi="Times New Roman" w:cs="Times New Roman"/>
          <w:sz w:val="24"/>
          <w:szCs w:val="24"/>
        </w:rPr>
        <w:br w:type="page"/>
      </w:r>
    </w:p>
    <w:p w:rsidR="00F779B5" w:rsidRPr="00F779B5" w:rsidRDefault="00170994" w:rsidP="00F779B5">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2981960"/>
            <wp:effectExtent l="0" t="0" r="2540" b="0"/>
            <wp:docPr id="1066068349" name="图片 4" descr="图表, 条形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068349" name="图片 4" descr="图表, 条形图&#10;&#10;AI 生成的内容可能不正确。"/>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2981960"/>
                    </a:xfrm>
                    <a:prstGeom prst="rect">
                      <a:avLst/>
                    </a:prstGeom>
                  </pic:spPr>
                </pic:pic>
              </a:graphicData>
            </a:graphic>
          </wp:inline>
        </w:drawing>
      </w:r>
    </w:p>
    <w:p w:rsidR="00F779B5" w:rsidRPr="00F779B5" w:rsidRDefault="00F779B5" w:rsidP="00F779B5">
      <w:pPr>
        <w:widowControl/>
        <w:rPr>
          <w:rFonts w:ascii="Times New Roman" w:hAnsi="Times New Roman" w:cs="Times New Roman"/>
          <w:sz w:val="24"/>
          <w:szCs w:val="24"/>
        </w:rPr>
      </w:pPr>
      <w:r w:rsidRPr="00F779B5">
        <w:rPr>
          <w:rFonts w:ascii="Times New Roman" w:hAnsi="Times New Roman" w:cs="Times New Roman"/>
          <w:b/>
          <w:bCs/>
          <w:sz w:val="24"/>
          <w:szCs w:val="24"/>
        </w:rPr>
        <w:t xml:space="preserve">Figure S6. Responses of oxidative enzyme activities to storage conditions in </w:t>
      </w:r>
      <w:r w:rsidR="00170994" w:rsidRPr="00170994">
        <w:rPr>
          <w:rFonts w:ascii="Times New Roman" w:hAnsi="Times New Roman" w:cs="Times New Roman" w:hint="eastAsia"/>
          <w:b/>
          <w:bCs/>
          <w:sz w:val="24"/>
          <w:szCs w:val="24"/>
        </w:rPr>
        <w:t>Luvisols</w:t>
      </w:r>
      <w:r w:rsidRPr="00F779B5">
        <w:rPr>
          <w:rFonts w:ascii="Times New Roman" w:hAnsi="Times New Roman" w:cs="Times New Roman"/>
          <w:b/>
          <w:bCs/>
          <w:sz w:val="24"/>
          <w:szCs w:val="24"/>
        </w:rPr>
        <w:t>.</w:t>
      </w:r>
      <w:r w:rsidRPr="00F779B5">
        <w:rPr>
          <w:rFonts w:ascii="Times New Roman" w:hAnsi="Times New Roman" w:cs="Times New Roman"/>
          <w:sz w:val="24"/>
          <w:szCs w:val="24"/>
        </w:rPr>
        <w:t xml:space="preserve"> (a) phenol oxidase and (b) peroxidase. Different lowercase letters indicate significant differences between storage at -20 °C, air-drying, and freeze-drying (</w:t>
      </w:r>
      <w:r w:rsidRPr="00F779B5">
        <w:rPr>
          <w:rFonts w:ascii="Times New Roman" w:hAnsi="Times New Roman" w:cs="Times New Roman"/>
          <w:i/>
          <w:iCs/>
          <w:sz w:val="24"/>
          <w:szCs w:val="24"/>
        </w:rPr>
        <w:t>p</w:t>
      </w:r>
      <w:r w:rsidRPr="00F779B5">
        <w:rPr>
          <w:rFonts w:ascii="Times New Roman" w:hAnsi="Times New Roman" w:cs="Times New Roman"/>
          <w:sz w:val="24"/>
          <w:szCs w:val="24"/>
        </w:rPr>
        <w:t xml:space="preserve"> &lt; 0.05; linear mixed-effects model followed by Duncan's post hoc tests).</w:t>
      </w:r>
      <w:r w:rsidRPr="00F779B5">
        <w:rPr>
          <w:rFonts w:ascii="Times New Roman" w:hAnsi="Times New Roman" w:cs="Times New Roman"/>
        </w:rPr>
        <w:t xml:space="preserve"> </w:t>
      </w:r>
      <w:r w:rsidRPr="00F779B5">
        <w:rPr>
          <w:rFonts w:ascii="Times New Roman" w:hAnsi="Times New Roman" w:cs="Times New Roman"/>
          <w:sz w:val="24"/>
          <w:szCs w:val="24"/>
        </w:rPr>
        <w:t>Values are presented as mean ± standard error (SE).</w:t>
      </w:r>
    </w:p>
    <w:p w:rsidR="00F779B5" w:rsidRPr="00F779B5" w:rsidRDefault="00F779B5" w:rsidP="00F779B5">
      <w:pPr>
        <w:widowControl/>
        <w:jc w:val="left"/>
        <w:rPr>
          <w:rFonts w:ascii="Times New Roman" w:hAnsi="Times New Roman" w:cs="Times New Roman"/>
          <w:sz w:val="24"/>
          <w:szCs w:val="24"/>
        </w:rPr>
      </w:pPr>
      <w:r w:rsidRPr="00F779B5">
        <w:rPr>
          <w:rFonts w:ascii="Times New Roman" w:hAnsi="Times New Roman" w:cs="Times New Roman"/>
          <w:sz w:val="24"/>
          <w:szCs w:val="24"/>
        </w:rPr>
        <w:br w:type="page"/>
      </w:r>
    </w:p>
    <w:p w:rsidR="00F779B5" w:rsidRPr="00F779B5" w:rsidRDefault="00170994" w:rsidP="00F779B5">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3737610"/>
            <wp:effectExtent l="0" t="0" r="0" b="0"/>
            <wp:docPr id="547912270" name="图片 5"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12270" name="图片 5" descr="图表&#10;&#10;AI 生成的内容可能不正确。"/>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3737610"/>
                    </a:xfrm>
                    <a:prstGeom prst="rect">
                      <a:avLst/>
                    </a:prstGeom>
                  </pic:spPr>
                </pic:pic>
              </a:graphicData>
            </a:graphic>
          </wp:inline>
        </w:drawing>
      </w:r>
    </w:p>
    <w:p w:rsidR="00F779B5" w:rsidRPr="00F779B5" w:rsidRDefault="00F779B5" w:rsidP="00F779B5">
      <w:pPr>
        <w:rPr>
          <w:rFonts w:ascii="Times New Roman" w:hAnsi="Times New Roman" w:cs="Times New Roman"/>
          <w:sz w:val="24"/>
          <w:szCs w:val="24"/>
        </w:rPr>
      </w:pPr>
      <w:r w:rsidRPr="00F779B5">
        <w:rPr>
          <w:rFonts w:ascii="Times New Roman" w:hAnsi="Times New Roman" w:cs="Times New Roman"/>
          <w:b/>
          <w:bCs/>
          <w:sz w:val="24"/>
          <w:szCs w:val="24"/>
        </w:rPr>
        <w:t xml:space="preserve">Figure S7. Responses of hydrolytic enzyme activities to storage conditions in </w:t>
      </w:r>
      <w:r w:rsidR="00170994" w:rsidRPr="00170994">
        <w:rPr>
          <w:rFonts w:ascii="Times New Roman" w:hAnsi="Times New Roman" w:cs="Times New Roman" w:hint="eastAsia"/>
          <w:b/>
          <w:bCs/>
          <w:sz w:val="24"/>
          <w:szCs w:val="24"/>
        </w:rPr>
        <w:t>Calcisols</w:t>
      </w:r>
      <w:r w:rsidRPr="00F779B5">
        <w:rPr>
          <w:rFonts w:ascii="Times New Roman" w:hAnsi="Times New Roman" w:cs="Times New Roman"/>
          <w:b/>
          <w:bCs/>
          <w:sz w:val="24"/>
          <w:szCs w:val="24"/>
        </w:rPr>
        <w:t>.</w:t>
      </w:r>
      <w:r w:rsidRPr="00F779B5">
        <w:rPr>
          <w:rFonts w:ascii="Times New Roman" w:hAnsi="Times New Roman" w:cs="Times New Roman"/>
          <w:sz w:val="24"/>
          <w:szCs w:val="24"/>
        </w:rPr>
        <w:t xml:space="preserve"> (a) α-1,4-glucosidase, (b) β-1,4-glucosidase, (c) β-xylanase, (d) cellobiohydrolase, (e) leucine aminopeptidase, (f) N-acetyl-glucosaminidase, and (g) phosphatase. The activity of β-1,4-glucosidase, cellobiohydrolase, N-acetyl-glucosaminidase, leucine aminopeptidase, and phosphatase met normality assumptions and was analyzed using linear mixed-effects models, followed by Dunn’s post hoc tests. The activities of α-1,4-glucosidase and β-xylanase did not meet normality assumptions and were analyzed using Kruskal–Wallis tests, followed by Dunn’s post hoc tests with Bonferroni correction. Different lowercase letters indicate significant differences between storage conditions (</w:t>
      </w:r>
      <w:r w:rsidRPr="00F779B5">
        <w:rPr>
          <w:rFonts w:ascii="Times New Roman" w:hAnsi="Times New Roman" w:cs="Times New Roman"/>
          <w:i/>
          <w:iCs/>
          <w:sz w:val="24"/>
          <w:szCs w:val="24"/>
        </w:rPr>
        <w:t>p</w:t>
      </w:r>
      <w:r w:rsidRPr="00F779B5">
        <w:rPr>
          <w:rFonts w:ascii="Times New Roman" w:hAnsi="Times New Roman" w:cs="Times New Roman"/>
          <w:sz w:val="24"/>
          <w:szCs w:val="24"/>
        </w:rPr>
        <w:t> &lt; 0.05).</w:t>
      </w:r>
      <w:r w:rsidRPr="00F779B5">
        <w:rPr>
          <w:rFonts w:ascii="Times New Roman" w:hAnsi="Times New Roman" w:cs="Times New Roman"/>
        </w:rPr>
        <w:t xml:space="preserve"> </w:t>
      </w:r>
      <w:r w:rsidRPr="00F779B5">
        <w:rPr>
          <w:rFonts w:ascii="Times New Roman" w:hAnsi="Times New Roman" w:cs="Times New Roman"/>
          <w:sz w:val="24"/>
          <w:szCs w:val="24"/>
        </w:rPr>
        <w:t>Values are presented as mean ± standard error (SE).</w:t>
      </w:r>
    </w:p>
    <w:p w:rsidR="00F779B5" w:rsidRPr="00F779B5" w:rsidRDefault="00F779B5" w:rsidP="00F779B5">
      <w:pPr>
        <w:widowControl/>
        <w:jc w:val="left"/>
        <w:rPr>
          <w:rFonts w:ascii="Times New Roman" w:hAnsi="Times New Roman" w:cs="Times New Roman"/>
          <w:sz w:val="24"/>
          <w:szCs w:val="24"/>
        </w:rPr>
      </w:pPr>
      <w:r w:rsidRPr="00F779B5">
        <w:rPr>
          <w:rFonts w:ascii="Times New Roman" w:hAnsi="Times New Roman" w:cs="Times New Roman"/>
          <w:sz w:val="24"/>
          <w:szCs w:val="24"/>
        </w:rPr>
        <w:br w:type="page"/>
      </w:r>
    </w:p>
    <w:p w:rsidR="00F779B5" w:rsidRPr="00F779B5" w:rsidRDefault="00170994" w:rsidP="00F779B5">
      <w:pPr>
        <w:widowControl/>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2981960"/>
            <wp:effectExtent l="0" t="0" r="2540" b="0"/>
            <wp:docPr id="1202899404" name="图片 6" descr="图表, 条形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899404" name="图片 6" descr="图表, 条形图&#10;&#10;AI 生成的内容可能不正确。"/>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2981960"/>
                    </a:xfrm>
                    <a:prstGeom prst="rect">
                      <a:avLst/>
                    </a:prstGeom>
                  </pic:spPr>
                </pic:pic>
              </a:graphicData>
            </a:graphic>
          </wp:inline>
        </w:drawing>
      </w:r>
    </w:p>
    <w:p w:rsidR="00F779B5" w:rsidRPr="00F779B5" w:rsidRDefault="00F779B5" w:rsidP="00F779B5">
      <w:pPr>
        <w:widowControl/>
        <w:rPr>
          <w:rFonts w:ascii="Times New Roman" w:hAnsi="Times New Roman" w:cs="Times New Roman"/>
          <w:sz w:val="24"/>
          <w:szCs w:val="24"/>
        </w:rPr>
      </w:pPr>
      <w:r w:rsidRPr="00F779B5">
        <w:rPr>
          <w:rFonts w:ascii="Times New Roman" w:hAnsi="Times New Roman" w:cs="Times New Roman"/>
          <w:b/>
          <w:bCs/>
          <w:sz w:val="24"/>
          <w:szCs w:val="24"/>
        </w:rPr>
        <w:t xml:space="preserve">Figure S8. Responses of oxidative enzyme activities to storage conditions in </w:t>
      </w:r>
      <w:r w:rsidR="00170994" w:rsidRPr="00170994">
        <w:rPr>
          <w:rFonts w:ascii="Times New Roman" w:hAnsi="Times New Roman" w:cs="Times New Roman" w:hint="eastAsia"/>
          <w:b/>
          <w:bCs/>
          <w:sz w:val="24"/>
          <w:szCs w:val="24"/>
        </w:rPr>
        <w:t>Calcisols</w:t>
      </w:r>
      <w:r w:rsidRPr="00F779B5">
        <w:rPr>
          <w:rFonts w:ascii="Times New Roman" w:hAnsi="Times New Roman" w:cs="Times New Roman"/>
          <w:b/>
          <w:bCs/>
          <w:sz w:val="24"/>
          <w:szCs w:val="24"/>
        </w:rPr>
        <w:t>.</w:t>
      </w:r>
      <w:r w:rsidRPr="00F779B5">
        <w:rPr>
          <w:rFonts w:ascii="Times New Roman" w:hAnsi="Times New Roman" w:cs="Times New Roman"/>
          <w:sz w:val="24"/>
          <w:szCs w:val="24"/>
        </w:rPr>
        <w:t xml:space="preserve"> (a) phenol oxidase and (b) peroxidase. Phenol oxidase activity met normality assumptions and was analyzed using linear mixed-effects models followed by Dunn’s post hoc tests. Peroxidase activity did not meet normality assumptions and was analyzed using Kruskal–Wallis tests followed by Dunn’s post hoc tests with Bonferroni correction. Different lowercase letters indicate significant differences between storage conditions (</w:t>
      </w:r>
      <w:r w:rsidRPr="00F779B5">
        <w:rPr>
          <w:rFonts w:ascii="Times New Roman" w:hAnsi="Times New Roman" w:cs="Times New Roman"/>
          <w:i/>
          <w:iCs/>
          <w:sz w:val="24"/>
          <w:szCs w:val="24"/>
        </w:rPr>
        <w:t>p</w:t>
      </w:r>
      <w:r w:rsidRPr="00F779B5">
        <w:rPr>
          <w:rFonts w:ascii="Times New Roman" w:hAnsi="Times New Roman" w:cs="Times New Roman"/>
          <w:sz w:val="24"/>
          <w:szCs w:val="24"/>
        </w:rPr>
        <w:t> &lt; 0.05).</w:t>
      </w:r>
      <w:r w:rsidRPr="00F779B5">
        <w:rPr>
          <w:rFonts w:ascii="Times New Roman" w:hAnsi="Times New Roman" w:cs="Times New Roman"/>
        </w:rPr>
        <w:t xml:space="preserve"> </w:t>
      </w:r>
      <w:r w:rsidRPr="00F779B5">
        <w:rPr>
          <w:rFonts w:ascii="Times New Roman" w:hAnsi="Times New Roman" w:cs="Times New Roman"/>
          <w:sz w:val="24"/>
          <w:szCs w:val="24"/>
        </w:rPr>
        <w:t>Values are presented as mean ± standard error (SE).</w:t>
      </w:r>
    </w:p>
    <w:p w:rsidR="00F779B5" w:rsidRPr="00F779B5" w:rsidRDefault="00F779B5" w:rsidP="00F779B5">
      <w:pPr>
        <w:widowControl/>
        <w:jc w:val="left"/>
        <w:rPr>
          <w:rFonts w:ascii="Times New Roman" w:hAnsi="Times New Roman" w:cs="Times New Roman"/>
          <w:sz w:val="24"/>
          <w:szCs w:val="24"/>
        </w:rPr>
      </w:pPr>
      <w:r w:rsidRPr="00F779B5">
        <w:rPr>
          <w:rFonts w:ascii="Times New Roman" w:hAnsi="Times New Roman" w:cs="Times New Roman"/>
          <w:sz w:val="24"/>
          <w:szCs w:val="24"/>
        </w:rPr>
        <w:br w:type="page"/>
      </w:r>
    </w:p>
    <w:p w:rsidR="00F779B5" w:rsidRPr="00F779B5" w:rsidRDefault="00170994" w:rsidP="00F779B5">
      <w:pPr>
        <w:widowControl/>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4654550"/>
            <wp:effectExtent l="0" t="0" r="2540" b="0"/>
            <wp:docPr id="1719043741" name="图片 7"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043741" name="图片 7" descr="图表&#10;&#10;AI 生成的内容可能不正确。"/>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4654550"/>
                    </a:xfrm>
                    <a:prstGeom prst="rect">
                      <a:avLst/>
                    </a:prstGeom>
                  </pic:spPr>
                </pic:pic>
              </a:graphicData>
            </a:graphic>
          </wp:inline>
        </w:drawing>
      </w:r>
    </w:p>
    <w:p w:rsidR="00F779B5" w:rsidRPr="00F779B5" w:rsidRDefault="00F779B5" w:rsidP="00F779B5">
      <w:pPr>
        <w:widowControl/>
        <w:rPr>
          <w:rFonts w:ascii="Times New Roman" w:hAnsi="Times New Roman" w:cs="Times New Roman"/>
          <w:noProof/>
          <w:sz w:val="24"/>
          <w:szCs w:val="24"/>
        </w:rPr>
      </w:pPr>
      <w:r w:rsidRPr="00F779B5">
        <w:rPr>
          <w:rFonts w:ascii="Times New Roman" w:hAnsi="Times New Roman" w:cs="Times New Roman"/>
          <w:b/>
          <w:bCs/>
          <w:sz w:val="24"/>
          <w:szCs w:val="24"/>
        </w:rPr>
        <w:t xml:space="preserve">Figure S9. </w:t>
      </w:r>
      <w:r w:rsidRPr="00F779B5">
        <w:rPr>
          <w:rFonts w:ascii="Times New Roman" w:hAnsi="Times New Roman" w:cs="Times New Roman"/>
          <w:b/>
          <w:bCs/>
          <w:noProof/>
          <w:sz w:val="24"/>
          <w:szCs w:val="24"/>
        </w:rPr>
        <w:t xml:space="preserve">Redundancy analysis (RDA) of environmental factors influencing microbial extracellular enzyme activities in </w:t>
      </w:r>
      <w:r w:rsidR="00170994" w:rsidRPr="00170994">
        <w:rPr>
          <w:rFonts w:ascii="Times New Roman" w:hAnsi="Times New Roman" w:cs="Times New Roman" w:hint="eastAsia"/>
          <w:b/>
          <w:bCs/>
          <w:noProof/>
          <w:sz w:val="24"/>
          <w:szCs w:val="24"/>
        </w:rPr>
        <w:t>Acrisols</w:t>
      </w:r>
      <w:r w:rsidRPr="00F779B5">
        <w:rPr>
          <w:rFonts w:ascii="Times New Roman" w:hAnsi="Times New Roman" w:cs="Times New Roman"/>
          <w:b/>
          <w:bCs/>
          <w:noProof/>
          <w:sz w:val="24"/>
          <w:szCs w:val="24"/>
        </w:rPr>
        <w:t xml:space="preserve">. </w:t>
      </w:r>
      <w:r w:rsidRPr="00F779B5">
        <w:rPr>
          <w:rFonts w:ascii="Times New Roman" w:hAnsi="Times New Roman" w:cs="Times New Roman"/>
          <w:noProof/>
          <w:sz w:val="24"/>
          <w:szCs w:val="24"/>
        </w:rPr>
        <w:t xml:space="preserve">(a) and (b) show hydrolytic </w:t>
      </w:r>
      <w:r w:rsidRPr="00F779B5">
        <w:rPr>
          <w:rFonts w:ascii="Times New Roman" w:hAnsi="Times New Roman" w:cs="Times New Roman"/>
          <w:sz w:val="24"/>
          <w:szCs w:val="24"/>
        </w:rPr>
        <w:t>enzyme activities</w:t>
      </w:r>
      <w:r w:rsidRPr="00F779B5">
        <w:rPr>
          <w:rFonts w:ascii="Times New Roman" w:hAnsi="Times New Roman" w:cs="Times New Roman"/>
          <w:noProof/>
          <w:sz w:val="24"/>
          <w:szCs w:val="24"/>
        </w:rPr>
        <w:t xml:space="preserve">, and (c) and (d) show oxidative </w:t>
      </w:r>
      <w:r w:rsidRPr="00F779B5">
        <w:rPr>
          <w:rFonts w:ascii="Times New Roman" w:hAnsi="Times New Roman" w:cs="Times New Roman"/>
          <w:sz w:val="24"/>
          <w:szCs w:val="24"/>
        </w:rPr>
        <w:t>enzyme activities</w:t>
      </w:r>
      <w:r w:rsidRPr="00F779B5">
        <w:rPr>
          <w:rFonts w:ascii="Times New Roman" w:hAnsi="Times New Roman" w:cs="Times New Roman"/>
          <w:noProof/>
          <w:sz w:val="24"/>
          <w:szCs w:val="24"/>
        </w:rPr>
        <w:t>, each under the influence of the same environmental variables. Enzyme activities include total hydrolytic enzyme activity (HEA), α-1,4</w:t>
      </w:r>
      <w:r w:rsidRPr="00F779B5">
        <w:rPr>
          <w:rFonts w:ascii="Times New Roman" w:hAnsi="Times New Roman" w:cs="Times New Roman"/>
          <w:noProof/>
          <w:sz w:val="24"/>
          <w:szCs w:val="24"/>
        </w:rPr>
        <w:noBreakHyphen/>
        <w:t>glucosidase (AG), β-1,4-glucosidase (BG), β</w:t>
      </w:r>
      <w:r w:rsidRPr="00F779B5">
        <w:rPr>
          <w:rFonts w:ascii="Times New Roman" w:hAnsi="Times New Roman" w:cs="Times New Roman"/>
          <w:noProof/>
          <w:sz w:val="24"/>
          <w:szCs w:val="24"/>
        </w:rPr>
        <w:noBreakHyphen/>
        <w:t xml:space="preserve">xylanase (BX), cellobiohydrolase (CBH), N-acetyl-glucosaminidase (NAG), leucine aminopeptidase (LAP), phosphatase (ACP), oxidative enzyme activity (OEA), phenol oxidase (PHO), and peroxidase (PER). Environmental variables include soil pH, soil water content (SWC), soil organic carbon (SOC), total nitrogen (TN), dissolved organic carbon (DOC), available nitrogen (AN), available phosphorus (AP), microbial biomass carbon (MBC), and microbial biomass nitrogen (MBN). Arrow length represents the strength, and arrow direction the orientation, of correlations between environmental variables and enzyme activities; statistical significance (permutation test) is </w:t>
      </w:r>
      <w:r w:rsidRPr="00F779B5">
        <w:rPr>
          <w:rFonts w:ascii="Times New Roman" w:hAnsi="Times New Roman" w:cs="Times New Roman"/>
          <w:sz w:val="24"/>
          <w:szCs w:val="24"/>
        </w:rPr>
        <w:t>indicated</w:t>
      </w:r>
      <w:r w:rsidRPr="00F779B5">
        <w:rPr>
          <w:rFonts w:ascii="Times New Roman" w:hAnsi="Times New Roman" w:cs="Times New Roman"/>
          <w:noProof/>
          <w:sz w:val="24"/>
          <w:szCs w:val="24"/>
        </w:rPr>
        <w:t xml:space="preserve"> as *</w:t>
      </w:r>
      <w:r w:rsidRPr="00F779B5">
        <w:rPr>
          <w:rFonts w:ascii="Times New Roman" w:hAnsi="Times New Roman" w:cs="Times New Roman"/>
          <w:i/>
          <w:iCs/>
          <w:noProof/>
          <w:sz w:val="24"/>
          <w:szCs w:val="24"/>
        </w:rPr>
        <w:t>p</w:t>
      </w:r>
      <w:r w:rsidRPr="00F779B5">
        <w:rPr>
          <w:rFonts w:ascii="Times New Roman" w:hAnsi="Times New Roman" w:cs="Times New Roman"/>
          <w:noProof/>
          <w:sz w:val="24"/>
          <w:szCs w:val="24"/>
        </w:rPr>
        <w:t xml:space="preserve"> &lt; 0.05 and **</w:t>
      </w:r>
      <w:r w:rsidRPr="00F779B5">
        <w:rPr>
          <w:rFonts w:ascii="Times New Roman" w:hAnsi="Times New Roman" w:cs="Times New Roman"/>
          <w:i/>
          <w:iCs/>
          <w:noProof/>
          <w:sz w:val="24"/>
          <w:szCs w:val="24"/>
        </w:rPr>
        <w:t>p</w:t>
      </w:r>
      <w:r w:rsidRPr="00F779B5">
        <w:rPr>
          <w:rFonts w:ascii="Times New Roman" w:hAnsi="Times New Roman" w:cs="Times New Roman"/>
          <w:noProof/>
          <w:sz w:val="24"/>
          <w:szCs w:val="24"/>
        </w:rPr>
        <w:t xml:space="preserve"> &lt; 0.01. Hydrolase activity refers to the sum of AG, BG, BX, CBH, LAP, NAG, and ACP, whereas oxidase activity refers to the sum of PHO and PER.</w:t>
      </w:r>
    </w:p>
    <w:p w:rsidR="00F779B5" w:rsidRPr="00F779B5" w:rsidRDefault="00F779B5" w:rsidP="00F779B5">
      <w:pPr>
        <w:widowControl/>
        <w:jc w:val="left"/>
        <w:rPr>
          <w:rFonts w:ascii="Times New Roman" w:hAnsi="Times New Roman" w:cs="Times New Roman"/>
          <w:sz w:val="24"/>
          <w:szCs w:val="24"/>
        </w:rPr>
      </w:pPr>
      <w:r w:rsidRPr="00F779B5">
        <w:rPr>
          <w:rFonts w:ascii="Times New Roman" w:hAnsi="Times New Roman" w:cs="Times New Roman"/>
          <w:sz w:val="24"/>
          <w:szCs w:val="24"/>
        </w:rPr>
        <w:br w:type="page"/>
      </w:r>
    </w:p>
    <w:p w:rsidR="00F779B5" w:rsidRPr="00F779B5" w:rsidRDefault="00170994" w:rsidP="00F779B5">
      <w:pPr>
        <w:widowControl/>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4654550"/>
            <wp:effectExtent l="0" t="0" r="2540" b="0"/>
            <wp:docPr id="443428440" name="图片 8"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428440" name="图片 8" descr="图表&#10;&#10;AI 生成的内容可能不正确。"/>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4310" cy="4654550"/>
                    </a:xfrm>
                    <a:prstGeom prst="rect">
                      <a:avLst/>
                    </a:prstGeom>
                  </pic:spPr>
                </pic:pic>
              </a:graphicData>
            </a:graphic>
          </wp:inline>
        </w:drawing>
      </w:r>
    </w:p>
    <w:p w:rsidR="00F779B5" w:rsidRPr="00F779B5" w:rsidRDefault="00F779B5" w:rsidP="00F779B5">
      <w:pPr>
        <w:widowControl/>
        <w:rPr>
          <w:rFonts w:ascii="Times New Roman" w:hAnsi="Times New Roman" w:cs="Times New Roman"/>
          <w:noProof/>
          <w:sz w:val="24"/>
          <w:szCs w:val="24"/>
        </w:rPr>
      </w:pPr>
      <w:r w:rsidRPr="00F779B5">
        <w:rPr>
          <w:rFonts w:ascii="Times New Roman" w:hAnsi="Times New Roman" w:cs="Times New Roman"/>
          <w:b/>
          <w:bCs/>
          <w:sz w:val="24"/>
          <w:szCs w:val="24"/>
        </w:rPr>
        <w:t xml:space="preserve">Figure S10. </w:t>
      </w:r>
      <w:r w:rsidRPr="00F779B5">
        <w:rPr>
          <w:rFonts w:ascii="Times New Roman" w:hAnsi="Times New Roman" w:cs="Times New Roman"/>
          <w:b/>
          <w:bCs/>
          <w:noProof/>
          <w:sz w:val="24"/>
          <w:szCs w:val="24"/>
        </w:rPr>
        <w:t xml:space="preserve">Redundancy analysis (RDA) showing the influence of environmental factors on microbial extracellular enzyme activities in </w:t>
      </w:r>
      <w:r w:rsidR="00170994" w:rsidRPr="00170994">
        <w:rPr>
          <w:rFonts w:ascii="Times New Roman" w:hAnsi="Times New Roman" w:cs="Times New Roman" w:hint="eastAsia"/>
          <w:b/>
          <w:bCs/>
          <w:sz w:val="24"/>
          <w:szCs w:val="24"/>
        </w:rPr>
        <w:t>Luvisols</w:t>
      </w:r>
      <w:r w:rsidRPr="00F779B5">
        <w:rPr>
          <w:rFonts w:ascii="Times New Roman" w:hAnsi="Times New Roman" w:cs="Times New Roman"/>
          <w:b/>
          <w:bCs/>
          <w:noProof/>
          <w:sz w:val="24"/>
          <w:szCs w:val="24"/>
        </w:rPr>
        <w:t xml:space="preserve">. </w:t>
      </w:r>
      <w:r w:rsidRPr="00F779B5">
        <w:rPr>
          <w:rFonts w:ascii="Times New Roman" w:hAnsi="Times New Roman" w:cs="Times New Roman"/>
          <w:noProof/>
          <w:sz w:val="24"/>
          <w:szCs w:val="24"/>
        </w:rPr>
        <w:t xml:space="preserve">(a) and (b) show hydrolytic </w:t>
      </w:r>
      <w:r w:rsidRPr="00F779B5">
        <w:rPr>
          <w:rFonts w:ascii="Times New Roman" w:hAnsi="Times New Roman" w:cs="Times New Roman"/>
          <w:sz w:val="24"/>
          <w:szCs w:val="24"/>
        </w:rPr>
        <w:t>enzyme activities</w:t>
      </w:r>
      <w:r w:rsidRPr="00F779B5">
        <w:rPr>
          <w:rFonts w:ascii="Times New Roman" w:hAnsi="Times New Roman" w:cs="Times New Roman"/>
          <w:noProof/>
          <w:sz w:val="24"/>
          <w:szCs w:val="24"/>
        </w:rPr>
        <w:t xml:space="preserve">, and (c) and (d) show oxidative </w:t>
      </w:r>
      <w:r w:rsidRPr="00F779B5">
        <w:rPr>
          <w:rFonts w:ascii="Times New Roman" w:hAnsi="Times New Roman" w:cs="Times New Roman"/>
          <w:sz w:val="24"/>
          <w:szCs w:val="24"/>
        </w:rPr>
        <w:t>enzyme activities</w:t>
      </w:r>
      <w:r w:rsidRPr="00F779B5">
        <w:rPr>
          <w:rFonts w:ascii="Times New Roman" w:hAnsi="Times New Roman" w:cs="Times New Roman"/>
          <w:noProof/>
          <w:sz w:val="24"/>
          <w:szCs w:val="24"/>
        </w:rPr>
        <w:t>, each under the influence of the same environmental variables. Enzyme activities include total hydrolytic enzyme activity (HEA), α-1,4 glucosidase (AG), β-1,4-glucosidase (BG), β xylanase (BX), cellobiohydrolase (CBH), N-acetyl-glucosaminidase (NAG), leucine aminopeptidase (LAP), phosphatase (ACP), oxidative enzyme activity (OEA), phenol oxidase (PHO), and peroxidase (PER). Environmental variables include soil pH, soil water content (SWC), soil organic carbon (SOC), total nitrogen (TN), dissolved organic carbon (DOC), available nitrogen (AN), available phosphorus (AP), microbial biomass carbon (MBC), and microbial biomass nitrogen (MBN). Arrow length represents the strength, and arrow direction the orientation, of correlations between environmental variables and enzyme activities; statistical significance (permutation test) is indicated as *</w:t>
      </w:r>
      <w:r w:rsidRPr="00F779B5">
        <w:rPr>
          <w:rFonts w:ascii="Times New Roman" w:hAnsi="Times New Roman" w:cs="Times New Roman"/>
          <w:i/>
          <w:iCs/>
          <w:noProof/>
          <w:sz w:val="24"/>
          <w:szCs w:val="24"/>
        </w:rPr>
        <w:t>p</w:t>
      </w:r>
      <w:r w:rsidRPr="00F779B5">
        <w:rPr>
          <w:rFonts w:ascii="Times New Roman" w:hAnsi="Times New Roman" w:cs="Times New Roman"/>
          <w:noProof/>
          <w:sz w:val="24"/>
          <w:szCs w:val="24"/>
        </w:rPr>
        <w:t xml:space="preserve"> &lt; 0.05 and **</w:t>
      </w:r>
      <w:r w:rsidRPr="00F779B5">
        <w:rPr>
          <w:rFonts w:ascii="Times New Roman" w:hAnsi="Times New Roman" w:cs="Times New Roman"/>
          <w:i/>
          <w:iCs/>
          <w:noProof/>
          <w:sz w:val="24"/>
          <w:szCs w:val="24"/>
        </w:rPr>
        <w:t>p</w:t>
      </w:r>
      <w:r w:rsidRPr="00F779B5">
        <w:rPr>
          <w:rFonts w:ascii="Times New Roman" w:hAnsi="Times New Roman" w:cs="Times New Roman"/>
          <w:noProof/>
          <w:sz w:val="24"/>
          <w:szCs w:val="24"/>
        </w:rPr>
        <w:t xml:space="preserve"> &lt; 0.01. Hydrolase activity refers to the sum of AG, BG, BX, CBH, LAP, NAG, and ACP, whereas oxidase activity refers to the sum of PHO and PER.</w:t>
      </w:r>
    </w:p>
    <w:p w:rsidR="00F779B5" w:rsidRPr="00F779B5" w:rsidRDefault="00F779B5" w:rsidP="00F779B5">
      <w:pPr>
        <w:widowControl/>
        <w:jc w:val="left"/>
        <w:rPr>
          <w:rFonts w:ascii="Times New Roman" w:hAnsi="Times New Roman" w:cs="Times New Roman"/>
          <w:sz w:val="24"/>
          <w:szCs w:val="24"/>
        </w:rPr>
      </w:pPr>
      <w:r w:rsidRPr="00F779B5">
        <w:rPr>
          <w:rFonts w:ascii="Times New Roman" w:hAnsi="Times New Roman" w:cs="Times New Roman"/>
          <w:sz w:val="24"/>
          <w:szCs w:val="24"/>
        </w:rPr>
        <w:br w:type="page"/>
      </w:r>
    </w:p>
    <w:p w:rsidR="00F779B5" w:rsidRPr="00F779B5" w:rsidRDefault="00170994" w:rsidP="00F779B5">
      <w:pPr>
        <w:widowControl/>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4654550"/>
            <wp:effectExtent l="0" t="0" r="2540" b="0"/>
            <wp:docPr id="872707866" name="图片 9"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707866" name="图片 9" descr="图表&#10;&#10;AI 生成的内容可能不正确。"/>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4654550"/>
                    </a:xfrm>
                    <a:prstGeom prst="rect">
                      <a:avLst/>
                    </a:prstGeom>
                  </pic:spPr>
                </pic:pic>
              </a:graphicData>
            </a:graphic>
          </wp:inline>
        </w:drawing>
      </w:r>
    </w:p>
    <w:p w:rsidR="00F779B5" w:rsidRPr="00F779B5" w:rsidRDefault="00F779B5" w:rsidP="00F779B5">
      <w:pPr>
        <w:widowControl/>
        <w:rPr>
          <w:rFonts w:ascii="Times New Roman" w:hAnsi="Times New Roman" w:cs="Times New Roman"/>
          <w:noProof/>
          <w:sz w:val="24"/>
          <w:szCs w:val="24"/>
        </w:rPr>
      </w:pPr>
      <w:r w:rsidRPr="00F779B5">
        <w:rPr>
          <w:rFonts w:ascii="Times New Roman" w:hAnsi="Times New Roman" w:cs="Times New Roman"/>
          <w:b/>
          <w:bCs/>
          <w:sz w:val="24"/>
          <w:szCs w:val="24"/>
        </w:rPr>
        <w:t xml:space="preserve">Figure S11. </w:t>
      </w:r>
      <w:r w:rsidRPr="00F779B5">
        <w:rPr>
          <w:rFonts w:ascii="Times New Roman" w:hAnsi="Times New Roman" w:cs="Times New Roman"/>
          <w:b/>
          <w:bCs/>
          <w:noProof/>
          <w:sz w:val="24"/>
          <w:szCs w:val="24"/>
        </w:rPr>
        <w:t xml:space="preserve">Redundancy analysis (RDA) showing the influence of environmental factors on microbial extracellular enzyme activities in </w:t>
      </w:r>
      <w:r w:rsidR="00170994" w:rsidRPr="00170994">
        <w:rPr>
          <w:rFonts w:ascii="Times New Roman" w:hAnsi="Times New Roman" w:cs="Times New Roman" w:hint="eastAsia"/>
          <w:b/>
          <w:bCs/>
          <w:noProof/>
          <w:sz w:val="24"/>
          <w:szCs w:val="24"/>
        </w:rPr>
        <w:t>Calcisols</w:t>
      </w:r>
      <w:r w:rsidRPr="00F779B5">
        <w:rPr>
          <w:rFonts w:ascii="Times New Roman" w:hAnsi="Times New Roman" w:cs="Times New Roman"/>
          <w:b/>
          <w:bCs/>
          <w:noProof/>
          <w:sz w:val="24"/>
          <w:szCs w:val="24"/>
        </w:rPr>
        <w:t xml:space="preserve">. </w:t>
      </w:r>
      <w:r w:rsidRPr="00F779B5">
        <w:rPr>
          <w:rFonts w:ascii="Times New Roman" w:hAnsi="Times New Roman" w:cs="Times New Roman"/>
          <w:noProof/>
          <w:sz w:val="24"/>
          <w:szCs w:val="24"/>
        </w:rPr>
        <w:t xml:space="preserve">(a) and (b) show hydrolytic </w:t>
      </w:r>
      <w:r w:rsidRPr="00F779B5">
        <w:rPr>
          <w:rFonts w:ascii="Times New Roman" w:hAnsi="Times New Roman" w:cs="Times New Roman"/>
          <w:sz w:val="24"/>
          <w:szCs w:val="24"/>
        </w:rPr>
        <w:t>enzyme activities</w:t>
      </w:r>
      <w:r w:rsidRPr="00F779B5">
        <w:rPr>
          <w:rFonts w:ascii="Times New Roman" w:hAnsi="Times New Roman" w:cs="Times New Roman"/>
          <w:noProof/>
          <w:sz w:val="24"/>
          <w:szCs w:val="24"/>
        </w:rPr>
        <w:t xml:space="preserve">, and (c) and (d) show oxidative </w:t>
      </w:r>
      <w:r w:rsidRPr="00F779B5">
        <w:rPr>
          <w:rFonts w:ascii="Times New Roman" w:hAnsi="Times New Roman" w:cs="Times New Roman"/>
          <w:sz w:val="24"/>
          <w:szCs w:val="24"/>
        </w:rPr>
        <w:t>enzyme activities</w:t>
      </w:r>
      <w:r w:rsidRPr="00F779B5">
        <w:rPr>
          <w:rFonts w:ascii="Times New Roman" w:hAnsi="Times New Roman" w:cs="Times New Roman"/>
          <w:noProof/>
          <w:sz w:val="24"/>
          <w:szCs w:val="24"/>
        </w:rPr>
        <w:t>, each under the influence of the same environmental variables. Enzyme activities include total hydrolytic enzyme activity (HEA), α-1,4 glucosidase (AG), β-1,4-glucosidase (BG), β xylanase (BX), cellobiohydrolase (CBH), N-acetyl-glucosaminidase (NAG), leucine aminopeptidase (LAP), phosphatase (ACP), oxidative enzyme activity (OEA), phenol oxidase (PHO), and peroxidase (PER). Environmental variables include soil pH, soil water content (SWC), soil organic carbon (SOC), total nitrogen (TN), dissolved organic carbon (DOC), available nitrogen (AN), available phosphorus (AP), microbial biomass carbon (MBC), and microbial biomass nitrogen (MBN). Arrow length represents the strength, and arrow direction the orientation, of correlations between environmental variables and enzyme activities; statistical significance (permutation test) is indicated as *</w:t>
      </w:r>
      <w:r w:rsidRPr="00170994">
        <w:rPr>
          <w:rFonts w:ascii="Times New Roman" w:hAnsi="Times New Roman" w:cs="Times New Roman"/>
          <w:i/>
          <w:iCs/>
          <w:noProof/>
          <w:sz w:val="24"/>
          <w:szCs w:val="24"/>
        </w:rPr>
        <w:t>p</w:t>
      </w:r>
      <w:r w:rsidRPr="00F779B5">
        <w:rPr>
          <w:rFonts w:ascii="Times New Roman" w:hAnsi="Times New Roman" w:cs="Times New Roman"/>
          <w:noProof/>
          <w:sz w:val="24"/>
          <w:szCs w:val="24"/>
        </w:rPr>
        <w:t xml:space="preserve"> &lt; 0.05 and **</w:t>
      </w:r>
      <w:r w:rsidRPr="00170994">
        <w:rPr>
          <w:rFonts w:ascii="Times New Roman" w:hAnsi="Times New Roman" w:cs="Times New Roman"/>
          <w:i/>
          <w:iCs/>
          <w:noProof/>
          <w:sz w:val="24"/>
          <w:szCs w:val="24"/>
        </w:rPr>
        <w:t>p</w:t>
      </w:r>
      <w:r w:rsidRPr="00F779B5">
        <w:rPr>
          <w:rFonts w:ascii="Times New Roman" w:hAnsi="Times New Roman" w:cs="Times New Roman"/>
          <w:noProof/>
          <w:sz w:val="24"/>
          <w:szCs w:val="24"/>
        </w:rPr>
        <w:t xml:space="preserve"> &lt; 0.01. Hydrolase activity refers to the sum of AG, BG, BX, CBH, LAP, NAG, and ACP, whereas oxidase activity refers to the sum of PHO and PER.</w:t>
      </w:r>
    </w:p>
    <w:p w:rsidR="00F779B5" w:rsidRPr="00F779B5" w:rsidRDefault="00F779B5" w:rsidP="00F779B5">
      <w:pPr>
        <w:widowControl/>
        <w:jc w:val="left"/>
        <w:rPr>
          <w:rFonts w:ascii="Times New Roman" w:hAnsi="Times New Roman" w:cs="Times New Roman"/>
          <w:sz w:val="24"/>
          <w:szCs w:val="24"/>
        </w:rPr>
      </w:pPr>
      <w:r w:rsidRPr="00F779B5">
        <w:rPr>
          <w:rFonts w:ascii="Times New Roman" w:hAnsi="Times New Roman" w:cs="Times New Roman"/>
          <w:sz w:val="24"/>
          <w:szCs w:val="24"/>
        </w:rPr>
        <w:br w:type="page"/>
      </w:r>
    </w:p>
    <w:p w:rsidR="00F779B5" w:rsidRPr="00F779B5" w:rsidRDefault="00170994" w:rsidP="00F779B5">
      <w:pPr>
        <w:widowControl/>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4659630"/>
            <wp:effectExtent l="0" t="0" r="2540" b="7620"/>
            <wp:docPr id="1517330505" name="图片 10"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30505" name="图片 10" descr="图表&#10;&#10;AI 生成的内容可能不正确。"/>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4659630"/>
                    </a:xfrm>
                    <a:prstGeom prst="rect">
                      <a:avLst/>
                    </a:prstGeom>
                  </pic:spPr>
                </pic:pic>
              </a:graphicData>
            </a:graphic>
          </wp:inline>
        </w:drawing>
      </w:r>
    </w:p>
    <w:p w:rsidR="00F779B5" w:rsidRPr="00F779B5" w:rsidRDefault="00F779B5" w:rsidP="00F779B5">
      <w:pPr>
        <w:widowControl/>
        <w:rPr>
          <w:rFonts w:ascii="Times New Roman" w:hAnsi="Times New Roman" w:cs="Times New Roman"/>
          <w:b/>
          <w:bCs/>
          <w:sz w:val="24"/>
          <w:szCs w:val="24"/>
        </w:rPr>
      </w:pPr>
      <w:r w:rsidRPr="00F779B5">
        <w:rPr>
          <w:rFonts w:ascii="Times New Roman" w:hAnsi="Times New Roman" w:cs="Times New Roman"/>
          <w:b/>
          <w:bCs/>
          <w:sz w:val="24"/>
          <w:szCs w:val="24"/>
        </w:rPr>
        <w:t>Figure S12. Redundancy analysis (RDA) of the relationship between environmental factors and microbial extracellular enzyme activities under storage at -20 °C.</w:t>
      </w:r>
      <w:r w:rsidRPr="00F779B5">
        <w:rPr>
          <w:rFonts w:ascii="Times New Roman" w:hAnsi="Times New Roman" w:cs="Times New Roman"/>
          <w:sz w:val="24"/>
          <w:szCs w:val="24"/>
        </w:rPr>
        <w:t xml:space="preserve"> (a) and (b) show hydrolytic enzyme activities, and (c) and (d) show oxidative enzyme activities, each under the influence of the same environmental variables. Enzyme activities include total hydrolytic enzyme activity (HEA), α-1,4 glucosidase (AG), β-1,4-glucosidase (BG), β-xylanase (BX), cellobiohydrolase (CBH), N-acetyl-glucosaminidase (NAG), leucine aminopeptidase (LAP), phosphatase (ACP), oxidative enzyme activity (OEA), phenol oxidase (PHO), and peroxidase (PER). Environmental variables include soil pH, soil water content (SWC), soil organic carbon (SOC), total nitrogen (TN), dissolved organic carbon (DOC), available nitrogen (AN), available phosphorus (AP), microbial biomass carbon (MBC), and microbial biomass nitrogen (MBN). Arrow length represents the strength, and arrow direction the orientation, of correlations between environmental variables and enzyme activities; statistical significance (permutation test) is indicated as *</w:t>
      </w:r>
      <w:r w:rsidRPr="00F779B5">
        <w:rPr>
          <w:rFonts w:ascii="Times New Roman" w:hAnsi="Times New Roman" w:cs="Times New Roman"/>
          <w:i/>
          <w:iCs/>
          <w:sz w:val="24"/>
          <w:szCs w:val="24"/>
        </w:rPr>
        <w:t>p</w:t>
      </w:r>
      <w:r w:rsidRPr="00F779B5">
        <w:rPr>
          <w:rFonts w:ascii="Times New Roman" w:hAnsi="Times New Roman" w:cs="Times New Roman"/>
          <w:sz w:val="24"/>
          <w:szCs w:val="24"/>
        </w:rPr>
        <w:t xml:space="preserve"> &lt; 0.05 and **</w:t>
      </w:r>
      <w:r w:rsidRPr="00F779B5">
        <w:rPr>
          <w:rFonts w:ascii="Times New Roman" w:hAnsi="Times New Roman" w:cs="Times New Roman"/>
          <w:i/>
          <w:iCs/>
          <w:sz w:val="24"/>
          <w:szCs w:val="24"/>
        </w:rPr>
        <w:t>p</w:t>
      </w:r>
      <w:r w:rsidRPr="00F779B5">
        <w:rPr>
          <w:rFonts w:ascii="Times New Roman" w:hAnsi="Times New Roman" w:cs="Times New Roman"/>
          <w:sz w:val="24"/>
          <w:szCs w:val="24"/>
        </w:rPr>
        <w:t xml:space="preserve"> &lt; 0.01. Hydrolase activity refers to the sum of AG, BG, BX, CBH, LAP, NAG, and ACP, whereas oxidase activity refers to the sum of PHO and PER.</w:t>
      </w:r>
    </w:p>
    <w:p w:rsidR="00F779B5" w:rsidRPr="00F779B5" w:rsidRDefault="00F779B5" w:rsidP="00F779B5">
      <w:pPr>
        <w:widowControl/>
        <w:jc w:val="left"/>
        <w:rPr>
          <w:rFonts w:ascii="Times New Roman" w:hAnsi="Times New Roman" w:cs="Times New Roman"/>
          <w:sz w:val="24"/>
          <w:szCs w:val="24"/>
        </w:rPr>
      </w:pPr>
      <w:r w:rsidRPr="00F779B5">
        <w:rPr>
          <w:rFonts w:ascii="Times New Roman" w:hAnsi="Times New Roman" w:cs="Times New Roman"/>
          <w:sz w:val="24"/>
          <w:szCs w:val="24"/>
        </w:rPr>
        <w:br w:type="page"/>
      </w:r>
    </w:p>
    <w:p w:rsidR="00F779B5" w:rsidRPr="00F779B5" w:rsidRDefault="00170994" w:rsidP="00F779B5">
      <w:pPr>
        <w:widowControl/>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4654550"/>
            <wp:effectExtent l="0" t="0" r="2540" b="0"/>
            <wp:docPr id="936785586" name="图片 1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785586" name="图片 11" descr="图表&#10;&#10;AI 生成的内容可能不正确。"/>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4310" cy="4654550"/>
                    </a:xfrm>
                    <a:prstGeom prst="rect">
                      <a:avLst/>
                    </a:prstGeom>
                  </pic:spPr>
                </pic:pic>
              </a:graphicData>
            </a:graphic>
          </wp:inline>
        </w:drawing>
      </w:r>
    </w:p>
    <w:p w:rsidR="00F779B5" w:rsidRPr="00F779B5" w:rsidRDefault="00F779B5" w:rsidP="00F779B5">
      <w:pPr>
        <w:widowControl/>
        <w:rPr>
          <w:rFonts w:ascii="Times New Roman" w:hAnsi="Times New Roman" w:cs="Times New Roman"/>
          <w:noProof/>
          <w:sz w:val="24"/>
          <w:szCs w:val="24"/>
        </w:rPr>
      </w:pPr>
      <w:r w:rsidRPr="00F779B5">
        <w:rPr>
          <w:rFonts w:ascii="Times New Roman" w:hAnsi="Times New Roman" w:cs="Times New Roman"/>
          <w:b/>
          <w:bCs/>
          <w:sz w:val="24"/>
          <w:szCs w:val="24"/>
        </w:rPr>
        <w:t xml:space="preserve">Figure S13. Redundancy analysis (RDA) of the relationships between environmental factors and microbial extracellular enzyme activities under air-drying. </w:t>
      </w:r>
      <w:r w:rsidRPr="00F779B5">
        <w:rPr>
          <w:rFonts w:ascii="Times New Roman" w:hAnsi="Times New Roman" w:cs="Times New Roman"/>
          <w:sz w:val="24"/>
          <w:szCs w:val="24"/>
        </w:rPr>
        <w:t>(a) and (b) show hydrolytic enzyme activities, and (c) and (d) show oxidative enzyme activities, each under the influence of the same environmental variables. Enzyme activities include total hydrolytic enzyme activity (HEA), α-1,4 glucosidase (AG), β-1,4-glucosidase (BG), β-xylanase (BX), cellobiohydrolase (CBH), N-acetyl-glucosaminidase (NAG), leucine aminopeptidase (LAP), phosphatase (ACP), oxidative enzyme activity (OEA), phenol oxidase (PHO), and peroxidase (PER). Environmental variables include soil pH, soil water content (SWC), soil organic carbon (SOC), total nitrogen (TN), dissolved organic carbon (DOC), available nitrogen (AN), available phosphorus (AP), microbial biomass carbon (MBC), and microbial biomass nitrogen (MBN). Arrow length represents the strength, and arrow direction the orientation, of correlations between environmental variables and enzyme activities; statistical significance (permutation test) is indicated as *</w:t>
      </w:r>
      <w:r w:rsidRPr="00F779B5">
        <w:rPr>
          <w:rFonts w:ascii="Times New Roman" w:hAnsi="Times New Roman" w:cs="Times New Roman"/>
          <w:i/>
          <w:iCs/>
          <w:sz w:val="24"/>
          <w:szCs w:val="24"/>
        </w:rPr>
        <w:t>p</w:t>
      </w:r>
      <w:r w:rsidRPr="00F779B5">
        <w:rPr>
          <w:rFonts w:ascii="Times New Roman" w:hAnsi="Times New Roman" w:cs="Times New Roman"/>
          <w:sz w:val="24"/>
          <w:szCs w:val="24"/>
        </w:rPr>
        <w:t xml:space="preserve"> &lt; 0.05 and **</w:t>
      </w:r>
      <w:r w:rsidRPr="00F779B5">
        <w:rPr>
          <w:rFonts w:ascii="Times New Roman" w:hAnsi="Times New Roman" w:cs="Times New Roman"/>
          <w:i/>
          <w:iCs/>
          <w:sz w:val="24"/>
          <w:szCs w:val="24"/>
        </w:rPr>
        <w:t>p</w:t>
      </w:r>
      <w:r w:rsidRPr="00F779B5">
        <w:rPr>
          <w:rFonts w:ascii="Times New Roman" w:hAnsi="Times New Roman" w:cs="Times New Roman"/>
          <w:sz w:val="24"/>
          <w:szCs w:val="24"/>
        </w:rPr>
        <w:t xml:space="preserve"> &lt; 0.01. Hydrolase activity refers to the sum of AG, BG, BX, CBH, LAP, NAG, and ACP, whereas oxidase activity refers to the sum of PHO and PER.</w:t>
      </w:r>
    </w:p>
    <w:p w:rsidR="00F779B5" w:rsidRPr="00F779B5" w:rsidRDefault="00F779B5" w:rsidP="00F779B5">
      <w:pPr>
        <w:widowControl/>
        <w:jc w:val="left"/>
        <w:rPr>
          <w:rFonts w:ascii="Times New Roman" w:hAnsi="Times New Roman" w:cs="Times New Roman"/>
          <w:sz w:val="24"/>
          <w:szCs w:val="24"/>
        </w:rPr>
      </w:pPr>
      <w:r w:rsidRPr="00F779B5">
        <w:rPr>
          <w:rFonts w:ascii="Times New Roman" w:hAnsi="Times New Roman" w:cs="Times New Roman"/>
          <w:sz w:val="24"/>
          <w:szCs w:val="24"/>
        </w:rPr>
        <w:br w:type="page"/>
      </w:r>
    </w:p>
    <w:p w:rsidR="00F779B5" w:rsidRPr="00F779B5" w:rsidRDefault="00170994" w:rsidP="00F779B5">
      <w:pPr>
        <w:widowControl/>
        <w:jc w:val="lef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274310" cy="4654550"/>
            <wp:effectExtent l="0" t="0" r="2540" b="0"/>
            <wp:docPr id="509456939" name="图片 12"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456939" name="图片 12" descr="图表&#10;&#10;AI 生成的内容可能不正确。"/>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4310" cy="4654550"/>
                    </a:xfrm>
                    <a:prstGeom prst="rect">
                      <a:avLst/>
                    </a:prstGeom>
                  </pic:spPr>
                </pic:pic>
              </a:graphicData>
            </a:graphic>
          </wp:inline>
        </w:drawing>
      </w:r>
    </w:p>
    <w:p w:rsidR="00F779B5" w:rsidRPr="00F779B5" w:rsidRDefault="00F779B5" w:rsidP="00F779B5">
      <w:pPr>
        <w:widowControl/>
        <w:rPr>
          <w:rFonts w:ascii="Times New Roman" w:hAnsi="Times New Roman" w:cs="Times New Roman"/>
          <w:sz w:val="24"/>
          <w:szCs w:val="24"/>
        </w:rPr>
      </w:pPr>
      <w:r w:rsidRPr="00F779B5">
        <w:rPr>
          <w:rFonts w:ascii="Times New Roman" w:hAnsi="Times New Roman" w:cs="Times New Roman"/>
          <w:b/>
          <w:bCs/>
          <w:sz w:val="24"/>
          <w:szCs w:val="24"/>
        </w:rPr>
        <w:t xml:space="preserve">Figure S14. Redundancy analysis (RDA) of the relationships between environmental factors and microbial extracellular enzyme activities under freeze-drying. </w:t>
      </w:r>
      <w:r w:rsidRPr="00F779B5">
        <w:rPr>
          <w:rFonts w:ascii="Times New Roman" w:hAnsi="Times New Roman" w:cs="Times New Roman"/>
          <w:sz w:val="24"/>
          <w:szCs w:val="24"/>
        </w:rPr>
        <w:t>(a) and (b) show hydrolytic enzymes activity, and (c) and (d) show oxidative enzymes activity, each under the influence of the same environmental variables. Enzyme activities include total hydrolytic enzyme activity (HEA), α-1,4-glucosidase (AG), β-1,4-glucosidase (BG), β-xylanase (BX), cellobiohydrolase (CBH), N-acetyl-glucosaminidase (NAG), leucine aminopeptidase (LAP), phosphatase (ACP), oxidative enzyme activity (OEA), phenol oxidase (PHO), and peroxidase (PER). Environmental variables include soil pH, soil water content (SWC), soil organic carbon (SOC), total nitrogen (TN), dissolved organic carbon (DOC), available nitrogen (AN), available phosphorus (AP), microbial biomass carbon (MBC), and microbial biomass nitrogen (MBN). Arrow length represents the strength, and arrow direction the orientation, of correlations between environmental variables and enzyme activities; statistical significance (permutation test) is indicated as *</w:t>
      </w:r>
      <w:r w:rsidRPr="00F779B5">
        <w:rPr>
          <w:rFonts w:ascii="Times New Roman" w:hAnsi="Times New Roman" w:cs="Times New Roman"/>
          <w:i/>
          <w:iCs/>
          <w:sz w:val="24"/>
          <w:szCs w:val="24"/>
        </w:rPr>
        <w:t>p</w:t>
      </w:r>
      <w:r w:rsidRPr="00F779B5">
        <w:rPr>
          <w:rFonts w:ascii="Times New Roman" w:hAnsi="Times New Roman" w:cs="Times New Roman"/>
          <w:sz w:val="24"/>
          <w:szCs w:val="24"/>
        </w:rPr>
        <w:t xml:space="preserve"> &lt; 0.05 and **</w:t>
      </w:r>
      <w:r w:rsidRPr="00F779B5">
        <w:rPr>
          <w:rFonts w:ascii="Times New Roman" w:hAnsi="Times New Roman" w:cs="Times New Roman"/>
          <w:i/>
          <w:iCs/>
          <w:sz w:val="24"/>
          <w:szCs w:val="24"/>
        </w:rPr>
        <w:t>p</w:t>
      </w:r>
      <w:r w:rsidRPr="00F779B5">
        <w:rPr>
          <w:rFonts w:ascii="Times New Roman" w:hAnsi="Times New Roman" w:cs="Times New Roman"/>
          <w:sz w:val="24"/>
          <w:szCs w:val="24"/>
        </w:rPr>
        <w:t xml:space="preserve"> &lt; 0.01. Hydrolase activity refers to the sum of AG, BG, BX, CBH, LAP, NAG, and ACP, whereas oxidase activity refers to the sum of PHO and PER.</w:t>
      </w:r>
      <w:r w:rsidRPr="00F779B5">
        <w:rPr>
          <w:rFonts w:ascii="Times New Roman" w:hAnsi="Times New Roman" w:cs="Times New Roman"/>
        </w:rPr>
        <w:fldChar w:fldCharType="begin"/>
      </w:r>
      <w:r w:rsidRPr="00F779B5">
        <w:rPr>
          <w:rFonts w:ascii="Times New Roman" w:hAnsi="Times New Roman" w:cs="Times New Roman"/>
        </w:rPr>
        <w:instrText xml:space="preserve"> ADDIN EN.REFLIST </w:instrText>
      </w:r>
      <w:r w:rsidRPr="00F779B5">
        <w:rPr>
          <w:rFonts w:ascii="Times New Roman" w:hAnsi="Times New Roman" w:cs="Times New Roman"/>
        </w:rPr>
        <w:fldChar w:fldCharType="separate"/>
      </w:r>
      <w:r w:rsidRPr="00F779B5">
        <w:rPr>
          <w:rFonts w:ascii="Times New Roman" w:hAnsi="Times New Roman" w:cs="Times New Roman"/>
        </w:rPr>
        <w:fldChar w:fldCharType="end"/>
      </w:r>
    </w:p>
    <w:p w:rsidR="008F5D41" w:rsidRPr="00F779B5" w:rsidRDefault="008F5D41" w:rsidP="00F779B5">
      <w:pPr>
        <w:rPr>
          <w:rFonts w:ascii="Times New Roman" w:hAnsi="Times New Roman" w:cs="Times New Roman"/>
          <w:noProof/>
          <w:sz w:val="24"/>
          <w:szCs w:val="24"/>
        </w:rPr>
      </w:pPr>
    </w:p>
    <w:sectPr w:rsidR="008F5D41" w:rsidRPr="00F779B5" w:rsidSect="00034F15">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C211C" w:rsidRDefault="00BC211C" w:rsidP="005C61FC">
      <w:pPr>
        <w:rPr>
          <w:rFonts w:hint="eastAsia"/>
        </w:rPr>
      </w:pPr>
      <w:r>
        <w:separator/>
      </w:r>
    </w:p>
  </w:endnote>
  <w:endnote w:type="continuationSeparator" w:id="0">
    <w:p w:rsidR="00BC211C" w:rsidRDefault="00BC211C" w:rsidP="005C61F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C211C" w:rsidRDefault="00BC211C" w:rsidP="005C61FC">
      <w:pPr>
        <w:rPr>
          <w:rFonts w:hint="eastAsia"/>
        </w:rPr>
      </w:pPr>
      <w:r>
        <w:separator/>
      </w:r>
    </w:p>
  </w:footnote>
  <w:footnote w:type="continuationSeparator" w:id="0">
    <w:p w:rsidR="00BC211C" w:rsidRDefault="00BC211C" w:rsidP="005C61FC">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AF7"/>
    <w:rsid w:val="00034F15"/>
    <w:rsid w:val="000B02B1"/>
    <w:rsid w:val="000E1B47"/>
    <w:rsid w:val="000F4889"/>
    <w:rsid w:val="00170994"/>
    <w:rsid w:val="00194DC4"/>
    <w:rsid w:val="001A2323"/>
    <w:rsid w:val="002068C4"/>
    <w:rsid w:val="0023030A"/>
    <w:rsid w:val="00302241"/>
    <w:rsid w:val="00303D3B"/>
    <w:rsid w:val="0030414E"/>
    <w:rsid w:val="00366E58"/>
    <w:rsid w:val="004840E0"/>
    <w:rsid w:val="004D279C"/>
    <w:rsid w:val="005C61FC"/>
    <w:rsid w:val="005E1831"/>
    <w:rsid w:val="00696AFE"/>
    <w:rsid w:val="00702928"/>
    <w:rsid w:val="00753FCA"/>
    <w:rsid w:val="007A4105"/>
    <w:rsid w:val="007D2AF7"/>
    <w:rsid w:val="00884B22"/>
    <w:rsid w:val="008E47AC"/>
    <w:rsid w:val="008F3D19"/>
    <w:rsid w:val="008F5D41"/>
    <w:rsid w:val="00AE7F0D"/>
    <w:rsid w:val="00BC211C"/>
    <w:rsid w:val="00C66F85"/>
    <w:rsid w:val="00D21D8D"/>
    <w:rsid w:val="00DD437C"/>
    <w:rsid w:val="00E00A3D"/>
    <w:rsid w:val="00E4526E"/>
    <w:rsid w:val="00E8299C"/>
    <w:rsid w:val="00F779B5"/>
    <w:rsid w:val="00FA66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F431"/>
  <w15:chartTrackingRefBased/>
  <w15:docId w15:val="{10229DB1-9F32-4F01-9EFF-BBBA3277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2AF7"/>
    <w:pPr>
      <w:widowControl w:val="0"/>
      <w:jc w:val="both"/>
    </w:pPr>
  </w:style>
  <w:style w:type="paragraph" w:styleId="1">
    <w:name w:val="heading 1"/>
    <w:basedOn w:val="a"/>
    <w:next w:val="a"/>
    <w:link w:val="10"/>
    <w:uiPriority w:val="9"/>
    <w:qFormat/>
    <w:rsid w:val="007D2AF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D2AF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D2AF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D2AF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D2AF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7D2AF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D2AF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D2AF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D2AF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D2AF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D2AF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D2AF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D2AF7"/>
    <w:rPr>
      <w:rFonts w:cstheme="majorBidi"/>
      <w:color w:val="0F4761" w:themeColor="accent1" w:themeShade="BF"/>
      <w:sz w:val="28"/>
      <w:szCs w:val="28"/>
    </w:rPr>
  </w:style>
  <w:style w:type="character" w:customStyle="1" w:styleId="50">
    <w:name w:val="标题 5 字符"/>
    <w:basedOn w:val="a0"/>
    <w:link w:val="5"/>
    <w:uiPriority w:val="9"/>
    <w:semiHidden/>
    <w:rsid w:val="007D2AF7"/>
    <w:rPr>
      <w:rFonts w:cstheme="majorBidi"/>
      <w:color w:val="0F4761" w:themeColor="accent1" w:themeShade="BF"/>
      <w:sz w:val="24"/>
      <w:szCs w:val="24"/>
    </w:rPr>
  </w:style>
  <w:style w:type="character" w:customStyle="1" w:styleId="60">
    <w:name w:val="标题 6 字符"/>
    <w:basedOn w:val="a0"/>
    <w:link w:val="6"/>
    <w:uiPriority w:val="9"/>
    <w:semiHidden/>
    <w:rsid w:val="007D2AF7"/>
    <w:rPr>
      <w:rFonts w:cstheme="majorBidi"/>
      <w:b/>
      <w:bCs/>
      <w:color w:val="0F4761" w:themeColor="accent1" w:themeShade="BF"/>
    </w:rPr>
  </w:style>
  <w:style w:type="character" w:customStyle="1" w:styleId="70">
    <w:name w:val="标题 7 字符"/>
    <w:basedOn w:val="a0"/>
    <w:link w:val="7"/>
    <w:uiPriority w:val="9"/>
    <w:semiHidden/>
    <w:rsid w:val="007D2AF7"/>
    <w:rPr>
      <w:rFonts w:cstheme="majorBidi"/>
      <w:b/>
      <w:bCs/>
      <w:color w:val="595959" w:themeColor="text1" w:themeTint="A6"/>
    </w:rPr>
  </w:style>
  <w:style w:type="character" w:customStyle="1" w:styleId="80">
    <w:name w:val="标题 8 字符"/>
    <w:basedOn w:val="a0"/>
    <w:link w:val="8"/>
    <w:uiPriority w:val="9"/>
    <w:semiHidden/>
    <w:rsid w:val="007D2AF7"/>
    <w:rPr>
      <w:rFonts w:cstheme="majorBidi"/>
      <w:color w:val="595959" w:themeColor="text1" w:themeTint="A6"/>
    </w:rPr>
  </w:style>
  <w:style w:type="character" w:customStyle="1" w:styleId="90">
    <w:name w:val="标题 9 字符"/>
    <w:basedOn w:val="a0"/>
    <w:link w:val="9"/>
    <w:uiPriority w:val="9"/>
    <w:semiHidden/>
    <w:rsid w:val="007D2AF7"/>
    <w:rPr>
      <w:rFonts w:eastAsiaTheme="majorEastAsia" w:cstheme="majorBidi"/>
      <w:color w:val="595959" w:themeColor="text1" w:themeTint="A6"/>
    </w:rPr>
  </w:style>
  <w:style w:type="paragraph" w:styleId="a3">
    <w:name w:val="Title"/>
    <w:basedOn w:val="a"/>
    <w:next w:val="a"/>
    <w:link w:val="a4"/>
    <w:uiPriority w:val="10"/>
    <w:qFormat/>
    <w:rsid w:val="007D2AF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qFormat/>
    <w:rsid w:val="007D2AF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D2AF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D2AF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D2AF7"/>
    <w:pPr>
      <w:spacing w:before="160" w:after="160"/>
      <w:jc w:val="center"/>
    </w:pPr>
    <w:rPr>
      <w:i/>
      <w:iCs/>
      <w:color w:val="404040" w:themeColor="text1" w:themeTint="BF"/>
    </w:rPr>
  </w:style>
  <w:style w:type="character" w:customStyle="1" w:styleId="a8">
    <w:name w:val="引用 字符"/>
    <w:basedOn w:val="a0"/>
    <w:link w:val="a7"/>
    <w:uiPriority w:val="29"/>
    <w:rsid w:val="007D2AF7"/>
    <w:rPr>
      <w:i/>
      <w:iCs/>
      <w:color w:val="404040" w:themeColor="text1" w:themeTint="BF"/>
    </w:rPr>
  </w:style>
  <w:style w:type="paragraph" w:styleId="a9">
    <w:name w:val="List Paragraph"/>
    <w:basedOn w:val="a"/>
    <w:uiPriority w:val="34"/>
    <w:qFormat/>
    <w:rsid w:val="007D2AF7"/>
    <w:pPr>
      <w:ind w:left="720"/>
      <w:contextualSpacing/>
    </w:pPr>
  </w:style>
  <w:style w:type="character" w:styleId="aa">
    <w:name w:val="Intense Emphasis"/>
    <w:basedOn w:val="a0"/>
    <w:uiPriority w:val="21"/>
    <w:qFormat/>
    <w:rsid w:val="007D2AF7"/>
    <w:rPr>
      <w:i/>
      <w:iCs/>
      <w:color w:val="0F4761" w:themeColor="accent1" w:themeShade="BF"/>
    </w:rPr>
  </w:style>
  <w:style w:type="paragraph" w:styleId="ab">
    <w:name w:val="Intense Quote"/>
    <w:basedOn w:val="a"/>
    <w:next w:val="a"/>
    <w:link w:val="ac"/>
    <w:uiPriority w:val="30"/>
    <w:qFormat/>
    <w:rsid w:val="007D2A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D2AF7"/>
    <w:rPr>
      <w:i/>
      <w:iCs/>
      <w:color w:val="0F4761" w:themeColor="accent1" w:themeShade="BF"/>
    </w:rPr>
  </w:style>
  <w:style w:type="character" w:styleId="ad">
    <w:name w:val="Intense Reference"/>
    <w:basedOn w:val="a0"/>
    <w:uiPriority w:val="32"/>
    <w:qFormat/>
    <w:rsid w:val="007D2AF7"/>
    <w:rPr>
      <w:b/>
      <w:bCs/>
      <w:smallCaps/>
      <w:color w:val="0F4761" w:themeColor="accent1" w:themeShade="BF"/>
      <w:spacing w:val="5"/>
    </w:rPr>
  </w:style>
  <w:style w:type="character" w:styleId="ae">
    <w:name w:val="Hyperlink"/>
    <w:basedOn w:val="a0"/>
    <w:uiPriority w:val="99"/>
    <w:unhideWhenUsed/>
    <w:rsid w:val="007D2AF7"/>
    <w:rPr>
      <w:color w:val="467886" w:themeColor="hyperlink"/>
      <w:u w:val="single"/>
    </w:rPr>
  </w:style>
  <w:style w:type="table" w:styleId="af">
    <w:name w:val="Table Grid"/>
    <w:basedOn w:val="a1"/>
    <w:uiPriority w:val="39"/>
    <w:rsid w:val="007D2A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line number"/>
    <w:basedOn w:val="a0"/>
    <w:uiPriority w:val="99"/>
    <w:semiHidden/>
    <w:unhideWhenUsed/>
    <w:rsid w:val="007D2AF7"/>
  </w:style>
  <w:style w:type="paragraph" w:styleId="af1">
    <w:name w:val="header"/>
    <w:basedOn w:val="a"/>
    <w:link w:val="af2"/>
    <w:uiPriority w:val="99"/>
    <w:unhideWhenUsed/>
    <w:rsid w:val="005C61FC"/>
    <w:pPr>
      <w:tabs>
        <w:tab w:val="center" w:pos="4153"/>
        <w:tab w:val="right" w:pos="8306"/>
      </w:tabs>
      <w:snapToGrid w:val="0"/>
      <w:jc w:val="center"/>
    </w:pPr>
    <w:rPr>
      <w:sz w:val="18"/>
      <w:szCs w:val="18"/>
    </w:rPr>
  </w:style>
  <w:style w:type="character" w:customStyle="1" w:styleId="af2">
    <w:name w:val="页眉 字符"/>
    <w:basedOn w:val="a0"/>
    <w:link w:val="af1"/>
    <w:uiPriority w:val="99"/>
    <w:rsid w:val="005C61FC"/>
    <w:rPr>
      <w:sz w:val="18"/>
      <w:szCs w:val="18"/>
    </w:rPr>
  </w:style>
  <w:style w:type="paragraph" w:styleId="af3">
    <w:name w:val="footer"/>
    <w:basedOn w:val="a"/>
    <w:link w:val="af4"/>
    <w:uiPriority w:val="99"/>
    <w:unhideWhenUsed/>
    <w:rsid w:val="005C61FC"/>
    <w:pPr>
      <w:tabs>
        <w:tab w:val="center" w:pos="4153"/>
        <w:tab w:val="right" w:pos="8306"/>
      </w:tabs>
      <w:snapToGrid w:val="0"/>
      <w:jc w:val="left"/>
    </w:pPr>
    <w:rPr>
      <w:sz w:val="18"/>
      <w:szCs w:val="18"/>
    </w:rPr>
  </w:style>
  <w:style w:type="character" w:customStyle="1" w:styleId="af4">
    <w:name w:val="页脚 字符"/>
    <w:basedOn w:val="a0"/>
    <w:link w:val="af3"/>
    <w:uiPriority w:val="99"/>
    <w:rsid w:val="005C61F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tiff"/><Relationship Id="rId18" Type="http://schemas.openxmlformats.org/officeDocument/2006/relationships/image" Target="media/image12.tiff"/><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image" Target="media/image11.tiff"/><Relationship Id="rId2" Type="http://schemas.openxmlformats.org/officeDocument/2006/relationships/settings" Target="settings.xml"/><Relationship Id="rId16" Type="http://schemas.openxmlformats.org/officeDocument/2006/relationships/image" Target="media/image10.tiff"/><Relationship Id="rId20" Type="http://schemas.openxmlformats.org/officeDocument/2006/relationships/image" Target="media/image14.tiff"/><Relationship Id="rId1" Type="http://schemas.openxmlformats.org/officeDocument/2006/relationships/styles" Target="styles.xml"/><Relationship Id="rId6" Type="http://schemas.openxmlformats.org/officeDocument/2006/relationships/hyperlink" Target="https://www.metoffice.gov.uk" TargetMode="External"/><Relationship Id="rId11" Type="http://schemas.openxmlformats.org/officeDocument/2006/relationships/image" Target="media/image5.tiff"/><Relationship Id="rId5" Type="http://schemas.openxmlformats.org/officeDocument/2006/relationships/endnotes" Target="endnotes.xml"/><Relationship Id="rId15" Type="http://schemas.openxmlformats.org/officeDocument/2006/relationships/image" Target="media/image9.tiff"/><Relationship Id="rId10" Type="http://schemas.openxmlformats.org/officeDocument/2006/relationships/image" Target="media/image4.tiff"/><Relationship Id="rId19" Type="http://schemas.openxmlformats.org/officeDocument/2006/relationships/image" Target="media/image13.tiff"/><Relationship Id="rId4" Type="http://schemas.openxmlformats.org/officeDocument/2006/relationships/footnotes" Target="footnotes.xml"/><Relationship Id="rId9" Type="http://schemas.openxmlformats.org/officeDocument/2006/relationships/image" Target="media/image3.tiff"/><Relationship Id="rId14" Type="http://schemas.openxmlformats.org/officeDocument/2006/relationships/image" Target="media/image8.tiff"/><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20</Pages>
  <Words>2854</Words>
  <Characters>16272</Characters>
  <Application>Microsoft Office Word</Application>
  <DocSecurity>0</DocSecurity>
  <Lines>135</Lines>
  <Paragraphs>38</Paragraphs>
  <ScaleCrop>false</ScaleCrop>
  <Company/>
  <LinksUpToDate>false</LinksUpToDate>
  <CharactersWithSpaces>19088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 pan Liu</dc:creator>
  <cp:keywords/>
  <dc:description/>
  <cp:lastModifiedBy>Pan pan Liu</cp:lastModifiedBy>
  <cp:revision>6</cp:revision>
  <dcterms:created xsi:type="dcterms:W3CDTF">2025-10-28T09:14:00Z</dcterms:created>
  <dcterms:modified xsi:type="dcterms:W3CDTF">2026-02-22T12:25:00Z</dcterms:modified>
</cp:coreProperties>
</file>