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6F6CB7">
      <w:pPr>
        <w:adjustRightInd w:val="0"/>
        <w:snapToGrid w:val="0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GoBack"/>
      <w:bookmarkEnd w:id="2"/>
      <w:r>
        <w:rPr>
          <w:rFonts w:ascii="Times New Roman" w:hAnsi="Times New Roman" w:cs="Times New Roman"/>
          <w:b/>
          <w:bCs/>
          <w:sz w:val="24"/>
          <w:szCs w:val="24"/>
        </w:rPr>
        <w:t>Supplementary materials</w:t>
      </w:r>
    </w:p>
    <w:p w14:paraId="67AA9C3E">
      <w:pPr>
        <w:adjustRightInd w:val="0"/>
        <w:snapToGrid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738E8B8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OLE_LINK1"/>
      <w:r>
        <w:rPr>
          <w:rFonts w:hint="eastAsia" w:ascii="Times New Roman" w:hAnsi="Times New Roman" w:cs="Times New Roman"/>
          <w:b/>
          <w:bCs/>
          <w:sz w:val="24"/>
          <w:szCs w:val="24"/>
        </w:rPr>
        <w:t xml:space="preserve">Table S1 </w:t>
      </w:r>
      <w:r>
        <w:rPr>
          <w:rFonts w:ascii="Times New Roman" w:hAnsi="Times New Roman" w:cs="Times New Roman"/>
          <w:sz w:val="24"/>
          <w:szCs w:val="24"/>
        </w:rPr>
        <w:t>The soil bulk density across the 0-50 cm profile of an alpine meadow, with depth intervals of 0-10, 10-</w:t>
      </w:r>
      <w:r>
        <w:rPr>
          <w:rFonts w:hint="eastAsia"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0, </w:t>
      </w:r>
      <w:r>
        <w:rPr>
          <w:rFonts w:hint="eastAsia" w:ascii="Times New Roman" w:hAnsi="Times New Roman" w:cs="Times New Roman"/>
          <w:sz w:val="24"/>
          <w:szCs w:val="24"/>
        </w:rPr>
        <w:t xml:space="preserve">20-30, 30-40,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hint="eastAsia"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0-50 cm.​</w:t>
      </w:r>
    </w:p>
    <w:p w14:paraId="7D44876C">
      <w:pPr>
        <w:adjustRightInd w:val="0"/>
        <w:snapToGrid w:val="0"/>
        <w:spacing w:line="360" w:lineRule="auto"/>
        <w:rPr>
          <w:rFonts w:ascii="Times New Roman" w:hAnsi="Times New Roman" w:cs="Times New Roman"/>
          <w:sz w:val="4"/>
          <w:szCs w:val="4"/>
        </w:rPr>
      </w:pPr>
    </w:p>
    <w:tbl>
      <w:tblPr>
        <w:tblStyle w:val="9"/>
        <w:tblW w:w="8927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7"/>
        <w:gridCol w:w="1276"/>
        <w:gridCol w:w="1276"/>
        <w:gridCol w:w="1276"/>
        <w:gridCol w:w="1276"/>
        <w:gridCol w:w="1276"/>
      </w:tblGrid>
      <w:tr w14:paraId="313E296D">
        <w:trPr>
          <w:trHeight w:val="454" w:hRule="atLeast"/>
        </w:trPr>
        <w:tc>
          <w:tcPr>
            <w:tcW w:w="254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90C3D5C">
            <w:pPr>
              <w:adjustRightInd w:val="0"/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>
              <w:rPr>
                <w:rFonts w:hint="eastAsia" w:ascii="Times New Roman" w:hAnsi="Times New Roman" w:cs="Times New Roman"/>
                <w:sz w:val="20"/>
                <w:szCs w:val="20"/>
              </w:rPr>
              <w:t>oil depth (cm)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59AC776">
            <w:pPr>
              <w:adjustRightInd w:val="0"/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</w:rPr>
              <w:t>0-10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DE3004A">
            <w:pPr>
              <w:adjustRightInd w:val="0"/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</w:rPr>
              <w:t>10-20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188EEBA1">
            <w:pPr>
              <w:adjustRightInd w:val="0"/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</w:rPr>
              <w:t>20-30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3DF243AC">
            <w:pPr>
              <w:adjustRightInd w:val="0"/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</w:rPr>
              <w:t>30-40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121B0291">
            <w:pPr>
              <w:adjustRightInd w:val="0"/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</w:rPr>
              <w:t>40-50</w:t>
            </w:r>
          </w:p>
        </w:tc>
      </w:tr>
      <w:tr w14:paraId="528AB764">
        <w:trPr>
          <w:trHeight w:val="454" w:hRule="atLeast"/>
        </w:trPr>
        <w:tc>
          <w:tcPr>
            <w:tcW w:w="254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38C80FA4">
            <w:pPr>
              <w:adjustRightInd w:val="0"/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>
              <w:rPr>
                <w:rFonts w:hint="eastAsia" w:ascii="Times New Roman" w:hAnsi="Times New Roman" w:cs="Times New Roman"/>
                <w:sz w:val="20"/>
                <w:szCs w:val="20"/>
              </w:rPr>
              <w:t>ulk density (g cm</w:t>
            </w:r>
            <w:r>
              <w:rPr>
                <w:rFonts w:hint="eastAsia" w:ascii="Times New Roman" w:hAnsi="Times New Roman" w:cs="Times New Roman"/>
                <w:sz w:val="20"/>
                <w:szCs w:val="20"/>
                <w:vertAlign w:val="superscript"/>
              </w:rPr>
              <w:t>-3</w:t>
            </w:r>
            <w:r>
              <w:rPr>
                <w:rFonts w:hint="eastAsia"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6E0CE6A2">
            <w:pPr>
              <w:adjustRightInd w:val="0"/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</w:rPr>
              <w:t>0.82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FF8CFCE">
            <w:pPr>
              <w:adjustRightInd w:val="0"/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</w:rPr>
              <w:t>0.98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74914E4">
            <w:pPr>
              <w:adjustRightInd w:val="0"/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</w:rPr>
              <w:t>1.05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19B31678">
            <w:pPr>
              <w:adjustRightInd w:val="0"/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</w:rPr>
              <w:t>1.27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671B072">
            <w:pPr>
              <w:adjustRightInd w:val="0"/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</w:rPr>
              <w:t>1.30</w:t>
            </w:r>
          </w:p>
        </w:tc>
      </w:tr>
      <w:bookmarkEnd w:id="0"/>
    </w:tbl>
    <w:p w14:paraId="57DBC613">
      <w:pPr>
        <w:adjustRightInd w:val="0"/>
        <w:snapToGrid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54AB400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S</w:t>
      </w:r>
      <w:r>
        <w:rPr>
          <w:rFonts w:hint="eastAsia"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Mass, carbon</w:t>
      </w:r>
      <w:r>
        <w:rPr>
          <w:rFonts w:hint="eastAsia" w:ascii="Times New Roman" w:hAnsi="Times New Roman" w:cs="Times New Roman"/>
          <w:sz w:val="24"/>
          <w:szCs w:val="24"/>
        </w:rPr>
        <w:t xml:space="preserve"> (C)</w:t>
      </w:r>
      <w:r>
        <w:rPr>
          <w:rFonts w:ascii="Times New Roman" w:hAnsi="Times New Roman" w:cs="Times New Roman"/>
          <w:sz w:val="24"/>
          <w:szCs w:val="24"/>
        </w:rPr>
        <w:t>, and nitrogen</w:t>
      </w:r>
      <w:r>
        <w:rPr>
          <w:rFonts w:hint="eastAsia" w:ascii="Times New Roman" w:hAnsi="Times New Roman" w:cs="Times New Roman"/>
          <w:sz w:val="24"/>
          <w:szCs w:val="24"/>
        </w:rPr>
        <w:t xml:space="preserve"> (N)</w:t>
      </w:r>
      <w:r>
        <w:rPr>
          <w:rFonts w:ascii="Times New Roman" w:hAnsi="Times New Roman" w:cs="Times New Roman"/>
          <w:sz w:val="24"/>
          <w:szCs w:val="24"/>
        </w:rPr>
        <w:t xml:space="preserve"> recovery of bulk soil determined by density fractionation</w:t>
      </w:r>
      <w:r>
        <w:rPr>
          <w:rFonts w:hint="eastAsia"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across the 0-50 cm profile of an alpine meadow, with depth intervals of 0-10, 10-30, and 30-50 cm. </w:t>
      </w:r>
    </w:p>
    <w:p w14:paraId="3DE82975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15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1"/>
        <w:gridCol w:w="2321"/>
        <w:gridCol w:w="2322"/>
        <w:gridCol w:w="2322"/>
      </w:tblGrid>
      <w:tr w14:paraId="32EADE09">
        <w:tc>
          <w:tcPr>
            <w:tcW w:w="125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E8B55F5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Ca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tegory</w:t>
            </w:r>
          </w:p>
        </w:tc>
        <w:tc>
          <w:tcPr>
            <w:tcW w:w="125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26D536D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S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oil depth (cm)</w:t>
            </w:r>
          </w:p>
        </w:tc>
        <w:tc>
          <w:tcPr>
            <w:tcW w:w="125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72631A7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cs="Times New Roman" w:eastAsiaTheme="minorEastAsia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cs="Times New Roman" w:eastAsiaTheme="minorEastAsia"/>
                <w:kern w:val="0"/>
                <w:sz w:val="20"/>
                <w:szCs w:val="20"/>
              </w:rPr>
              <w:t>A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mbient treatment</w:t>
            </w:r>
          </w:p>
          <w:p w14:paraId="5F4B77DB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cs="Times New Roman" w:eastAsiaTheme="minorEastAsia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cs="Times New Roman" w:eastAsiaTheme="minorEastAsia"/>
                <w:kern w:val="0"/>
                <w:sz w:val="20"/>
                <w:szCs w:val="20"/>
              </w:rPr>
              <w:t>r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ecovery (%)</w:t>
            </w:r>
          </w:p>
        </w:tc>
        <w:tc>
          <w:tcPr>
            <w:tcW w:w="125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D42027E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cs="Times New Roman" w:eastAsiaTheme="minorEastAsia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Warming treatment</w:t>
            </w:r>
          </w:p>
          <w:p w14:paraId="1866983B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cs="Times New Roman" w:eastAsiaTheme="minorEastAsia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cs="Times New Roman" w:eastAsiaTheme="minorEastAsia"/>
                <w:kern w:val="0"/>
                <w:sz w:val="20"/>
                <w:szCs w:val="20"/>
              </w:rPr>
              <w:t>r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ecovery (%)</w:t>
            </w:r>
          </w:p>
        </w:tc>
      </w:tr>
      <w:tr w14:paraId="5A1488E2">
        <w:tc>
          <w:tcPr>
            <w:tcW w:w="1250" w:type="pct"/>
            <w:vMerge w:val="restart"/>
            <w:tcBorders>
              <w:top w:val="single" w:color="auto" w:sz="4" w:space="0"/>
            </w:tcBorders>
            <w:vAlign w:val="center"/>
          </w:tcPr>
          <w:p w14:paraId="7754C77F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cs="Times New Roman" w:eastAsiaTheme="minorEastAsia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M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ass</w:t>
            </w:r>
          </w:p>
        </w:tc>
        <w:tc>
          <w:tcPr>
            <w:tcW w:w="1250" w:type="pct"/>
            <w:tcBorders>
              <w:top w:val="single" w:color="auto" w:sz="4" w:space="0"/>
            </w:tcBorders>
          </w:tcPr>
          <w:p w14:paraId="0A76573D">
            <w:pPr>
              <w:widowControl/>
              <w:adjustRightInd w:val="0"/>
              <w:snapToGrid w:val="0"/>
              <w:spacing w:line="360" w:lineRule="auto"/>
              <w:ind w:firstLine="100" w:firstLineChars="50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0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-10</w:t>
            </w:r>
          </w:p>
        </w:tc>
        <w:tc>
          <w:tcPr>
            <w:tcW w:w="1250" w:type="pct"/>
            <w:tcBorders>
              <w:top w:val="single" w:color="auto" w:sz="4" w:space="0"/>
            </w:tcBorders>
          </w:tcPr>
          <w:p w14:paraId="78FD7BA0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97.0 ± 0.2</w:t>
            </w:r>
          </w:p>
        </w:tc>
        <w:tc>
          <w:tcPr>
            <w:tcW w:w="1250" w:type="pct"/>
            <w:tcBorders>
              <w:top w:val="single" w:color="auto" w:sz="4" w:space="0"/>
            </w:tcBorders>
          </w:tcPr>
          <w:p w14:paraId="2F7C995E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96.8 ± 0.3</w:t>
            </w:r>
          </w:p>
        </w:tc>
      </w:tr>
      <w:tr w14:paraId="29C0765D">
        <w:tc>
          <w:tcPr>
            <w:tcW w:w="1250" w:type="pct"/>
            <w:vMerge w:val="continue"/>
          </w:tcPr>
          <w:p w14:paraId="60D428DB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50" w:type="pct"/>
          </w:tcPr>
          <w:p w14:paraId="463042D5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0-30</w:t>
            </w:r>
          </w:p>
        </w:tc>
        <w:tc>
          <w:tcPr>
            <w:tcW w:w="1250" w:type="pct"/>
          </w:tcPr>
          <w:p w14:paraId="4480C716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96.9 ± 0.4</w:t>
            </w:r>
          </w:p>
        </w:tc>
        <w:tc>
          <w:tcPr>
            <w:tcW w:w="1250" w:type="pct"/>
          </w:tcPr>
          <w:p w14:paraId="1B626B70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95.1 ± 0.9</w:t>
            </w:r>
          </w:p>
        </w:tc>
      </w:tr>
      <w:tr w14:paraId="10F011EE">
        <w:tc>
          <w:tcPr>
            <w:tcW w:w="1250" w:type="pct"/>
            <w:vMerge w:val="continue"/>
          </w:tcPr>
          <w:p w14:paraId="57899CFC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50" w:type="pct"/>
          </w:tcPr>
          <w:p w14:paraId="55584929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3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0-50</w:t>
            </w:r>
          </w:p>
        </w:tc>
        <w:tc>
          <w:tcPr>
            <w:tcW w:w="1250" w:type="pct"/>
          </w:tcPr>
          <w:p w14:paraId="36FB8D07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95.3 ± 0.4</w:t>
            </w:r>
          </w:p>
        </w:tc>
        <w:tc>
          <w:tcPr>
            <w:tcW w:w="1250" w:type="pct"/>
          </w:tcPr>
          <w:p w14:paraId="6B5E04EE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94.2 ± 1.2</w:t>
            </w:r>
          </w:p>
        </w:tc>
      </w:tr>
      <w:tr w14:paraId="567199A9">
        <w:tc>
          <w:tcPr>
            <w:tcW w:w="1250" w:type="pct"/>
            <w:vAlign w:val="center"/>
          </w:tcPr>
          <w:p w14:paraId="64EC877D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50" w:type="pct"/>
          </w:tcPr>
          <w:p w14:paraId="6116B0CE">
            <w:pPr>
              <w:widowControl/>
              <w:adjustRightInd w:val="0"/>
              <w:snapToGrid w:val="0"/>
              <w:spacing w:line="360" w:lineRule="auto"/>
              <w:ind w:firstLine="100" w:firstLineChars="50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50" w:type="pct"/>
          </w:tcPr>
          <w:p w14:paraId="3E89CC57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50" w:type="pct"/>
          </w:tcPr>
          <w:p w14:paraId="477108F6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</w:p>
        </w:tc>
      </w:tr>
      <w:tr w14:paraId="12EDEDFF">
        <w:tc>
          <w:tcPr>
            <w:tcW w:w="1250" w:type="pct"/>
            <w:vMerge w:val="restart"/>
            <w:vAlign w:val="center"/>
          </w:tcPr>
          <w:p w14:paraId="5F20CF7F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C</w:t>
            </w:r>
          </w:p>
        </w:tc>
        <w:tc>
          <w:tcPr>
            <w:tcW w:w="1250" w:type="pct"/>
          </w:tcPr>
          <w:p w14:paraId="08C51295">
            <w:pPr>
              <w:widowControl/>
              <w:adjustRightInd w:val="0"/>
              <w:snapToGrid w:val="0"/>
              <w:spacing w:line="360" w:lineRule="auto"/>
              <w:ind w:firstLine="100" w:firstLineChars="50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0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-10</w:t>
            </w:r>
          </w:p>
        </w:tc>
        <w:tc>
          <w:tcPr>
            <w:tcW w:w="1250" w:type="pct"/>
          </w:tcPr>
          <w:p w14:paraId="0B6690A2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97.4 ± 2.3</w:t>
            </w:r>
          </w:p>
        </w:tc>
        <w:tc>
          <w:tcPr>
            <w:tcW w:w="1250" w:type="pct"/>
          </w:tcPr>
          <w:p w14:paraId="78C75AA9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96.9 ± 2.7</w:t>
            </w:r>
          </w:p>
        </w:tc>
      </w:tr>
      <w:tr w14:paraId="40FD2C1F">
        <w:tc>
          <w:tcPr>
            <w:tcW w:w="1250" w:type="pct"/>
            <w:vMerge w:val="continue"/>
            <w:vAlign w:val="center"/>
          </w:tcPr>
          <w:p w14:paraId="4CD018FE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50" w:type="pct"/>
          </w:tcPr>
          <w:p w14:paraId="665B9B71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0-30</w:t>
            </w:r>
          </w:p>
        </w:tc>
        <w:tc>
          <w:tcPr>
            <w:tcW w:w="1250" w:type="pct"/>
          </w:tcPr>
          <w:p w14:paraId="63672FB7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96.5 ± 4.9</w:t>
            </w:r>
          </w:p>
        </w:tc>
        <w:tc>
          <w:tcPr>
            <w:tcW w:w="1250" w:type="pct"/>
          </w:tcPr>
          <w:p w14:paraId="089E6E61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96.0 ± 3.9</w:t>
            </w:r>
          </w:p>
        </w:tc>
      </w:tr>
      <w:tr w14:paraId="053D4CA9">
        <w:tc>
          <w:tcPr>
            <w:tcW w:w="1250" w:type="pct"/>
            <w:vMerge w:val="continue"/>
            <w:vAlign w:val="center"/>
          </w:tcPr>
          <w:p w14:paraId="4B927388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50" w:type="pct"/>
          </w:tcPr>
          <w:p w14:paraId="4C67132E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3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0-50</w:t>
            </w:r>
          </w:p>
        </w:tc>
        <w:tc>
          <w:tcPr>
            <w:tcW w:w="1250" w:type="pct"/>
          </w:tcPr>
          <w:p w14:paraId="29579F55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96.2 ± 3.5</w:t>
            </w:r>
          </w:p>
        </w:tc>
        <w:tc>
          <w:tcPr>
            <w:tcW w:w="1250" w:type="pct"/>
          </w:tcPr>
          <w:p w14:paraId="21884EA1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94.8 ± 3.6</w:t>
            </w:r>
          </w:p>
        </w:tc>
      </w:tr>
      <w:tr w14:paraId="4FA2345B">
        <w:tc>
          <w:tcPr>
            <w:tcW w:w="1250" w:type="pct"/>
            <w:vAlign w:val="center"/>
          </w:tcPr>
          <w:p w14:paraId="1BB29E87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50" w:type="pct"/>
          </w:tcPr>
          <w:p w14:paraId="2E785E30">
            <w:pPr>
              <w:widowControl/>
              <w:adjustRightInd w:val="0"/>
              <w:snapToGrid w:val="0"/>
              <w:spacing w:line="360" w:lineRule="auto"/>
              <w:ind w:firstLine="100" w:firstLineChars="50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50" w:type="pct"/>
          </w:tcPr>
          <w:p w14:paraId="5AC2134E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50" w:type="pct"/>
          </w:tcPr>
          <w:p w14:paraId="626B7632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</w:p>
        </w:tc>
      </w:tr>
      <w:tr w14:paraId="731AAFBA">
        <w:tc>
          <w:tcPr>
            <w:tcW w:w="1250" w:type="pct"/>
            <w:vMerge w:val="restart"/>
            <w:vAlign w:val="center"/>
          </w:tcPr>
          <w:p w14:paraId="1CBF58E2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N</w:t>
            </w:r>
          </w:p>
        </w:tc>
        <w:tc>
          <w:tcPr>
            <w:tcW w:w="1250" w:type="pct"/>
          </w:tcPr>
          <w:p w14:paraId="73C19710">
            <w:pPr>
              <w:widowControl/>
              <w:adjustRightInd w:val="0"/>
              <w:snapToGrid w:val="0"/>
              <w:spacing w:line="360" w:lineRule="auto"/>
              <w:ind w:firstLine="100" w:firstLineChars="50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0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-10</w:t>
            </w:r>
          </w:p>
        </w:tc>
        <w:tc>
          <w:tcPr>
            <w:tcW w:w="1250" w:type="pct"/>
          </w:tcPr>
          <w:p w14:paraId="64CD2D28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96.9 ± 4.4</w:t>
            </w:r>
          </w:p>
        </w:tc>
        <w:tc>
          <w:tcPr>
            <w:tcW w:w="1250" w:type="pct"/>
          </w:tcPr>
          <w:p w14:paraId="2E4A4A8C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97.3 ± 0.4</w:t>
            </w:r>
          </w:p>
        </w:tc>
      </w:tr>
      <w:tr w14:paraId="62128E9F">
        <w:tc>
          <w:tcPr>
            <w:tcW w:w="1250" w:type="pct"/>
            <w:vMerge w:val="continue"/>
          </w:tcPr>
          <w:p w14:paraId="61D46EBA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50" w:type="pct"/>
          </w:tcPr>
          <w:p w14:paraId="2DA8AEA9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0-30</w:t>
            </w:r>
          </w:p>
        </w:tc>
        <w:tc>
          <w:tcPr>
            <w:tcW w:w="1250" w:type="pct"/>
          </w:tcPr>
          <w:p w14:paraId="3B41621C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96.1 ± 3.8</w:t>
            </w:r>
          </w:p>
        </w:tc>
        <w:tc>
          <w:tcPr>
            <w:tcW w:w="1250" w:type="pct"/>
          </w:tcPr>
          <w:p w14:paraId="565DA868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96.4 ± 3.7</w:t>
            </w:r>
          </w:p>
        </w:tc>
      </w:tr>
      <w:tr w14:paraId="3801B37B">
        <w:tc>
          <w:tcPr>
            <w:tcW w:w="1250" w:type="pct"/>
            <w:vMerge w:val="continue"/>
            <w:tcBorders>
              <w:bottom w:val="single" w:color="auto" w:sz="4" w:space="0"/>
            </w:tcBorders>
          </w:tcPr>
          <w:p w14:paraId="7CF658BA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250" w:type="pct"/>
            <w:tcBorders>
              <w:bottom w:val="single" w:color="auto" w:sz="4" w:space="0"/>
            </w:tcBorders>
          </w:tcPr>
          <w:p w14:paraId="11B6D827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3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0-50</w:t>
            </w:r>
          </w:p>
        </w:tc>
        <w:tc>
          <w:tcPr>
            <w:tcW w:w="1250" w:type="pct"/>
            <w:tcBorders>
              <w:bottom w:val="single" w:color="auto" w:sz="4" w:space="0"/>
            </w:tcBorders>
          </w:tcPr>
          <w:p w14:paraId="2E8EF7F5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95.9 ± 2.6</w:t>
            </w:r>
          </w:p>
        </w:tc>
        <w:tc>
          <w:tcPr>
            <w:tcW w:w="1250" w:type="pct"/>
            <w:tcBorders>
              <w:bottom w:val="single" w:color="auto" w:sz="4" w:space="0"/>
            </w:tcBorders>
          </w:tcPr>
          <w:p w14:paraId="3DCB36CA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93.9 ± 5.5</w:t>
            </w:r>
          </w:p>
        </w:tc>
      </w:tr>
    </w:tbl>
    <w:p w14:paraId="344F5631">
      <w:pPr>
        <w:adjustRightInd w:val="0"/>
        <w:snapToGrid w:val="0"/>
        <w:spacing w:line="360" w:lineRule="auto"/>
        <w:rPr>
          <w:rFonts w:ascii="Times New Roman" w:hAnsi="Times New Roman" w:cs="Times New Roman"/>
          <w:sz w:val="18"/>
          <w:szCs w:val="18"/>
        </w:rPr>
      </w:pPr>
    </w:p>
    <w:p w14:paraId="62AA6DD7">
      <w:pPr>
        <w:adjustRightInd w:val="0"/>
        <w:snapToGrid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Data are presented as mean ± standard error (</w:t>
      </w:r>
      <w:r>
        <w:rPr>
          <w:rFonts w:ascii="Times New Roman" w:hAnsi="Times New Roman" w:cs="Times New Roman"/>
          <w:i/>
          <w:iCs/>
          <w:sz w:val="20"/>
          <w:szCs w:val="20"/>
        </w:rPr>
        <w:t>n</w:t>
      </w:r>
      <w:r>
        <w:rPr>
          <w:rFonts w:ascii="Times New Roman" w:hAnsi="Times New Roman" w:cs="Times New Roman"/>
          <w:sz w:val="20"/>
          <w:szCs w:val="20"/>
        </w:rPr>
        <w:t xml:space="preserve"> = 5).</w:t>
      </w: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F44BB5B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S</w:t>
      </w:r>
      <w:r>
        <w:rPr>
          <w:rFonts w:hint="eastAsia"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PLFA biomarkers applied in this study..</w:t>
      </w:r>
    </w:p>
    <w:p w14:paraId="4AD45B43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9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7"/>
        <w:gridCol w:w="6367"/>
      </w:tblGrid>
      <w:tr w14:paraId="1B037A15">
        <w:tc>
          <w:tcPr>
            <w:tcW w:w="2127" w:type="dxa"/>
            <w:tcBorders>
              <w:top w:val="single" w:color="auto" w:sz="4" w:space="0"/>
              <w:bottom w:val="single" w:color="auto" w:sz="4" w:space="0"/>
            </w:tcBorders>
          </w:tcPr>
          <w:p w14:paraId="4FBE04F0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Ca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tegory</w:t>
            </w:r>
          </w:p>
        </w:tc>
        <w:tc>
          <w:tcPr>
            <w:tcW w:w="6367" w:type="dxa"/>
            <w:tcBorders>
              <w:top w:val="single" w:color="auto" w:sz="4" w:space="0"/>
              <w:bottom w:val="single" w:color="auto" w:sz="4" w:space="0"/>
            </w:tcBorders>
          </w:tcPr>
          <w:p w14:paraId="47D03EBB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P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LFA biomarkers</w:t>
            </w:r>
          </w:p>
        </w:tc>
      </w:tr>
      <w:tr w14:paraId="2CBBCF6B">
        <w:tc>
          <w:tcPr>
            <w:tcW w:w="2127" w:type="dxa"/>
            <w:tcBorders>
              <w:top w:val="single" w:color="auto" w:sz="4" w:space="0"/>
            </w:tcBorders>
          </w:tcPr>
          <w:p w14:paraId="6F6F2B8D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B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acteria</w:t>
            </w:r>
          </w:p>
        </w:tc>
        <w:tc>
          <w:tcPr>
            <w:tcW w:w="6367" w:type="dxa"/>
            <w:tcBorders>
              <w:top w:val="single" w:color="auto" w:sz="4" w:space="0"/>
            </w:tcBorders>
          </w:tcPr>
          <w:p w14:paraId="16E6BBB5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14:0 anteiso, 15:0 anteiso, 15:0 iso, 15:1 iso w6c, 16:0 anteiso, 16:0 iso, 16:1 w7c, 16:1 w9c, 17:0 anteiso, 17:0 iso, 17:0 cyclo w7c, 17:1 w8c, 18:1 w5c, 18:1 w7c, 19:0 cyclo w7c, 14:0, 15:0, 16:0, 17:0, 18:0</w:t>
            </w:r>
          </w:p>
        </w:tc>
      </w:tr>
      <w:tr w14:paraId="04AE4271">
        <w:tc>
          <w:tcPr>
            <w:tcW w:w="2127" w:type="dxa"/>
          </w:tcPr>
          <w:p w14:paraId="3C110C58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6367" w:type="dxa"/>
          </w:tcPr>
          <w:p w14:paraId="751368F4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</w:p>
        </w:tc>
      </w:tr>
      <w:tr w14:paraId="22E40B32">
        <w:tc>
          <w:tcPr>
            <w:tcW w:w="2127" w:type="dxa"/>
          </w:tcPr>
          <w:p w14:paraId="2C37AED0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F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ungi</w:t>
            </w:r>
          </w:p>
        </w:tc>
        <w:tc>
          <w:tcPr>
            <w:tcW w:w="6367" w:type="dxa"/>
          </w:tcPr>
          <w:p w14:paraId="6F3A1928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16:1 w5c, 18:2 w6c, 18: 1 w9c</w:t>
            </w:r>
          </w:p>
        </w:tc>
      </w:tr>
      <w:tr w14:paraId="3E4B310C">
        <w:tc>
          <w:tcPr>
            <w:tcW w:w="2127" w:type="dxa"/>
          </w:tcPr>
          <w:p w14:paraId="218E33CA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6367" w:type="dxa"/>
          </w:tcPr>
          <w:p w14:paraId="67658FD1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</w:p>
        </w:tc>
      </w:tr>
      <w:tr w14:paraId="6DF666E7">
        <w:tc>
          <w:tcPr>
            <w:tcW w:w="2127" w:type="dxa"/>
          </w:tcPr>
          <w:p w14:paraId="65A57751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A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ctinomycetes</w:t>
            </w:r>
          </w:p>
        </w:tc>
        <w:tc>
          <w:tcPr>
            <w:tcW w:w="6367" w:type="dxa"/>
          </w:tcPr>
          <w:p w14:paraId="17DF5617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 xml:space="preserve">16:0 10-methyl, 17:0 10-methyl, 18:0 10-methyl </w:t>
            </w:r>
          </w:p>
        </w:tc>
      </w:tr>
      <w:tr w14:paraId="45C64EF2">
        <w:tc>
          <w:tcPr>
            <w:tcW w:w="2127" w:type="dxa"/>
          </w:tcPr>
          <w:p w14:paraId="20D68EC0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6367" w:type="dxa"/>
          </w:tcPr>
          <w:p w14:paraId="622F25B4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</w:p>
        </w:tc>
      </w:tr>
      <w:tr w14:paraId="709C75BF">
        <w:tc>
          <w:tcPr>
            <w:tcW w:w="2127" w:type="dxa"/>
            <w:tcBorders>
              <w:bottom w:val="single" w:color="auto" w:sz="4" w:space="0"/>
            </w:tcBorders>
          </w:tcPr>
          <w:p w14:paraId="63CF6A9C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Others</w:t>
            </w:r>
          </w:p>
        </w:tc>
        <w:tc>
          <w:tcPr>
            <w:tcW w:w="6367" w:type="dxa"/>
            <w:tcBorders>
              <w:bottom w:val="single" w:color="auto" w:sz="4" w:space="0"/>
            </w:tcBorders>
          </w:tcPr>
          <w:p w14:paraId="2739D491"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12:0 anteiso, 13:0 anteiso, 14:1 w9c, 15:0 DMA</w:t>
            </w: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,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 xml:space="preserve"> 15:1 anteiso w9c, 15:1 w7c, 16:1 w6c, 16:3 w6c, 17:0 DMA</w:t>
            </w: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,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 xml:space="preserve"> 17</w:t>
            </w: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: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1 iso w9c, 18:0 iso, 18:0 DMA</w:t>
            </w: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,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 xml:space="preserve"> 18:1 w7c 10-methyl, 18:2 DMA</w:t>
            </w:r>
            <w:r>
              <w:rPr>
                <w:rFonts w:hint="eastAsia"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>,</w:t>
            </w:r>
            <w:r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US"/>
              </w:rPr>
              <w:t xml:space="preserve"> 19:0 anteiso, 19:1 w8c, 20:1 w9c, 20:0 10-methyl, 20:4 w6c, 21:1 w3c</w:t>
            </w:r>
          </w:p>
        </w:tc>
      </w:tr>
    </w:tbl>
    <w:p w14:paraId="3D5E0DA2">
      <w:pPr>
        <w:adjustRightInd w:val="0"/>
        <w:snapToGrid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94D7307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</w:t>
      </w:r>
      <w:r>
        <w:rPr>
          <w:rFonts w:hint="eastAsia"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Responses of soil properties to 20</w:t>
      </w:r>
      <w:r>
        <w:rPr>
          <w:rFonts w:hint="eastAsia"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year experimental warming across the 0-50 cm soil profile of an alpine meadow, divided into five layers (0-10, 10-20, 20-30, 30-40, 40-50 cm). (a) belowground biomass (BGB), (b) </w:t>
      </w:r>
      <w:r>
        <w:rPr>
          <w:rFonts w:hint="eastAsia" w:ascii="Times New Roman" w:hAnsi="Times New Roman" w:cs="Times New Roman"/>
          <w:sz w:val="24"/>
          <w:szCs w:val="24"/>
        </w:rPr>
        <w:t xml:space="preserve">soil </w:t>
      </w:r>
      <w:r>
        <w:rPr>
          <w:rFonts w:ascii="Times New Roman" w:hAnsi="Times New Roman" w:cs="Times New Roman"/>
          <w:sz w:val="24"/>
        </w:rPr>
        <w:t>pH</w:t>
      </w:r>
      <w:r>
        <w:rPr>
          <w:rFonts w:ascii="Times New Roman" w:hAnsi="Times New Roman" w:cs="Times New Roman"/>
          <w:sz w:val="24"/>
          <w:szCs w:val="24"/>
        </w:rPr>
        <w:t xml:space="preserve">; (c) soil </w:t>
      </w:r>
      <w:r>
        <w:rPr>
          <w:rFonts w:ascii="Times New Roman" w:hAnsi="Times New Roman" w:cs="Times New Roman"/>
          <w:sz w:val="24"/>
        </w:rPr>
        <w:t>water content (SWC);</w:t>
      </w:r>
      <w:r>
        <w:rPr>
          <w:rFonts w:ascii="Times New Roman" w:hAnsi="Times New Roman" w:cs="Times New Roman"/>
          <w:sz w:val="24"/>
          <w:szCs w:val="24"/>
        </w:rPr>
        <w:t xml:space="preserve"> (d) soil organic carbon (SOC), (e) </w:t>
      </w:r>
      <w:r>
        <w:rPr>
          <w:rFonts w:ascii="Times New Roman" w:hAnsi="Times New Roman" w:cs="Times New Roman"/>
          <w:sz w:val="24"/>
        </w:rPr>
        <w:t>total nitrogen (TN)</w:t>
      </w:r>
      <w:r>
        <w:rPr>
          <w:rFonts w:ascii="Times New Roman" w:hAnsi="Times New Roman" w:cs="Times New Roman"/>
          <w:sz w:val="24"/>
          <w:szCs w:val="24"/>
        </w:rPr>
        <w:t>; (f) the ratio of SOC to TN</w:t>
      </w:r>
      <w:r>
        <w:rPr>
          <w:rFonts w:ascii="Times New Roman" w:hAnsi="Times New Roman" w:cs="Times New Roman"/>
          <w:sz w:val="24"/>
        </w:rPr>
        <w:t xml:space="preserve"> (C/N); (g) </w:t>
      </w:r>
      <w:r>
        <w:rPr>
          <w:rFonts w:hint="eastAsia" w:ascii="Times New Roman" w:hAnsi="Times New Roman" w:cs="Times New Roman"/>
          <w:sz w:val="24"/>
        </w:rPr>
        <w:t>d</w:t>
      </w:r>
      <w:r>
        <w:rPr>
          <w:rFonts w:ascii="Times New Roman" w:hAnsi="Times New Roman" w:cs="Times New Roman"/>
          <w:sz w:val="24"/>
        </w:rPr>
        <w:t>issol</w:t>
      </w:r>
      <w:r>
        <w:rPr>
          <w:rFonts w:hint="eastAsia" w:ascii="Times New Roman" w:hAnsi="Times New Roman" w:cs="Times New Roman"/>
          <w:sz w:val="24"/>
        </w:rPr>
        <w:t>v</w:t>
      </w:r>
      <w:r>
        <w:rPr>
          <w:rFonts w:ascii="Times New Roman" w:hAnsi="Times New Roman" w:cs="Times New Roman"/>
          <w:sz w:val="24"/>
        </w:rPr>
        <w:t xml:space="preserve">ed organic carbon (DOC); (h) </w:t>
      </w:r>
      <w:r>
        <w:rPr>
          <w:rFonts w:ascii="Times New Roman" w:hAnsi="Times New Roman" w:cs="Times New Roman"/>
          <w:bCs/>
          <w:sz w:val="24"/>
        </w:rPr>
        <w:t>ammonium nitrogen (NH</w:t>
      </w:r>
      <w:r>
        <w:rPr>
          <w:rFonts w:ascii="Times New Roman" w:hAnsi="Times New Roman" w:cs="Times New Roman"/>
          <w:bCs/>
          <w:sz w:val="24"/>
          <w:vertAlign w:val="subscript"/>
        </w:rPr>
        <w:t>4</w:t>
      </w:r>
      <w:r>
        <w:rPr>
          <w:rFonts w:ascii="Times New Roman" w:hAnsi="Times New Roman" w:cs="Times New Roman"/>
          <w:bCs/>
          <w:sz w:val="24"/>
          <w:vertAlign w:val="superscript"/>
        </w:rPr>
        <w:t>+</w:t>
      </w:r>
      <w:r>
        <w:rPr>
          <w:rFonts w:ascii="Times New Roman" w:hAnsi="Times New Roman" w:cs="Times New Roman"/>
          <w:bCs/>
          <w:sz w:val="24"/>
        </w:rPr>
        <w:t>-N); (i) nitrate nitrogen (NO</w:t>
      </w:r>
      <w:r>
        <w:rPr>
          <w:rFonts w:ascii="Times New Roman" w:hAnsi="Times New Roman" w:cs="Times New Roman"/>
          <w:bCs/>
          <w:sz w:val="24"/>
          <w:vertAlign w:val="subscript"/>
        </w:rPr>
        <w:t>3</w:t>
      </w:r>
      <w:r>
        <w:rPr>
          <w:rFonts w:ascii="Times New Roman" w:hAnsi="Times New Roman" w:cs="Times New Roman"/>
          <w:bCs/>
          <w:sz w:val="24"/>
          <w:vertAlign w:val="superscript"/>
        </w:rPr>
        <w:t>-</w:t>
      </w:r>
      <w:r>
        <w:rPr>
          <w:rFonts w:ascii="Times New Roman" w:hAnsi="Times New Roman" w:cs="Times New Roman"/>
          <w:bCs/>
          <w:sz w:val="24"/>
        </w:rPr>
        <w:t>-N).</w:t>
      </w:r>
      <w:r>
        <w:rPr>
          <w:rFonts w:ascii="Times New Roman" w:hAnsi="Times New Roman" w:cs="Times New Roman"/>
          <w:sz w:val="24"/>
        </w:rPr>
        <w:t xml:space="preserve"> Treatments are shown by color, with light blue representing </w:t>
      </w:r>
      <w:r>
        <w:rPr>
          <w:rFonts w:hint="eastAsia" w:ascii="Times New Roman" w:hAnsi="Times New Roman" w:cs="Times New Roman"/>
          <w:sz w:val="24"/>
        </w:rPr>
        <w:t xml:space="preserve">the </w:t>
      </w:r>
      <w:r>
        <w:rPr>
          <w:rFonts w:ascii="Times New Roman" w:hAnsi="Times New Roman" w:cs="Times New Roman"/>
          <w:sz w:val="24"/>
        </w:rPr>
        <w:t xml:space="preserve">ambient treatment (CK) and red indicating </w:t>
      </w:r>
      <w:r>
        <w:rPr>
          <w:rFonts w:hint="eastAsia" w:ascii="Times New Roman" w:hAnsi="Times New Roman" w:cs="Times New Roman"/>
          <w:sz w:val="24"/>
        </w:rPr>
        <w:t xml:space="preserve">the </w:t>
      </w:r>
      <w:r>
        <w:rPr>
          <w:rFonts w:ascii="Times New Roman" w:hAnsi="Times New Roman" w:cs="Times New Roman"/>
          <w:sz w:val="24"/>
        </w:rPr>
        <w:t>warming treatment (W). Bars denote mean values with standard error</w:t>
      </w:r>
      <w:r>
        <w:rPr>
          <w:rFonts w:hint="eastAsia"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(</w:t>
      </w:r>
      <w:r>
        <w:rPr>
          <w:rFonts w:ascii="Times New Roman" w:hAnsi="Times New Roman" w:cs="Times New Roman"/>
          <w:i/>
          <w:iCs/>
          <w:sz w:val="24"/>
        </w:rPr>
        <w:t>n</w:t>
      </w:r>
      <w:r>
        <w:rPr>
          <w:rFonts w:ascii="Times New Roman" w:hAnsi="Times New Roman" w:cs="Times New Roman"/>
          <w:sz w:val="24"/>
        </w:rPr>
        <w:t xml:space="preserve"> = 5). Statistically significant differences between warming and ambient treatments</w:t>
      </w:r>
      <w:r>
        <w:rPr>
          <w:rFonts w:hint="eastAsia"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within each soil layer are marked by symbols († </w:t>
      </w:r>
      <w:r>
        <w:rPr>
          <w:rFonts w:ascii="Times New Roman" w:hAnsi="Times New Roman" w:cs="Times New Roman"/>
          <w:i/>
          <w:iCs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 &lt; 0.10, * </w:t>
      </w:r>
      <w:r>
        <w:rPr>
          <w:rFonts w:ascii="Times New Roman" w:hAnsi="Times New Roman" w:cs="Times New Roman"/>
          <w:i/>
          <w:iCs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 &lt; 0.05, ** </w:t>
      </w:r>
      <w:r>
        <w:rPr>
          <w:rFonts w:ascii="Times New Roman" w:hAnsi="Times New Roman" w:cs="Times New Roman"/>
          <w:i/>
          <w:iCs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 &lt; 0.01, *** </w:t>
      </w:r>
      <w:r>
        <w:rPr>
          <w:rFonts w:ascii="Times New Roman" w:hAnsi="Times New Roman" w:cs="Times New Roman"/>
          <w:i/>
          <w:iCs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 &lt; 0.001).</w:t>
      </w:r>
    </w:p>
    <w:p w14:paraId="4B429435">
      <w:pPr>
        <w:adjustRightInd w:val="0"/>
        <w:snapToGrid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5759450" cy="7025005"/>
            <wp:effectExtent l="0" t="0" r="0" b="4445"/>
            <wp:docPr id="1688088277" name="图片 2" descr="图示, 散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8088277" name="图片 2" descr="图示, 散点图&#10;&#10;AI 生成的内容可能不正确。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7025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C85BA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br w:type="page"/>
      </w:r>
      <w:r>
        <w:rPr>
          <w:rFonts w:ascii="Times New Roman" w:hAnsi="Times New Roman" w:cs="Times New Roman"/>
          <w:b/>
          <w:bCs/>
          <w:sz w:val="24"/>
          <w:szCs w:val="24"/>
        </w:rPr>
        <w:t>Fig. S</w:t>
      </w:r>
      <w:r>
        <w:rPr>
          <w:rFonts w:hint="eastAsia"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Responses of soil microbial biomass and </w:t>
      </w:r>
      <w:r>
        <w:rPr>
          <w:rFonts w:hint="eastAsia" w:ascii="Times New Roman" w:hAnsi="Times New Roman" w:cs="Times New Roman"/>
          <w:sz w:val="24"/>
          <w:szCs w:val="24"/>
        </w:rPr>
        <w:t>potential activity of exo</w:t>
      </w:r>
      <w:r>
        <w:rPr>
          <w:rFonts w:ascii="Times New Roman" w:hAnsi="Times New Roman" w:cs="Times New Roman"/>
          <w:sz w:val="24"/>
          <w:szCs w:val="24"/>
        </w:rPr>
        <w:t>enzyme</w:t>
      </w:r>
      <w:r>
        <w:rPr>
          <w:rFonts w:hint="eastAsia"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to 20</w:t>
      </w:r>
      <w:r>
        <w:rPr>
          <w:rFonts w:hint="eastAsia"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year experimental warming across the 0-50 cm soil profile of an alpine meadow, divided into five layers (0-10, 10-20, 20-30, 30-40, </w:t>
      </w:r>
      <w:r>
        <w:rPr>
          <w:rFonts w:hint="eastAsia"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 xml:space="preserve">40-50 cm). (a) </w:t>
      </w:r>
      <w:r>
        <w:rPr>
          <w:rFonts w:hint="eastAsia" w:ascii="Times New Roman" w:hAnsi="Times New Roman" w:cs="Times New Roman"/>
          <w:sz w:val="24"/>
        </w:rPr>
        <w:t>M</w:t>
      </w:r>
      <w:r>
        <w:rPr>
          <w:rFonts w:ascii="Times New Roman" w:hAnsi="Times New Roman" w:cs="Times New Roman"/>
          <w:sz w:val="24"/>
        </w:rPr>
        <w:t>icrobial biomass carbon (MBC)</w:t>
      </w:r>
      <w:r>
        <w:rPr>
          <w:rFonts w:ascii="Times New Roman" w:hAnsi="Times New Roman" w:cs="Times New Roman"/>
          <w:sz w:val="24"/>
          <w:szCs w:val="24"/>
        </w:rPr>
        <w:t xml:space="preserve">; (b) </w:t>
      </w:r>
      <w:r>
        <w:rPr>
          <w:rFonts w:ascii="Times New Roman" w:hAnsi="Times New Roman" w:cs="Times New Roman"/>
          <w:sz w:val="24"/>
        </w:rPr>
        <w:t xml:space="preserve">microbial biomass nitrogen (MBN); </w:t>
      </w:r>
      <w:r>
        <w:rPr>
          <w:rFonts w:ascii="Times New Roman" w:hAnsi="Times New Roman" w:cs="Times New Roman"/>
          <w:sz w:val="24"/>
          <w:szCs w:val="24"/>
        </w:rPr>
        <w:t xml:space="preserve">(c) </w:t>
      </w:r>
      <w:r>
        <w:rPr>
          <w:rFonts w:ascii="Times New Roman" w:hAnsi="Times New Roman" w:cs="Times New Roman"/>
          <w:sz w:val="24"/>
        </w:rPr>
        <w:t>β-1, 4-glucosidase (BG)</w:t>
      </w:r>
      <w:r>
        <w:rPr>
          <w:rFonts w:ascii="Times New Roman" w:hAnsi="Times New Roman" w:cs="Times New Roman"/>
          <w:sz w:val="24"/>
          <w:szCs w:val="24"/>
        </w:rPr>
        <w:t xml:space="preserve">; (d) </w:t>
      </w:r>
      <w:r>
        <w:rPr>
          <w:rFonts w:ascii="Times New Roman" w:hAnsi="Times New Roman" w:cs="Times New Roman"/>
          <w:sz w:val="24"/>
        </w:rPr>
        <w:t>β-1, 4-N-acetyl-glucosaminidase (NAG); (e) acid phosphatase (AP); (f) oxidase (OXE).</w:t>
      </w:r>
      <w:r>
        <w:rPr>
          <w:rFonts w:hint="eastAsia"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Treatments are shown by color, with light blue representing </w:t>
      </w:r>
      <w:r>
        <w:rPr>
          <w:rFonts w:hint="eastAsia" w:ascii="Times New Roman" w:hAnsi="Times New Roman" w:cs="Times New Roman"/>
          <w:sz w:val="24"/>
        </w:rPr>
        <w:t xml:space="preserve">the </w:t>
      </w:r>
      <w:r>
        <w:rPr>
          <w:rFonts w:ascii="Times New Roman" w:hAnsi="Times New Roman" w:cs="Times New Roman"/>
          <w:sz w:val="24"/>
        </w:rPr>
        <w:t xml:space="preserve">ambient treatment (CK) and red indicating </w:t>
      </w:r>
      <w:r>
        <w:rPr>
          <w:rFonts w:hint="eastAsia" w:ascii="Times New Roman" w:hAnsi="Times New Roman" w:cs="Times New Roman"/>
          <w:sz w:val="24"/>
        </w:rPr>
        <w:t xml:space="preserve">the </w:t>
      </w:r>
      <w:r>
        <w:rPr>
          <w:rFonts w:ascii="Times New Roman" w:hAnsi="Times New Roman" w:cs="Times New Roman"/>
          <w:sz w:val="24"/>
        </w:rPr>
        <w:t>warming treatment (W). Bars denote mean values with standard error</w:t>
      </w:r>
      <w:r>
        <w:rPr>
          <w:rFonts w:hint="eastAsia"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(</w:t>
      </w:r>
      <w:r>
        <w:rPr>
          <w:rFonts w:ascii="Times New Roman" w:hAnsi="Times New Roman" w:cs="Times New Roman"/>
          <w:i/>
          <w:iCs/>
          <w:sz w:val="24"/>
        </w:rPr>
        <w:t>n</w:t>
      </w:r>
      <w:r>
        <w:rPr>
          <w:rFonts w:ascii="Times New Roman" w:hAnsi="Times New Roman" w:cs="Times New Roman"/>
          <w:sz w:val="24"/>
        </w:rPr>
        <w:t xml:space="preserve"> = 5). Statistically significant differences between warming and ambient treatments</w:t>
      </w:r>
      <w:r>
        <w:rPr>
          <w:rFonts w:hint="eastAsia"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within each soil layer are marked by symbols († </w:t>
      </w:r>
      <w:r>
        <w:rPr>
          <w:rFonts w:ascii="Times New Roman" w:hAnsi="Times New Roman" w:cs="Times New Roman"/>
          <w:i/>
          <w:iCs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 &lt; 0.10, * </w:t>
      </w:r>
      <w:r>
        <w:rPr>
          <w:rFonts w:ascii="Times New Roman" w:hAnsi="Times New Roman" w:cs="Times New Roman"/>
          <w:i/>
          <w:iCs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 &lt; 0.05, ** </w:t>
      </w:r>
      <w:r>
        <w:rPr>
          <w:rFonts w:ascii="Times New Roman" w:hAnsi="Times New Roman" w:cs="Times New Roman"/>
          <w:i/>
          <w:iCs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 &lt; 0.01, *** </w:t>
      </w:r>
      <w:r>
        <w:rPr>
          <w:rFonts w:ascii="Times New Roman" w:hAnsi="Times New Roman" w:cs="Times New Roman"/>
          <w:i/>
          <w:iCs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 &lt; 0.001).</w:t>
      </w:r>
    </w:p>
    <w:p w14:paraId="30E30D8F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drawing>
          <wp:inline distT="0" distB="0" distL="0" distR="0">
            <wp:extent cx="5759450" cy="4794250"/>
            <wp:effectExtent l="0" t="0" r="0" b="6350"/>
            <wp:docPr id="1833125190" name="图片 3" descr="一些文字和图片的手机截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125190" name="图片 3" descr="一些文字和图片的手机截图&#10;&#10;AI 生成的内容可能不正确。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79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BEA63">
      <w:pPr>
        <w:adjustRightInd w:val="0"/>
        <w:snapToGrid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FAB9DB9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Fig. </w:t>
      </w:r>
      <w:r>
        <w:rPr>
          <w:rFonts w:hint="eastAsia" w:ascii="Times New Roman" w:hAnsi="Times New Roman" w:cs="Times New Roman"/>
          <w:b/>
          <w:bCs/>
          <w:sz w:val="24"/>
          <w:szCs w:val="24"/>
        </w:rPr>
        <w:t>S3</w:t>
      </w:r>
      <w:r>
        <w:rPr>
          <w:rFonts w:ascii="Times New Roman" w:hAnsi="Times New Roman" w:cs="Times New Roman"/>
          <w:sz w:val="24"/>
          <w:szCs w:val="24"/>
        </w:rPr>
        <w:t xml:space="preserve"> Responses of soil </w:t>
      </w:r>
      <w:r>
        <w:rPr>
          <w:rFonts w:ascii="Times New Roman" w:hAnsi="Times New Roman" w:cs="Times New Roman"/>
          <w:sz w:val="24"/>
        </w:rPr>
        <w:t>total nitrogen</w:t>
      </w:r>
      <w:r>
        <w:rPr>
          <w:rFonts w:hint="eastAsia" w:ascii="Times New Roman" w:hAnsi="Times New Roman" w:cs="Times New Roman"/>
          <w:sz w:val="24"/>
        </w:rPr>
        <w:t xml:space="preserve"> (TN)</w:t>
      </w:r>
      <w:r>
        <w:rPr>
          <w:rFonts w:ascii="Times New Roman" w:hAnsi="Times New Roman" w:cs="Times New Roman"/>
          <w:sz w:val="24"/>
          <w:szCs w:val="24"/>
        </w:rPr>
        <w:t xml:space="preserve"> in bulk soil and two soil fractions to 20</w:t>
      </w:r>
      <w:r>
        <w:rPr>
          <w:rFonts w:hint="eastAsia"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year experimental warming across the 0-50 cm profile of an alpine meadow, with depth intervals of 0-10, 10-30, and 30-50 cm.</w:t>
      </w:r>
      <w:r>
        <w:rPr>
          <w:rFonts w:ascii="Times New Roman" w:hAnsi="Times New Roman" w:cs="Times New Roman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(a) Bulk soil; (b) light fraction (LF); (c) heavy fraction (HF).</w:t>
      </w:r>
      <w:r>
        <w:rPr>
          <w:rFonts w:hint="eastAsia"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Treatments are shown by color, with light blue representing </w:t>
      </w:r>
      <w:r>
        <w:rPr>
          <w:rFonts w:hint="eastAsia" w:ascii="Times New Roman" w:hAnsi="Times New Roman" w:cs="Times New Roman"/>
          <w:sz w:val="24"/>
        </w:rPr>
        <w:t xml:space="preserve">the </w:t>
      </w:r>
      <w:r>
        <w:rPr>
          <w:rFonts w:ascii="Times New Roman" w:hAnsi="Times New Roman" w:cs="Times New Roman"/>
          <w:sz w:val="24"/>
        </w:rPr>
        <w:t xml:space="preserve">ambient treatment (CK) and red indicating </w:t>
      </w:r>
      <w:r>
        <w:rPr>
          <w:rFonts w:hint="eastAsia" w:ascii="Times New Roman" w:hAnsi="Times New Roman" w:cs="Times New Roman"/>
          <w:sz w:val="24"/>
        </w:rPr>
        <w:t xml:space="preserve">the </w:t>
      </w:r>
      <w:r>
        <w:rPr>
          <w:rFonts w:ascii="Times New Roman" w:hAnsi="Times New Roman" w:cs="Times New Roman"/>
          <w:sz w:val="24"/>
        </w:rPr>
        <w:t>warming treatment (W). Bars denote mean values with standard error</w:t>
      </w:r>
      <w:r>
        <w:rPr>
          <w:rFonts w:hint="eastAsia"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(</w:t>
      </w:r>
      <w:r>
        <w:rPr>
          <w:rFonts w:ascii="Times New Roman" w:hAnsi="Times New Roman" w:cs="Times New Roman"/>
          <w:i/>
          <w:iCs/>
          <w:sz w:val="24"/>
        </w:rPr>
        <w:t>n</w:t>
      </w:r>
      <w:r>
        <w:rPr>
          <w:rFonts w:ascii="Times New Roman" w:hAnsi="Times New Roman" w:cs="Times New Roman"/>
          <w:sz w:val="24"/>
        </w:rPr>
        <w:t xml:space="preserve"> = 5). Statistically significant differences between warming and ambient treatments</w:t>
      </w:r>
      <w:r>
        <w:rPr>
          <w:rFonts w:hint="eastAsia"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within each soil layer are marked by symbols († </w:t>
      </w:r>
      <w:r>
        <w:rPr>
          <w:rFonts w:ascii="Times New Roman" w:hAnsi="Times New Roman" w:cs="Times New Roman"/>
          <w:i/>
          <w:iCs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 &lt; 0.10, * </w:t>
      </w:r>
      <w:r>
        <w:rPr>
          <w:rFonts w:ascii="Times New Roman" w:hAnsi="Times New Roman" w:cs="Times New Roman"/>
          <w:i/>
          <w:iCs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 &lt; 0.05, ** </w:t>
      </w:r>
      <w:r>
        <w:rPr>
          <w:rFonts w:ascii="Times New Roman" w:hAnsi="Times New Roman" w:cs="Times New Roman"/>
          <w:i/>
          <w:iCs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 &lt; 0.01, *** </w:t>
      </w:r>
      <w:r>
        <w:rPr>
          <w:rFonts w:ascii="Times New Roman" w:hAnsi="Times New Roman" w:cs="Times New Roman"/>
          <w:i/>
          <w:iCs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 &lt; 0.001).</w:t>
      </w:r>
    </w:p>
    <w:p w14:paraId="35CEA02B">
      <w:pPr>
        <w:adjustRightInd w:val="0"/>
        <w:snapToGrid w:val="0"/>
        <w:spacing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drawing>
          <wp:inline distT="0" distB="0" distL="114300" distR="114300">
            <wp:extent cx="5759450" cy="2131060"/>
            <wp:effectExtent l="0" t="0" r="0" b="2540"/>
            <wp:docPr id="6" name="图片 6" descr="tn_fra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tn_fraction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213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362EB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7856AE47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</w:t>
      </w:r>
      <w:r>
        <w:rPr>
          <w:rFonts w:hint="eastAsia"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Responses of </w:t>
      </w:r>
      <w:r>
        <w:rPr>
          <w:rFonts w:hint="eastAsia" w:ascii="Times New Roman" w:hAnsi="Times New Roman" w:cs="Times New Roman"/>
          <w:sz w:val="24"/>
          <w:szCs w:val="24"/>
        </w:rPr>
        <w:t>soil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</w:rPr>
        <w:t>micr</w:t>
      </w:r>
      <w:r>
        <w:rPr>
          <w:rFonts w:ascii="Times New Roman" w:hAnsi="Times New Roman" w:cs="Times New Roman"/>
          <w:sz w:val="24"/>
          <w:szCs w:val="24"/>
        </w:rPr>
        <w:t>obial PLFAs (phospholipid fatty acids) to 20</w:t>
      </w:r>
      <w:r>
        <w:rPr>
          <w:rFonts w:hint="eastAsia"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year experimental warming in the surface soil layer (0-10 cm) of an alpine meadow. (a) </w:t>
      </w:r>
      <w:r>
        <w:rPr>
          <w:rFonts w:ascii="Times New Roman" w:hAnsi="Times New Roman" w:cs="Times New Roman"/>
          <w:sz w:val="24"/>
        </w:rPr>
        <w:t>Total PLFA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</w:rPr>
        <w:t xml:space="preserve"> (</w:t>
      </w:r>
      <w:r>
        <w:rPr>
          <w:rFonts w:hint="eastAsia" w:ascii="Times New Roman" w:hAnsi="Times New Roman" w:cs="Times New Roman"/>
          <w:sz w:val="24"/>
        </w:rPr>
        <w:t>b</w:t>
      </w:r>
      <w:r>
        <w:rPr>
          <w:rFonts w:ascii="Times New Roman" w:hAnsi="Times New Roman" w:cs="Times New Roman"/>
          <w:sz w:val="24"/>
        </w:rPr>
        <w:t>) Bacteria PLFA;</w:t>
      </w:r>
      <w:r>
        <w:rPr>
          <w:rFonts w:hint="eastAsia"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hint="eastAsia"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</w:rPr>
        <w:t>Fungi PLFA; (d) Actinomycetes PLFA; (e) the ratio of Fungi to Bacteria (F</w:t>
      </w:r>
      <w:r>
        <w:rPr>
          <w:rFonts w:hint="eastAsia" w:ascii="Times New Roman" w:hAnsi="Times New Roman" w:cs="Times New Roman"/>
          <w:sz w:val="24"/>
        </w:rPr>
        <w:t>/</w:t>
      </w:r>
      <w:r>
        <w:rPr>
          <w:rFonts w:ascii="Times New Roman" w:hAnsi="Times New Roman" w:cs="Times New Roman"/>
          <w:sz w:val="24"/>
        </w:rPr>
        <w:t>B)</w:t>
      </w:r>
      <w:r>
        <w:rPr>
          <w:rFonts w:hint="eastAsia" w:ascii="Times New Roman" w:hAnsi="Times New Roman" w:cs="Times New Roman"/>
          <w:sz w:val="24"/>
        </w:rPr>
        <w:t>; (f) the ratio of Gram-positive bacteria to Gram-negative bacteria (G+/G-)</w:t>
      </w:r>
      <w:r>
        <w:rPr>
          <w:rFonts w:ascii="Times New Roman" w:hAnsi="Times New Roman" w:cs="Times New Roman"/>
          <w:sz w:val="24"/>
        </w:rPr>
        <w:t xml:space="preserve">. Treatments are shown by color, with light blue representing </w:t>
      </w:r>
      <w:r>
        <w:rPr>
          <w:rFonts w:hint="eastAsia" w:ascii="Times New Roman" w:hAnsi="Times New Roman" w:cs="Times New Roman"/>
          <w:sz w:val="24"/>
        </w:rPr>
        <w:t xml:space="preserve">the </w:t>
      </w:r>
      <w:r>
        <w:rPr>
          <w:rFonts w:ascii="Times New Roman" w:hAnsi="Times New Roman" w:cs="Times New Roman"/>
          <w:sz w:val="24"/>
        </w:rPr>
        <w:t xml:space="preserve">ambient treatment (CK) and red indicating </w:t>
      </w:r>
      <w:r>
        <w:rPr>
          <w:rFonts w:hint="eastAsia" w:ascii="Times New Roman" w:hAnsi="Times New Roman" w:cs="Times New Roman"/>
          <w:sz w:val="24"/>
        </w:rPr>
        <w:t xml:space="preserve">the </w:t>
      </w:r>
      <w:r>
        <w:rPr>
          <w:rFonts w:ascii="Times New Roman" w:hAnsi="Times New Roman" w:cs="Times New Roman"/>
          <w:sz w:val="24"/>
        </w:rPr>
        <w:t>warming treatment (W). Bars denote mean values with standard error</w:t>
      </w:r>
      <w:r>
        <w:rPr>
          <w:rFonts w:hint="eastAsia"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(</w:t>
      </w:r>
      <w:r>
        <w:rPr>
          <w:rFonts w:ascii="Times New Roman" w:hAnsi="Times New Roman" w:cs="Times New Roman"/>
          <w:i/>
          <w:iCs/>
          <w:sz w:val="24"/>
        </w:rPr>
        <w:t>n</w:t>
      </w:r>
      <w:r>
        <w:rPr>
          <w:rFonts w:ascii="Times New Roman" w:hAnsi="Times New Roman" w:cs="Times New Roman"/>
          <w:sz w:val="24"/>
        </w:rPr>
        <w:t xml:space="preserve"> = 5). Statistically significant differences between warming and ambient treatments are marked by symbols († </w:t>
      </w:r>
      <w:r>
        <w:rPr>
          <w:rFonts w:ascii="Times New Roman" w:hAnsi="Times New Roman" w:cs="Times New Roman"/>
          <w:i/>
          <w:iCs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 &lt; 0.10, * </w:t>
      </w:r>
      <w:r>
        <w:rPr>
          <w:rFonts w:ascii="Times New Roman" w:hAnsi="Times New Roman" w:cs="Times New Roman"/>
          <w:i/>
          <w:iCs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 &lt; 0.05, ** </w:t>
      </w:r>
      <w:r>
        <w:rPr>
          <w:rFonts w:ascii="Times New Roman" w:hAnsi="Times New Roman" w:cs="Times New Roman"/>
          <w:i/>
          <w:iCs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 &lt; 0.01, *** </w:t>
      </w:r>
      <w:r>
        <w:rPr>
          <w:rFonts w:ascii="Times New Roman" w:hAnsi="Times New Roman" w:cs="Times New Roman"/>
          <w:i/>
          <w:iCs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 &lt; 0.001).</w:t>
      </w:r>
    </w:p>
    <w:p w14:paraId="3068E2FD">
      <w:pPr>
        <w:adjustRightInd w:val="0"/>
        <w:snapToGrid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114300" distR="114300">
            <wp:extent cx="5759450" cy="3837305"/>
            <wp:effectExtent l="0" t="0" r="0" b="0"/>
            <wp:docPr id="7" name="图片 7" descr="plfa_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plfa_figur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83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8CDDD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25E7BD8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</w:t>
      </w:r>
      <w:r>
        <w:rPr>
          <w:rFonts w:hint="eastAsia" w:ascii="Times New Roman" w:hAnsi="Times New Roman" w:cs="Times New Roman"/>
          <w:b/>
          <w:bCs/>
          <w:sz w:val="24"/>
          <w:szCs w:val="24"/>
        </w:rPr>
        <w:t xml:space="preserve">5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Associations of light fraction carbon (LF-C) with (a) </w:t>
      </w:r>
      <w:r>
        <w:rPr>
          <w:rFonts w:hint="eastAsia" w:ascii="Times New Roman" w:hAnsi="Times New Roman" w:cs="Times New Roman"/>
          <w:sz w:val="24"/>
          <w:szCs w:val="24"/>
        </w:rPr>
        <w:t>total amino sugar carbon (AS-C), (b)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</w:rPr>
        <w:t xml:space="preserve">Muramic acid carbon (MurN-C)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and (</w:t>
      </w:r>
      <w:r>
        <w:rPr>
          <w:rFonts w:hint="eastAsia"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) </w:t>
      </w:r>
      <w:r>
        <w:rPr>
          <w:rFonts w:hint="eastAsia" w:ascii="Times New Roman" w:hAnsi="Times New Roman" w:cs="Times New Roman"/>
          <w:sz w:val="24"/>
          <w:szCs w:val="24"/>
        </w:rPr>
        <w:t>Fungi-derived glucosamine carbon (F-GluN-C)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across the 0-50 cm soil profile of an alpine meadow. Treatments are shown by color, with light blue representing </w:t>
      </w:r>
      <w:r>
        <w:rPr>
          <w:rFonts w:hint="eastAsia"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ambient treatment (CK) and red indicating </w:t>
      </w:r>
      <w:r>
        <w:rPr>
          <w:rFonts w:hint="eastAsia"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warming treatment (W, 20-year experimental warming, </w:t>
      </w:r>
      <w:r>
        <w:rPr>
          <w:rFonts w:ascii="Times New Roman Italic" w:hAnsi="Times New Roman Italic" w:cs="Times New Roman Italic"/>
          <w:b w:val="0"/>
          <w:bCs w:val="0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= 5). </w:t>
      </w:r>
    </w:p>
    <w:p w14:paraId="4DC1B7CD">
      <w:pPr>
        <w:adjustRightInd w:val="0"/>
        <w:snapToGrid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114300" distR="114300">
            <wp:extent cx="5751195" cy="1610360"/>
            <wp:effectExtent l="0" t="0" r="14605" b="15240"/>
            <wp:docPr id="1" name="图片 1" descr="carbon_reg_fra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arbon_reg_fraction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51195" cy="161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BB5255E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" w:name="OLE_LINK4"/>
      <w:r>
        <w:rPr>
          <w:rFonts w:ascii="Times New Roman" w:hAnsi="Times New Roman" w:cs="Times New Roman"/>
          <w:b/>
          <w:bCs/>
          <w:sz w:val="24"/>
          <w:szCs w:val="24"/>
        </w:rPr>
        <w:t>Fig. S</w:t>
      </w:r>
      <w:r>
        <w:rPr>
          <w:rFonts w:hint="eastAsia"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Conceptual diagram showing the effects of 20-year </w:t>
      </w:r>
      <w:r>
        <w:rPr>
          <w:rFonts w:hint="eastAsia" w:ascii="Times New Roman" w:hAnsi="Times New Roman" w:cs="Times New Roman"/>
          <w:sz w:val="24"/>
          <w:szCs w:val="24"/>
        </w:rPr>
        <w:t xml:space="preserve">experimental </w:t>
      </w:r>
      <w:r>
        <w:rPr>
          <w:rFonts w:ascii="Times New Roman" w:hAnsi="Times New Roman" w:cs="Times New Roman"/>
          <w:sz w:val="24"/>
          <w:szCs w:val="24"/>
        </w:rPr>
        <w:t xml:space="preserve">warming on </w:t>
      </w:r>
      <w:r>
        <w:rPr>
          <w:rFonts w:hint="eastAsia" w:ascii="Times New Roman" w:hAnsi="Times New Roman" w:cs="Times New Roman"/>
          <w:sz w:val="24"/>
          <w:szCs w:val="24"/>
        </w:rPr>
        <w:t xml:space="preserve">surface (0-10 cm) </w:t>
      </w:r>
      <w:r>
        <w:rPr>
          <w:rFonts w:ascii="Times New Roman" w:hAnsi="Times New Roman" w:cs="Times New Roman"/>
          <w:sz w:val="24"/>
          <w:szCs w:val="24"/>
        </w:rPr>
        <w:t xml:space="preserve">soil carbon and its fractions in an alpine </w:t>
      </w:r>
      <w:r>
        <w:rPr>
          <w:rFonts w:hint="eastAsia" w:ascii="Times New Roman" w:hAnsi="Times New Roman" w:cs="Times New Roman"/>
          <w:sz w:val="24"/>
          <w:szCs w:val="24"/>
        </w:rPr>
        <w:t>meadow</w:t>
      </w:r>
      <w:r>
        <w:rPr>
          <w:rFonts w:ascii="Times New Roman" w:hAnsi="Times New Roman" w:cs="Times New Roman"/>
          <w:sz w:val="24"/>
          <w:szCs w:val="24"/>
        </w:rPr>
        <w:t>. The upward red solid arrows mean significant positive effects (</w:t>
      </w:r>
      <w:r>
        <w:rPr>
          <w:rFonts w:ascii="Times New Roman" w:hAnsi="Times New Roman" w:cs="Times New Roman"/>
          <w:i/>
          <w:iCs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 &lt; 0.10). The upward red dashed arrows mean non-significant positive effects. The downward blue solid arrows mean significant negative effects (</w:t>
      </w:r>
      <w:r>
        <w:rPr>
          <w:rFonts w:ascii="Times New Roman" w:hAnsi="Times New Roman" w:cs="Times New Roman"/>
          <w:i/>
          <w:iCs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 &lt; 0.10). The downward blue dashed arrows mean non-significant negative effects of warming treatments. </w:t>
      </w:r>
      <w:r>
        <w:rPr>
          <w:rFonts w:hint="eastAsia" w:ascii="Times New Roman" w:hAnsi="Times New Roman" w:cs="Times New Roman"/>
          <w:sz w:val="24"/>
          <w:szCs w:val="24"/>
        </w:rPr>
        <w:t>AGB, aboveground biomass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hint="eastAsia" w:ascii="Times New Roman" w:hAnsi="Times New Roman" w:cs="Times New Roman"/>
          <w:sz w:val="24"/>
          <w:szCs w:val="24"/>
        </w:rPr>
        <w:t xml:space="preserve"> BGB, belowground biomass; </w:t>
      </w:r>
      <w:r>
        <w:rPr>
          <w:rFonts w:ascii="Times New Roman" w:hAnsi="Times New Roman" w:cs="Times New Roman"/>
          <w:sz w:val="24"/>
        </w:rPr>
        <w:t>MBC</w:t>
      </w:r>
      <w:r>
        <w:rPr>
          <w:rFonts w:hint="eastAsia"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microbial biomass carbon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</w:rPr>
        <w:t>MBN</w:t>
      </w:r>
      <w:r>
        <w:rPr>
          <w:rFonts w:hint="eastAsia"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</w:rPr>
        <w:t>microbial biomass nitrogen</w:t>
      </w:r>
      <w:r>
        <w:rPr>
          <w:rFonts w:hint="eastAsia" w:ascii="Times New Roman" w:hAnsi="Times New Roman" w:cs="Times New Roman"/>
          <w:sz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MurN, muramic acid; F-GluN, fungi-glucosamine; </w:t>
      </w:r>
      <w:r>
        <w:rPr>
          <w:rFonts w:hint="eastAsia" w:ascii="Times New Roman" w:hAnsi="Times New Roman" w:cs="Times New Roman"/>
          <w:sz w:val="24"/>
          <w:szCs w:val="24"/>
        </w:rPr>
        <w:t xml:space="preserve">SOC, soil organic carbon; </w:t>
      </w:r>
      <w:r>
        <w:rPr>
          <w:rFonts w:ascii="Times New Roman" w:hAnsi="Times New Roman" w:cs="Times New Roman"/>
          <w:sz w:val="24"/>
          <w:szCs w:val="24"/>
        </w:rPr>
        <w:t>Light fraction C, light fraction soil carbon; Heavy fraction C, heavy fraction soil carbon</w:t>
      </w:r>
      <w:r>
        <w:rPr>
          <w:rFonts w:hint="eastAsia" w:ascii="Times New Roman" w:hAnsi="Times New Roman" w:cs="Times New Roman"/>
          <w:sz w:val="24"/>
          <w:szCs w:val="24"/>
        </w:rPr>
        <w:t>.</w:t>
      </w:r>
    </w:p>
    <w:p w14:paraId="0F673E39">
      <w:pPr>
        <w:adjustRightInd w:val="0"/>
        <w:snapToGrid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5759450" cy="4259580"/>
            <wp:effectExtent l="0" t="0" r="0" b="7620"/>
            <wp:docPr id="10769734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973428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25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</w:p>
    <w:sectPr>
      <w:footerReference r:id="rId3" w:type="default"/>
      <w:pgSz w:w="11906" w:h="16838"/>
      <w:pgMar w:top="1418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 Italic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"/>
    </w:sdtPr>
    <w:sdtContent>
      <w:p w14:paraId="67992BCC">
        <w:pPr>
          <w:pStyle w:val="5"/>
          <w:jc w:val="center"/>
          <w:rPr>
            <w:rFonts w:hint="eastAsia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lang w:val="zh-CN"/>
          </w:rPr>
          <w:t>2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14:paraId="7A3213B6">
    <w:pPr>
      <w:pStyle w:val="5"/>
      <w:rPr>
        <w:rFonts w:hint="eastAsi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hideSpellingErrors/>
  <w:hideGrammaticalErrors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ExMDGyNDe0tDQ3MTZR0lEKTi0uzszPAykwNqgFAAIvBNstAAAA"/>
  </w:docVars>
  <w:rsids>
    <w:rsidRoot w:val="007E3650"/>
    <w:rsid w:val="000000F2"/>
    <w:rsid w:val="00002BE8"/>
    <w:rsid w:val="00007165"/>
    <w:rsid w:val="000108EC"/>
    <w:rsid w:val="000120C6"/>
    <w:rsid w:val="000235AE"/>
    <w:rsid w:val="000268C9"/>
    <w:rsid w:val="00027954"/>
    <w:rsid w:val="00042DDF"/>
    <w:rsid w:val="000442C2"/>
    <w:rsid w:val="00045666"/>
    <w:rsid w:val="0004739D"/>
    <w:rsid w:val="00047D11"/>
    <w:rsid w:val="00054F3D"/>
    <w:rsid w:val="0005606C"/>
    <w:rsid w:val="00056D83"/>
    <w:rsid w:val="00060B5F"/>
    <w:rsid w:val="00062C52"/>
    <w:rsid w:val="000640DA"/>
    <w:rsid w:val="000732FB"/>
    <w:rsid w:val="00085B56"/>
    <w:rsid w:val="00093363"/>
    <w:rsid w:val="0009436C"/>
    <w:rsid w:val="00095407"/>
    <w:rsid w:val="0009711E"/>
    <w:rsid w:val="000A4AD0"/>
    <w:rsid w:val="000A52F5"/>
    <w:rsid w:val="000A5FE1"/>
    <w:rsid w:val="000A6385"/>
    <w:rsid w:val="000B25C2"/>
    <w:rsid w:val="000B4CA1"/>
    <w:rsid w:val="000B6F91"/>
    <w:rsid w:val="000C1AAD"/>
    <w:rsid w:val="000C23F0"/>
    <w:rsid w:val="000D2546"/>
    <w:rsid w:val="000D5404"/>
    <w:rsid w:val="000E00AA"/>
    <w:rsid w:val="000E1B80"/>
    <w:rsid w:val="000F5246"/>
    <w:rsid w:val="000F5F38"/>
    <w:rsid w:val="00110D82"/>
    <w:rsid w:val="0011252A"/>
    <w:rsid w:val="00113630"/>
    <w:rsid w:val="001215A5"/>
    <w:rsid w:val="0012263C"/>
    <w:rsid w:val="0012556F"/>
    <w:rsid w:val="00133F30"/>
    <w:rsid w:val="00140E9A"/>
    <w:rsid w:val="00142D23"/>
    <w:rsid w:val="001437FE"/>
    <w:rsid w:val="00146B10"/>
    <w:rsid w:val="00146CCE"/>
    <w:rsid w:val="00147B92"/>
    <w:rsid w:val="00150258"/>
    <w:rsid w:val="0015096E"/>
    <w:rsid w:val="00156C68"/>
    <w:rsid w:val="00157841"/>
    <w:rsid w:val="00160EEC"/>
    <w:rsid w:val="00161065"/>
    <w:rsid w:val="00162910"/>
    <w:rsid w:val="00172D34"/>
    <w:rsid w:val="00173D8B"/>
    <w:rsid w:val="001777A5"/>
    <w:rsid w:val="00177E69"/>
    <w:rsid w:val="00180D39"/>
    <w:rsid w:val="00180F9B"/>
    <w:rsid w:val="00181AAB"/>
    <w:rsid w:val="0018620F"/>
    <w:rsid w:val="00186352"/>
    <w:rsid w:val="0019266C"/>
    <w:rsid w:val="0019699D"/>
    <w:rsid w:val="001A5F50"/>
    <w:rsid w:val="001A70AB"/>
    <w:rsid w:val="001B42B8"/>
    <w:rsid w:val="001C35EE"/>
    <w:rsid w:val="001D05A3"/>
    <w:rsid w:val="001D3EFC"/>
    <w:rsid w:val="001E1A7C"/>
    <w:rsid w:val="001E6A88"/>
    <w:rsid w:val="001F09EF"/>
    <w:rsid w:val="001F1882"/>
    <w:rsid w:val="001F344E"/>
    <w:rsid w:val="001F6473"/>
    <w:rsid w:val="00200909"/>
    <w:rsid w:val="00201261"/>
    <w:rsid w:val="00201AFD"/>
    <w:rsid w:val="002027CA"/>
    <w:rsid w:val="00205DD6"/>
    <w:rsid w:val="00207673"/>
    <w:rsid w:val="002112BD"/>
    <w:rsid w:val="0022199B"/>
    <w:rsid w:val="0022394B"/>
    <w:rsid w:val="002444ED"/>
    <w:rsid w:val="00246E00"/>
    <w:rsid w:val="00250691"/>
    <w:rsid w:val="0025074C"/>
    <w:rsid w:val="00262498"/>
    <w:rsid w:val="00275C36"/>
    <w:rsid w:val="00280FB2"/>
    <w:rsid w:val="002823E1"/>
    <w:rsid w:val="002864D6"/>
    <w:rsid w:val="002A4D95"/>
    <w:rsid w:val="002D0E90"/>
    <w:rsid w:val="002D63BB"/>
    <w:rsid w:val="002D7C53"/>
    <w:rsid w:val="002E20EB"/>
    <w:rsid w:val="002E3501"/>
    <w:rsid w:val="002E3A44"/>
    <w:rsid w:val="002F412F"/>
    <w:rsid w:val="0030178A"/>
    <w:rsid w:val="00306624"/>
    <w:rsid w:val="003206B0"/>
    <w:rsid w:val="003215B7"/>
    <w:rsid w:val="003259C4"/>
    <w:rsid w:val="00325E14"/>
    <w:rsid w:val="00334B78"/>
    <w:rsid w:val="00372138"/>
    <w:rsid w:val="0037309D"/>
    <w:rsid w:val="003743BF"/>
    <w:rsid w:val="0038151A"/>
    <w:rsid w:val="00382438"/>
    <w:rsid w:val="00382C02"/>
    <w:rsid w:val="003856A7"/>
    <w:rsid w:val="0039101D"/>
    <w:rsid w:val="00394F66"/>
    <w:rsid w:val="003C17E1"/>
    <w:rsid w:val="003C5798"/>
    <w:rsid w:val="003D3589"/>
    <w:rsid w:val="003D41A6"/>
    <w:rsid w:val="003D468C"/>
    <w:rsid w:val="003D6470"/>
    <w:rsid w:val="003D798E"/>
    <w:rsid w:val="003E0037"/>
    <w:rsid w:val="003E1482"/>
    <w:rsid w:val="003E1DC0"/>
    <w:rsid w:val="003E2804"/>
    <w:rsid w:val="003E62E5"/>
    <w:rsid w:val="003E7EFA"/>
    <w:rsid w:val="003F20F4"/>
    <w:rsid w:val="003F5514"/>
    <w:rsid w:val="00400C5A"/>
    <w:rsid w:val="00404077"/>
    <w:rsid w:val="00406483"/>
    <w:rsid w:val="00410174"/>
    <w:rsid w:val="004177C0"/>
    <w:rsid w:val="004241D5"/>
    <w:rsid w:val="0043238A"/>
    <w:rsid w:val="00435D50"/>
    <w:rsid w:val="00445A6A"/>
    <w:rsid w:val="00447714"/>
    <w:rsid w:val="004500E0"/>
    <w:rsid w:val="0045075F"/>
    <w:rsid w:val="0045090A"/>
    <w:rsid w:val="004521C0"/>
    <w:rsid w:val="00452FA2"/>
    <w:rsid w:val="00453E6E"/>
    <w:rsid w:val="004563C3"/>
    <w:rsid w:val="00462227"/>
    <w:rsid w:val="004628C0"/>
    <w:rsid w:val="00467AA7"/>
    <w:rsid w:val="004714E7"/>
    <w:rsid w:val="00481A52"/>
    <w:rsid w:val="00483D7E"/>
    <w:rsid w:val="00484BDF"/>
    <w:rsid w:val="00493D7A"/>
    <w:rsid w:val="004966EC"/>
    <w:rsid w:val="004A629D"/>
    <w:rsid w:val="004B6B92"/>
    <w:rsid w:val="004C7244"/>
    <w:rsid w:val="004D43EF"/>
    <w:rsid w:val="004D6A1A"/>
    <w:rsid w:val="004E179F"/>
    <w:rsid w:val="004E28CB"/>
    <w:rsid w:val="004E342F"/>
    <w:rsid w:val="004E6E51"/>
    <w:rsid w:val="004E7492"/>
    <w:rsid w:val="004F4A54"/>
    <w:rsid w:val="00500734"/>
    <w:rsid w:val="005012E4"/>
    <w:rsid w:val="00502046"/>
    <w:rsid w:val="005045D4"/>
    <w:rsid w:val="00507DCA"/>
    <w:rsid w:val="00511D11"/>
    <w:rsid w:val="00517152"/>
    <w:rsid w:val="00520E4D"/>
    <w:rsid w:val="005241EE"/>
    <w:rsid w:val="00531082"/>
    <w:rsid w:val="00532125"/>
    <w:rsid w:val="005321DE"/>
    <w:rsid w:val="0053586C"/>
    <w:rsid w:val="0054048E"/>
    <w:rsid w:val="00540C7D"/>
    <w:rsid w:val="0054182B"/>
    <w:rsid w:val="00541CC5"/>
    <w:rsid w:val="00550E61"/>
    <w:rsid w:val="005514CE"/>
    <w:rsid w:val="00567AAB"/>
    <w:rsid w:val="00570B55"/>
    <w:rsid w:val="00570DF4"/>
    <w:rsid w:val="00575442"/>
    <w:rsid w:val="00577733"/>
    <w:rsid w:val="00586BD3"/>
    <w:rsid w:val="0059437D"/>
    <w:rsid w:val="00594F7D"/>
    <w:rsid w:val="005970B6"/>
    <w:rsid w:val="005A0EB7"/>
    <w:rsid w:val="005A2659"/>
    <w:rsid w:val="005B12FE"/>
    <w:rsid w:val="005B1E97"/>
    <w:rsid w:val="005B29CC"/>
    <w:rsid w:val="005B684F"/>
    <w:rsid w:val="005C41D8"/>
    <w:rsid w:val="005C62C7"/>
    <w:rsid w:val="005D4D07"/>
    <w:rsid w:val="005D7691"/>
    <w:rsid w:val="005D7749"/>
    <w:rsid w:val="005E0332"/>
    <w:rsid w:val="005F2D1F"/>
    <w:rsid w:val="005F750F"/>
    <w:rsid w:val="00607025"/>
    <w:rsid w:val="006145FA"/>
    <w:rsid w:val="0061583E"/>
    <w:rsid w:val="006216F8"/>
    <w:rsid w:val="00633E49"/>
    <w:rsid w:val="00636D9A"/>
    <w:rsid w:val="006573D3"/>
    <w:rsid w:val="00661D57"/>
    <w:rsid w:val="00673025"/>
    <w:rsid w:val="00674DAC"/>
    <w:rsid w:val="00684D78"/>
    <w:rsid w:val="00693448"/>
    <w:rsid w:val="006A07D1"/>
    <w:rsid w:val="006A07FE"/>
    <w:rsid w:val="006A0E03"/>
    <w:rsid w:val="006A5F33"/>
    <w:rsid w:val="006B2097"/>
    <w:rsid w:val="006C7E0C"/>
    <w:rsid w:val="006D5914"/>
    <w:rsid w:val="006E0096"/>
    <w:rsid w:val="006E6EA1"/>
    <w:rsid w:val="006F1BB9"/>
    <w:rsid w:val="007045FA"/>
    <w:rsid w:val="00705EED"/>
    <w:rsid w:val="00706906"/>
    <w:rsid w:val="00710825"/>
    <w:rsid w:val="00712B8D"/>
    <w:rsid w:val="007152F6"/>
    <w:rsid w:val="007157C4"/>
    <w:rsid w:val="00720C85"/>
    <w:rsid w:val="007255E3"/>
    <w:rsid w:val="00732B3E"/>
    <w:rsid w:val="00735169"/>
    <w:rsid w:val="0074020F"/>
    <w:rsid w:val="007410D3"/>
    <w:rsid w:val="0074274C"/>
    <w:rsid w:val="00751415"/>
    <w:rsid w:val="00754420"/>
    <w:rsid w:val="00761940"/>
    <w:rsid w:val="007735BE"/>
    <w:rsid w:val="00773A8C"/>
    <w:rsid w:val="007751BA"/>
    <w:rsid w:val="007770F1"/>
    <w:rsid w:val="00780C47"/>
    <w:rsid w:val="007848AD"/>
    <w:rsid w:val="007A0DEA"/>
    <w:rsid w:val="007A18E3"/>
    <w:rsid w:val="007A6D34"/>
    <w:rsid w:val="007B01BE"/>
    <w:rsid w:val="007B047A"/>
    <w:rsid w:val="007B05D1"/>
    <w:rsid w:val="007B167D"/>
    <w:rsid w:val="007B22C1"/>
    <w:rsid w:val="007C006A"/>
    <w:rsid w:val="007C2FC1"/>
    <w:rsid w:val="007C3AC2"/>
    <w:rsid w:val="007D1F63"/>
    <w:rsid w:val="007D5F75"/>
    <w:rsid w:val="007E0653"/>
    <w:rsid w:val="007E3650"/>
    <w:rsid w:val="00820225"/>
    <w:rsid w:val="0082034F"/>
    <w:rsid w:val="00821E82"/>
    <w:rsid w:val="00822484"/>
    <w:rsid w:val="00827E15"/>
    <w:rsid w:val="0083194F"/>
    <w:rsid w:val="0083592C"/>
    <w:rsid w:val="0083602D"/>
    <w:rsid w:val="008377F9"/>
    <w:rsid w:val="00837B2C"/>
    <w:rsid w:val="008400DF"/>
    <w:rsid w:val="00840F41"/>
    <w:rsid w:val="0084626F"/>
    <w:rsid w:val="0085257D"/>
    <w:rsid w:val="0085592D"/>
    <w:rsid w:val="00870AAA"/>
    <w:rsid w:val="008714A4"/>
    <w:rsid w:val="008761F9"/>
    <w:rsid w:val="00880658"/>
    <w:rsid w:val="008843F3"/>
    <w:rsid w:val="00885D01"/>
    <w:rsid w:val="00893F3C"/>
    <w:rsid w:val="008B57F7"/>
    <w:rsid w:val="008C2568"/>
    <w:rsid w:val="008C30D7"/>
    <w:rsid w:val="008C3EB0"/>
    <w:rsid w:val="008D37B7"/>
    <w:rsid w:val="008D7BCA"/>
    <w:rsid w:val="008E1BD5"/>
    <w:rsid w:val="008E3C49"/>
    <w:rsid w:val="008E5291"/>
    <w:rsid w:val="008E6138"/>
    <w:rsid w:val="008E63D2"/>
    <w:rsid w:val="008F2750"/>
    <w:rsid w:val="008F2AD8"/>
    <w:rsid w:val="008F4C75"/>
    <w:rsid w:val="00901A79"/>
    <w:rsid w:val="009101E3"/>
    <w:rsid w:val="009103CE"/>
    <w:rsid w:val="00911223"/>
    <w:rsid w:val="0091252C"/>
    <w:rsid w:val="00913906"/>
    <w:rsid w:val="00917DDF"/>
    <w:rsid w:val="00935FC2"/>
    <w:rsid w:val="00943E17"/>
    <w:rsid w:val="00944E67"/>
    <w:rsid w:val="00945779"/>
    <w:rsid w:val="00947DB5"/>
    <w:rsid w:val="009558CB"/>
    <w:rsid w:val="0096367D"/>
    <w:rsid w:val="009667F2"/>
    <w:rsid w:val="009861E7"/>
    <w:rsid w:val="00986558"/>
    <w:rsid w:val="00986DB7"/>
    <w:rsid w:val="00990CB7"/>
    <w:rsid w:val="0099636A"/>
    <w:rsid w:val="009A6F14"/>
    <w:rsid w:val="009A71E0"/>
    <w:rsid w:val="009B02D9"/>
    <w:rsid w:val="009B13CB"/>
    <w:rsid w:val="009B4CB7"/>
    <w:rsid w:val="009B5290"/>
    <w:rsid w:val="009B74F3"/>
    <w:rsid w:val="009C0838"/>
    <w:rsid w:val="009C70FC"/>
    <w:rsid w:val="009F3B16"/>
    <w:rsid w:val="009F5A5F"/>
    <w:rsid w:val="00A0458E"/>
    <w:rsid w:val="00A11807"/>
    <w:rsid w:val="00A1388C"/>
    <w:rsid w:val="00A223FB"/>
    <w:rsid w:val="00A23DC7"/>
    <w:rsid w:val="00A2443C"/>
    <w:rsid w:val="00A27157"/>
    <w:rsid w:val="00A35D18"/>
    <w:rsid w:val="00A37332"/>
    <w:rsid w:val="00A37709"/>
    <w:rsid w:val="00A40EFC"/>
    <w:rsid w:val="00A4128E"/>
    <w:rsid w:val="00A42C3C"/>
    <w:rsid w:val="00A529E4"/>
    <w:rsid w:val="00A61D5B"/>
    <w:rsid w:val="00A624E7"/>
    <w:rsid w:val="00A62EF2"/>
    <w:rsid w:val="00A65C8B"/>
    <w:rsid w:val="00A74056"/>
    <w:rsid w:val="00A77FE6"/>
    <w:rsid w:val="00A83E2D"/>
    <w:rsid w:val="00A85E5C"/>
    <w:rsid w:val="00A86516"/>
    <w:rsid w:val="00A904F8"/>
    <w:rsid w:val="00A91D85"/>
    <w:rsid w:val="00A97126"/>
    <w:rsid w:val="00AA24B6"/>
    <w:rsid w:val="00AA6FBE"/>
    <w:rsid w:val="00AA7226"/>
    <w:rsid w:val="00AB6848"/>
    <w:rsid w:val="00AB6893"/>
    <w:rsid w:val="00AC0FC3"/>
    <w:rsid w:val="00AC1B3F"/>
    <w:rsid w:val="00AC3605"/>
    <w:rsid w:val="00AC4BBF"/>
    <w:rsid w:val="00AC7BA6"/>
    <w:rsid w:val="00AD32E4"/>
    <w:rsid w:val="00AD700C"/>
    <w:rsid w:val="00AD7ADB"/>
    <w:rsid w:val="00AE0DEA"/>
    <w:rsid w:val="00AE2D16"/>
    <w:rsid w:val="00AE4D70"/>
    <w:rsid w:val="00AF28AF"/>
    <w:rsid w:val="00AF5787"/>
    <w:rsid w:val="00AF5F57"/>
    <w:rsid w:val="00B025F7"/>
    <w:rsid w:val="00B0273C"/>
    <w:rsid w:val="00B03EB1"/>
    <w:rsid w:val="00B108AA"/>
    <w:rsid w:val="00B11A4F"/>
    <w:rsid w:val="00B223F3"/>
    <w:rsid w:val="00B32B12"/>
    <w:rsid w:val="00B349B5"/>
    <w:rsid w:val="00B36440"/>
    <w:rsid w:val="00B36908"/>
    <w:rsid w:val="00B5248A"/>
    <w:rsid w:val="00B54162"/>
    <w:rsid w:val="00B57FFA"/>
    <w:rsid w:val="00B6154F"/>
    <w:rsid w:val="00B70BB5"/>
    <w:rsid w:val="00B72497"/>
    <w:rsid w:val="00B72EE4"/>
    <w:rsid w:val="00B80EEF"/>
    <w:rsid w:val="00B86B13"/>
    <w:rsid w:val="00BA0EF5"/>
    <w:rsid w:val="00BA30E0"/>
    <w:rsid w:val="00BB2232"/>
    <w:rsid w:val="00BB3D76"/>
    <w:rsid w:val="00BB4932"/>
    <w:rsid w:val="00BC28B7"/>
    <w:rsid w:val="00BC4697"/>
    <w:rsid w:val="00BD0431"/>
    <w:rsid w:val="00BD1DD6"/>
    <w:rsid w:val="00BD51E6"/>
    <w:rsid w:val="00BD53CC"/>
    <w:rsid w:val="00BE0A1F"/>
    <w:rsid w:val="00BE1BEF"/>
    <w:rsid w:val="00BE3B80"/>
    <w:rsid w:val="00BE4445"/>
    <w:rsid w:val="00BF155A"/>
    <w:rsid w:val="00BF389C"/>
    <w:rsid w:val="00BF3D2F"/>
    <w:rsid w:val="00BF52B6"/>
    <w:rsid w:val="00BF62FC"/>
    <w:rsid w:val="00BF77F8"/>
    <w:rsid w:val="00C00558"/>
    <w:rsid w:val="00C06FB4"/>
    <w:rsid w:val="00C31917"/>
    <w:rsid w:val="00C3589B"/>
    <w:rsid w:val="00C42098"/>
    <w:rsid w:val="00C434CA"/>
    <w:rsid w:val="00C45E0A"/>
    <w:rsid w:val="00C52F62"/>
    <w:rsid w:val="00C570E5"/>
    <w:rsid w:val="00C62FA6"/>
    <w:rsid w:val="00C70575"/>
    <w:rsid w:val="00C73132"/>
    <w:rsid w:val="00C73BB8"/>
    <w:rsid w:val="00C80501"/>
    <w:rsid w:val="00C81270"/>
    <w:rsid w:val="00C819BF"/>
    <w:rsid w:val="00C828ED"/>
    <w:rsid w:val="00C83CA4"/>
    <w:rsid w:val="00C86AFF"/>
    <w:rsid w:val="00C91D99"/>
    <w:rsid w:val="00C937EB"/>
    <w:rsid w:val="00CA7116"/>
    <w:rsid w:val="00CB0731"/>
    <w:rsid w:val="00CB101B"/>
    <w:rsid w:val="00CB3156"/>
    <w:rsid w:val="00CB397A"/>
    <w:rsid w:val="00CC3D76"/>
    <w:rsid w:val="00CC6FBD"/>
    <w:rsid w:val="00CD297C"/>
    <w:rsid w:val="00CD2988"/>
    <w:rsid w:val="00CD2F3F"/>
    <w:rsid w:val="00CD760F"/>
    <w:rsid w:val="00CE0B19"/>
    <w:rsid w:val="00CE3E9E"/>
    <w:rsid w:val="00CE4432"/>
    <w:rsid w:val="00CE4F36"/>
    <w:rsid w:val="00CE5C46"/>
    <w:rsid w:val="00CE6630"/>
    <w:rsid w:val="00CF341A"/>
    <w:rsid w:val="00CF644D"/>
    <w:rsid w:val="00CF65E1"/>
    <w:rsid w:val="00D1023B"/>
    <w:rsid w:val="00D11EB9"/>
    <w:rsid w:val="00D1550B"/>
    <w:rsid w:val="00D223D6"/>
    <w:rsid w:val="00D31BA8"/>
    <w:rsid w:val="00D32370"/>
    <w:rsid w:val="00D332C8"/>
    <w:rsid w:val="00D340CA"/>
    <w:rsid w:val="00D34F2D"/>
    <w:rsid w:val="00D45445"/>
    <w:rsid w:val="00D558E4"/>
    <w:rsid w:val="00D55E62"/>
    <w:rsid w:val="00D669F5"/>
    <w:rsid w:val="00D71508"/>
    <w:rsid w:val="00D71C6C"/>
    <w:rsid w:val="00D73582"/>
    <w:rsid w:val="00D7368E"/>
    <w:rsid w:val="00D75408"/>
    <w:rsid w:val="00D77CCF"/>
    <w:rsid w:val="00D8278F"/>
    <w:rsid w:val="00D82E24"/>
    <w:rsid w:val="00D83A62"/>
    <w:rsid w:val="00DA5EF9"/>
    <w:rsid w:val="00DA70E2"/>
    <w:rsid w:val="00DB3149"/>
    <w:rsid w:val="00DB6F12"/>
    <w:rsid w:val="00DC3678"/>
    <w:rsid w:val="00DD2BFF"/>
    <w:rsid w:val="00DE23E4"/>
    <w:rsid w:val="00DE5122"/>
    <w:rsid w:val="00DF4941"/>
    <w:rsid w:val="00E079DB"/>
    <w:rsid w:val="00E120D2"/>
    <w:rsid w:val="00E1366B"/>
    <w:rsid w:val="00E161C2"/>
    <w:rsid w:val="00E17BA5"/>
    <w:rsid w:val="00E25952"/>
    <w:rsid w:val="00E27813"/>
    <w:rsid w:val="00E31174"/>
    <w:rsid w:val="00E330D7"/>
    <w:rsid w:val="00E41D29"/>
    <w:rsid w:val="00E43D80"/>
    <w:rsid w:val="00E45C66"/>
    <w:rsid w:val="00E575AC"/>
    <w:rsid w:val="00E61F41"/>
    <w:rsid w:val="00E62C3F"/>
    <w:rsid w:val="00E636AA"/>
    <w:rsid w:val="00E6741F"/>
    <w:rsid w:val="00E73245"/>
    <w:rsid w:val="00E7500B"/>
    <w:rsid w:val="00E75333"/>
    <w:rsid w:val="00E8784C"/>
    <w:rsid w:val="00E9100E"/>
    <w:rsid w:val="00E91D87"/>
    <w:rsid w:val="00E94588"/>
    <w:rsid w:val="00E94B47"/>
    <w:rsid w:val="00E96C73"/>
    <w:rsid w:val="00EA3889"/>
    <w:rsid w:val="00EA473D"/>
    <w:rsid w:val="00EA5C27"/>
    <w:rsid w:val="00EA654E"/>
    <w:rsid w:val="00EB36C0"/>
    <w:rsid w:val="00EB3F0C"/>
    <w:rsid w:val="00EC1816"/>
    <w:rsid w:val="00EC1AF4"/>
    <w:rsid w:val="00EC3255"/>
    <w:rsid w:val="00EC415B"/>
    <w:rsid w:val="00EC463F"/>
    <w:rsid w:val="00EC6BFC"/>
    <w:rsid w:val="00EE40E1"/>
    <w:rsid w:val="00EE4339"/>
    <w:rsid w:val="00EE7D3F"/>
    <w:rsid w:val="00EF1DD2"/>
    <w:rsid w:val="00EF454F"/>
    <w:rsid w:val="00EF5158"/>
    <w:rsid w:val="00F00B65"/>
    <w:rsid w:val="00F00DFF"/>
    <w:rsid w:val="00F03DE0"/>
    <w:rsid w:val="00F05D2E"/>
    <w:rsid w:val="00F067FC"/>
    <w:rsid w:val="00F11FED"/>
    <w:rsid w:val="00F120BF"/>
    <w:rsid w:val="00F12933"/>
    <w:rsid w:val="00F1477B"/>
    <w:rsid w:val="00F23A27"/>
    <w:rsid w:val="00F23E3D"/>
    <w:rsid w:val="00F252AC"/>
    <w:rsid w:val="00F27C82"/>
    <w:rsid w:val="00F361CB"/>
    <w:rsid w:val="00F36A08"/>
    <w:rsid w:val="00F405DC"/>
    <w:rsid w:val="00F41120"/>
    <w:rsid w:val="00F475C8"/>
    <w:rsid w:val="00F47A5A"/>
    <w:rsid w:val="00F53BC9"/>
    <w:rsid w:val="00F55096"/>
    <w:rsid w:val="00F55F5E"/>
    <w:rsid w:val="00F60662"/>
    <w:rsid w:val="00F64F93"/>
    <w:rsid w:val="00F65E9D"/>
    <w:rsid w:val="00F67897"/>
    <w:rsid w:val="00F7328C"/>
    <w:rsid w:val="00F74F40"/>
    <w:rsid w:val="00F7539A"/>
    <w:rsid w:val="00F775BD"/>
    <w:rsid w:val="00F81F79"/>
    <w:rsid w:val="00F8307A"/>
    <w:rsid w:val="00F91B81"/>
    <w:rsid w:val="00F9384B"/>
    <w:rsid w:val="00FA29D6"/>
    <w:rsid w:val="00FA4927"/>
    <w:rsid w:val="00FB3C81"/>
    <w:rsid w:val="00FB6061"/>
    <w:rsid w:val="00FB699F"/>
    <w:rsid w:val="00FD479E"/>
    <w:rsid w:val="00FE312E"/>
    <w:rsid w:val="00FF1364"/>
    <w:rsid w:val="00FF1D22"/>
    <w:rsid w:val="00FF3A89"/>
    <w:rsid w:val="0263555E"/>
    <w:rsid w:val="05A45ABF"/>
    <w:rsid w:val="0774489E"/>
    <w:rsid w:val="0FEC0AD1"/>
    <w:rsid w:val="115E5D5F"/>
    <w:rsid w:val="11E9357F"/>
    <w:rsid w:val="19742A77"/>
    <w:rsid w:val="1A0A4539"/>
    <w:rsid w:val="1FDC3181"/>
    <w:rsid w:val="234C1FCD"/>
    <w:rsid w:val="2683243A"/>
    <w:rsid w:val="2C8B4B71"/>
    <w:rsid w:val="2D005471"/>
    <w:rsid w:val="2F886B0A"/>
    <w:rsid w:val="310A15EB"/>
    <w:rsid w:val="32582FA8"/>
    <w:rsid w:val="374BCCCB"/>
    <w:rsid w:val="3FF171D8"/>
    <w:rsid w:val="480B5F5E"/>
    <w:rsid w:val="4AE75567"/>
    <w:rsid w:val="4B2A6702"/>
    <w:rsid w:val="56C710B0"/>
    <w:rsid w:val="5B073263"/>
    <w:rsid w:val="5C3E653F"/>
    <w:rsid w:val="5CDF1FB0"/>
    <w:rsid w:val="5D6D594B"/>
    <w:rsid w:val="5EFAFEA2"/>
    <w:rsid w:val="5EFF941A"/>
    <w:rsid w:val="5FF64609"/>
    <w:rsid w:val="5FFF9F73"/>
    <w:rsid w:val="620B6152"/>
    <w:rsid w:val="651B0F83"/>
    <w:rsid w:val="6BEF878D"/>
    <w:rsid w:val="6CB93003"/>
    <w:rsid w:val="6D7B2AB5"/>
    <w:rsid w:val="6E9F9A46"/>
    <w:rsid w:val="757E6272"/>
    <w:rsid w:val="779B7571"/>
    <w:rsid w:val="77B719CF"/>
    <w:rsid w:val="77BDEC57"/>
    <w:rsid w:val="77FBBF97"/>
    <w:rsid w:val="782968D5"/>
    <w:rsid w:val="78E747E8"/>
    <w:rsid w:val="79F39569"/>
    <w:rsid w:val="7A2627D0"/>
    <w:rsid w:val="7B6FBD49"/>
    <w:rsid w:val="7BAE8321"/>
    <w:rsid w:val="7D7D54F7"/>
    <w:rsid w:val="7DBD7000"/>
    <w:rsid w:val="7DFF033F"/>
    <w:rsid w:val="7F3C5880"/>
    <w:rsid w:val="7FBC7EA4"/>
    <w:rsid w:val="7FFF6D01"/>
    <w:rsid w:val="9BFE249C"/>
    <w:rsid w:val="9FEEF908"/>
    <w:rsid w:val="B3FFC92C"/>
    <w:rsid w:val="BFBE3E95"/>
    <w:rsid w:val="BFBF4B78"/>
    <w:rsid w:val="D6DBCD46"/>
    <w:rsid w:val="DBD733D3"/>
    <w:rsid w:val="DCFF1BE5"/>
    <w:rsid w:val="DE8F894F"/>
    <w:rsid w:val="DFB66618"/>
    <w:rsid w:val="DFFB5E18"/>
    <w:rsid w:val="DFFFD0FC"/>
    <w:rsid w:val="E4DFA17A"/>
    <w:rsid w:val="EBDEF7BC"/>
    <w:rsid w:val="EF5FD52D"/>
    <w:rsid w:val="EFE790B3"/>
    <w:rsid w:val="F1FD71AE"/>
    <w:rsid w:val="F3FEFD45"/>
    <w:rsid w:val="F77D7A5B"/>
    <w:rsid w:val="F7B3B4EF"/>
    <w:rsid w:val="F7F9CDED"/>
    <w:rsid w:val="F7FF69BF"/>
    <w:rsid w:val="FD55ED42"/>
    <w:rsid w:val="FD673151"/>
    <w:rsid w:val="FDDDBC2F"/>
    <w:rsid w:val="FDFE8B6E"/>
    <w:rsid w:val="FE7718D7"/>
    <w:rsid w:val="FEC7C6B8"/>
    <w:rsid w:val="FEDE79FD"/>
    <w:rsid w:val="FF3AB596"/>
    <w:rsid w:val="FF6F01BF"/>
    <w:rsid w:val="FFB78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楷体" w:hAnsi="楷体" w:eastAsia="楷体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7"/>
    <w:unhideWhenUsed/>
    <w:uiPriority w:val="99"/>
    <w:pPr>
      <w:jc w:val="left"/>
    </w:pPr>
  </w:style>
  <w:style w:type="paragraph" w:styleId="4">
    <w:name w:val="Balloon Text"/>
    <w:basedOn w:val="1"/>
    <w:link w:val="14"/>
    <w:semiHidden/>
    <w:unhideWhenUsed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3"/>
    <w:next w:val="3"/>
    <w:link w:val="18"/>
    <w:semiHidden/>
    <w:unhideWhenUsed/>
    <w:uiPriority w:val="99"/>
    <w:rPr>
      <w:b/>
      <w:bCs/>
    </w:rPr>
  </w:style>
  <w:style w:type="table" w:styleId="9">
    <w:name w:val="Table Grid"/>
    <w:basedOn w:val="8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annotation reference"/>
    <w:basedOn w:val="10"/>
    <w:semiHidden/>
    <w:unhideWhenUsed/>
    <w:uiPriority w:val="99"/>
    <w:rPr>
      <w:sz w:val="21"/>
      <w:szCs w:val="21"/>
    </w:rPr>
  </w:style>
  <w:style w:type="character" w:customStyle="1" w:styleId="12">
    <w:name w:val="页眉 字符"/>
    <w:basedOn w:val="10"/>
    <w:link w:val="6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5"/>
    <w:uiPriority w:val="99"/>
    <w:rPr>
      <w:sz w:val="18"/>
      <w:szCs w:val="18"/>
    </w:rPr>
  </w:style>
  <w:style w:type="character" w:customStyle="1" w:styleId="14">
    <w:name w:val="批注框文本 字符"/>
    <w:basedOn w:val="10"/>
    <w:link w:val="4"/>
    <w:semiHidden/>
    <w:uiPriority w:val="99"/>
    <w:rPr>
      <w:sz w:val="18"/>
      <w:szCs w:val="18"/>
    </w:rPr>
  </w:style>
  <w:style w:type="table" w:customStyle="1" w:styleId="15">
    <w:name w:val="网格型1"/>
    <w:basedOn w:val="8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6">
    <w:name w:val="修订1"/>
    <w:hidden/>
    <w:unhideWhenUsed/>
    <w:uiPriority w:val="99"/>
    <w:rPr>
      <w:rFonts w:ascii="楷体" w:hAnsi="楷体" w:eastAsia="楷体" w:cstheme="minorBidi"/>
      <w:kern w:val="2"/>
      <w:sz w:val="21"/>
      <w:szCs w:val="22"/>
      <w:lang w:val="en-US" w:eastAsia="zh-CN" w:bidi="ar-SA"/>
    </w:rPr>
  </w:style>
  <w:style w:type="character" w:customStyle="1" w:styleId="17">
    <w:name w:val="批注文字 字符"/>
    <w:basedOn w:val="10"/>
    <w:link w:val="3"/>
    <w:uiPriority w:val="99"/>
    <w:rPr>
      <w:rFonts w:ascii="楷体" w:hAnsi="楷体" w:eastAsia="楷体" w:cstheme="minorBidi"/>
      <w:kern w:val="2"/>
      <w:sz w:val="21"/>
      <w:szCs w:val="22"/>
    </w:rPr>
  </w:style>
  <w:style w:type="character" w:customStyle="1" w:styleId="18">
    <w:name w:val="批注主题 字符"/>
    <w:basedOn w:val="17"/>
    <w:link w:val="7"/>
    <w:semiHidden/>
    <w:uiPriority w:val="99"/>
    <w:rPr>
      <w:rFonts w:ascii="楷体" w:hAnsi="楷体" w:eastAsia="楷体" w:cstheme="minorBidi"/>
      <w:b/>
      <w:bCs/>
      <w:kern w:val="2"/>
      <w:sz w:val="21"/>
      <w:szCs w:val="22"/>
    </w:rPr>
  </w:style>
  <w:style w:type="paragraph" w:customStyle="1" w:styleId="19">
    <w:name w:val="修订2"/>
    <w:hidden/>
    <w:unhideWhenUsed/>
    <w:uiPriority w:val="99"/>
    <w:rPr>
      <w:rFonts w:ascii="楷体" w:hAnsi="楷体" w:eastAsia="楷体" w:cstheme="minorBidi"/>
      <w:kern w:val="2"/>
      <w:sz w:val="21"/>
      <w:szCs w:val="22"/>
      <w:lang w:val="en-US" w:eastAsia="zh-CN" w:bidi="ar-SA"/>
    </w:rPr>
  </w:style>
  <w:style w:type="paragraph" w:customStyle="1" w:styleId="20">
    <w:name w:val="修订3"/>
    <w:hidden/>
    <w:unhideWhenUsed/>
    <w:uiPriority w:val="99"/>
    <w:rPr>
      <w:rFonts w:ascii="楷体" w:hAnsi="楷体" w:eastAsia="楷体" w:cstheme="minorBidi"/>
      <w:kern w:val="2"/>
      <w:sz w:val="21"/>
      <w:szCs w:val="22"/>
      <w:lang w:val="en-US" w:eastAsia="zh-CN" w:bidi="ar-SA"/>
    </w:rPr>
  </w:style>
  <w:style w:type="paragraph" w:customStyle="1" w:styleId="21">
    <w:name w:val="Revision"/>
    <w:hidden/>
    <w:unhideWhenUsed/>
    <w:uiPriority w:val="99"/>
    <w:rPr>
      <w:rFonts w:ascii="楷体" w:hAnsi="楷体" w:eastAsia="楷体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tiff"/><Relationship Id="rId8" Type="http://schemas.openxmlformats.org/officeDocument/2006/relationships/image" Target="media/image4.tiff"/><Relationship Id="rId7" Type="http://schemas.openxmlformats.org/officeDocument/2006/relationships/image" Target="media/image3.tiff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6.tif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tyleName="APA" Version="6" SelectedStyle="\APASixthEditionOfficeOnline.xsl"/>
</file>

<file path=customXml/itemProps1.xml><?xml version="1.0" encoding="utf-8"?>
<ds:datastoreItem xmlns:ds="http://schemas.openxmlformats.org/officeDocument/2006/customXml" ds:itemID="{B41A8FC2-5E9D-4E1E-BC23-DD612343FC2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3055</Words>
  <Characters>3208</Characters>
  <Lines>97</Lines>
  <Paragraphs>46</Paragraphs>
  <TotalTime>48</TotalTime>
  <ScaleCrop>false</ScaleCrop>
  <LinksUpToDate>false</LinksUpToDate>
  <CharactersWithSpaces>6217</CharactersWithSpaces>
  <Application>WPS Office_12.1.23141.23141_F1E327BC-269C-435d-A152-05C5408002CA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2018-01-19T11:02:00Z</dcterms:created>
  <dc:creator>陈迎</dc:creator>
  <cp:lastModifiedBy>陈迎</cp:lastModifiedBy>
  <cp:lastPrinted>2025-08-23T09:27:00Z</cp:lastPrinted>
  <dcterms:modified xsi:type="dcterms:W3CDTF">2025-10-30T18:43:25Z</dcterms:modified>
  <cp:revision>543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2052-12.1.23141.23141</vt:lpwstr>
  </property>
  <property fmtid="{D5CDD505-2E9C-101B-9397-08002B2CF9AE}" pid="3" name="GrammarlyDocumentId">
    <vt:lpwstr>05ae2fce-3d67-4ba3-924c-de793ed54b3c</vt:lpwstr>
  </property>
  <property fmtid="{D5CDD505-2E9C-101B-9397-08002B2CF9AE}" pid="4" name="ICV">
    <vt:lpwstr>FA23087688D931A9ECCCE8686C96B384_43</vt:lpwstr>
  </property>
</Properties>
</file>