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0CB6C" w14:textId="77777777" w:rsidR="00D94293" w:rsidRDefault="00064B0F" w:rsidP="00064B0F">
      <w:pPr>
        <w:spacing w:line="480" w:lineRule="auto"/>
        <w:rPr>
          <w:rFonts w:hint="eastAsia"/>
          <w:b/>
          <w:lang w:eastAsia="zh-CN"/>
        </w:rPr>
      </w:pPr>
      <w:r w:rsidRPr="00064B0F">
        <w:rPr>
          <w:b/>
        </w:rPr>
        <w:t xml:space="preserve">Supplemental </w:t>
      </w:r>
      <w:r w:rsidR="00D94293">
        <w:rPr>
          <w:b/>
        </w:rPr>
        <w:t>Information</w:t>
      </w:r>
    </w:p>
    <w:p w14:paraId="1248B14D" w14:textId="77777777" w:rsidR="00064B0F" w:rsidRPr="00064B0F" w:rsidRDefault="00064B0F" w:rsidP="00064B0F">
      <w:pPr>
        <w:spacing w:line="480" w:lineRule="auto"/>
        <w:rPr>
          <w:b/>
        </w:rPr>
      </w:pPr>
      <w:r w:rsidRPr="00064B0F">
        <w:rPr>
          <w:b/>
        </w:rPr>
        <w:t>Figure Legends</w:t>
      </w:r>
    </w:p>
    <w:p w14:paraId="09C690E5" w14:textId="77777777" w:rsidR="00064B0F" w:rsidRDefault="00064B0F" w:rsidP="00064B0F">
      <w:pPr>
        <w:spacing w:line="480" w:lineRule="auto"/>
      </w:pPr>
      <w:r w:rsidRPr="00064B0F">
        <w:rPr>
          <w:b/>
        </w:rPr>
        <w:t>Figure S1</w:t>
      </w:r>
      <w:r>
        <w:t>. The middle region of cytSec61β is required for microtubule binding.</w:t>
      </w:r>
    </w:p>
    <w:p w14:paraId="21B16454" w14:textId="77777777" w:rsidR="00064B0F" w:rsidRDefault="00064B0F" w:rsidP="00064B0F">
      <w:pPr>
        <w:spacing w:line="480" w:lineRule="auto"/>
      </w:pPr>
      <w:r>
        <w:t>(A) COS-7 cells transfected with HA-Sec61β were immunostained for HA-epitope (green) and endogenous Tubulin or luminal ER protein, Calreticulin (red), and visualized by fluorescent confocal microscopy. Insets show the enlargement of the indicated area. Scale bar: 10 mm.</w:t>
      </w:r>
      <w:r>
        <w:t xml:space="preserve"> </w:t>
      </w:r>
      <w:r>
        <w:t>(B) The amino acid sequence of cytSec61β.</w:t>
      </w:r>
      <w:r>
        <w:t xml:space="preserve"> </w:t>
      </w:r>
      <w:r>
        <w:t xml:space="preserve">(C) The localization of proteins shown in Figure 1E were visualized with anti-HA (green) and anti-Calreticulin (red) antibodies by indirect </w:t>
      </w:r>
      <w:proofErr w:type="spellStart"/>
      <w:r>
        <w:t>immunofluorecence</w:t>
      </w:r>
      <w:proofErr w:type="spellEnd"/>
      <w:r>
        <w:t xml:space="preserve"> and confocal microscopy. Insets show the enlargement of the indicated area. Scale bar: 10 μm.</w:t>
      </w:r>
      <w:r>
        <w:t xml:space="preserve"> </w:t>
      </w:r>
      <w:r>
        <w:t>(D) Expression of HA-tag proteins used in Figure 1E and S1C was analyzed by Western blotting, with tubulin as a loading control.</w:t>
      </w:r>
    </w:p>
    <w:p w14:paraId="2D62BAC4" w14:textId="77777777" w:rsidR="00064B0F" w:rsidRDefault="00064B0F" w:rsidP="00064B0F">
      <w:pPr>
        <w:spacing w:line="480" w:lineRule="auto"/>
      </w:pPr>
    </w:p>
    <w:p w14:paraId="3FA3B949" w14:textId="77777777" w:rsidR="00D94293" w:rsidRDefault="00D94293" w:rsidP="00D94293">
      <w:pPr>
        <w:spacing w:line="480" w:lineRule="auto"/>
      </w:pPr>
      <w:r w:rsidRPr="00D94293">
        <w:rPr>
          <w:b/>
        </w:rPr>
        <w:t>Figure S2</w:t>
      </w:r>
      <w:r>
        <w:t>. Depletion of Sec61β causes ER stress.</w:t>
      </w:r>
    </w:p>
    <w:p w14:paraId="0707F552" w14:textId="77777777" w:rsidR="00D94293" w:rsidRDefault="00D94293" w:rsidP="00D94293">
      <w:pPr>
        <w:spacing w:line="480" w:lineRule="auto"/>
      </w:pPr>
      <w:r>
        <w:t xml:space="preserve">(A) COS-7 cells infected with </w:t>
      </w:r>
      <w:proofErr w:type="spellStart"/>
      <w:r>
        <w:t>shRNA</w:t>
      </w:r>
      <w:proofErr w:type="spellEnd"/>
      <w:r>
        <w:t>-expressing viruses were immunostained for Calreticulin, Tubulin, GM130 an</w:t>
      </w:r>
      <w:r>
        <w:t xml:space="preserve">d TOM20 respectively (with DAPI </w:t>
      </w:r>
      <w:r>
        <w:t>staining), and visualized by confocal microscopy. Scale bar: 10 μm.</w:t>
      </w:r>
      <w:r>
        <w:t xml:space="preserve"> </w:t>
      </w:r>
      <w:r>
        <w:t xml:space="preserve">(B) COS-7 cells were infected with </w:t>
      </w:r>
      <w:proofErr w:type="spellStart"/>
      <w:r>
        <w:t>shRNA</w:t>
      </w:r>
      <w:proofErr w:type="spellEnd"/>
      <w:r>
        <w:t>-expressing viruses, and the level of Sec61β determined by Western blotting.</w:t>
      </w:r>
      <w:r>
        <w:t xml:space="preserve"> </w:t>
      </w:r>
      <w:r>
        <w:t xml:space="preserve">(C) The levels of Climp63 in indicated cells was determined by Western blot, and the </w:t>
      </w:r>
      <w:proofErr w:type="spellStart"/>
      <w:r>
        <w:t>unspliced</w:t>
      </w:r>
      <w:proofErr w:type="spellEnd"/>
      <w:r>
        <w:t xml:space="preserve"> (U) XBP1 and spliced (S) XBP1 by RT-PCR of XBP1 mRNA</w:t>
      </w:r>
      <w:r>
        <w:t xml:space="preserve"> </w:t>
      </w:r>
      <w:r>
        <w:t>were resolved by agarose gel.</w:t>
      </w:r>
      <w:r>
        <w:t xml:space="preserve"> </w:t>
      </w:r>
      <w:r>
        <w:t xml:space="preserve">(D) COS-7 cells were transfected with siRNAs of REEP1 for 48 hours or 96 hours. </w:t>
      </w:r>
      <w:proofErr w:type="gramStart"/>
      <w:r>
        <w:t>The leve</w:t>
      </w:r>
      <w:r>
        <w:t xml:space="preserve">ls of phosphorylated eIF2α were </w:t>
      </w:r>
      <w:r>
        <w:t>determined by Western</w:t>
      </w:r>
      <w:r>
        <w:t xml:space="preserve"> </w:t>
      </w:r>
      <w:r>
        <w:t xml:space="preserve">blotting, and the REEP1, GAPDH, </w:t>
      </w:r>
      <w:proofErr w:type="spellStart"/>
      <w:r>
        <w:t>unspliced</w:t>
      </w:r>
      <w:proofErr w:type="spellEnd"/>
      <w:proofErr w:type="gramEnd"/>
      <w:r>
        <w:t xml:space="preserve"> XBP1 and </w:t>
      </w:r>
      <w:r>
        <w:lastRenderedPageBreak/>
        <w:t>spliced XBP1 by RT-PCR were resolved by agarose gel. Asterisk (*) indicates a nonspecific band.</w:t>
      </w:r>
      <w:r>
        <w:t xml:space="preserve"> </w:t>
      </w:r>
      <w:r>
        <w:t>(E) MEF cells were transfected with siRNAs of REEP1 for 48 hours or 96 hours. The levels of phosphorylated eIF2α and REEP1 were determined by</w:t>
      </w:r>
    </w:p>
    <w:p w14:paraId="575B0F6C" w14:textId="77777777" w:rsidR="00D94293" w:rsidRDefault="00D94293" w:rsidP="00D94293">
      <w:pPr>
        <w:spacing w:line="480" w:lineRule="auto"/>
      </w:pPr>
      <w:r>
        <w:t xml:space="preserve">Western blotting, and the </w:t>
      </w:r>
      <w:proofErr w:type="spellStart"/>
      <w:r>
        <w:t>unspliced</w:t>
      </w:r>
      <w:proofErr w:type="spellEnd"/>
      <w:r>
        <w:t xml:space="preserve"> XBP1 and spliced XBP1 by RT-PCR of XBP1 mRNA were resolved by agaros</w:t>
      </w:r>
      <w:r>
        <w:t xml:space="preserve">e gel. TG treated group was the </w:t>
      </w:r>
      <w:r>
        <w:t>positive control. Asterisk (*) indicates a nonspecific band.</w:t>
      </w:r>
      <w:r>
        <w:t xml:space="preserve"> </w:t>
      </w:r>
      <w:r>
        <w:t>(F) Lysates of generated Flp-In-293 cell lines were analyzed with Western blotting. The band with asterisk (*) may be degraded RFP-Sec61b-HA.</w:t>
      </w:r>
    </w:p>
    <w:p w14:paraId="5B6B8AC2" w14:textId="77777777" w:rsidR="00D94293" w:rsidRDefault="00D94293" w:rsidP="00D94293">
      <w:pPr>
        <w:spacing w:line="480" w:lineRule="auto"/>
      </w:pPr>
    </w:p>
    <w:p w14:paraId="61996DCC" w14:textId="77777777" w:rsidR="00176950" w:rsidRDefault="00176950" w:rsidP="00176950">
      <w:pPr>
        <w:spacing w:line="480" w:lineRule="auto"/>
        <w:rPr>
          <w:lang w:eastAsia="zh-CN"/>
        </w:rPr>
      </w:pPr>
      <w:r w:rsidRPr="00176950">
        <w:rPr>
          <w:b/>
          <w:lang w:eastAsia="zh-CN"/>
        </w:rPr>
        <w:t>Figure S3</w:t>
      </w:r>
      <w:r>
        <w:rPr>
          <w:lang w:eastAsia="zh-CN"/>
        </w:rPr>
        <w:t xml:space="preserve">. Depolymerization of microtubule induces mild ER stress. </w:t>
      </w:r>
    </w:p>
    <w:p w14:paraId="25F3CE03" w14:textId="6475364A" w:rsidR="00176950" w:rsidRDefault="00176950" w:rsidP="00176950">
      <w:pPr>
        <w:spacing w:line="480" w:lineRule="auto"/>
        <w:rPr>
          <w:lang w:eastAsia="zh-CN"/>
        </w:rPr>
      </w:pPr>
      <w:r>
        <w:rPr>
          <w:lang w:eastAsia="zh-CN"/>
        </w:rPr>
        <w:t>(A) U2OS cells were treated with different concentrations (μg/mL) of nocodazole for 30 minutes to depolymerize micr</w:t>
      </w:r>
      <w:r>
        <w:rPr>
          <w:lang w:eastAsia="zh-CN"/>
        </w:rPr>
        <w:t>otubules. The morphology of the</w:t>
      </w:r>
      <w:r>
        <w:rPr>
          <w:rFonts w:hint="eastAsia"/>
          <w:lang w:eastAsia="zh-CN"/>
        </w:rPr>
        <w:t xml:space="preserve"> </w:t>
      </w:r>
      <w:r>
        <w:rPr>
          <w:lang w:eastAsia="zh-CN"/>
        </w:rPr>
        <w:t xml:space="preserve">microtubule and ER were determined by </w:t>
      </w:r>
      <w:proofErr w:type="spellStart"/>
      <w:r>
        <w:rPr>
          <w:lang w:eastAsia="zh-CN"/>
        </w:rPr>
        <w:t>immunostaining</w:t>
      </w:r>
      <w:proofErr w:type="spellEnd"/>
      <w:r>
        <w:rPr>
          <w:lang w:eastAsia="zh-CN"/>
        </w:rPr>
        <w:t xml:space="preserve"> with tubulin (green) and calreticulin (red), respectively, and visualized by fluorescence confocal microscopy. Scale bar: 10 μm.</w:t>
      </w:r>
    </w:p>
    <w:p w14:paraId="623ADF63" w14:textId="6B61029B" w:rsidR="00176950" w:rsidRDefault="00176950" w:rsidP="00176950">
      <w:pPr>
        <w:spacing w:line="480" w:lineRule="auto"/>
        <w:rPr>
          <w:lang w:eastAsia="zh-CN"/>
        </w:rPr>
      </w:pPr>
      <w:r>
        <w:rPr>
          <w:lang w:eastAsia="zh-CN"/>
        </w:rPr>
        <w:t xml:space="preserve">(B) </w:t>
      </w:r>
      <w:proofErr w:type="spellStart"/>
      <w:r>
        <w:rPr>
          <w:lang w:eastAsia="zh-CN"/>
        </w:rPr>
        <w:t>Unspliced</w:t>
      </w:r>
      <w:proofErr w:type="spellEnd"/>
      <w:r>
        <w:rPr>
          <w:lang w:eastAsia="zh-CN"/>
        </w:rPr>
        <w:t xml:space="preserve"> (U) XBP1 and spliced (S) XBP1 using samples in (A</w:t>
      </w:r>
      <w:r>
        <w:rPr>
          <w:lang w:eastAsia="zh-CN"/>
        </w:rPr>
        <w:t>) were resolved by agarose gel.</w:t>
      </w:r>
      <w:r>
        <w:rPr>
          <w:rFonts w:hint="eastAsia"/>
          <w:lang w:eastAsia="zh-CN"/>
        </w:rPr>
        <w:t xml:space="preserve"> </w:t>
      </w:r>
      <w:bookmarkStart w:id="0" w:name="_GoBack"/>
      <w:bookmarkEnd w:id="0"/>
      <w:r>
        <w:rPr>
          <w:lang w:eastAsia="zh-CN"/>
        </w:rPr>
        <w:t>(C) As in (B), but for 2 hours.</w:t>
      </w:r>
    </w:p>
    <w:p w14:paraId="22FB223E" w14:textId="77777777" w:rsidR="00176950" w:rsidRDefault="00176950" w:rsidP="00D94293">
      <w:pPr>
        <w:spacing w:line="480" w:lineRule="auto"/>
        <w:rPr>
          <w:rFonts w:hint="eastAsia"/>
          <w:lang w:eastAsia="zh-CN"/>
        </w:rPr>
      </w:pPr>
    </w:p>
    <w:p w14:paraId="47B71D3A" w14:textId="77777777" w:rsidR="00D94293" w:rsidRDefault="00D94293" w:rsidP="00D94293">
      <w:pPr>
        <w:spacing w:line="480" w:lineRule="auto"/>
      </w:pPr>
      <w:r w:rsidRPr="00D94293">
        <w:rPr>
          <w:b/>
        </w:rPr>
        <w:t>Figure S4</w:t>
      </w:r>
      <w:r>
        <w:t xml:space="preserve">. </w:t>
      </w:r>
      <w:proofErr w:type="gramStart"/>
      <w:r>
        <w:t xml:space="preserve">Controls for </w:t>
      </w:r>
      <w:proofErr w:type="spellStart"/>
      <w:r>
        <w:t>polysome</w:t>
      </w:r>
      <w:proofErr w:type="spellEnd"/>
      <w:r>
        <w:t xml:space="preserve"> profiles.</w:t>
      </w:r>
      <w:proofErr w:type="gramEnd"/>
    </w:p>
    <w:p w14:paraId="56E9115C" w14:textId="77777777" w:rsidR="00D94293" w:rsidRDefault="00D94293" w:rsidP="00D94293">
      <w:pPr>
        <w:spacing w:line="480" w:lineRule="auto"/>
      </w:pPr>
      <w:r>
        <w:t>(A) Expression of indicated proteins used in Figure 7A was analyzed by Western blotting, wit</w:t>
      </w:r>
      <w:r>
        <w:t xml:space="preserve">h tubulin as a loading control. </w:t>
      </w:r>
      <w:r>
        <w:t xml:space="preserve">(B) As in (A), but proteins used in Figure 7C. As the SW41 rotor can only accommodate 6 samples, so the control group was not done for </w:t>
      </w:r>
      <w:proofErr w:type="spellStart"/>
      <w:r>
        <w:t>polysome</w:t>
      </w:r>
      <w:proofErr w:type="spellEnd"/>
      <w:r>
        <w:t xml:space="preserve"> profiles. Asterisk (*) indicates a nonspecific band. The band with asterisk (**) may be degraded RFP-Sec61b-HA.</w:t>
      </w:r>
      <w:r>
        <w:t xml:space="preserve"> </w:t>
      </w:r>
      <w:r>
        <w:t xml:space="preserve">(C) </w:t>
      </w:r>
      <w:proofErr w:type="spellStart"/>
      <w:r>
        <w:t>Polysome</w:t>
      </w:r>
      <w:proofErr w:type="spellEnd"/>
      <w:r>
        <w:t xml:space="preserve"> profiles of U2OS cells co-transfected siSEC61B#2 and indicated plasmids.</w:t>
      </w:r>
      <w:r>
        <w:t xml:space="preserve"> </w:t>
      </w:r>
      <w:r>
        <w:t>(D) As in (B), but proteins used in (C).</w:t>
      </w:r>
      <w:r>
        <w:t xml:space="preserve"> </w:t>
      </w:r>
      <w:r>
        <w:t>(E) Total lysates from (C) were analyzed by Western blotting, with actin as a loading control.</w:t>
      </w:r>
    </w:p>
    <w:p w14:paraId="464BE7B7" w14:textId="77777777" w:rsidR="00D94293" w:rsidRDefault="00D94293" w:rsidP="00D94293">
      <w:pPr>
        <w:spacing w:line="480" w:lineRule="auto"/>
        <w:rPr>
          <w:rFonts w:hint="eastAsia"/>
          <w:lang w:eastAsia="zh-CN"/>
        </w:rPr>
      </w:pPr>
    </w:p>
    <w:p w14:paraId="69052388" w14:textId="77777777" w:rsidR="00064B0F" w:rsidRDefault="00064B0F" w:rsidP="00064B0F">
      <w:pPr>
        <w:spacing w:line="480" w:lineRule="auto"/>
      </w:pPr>
    </w:p>
    <w:p w14:paraId="05310043" w14:textId="77777777" w:rsidR="00105671" w:rsidRDefault="00105671" w:rsidP="00064B0F">
      <w:pPr>
        <w:spacing w:line="480" w:lineRule="auto"/>
      </w:pPr>
    </w:p>
    <w:sectPr w:rsidR="00105671" w:rsidSect="00333A9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B0F"/>
    <w:rsid w:val="00064B0F"/>
    <w:rsid w:val="00105671"/>
    <w:rsid w:val="00176950"/>
    <w:rsid w:val="00333A96"/>
    <w:rsid w:val="00D9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8B9CE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494</Words>
  <Characters>2817</Characters>
  <Application>Microsoft Macintosh Word</Application>
  <DocSecurity>0</DocSecurity>
  <Lines>23</Lines>
  <Paragraphs>6</Paragraphs>
  <ScaleCrop>false</ScaleCrop>
  <Company/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Junjie</dc:creator>
  <cp:keywords/>
  <dc:description/>
  <cp:lastModifiedBy>Junjie</cp:lastModifiedBy>
  <cp:revision>3</cp:revision>
  <dcterms:created xsi:type="dcterms:W3CDTF">2017-11-17T08:49:00Z</dcterms:created>
  <dcterms:modified xsi:type="dcterms:W3CDTF">2017-11-17T08:56:00Z</dcterms:modified>
</cp:coreProperties>
</file>