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4324CF8" w14:textId="77777777" w:rsidR="002F510E" w:rsidRPr="007A724B" w:rsidRDefault="00000000">
      <w:pPr>
        <w:rPr>
          <w:rFonts w:ascii="Times New Roman" w:hAnsi="Times New Roman" w:cs="Times New Roman"/>
          <w:b/>
          <w:bCs/>
          <w:color w:val="000000" w:themeColor="text1"/>
          <w:sz w:val="24"/>
        </w:rPr>
      </w:pPr>
      <w:r w:rsidRPr="007A724B">
        <w:rPr>
          <w:rFonts w:ascii="Times New Roman" w:hAnsi="Times New Roman" w:cs="Times New Roman" w:hint="eastAsia"/>
          <w:b/>
          <w:bCs/>
          <w:color w:val="000000" w:themeColor="text1"/>
          <w:sz w:val="24"/>
        </w:rPr>
        <w:t>Supplementary Figures</w:t>
      </w:r>
    </w:p>
    <w:p w14:paraId="18BF6FFB" w14:textId="494EC85A" w:rsidR="002F510E" w:rsidRPr="007A724B" w:rsidRDefault="00554225">
      <w:pPr>
        <w:rPr>
          <w:rFonts w:ascii="Times New Roman" w:hAnsi="Times New Roman" w:cs="Times New Roman"/>
          <w:b/>
          <w:bCs/>
          <w:color w:val="000000" w:themeColor="text1"/>
          <w:sz w:val="24"/>
        </w:rPr>
      </w:pPr>
      <w:r w:rsidRPr="007A724B">
        <w:rPr>
          <w:rFonts w:ascii="Times New Roman" w:hAnsi="Times New Roman" w:cs="Times New Roman"/>
          <w:b/>
          <w:bCs/>
          <w:noProof/>
          <w:color w:val="000000" w:themeColor="text1"/>
          <w:sz w:val="24"/>
        </w:rPr>
        <w:drawing>
          <wp:inline distT="0" distB="0" distL="0" distR="0" wp14:anchorId="6E68F4DE" wp14:editId="08961944">
            <wp:extent cx="5274310" cy="6534150"/>
            <wp:effectExtent l="0" t="0" r="2540" b="0"/>
            <wp:docPr id="21461333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6133312" name="图片 2146133312"/>
                    <pic:cNvPicPr/>
                  </pic:nvPicPr>
                  <pic:blipFill rotWithShape="1">
                    <a:blip r:embed="rId8"/>
                    <a:srcRect b="12388"/>
                    <a:stretch>
                      <a:fillRect/>
                    </a:stretch>
                  </pic:blipFill>
                  <pic:spPr bwMode="auto">
                    <a:xfrm>
                      <a:off x="0" y="0"/>
                      <a:ext cx="5274310" cy="6534150"/>
                    </a:xfrm>
                    <a:prstGeom prst="rect">
                      <a:avLst/>
                    </a:prstGeom>
                    <a:ln>
                      <a:noFill/>
                    </a:ln>
                    <a:extLst>
                      <a:ext uri="{53640926-AAD7-44D8-BBD7-CCE9431645EC}">
                        <a14:shadowObscured xmlns:a14="http://schemas.microsoft.com/office/drawing/2010/main"/>
                      </a:ext>
                    </a:extLst>
                  </pic:spPr>
                </pic:pic>
              </a:graphicData>
            </a:graphic>
          </wp:inline>
        </w:drawing>
      </w:r>
    </w:p>
    <w:p w14:paraId="0337B845"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Figure S1: Deaminase activity and sequence bias of SsdA</w:t>
      </w:r>
      <w:r w:rsidRPr="007A724B">
        <w:rPr>
          <w:rFonts w:ascii="Times New Roman" w:hAnsi="Times New Roman" w:cs="Times New Roman"/>
          <w:b/>
          <w:bCs/>
          <w:color w:val="000000" w:themeColor="text1"/>
          <w:szCs w:val="21"/>
          <w:vertAlign w:val="subscript"/>
        </w:rPr>
        <w:t>tox</w:t>
      </w:r>
      <w:r w:rsidRPr="007A724B">
        <w:rPr>
          <w:rFonts w:ascii="Times New Roman" w:hAnsi="Times New Roman" w:cs="Times New Roman"/>
          <w:b/>
          <w:bCs/>
          <w:color w:val="000000" w:themeColor="text1"/>
          <w:szCs w:val="21"/>
        </w:rPr>
        <w:t xml:space="preserve">, Ddd_Ss, and Ddd_Fa across different substrates, </w:t>
      </w:r>
      <w:r w:rsidRPr="007A724B">
        <w:rPr>
          <w:rStyle w:val="ad"/>
          <w:rFonts w:ascii="Times New Roman" w:hAnsi="Times New Roman" w:cs="Times New Roman"/>
          <w:color w:val="000000" w:themeColor="text1"/>
          <w:szCs w:val="21"/>
        </w:rPr>
        <w:t>related to Figure 1.</w:t>
      </w:r>
    </w:p>
    <w:p w14:paraId="0BA4D881"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A.</w:t>
      </w:r>
      <w:r w:rsidRPr="007A724B">
        <w:rPr>
          <w:rFonts w:ascii="Times New Roman" w:hAnsi="Times New Roman" w:cs="Times New Roman"/>
          <w:color w:val="000000" w:themeColor="text1"/>
          <w:szCs w:val="21"/>
        </w:rPr>
        <w:t xml:space="preserve"> Gel image showing purified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Ddd_Ss, and Ddd_Fa proteins.</w:t>
      </w:r>
    </w:p>
    <w:p w14:paraId="4E129180"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B.</w:t>
      </w:r>
      <w:r w:rsidRPr="007A724B">
        <w:rPr>
          <w:rFonts w:ascii="Times New Roman" w:hAnsi="Times New Roman" w:cs="Times New Roman"/>
          <w:color w:val="000000" w:themeColor="text1"/>
          <w:szCs w:val="21"/>
        </w:rPr>
        <w:t xml:space="preserve"> In vitro cytidine deamination assays using various dsDNA oligonucleotide substrates (ACTCGCC, AC, TC, CC, and GC). Left: Gel images showing the products of deamination. Right: Quantification of deamination efficiency for each substrate, treated with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3964B4A8"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C.</w:t>
      </w:r>
      <w:r w:rsidRPr="007A724B">
        <w:rPr>
          <w:rFonts w:ascii="Times New Roman" w:hAnsi="Times New Roman" w:cs="Times New Roman"/>
          <w:color w:val="000000" w:themeColor="text1"/>
          <w:szCs w:val="21"/>
        </w:rPr>
        <w:t xml:space="preserve"> Average conversion rates around transcription start sites (TSS) in R1 naked genomic DNA treated with increasing concentrations of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6773616D"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D.</w:t>
      </w:r>
      <w:r w:rsidRPr="007A724B">
        <w:rPr>
          <w:rFonts w:ascii="Times New Roman" w:hAnsi="Times New Roman" w:cs="Times New Roman"/>
          <w:color w:val="000000" w:themeColor="text1"/>
          <w:szCs w:val="21"/>
        </w:rPr>
        <w:t xml:space="preserve"> Average conversion rates in R1 naked genomic DNA treated with increasing concentrations of </w:t>
      </w:r>
      <w:r w:rsidRPr="007A724B">
        <w:rPr>
          <w:rFonts w:ascii="Times New Roman" w:hAnsi="Times New Roman" w:cs="Times New Roman"/>
          <w:color w:val="000000" w:themeColor="text1"/>
          <w:szCs w:val="21"/>
        </w:rPr>
        <w:lastRenderedPageBreak/>
        <w:t>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506D8EFA"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E.</w:t>
      </w:r>
      <w:r w:rsidRPr="007A724B">
        <w:rPr>
          <w:rFonts w:ascii="Times New Roman" w:hAnsi="Times New Roman" w:cs="Times New Roman"/>
          <w:color w:val="000000" w:themeColor="text1"/>
          <w:szCs w:val="21"/>
        </w:rPr>
        <w:t xml:space="preserve"> Sequence logos displaying the sequences flanking converted cytosines in R1 naked genomic DNA treated with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1612FABE"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F.</w:t>
      </w:r>
      <w:r w:rsidRPr="007A724B">
        <w:rPr>
          <w:rFonts w:ascii="Times New Roman" w:hAnsi="Times New Roman" w:cs="Times New Roman"/>
          <w:color w:val="000000" w:themeColor="text1"/>
          <w:szCs w:val="21"/>
        </w:rPr>
        <w:t xml:space="preserve"> Sequence bias for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 on R1 naked DNA before bias correction. The position-specific scoring matrix (PSSM) shows nucleotide preferences from -10 to +10 bp relative to cytosine.</w:t>
      </w:r>
    </w:p>
    <w:p w14:paraId="712A1068"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G.</w:t>
      </w:r>
      <w:r w:rsidRPr="007A724B">
        <w:rPr>
          <w:rFonts w:ascii="Times New Roman" w:hAnsi="Times New Roman" w:cs="Times New Roman"/>
          <w:color w:val="000000" w:themeColor="text1"/>
          <w:szCs w:val="21"/>
        </w:rPr>
        <w:t xml:space="preserve"> Average conversion rates around CTCF motifs derived from CTCF ChIP-seq peaks in R1 naked genomic DNA treated with increasing concentrations of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(top), Ddd_Ss (middle), and Ddd_Fa (bottom).</w:t>
      </w:r>
    </w:p>
    <w:p w14:paraId="75C44743"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H.</w:t>
      </w:r>
      <w:r w:rsidRPr="007A724B">
        <w:rPr>
          <w:rFonts w:ascii="Times New Roman" w:hAnsi="Times New Roman" w:cs="Times New Roman"/>
          <w:color w:val="000000" w:themeColor="text1"/>
          <w:szCs w:val="21"/>
        </w:rPr>
        <w:t xml:space="preserve"> Average conversion rates at high methylation sites (top 50% methylation) versus low methylation sites</w:t>
      </w:r>
      <w:r w:rsidRPr="007A724B">
        <w:rPr>
          <w:rFonts w:ascii="Times New Roman" w:hAnsi="Times New Roman" w:cs="Times New Roman" w:hint="eastAsia"/>
          <w:color w:val="000000" w:themeColor="text1"/>
          <w:szCs w:val="21"/>
        </w:rPr>
        <w:t xml:space="preserve"> </w:t>
      </w:r>
      <w:r w:rsidRPr="007A724B">
        <w:rPr>
          <w:rFonts w:ascii="Times New Roman" w:hAnsi="Times New Roman" w:cs="Times New Roman"/>
          <w:color w:val="000000" w:themeColor="text1"/>
          <w:szCs w:val="21"/>
        </w:rPr>
        <w:t>(bottom 50% methylation) in R1 naked genomic DNA treated with increasing concentrations of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(left), Ddd_Ss (middle), and Ddd_Fa (right).</w:t>
      </w:r>
    </w:p>
    <w:p w14:paraId="05EEBB52"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I.</w:t>
      </w:r>
      <w:r w:rsidRPr="007A724B">
        <w:rPr>
          <w:rFonts w:ascii="Times New Roman" w:hAnsi="Times New Roman" w:cs="Times New Roman"/>
          <w:color w:val="000000" w:themeColor="text1"/>
          <w:szCs w:val="21"/>
        </w:rPr>
        <w:t xml:space="preserve"> Conversion rates of C and 5mC PCR DNA substrates treated with increasing concentrations of SsdA</w:t>
      </w:r>
      <w:r w:rsidRPr="007A724B">
        <w:rPr>
          <w:rFonts w:ascii="Times New Roman" w:hAnsi="Times New Roman" w:cs="Times New Roman"/>
          <w:color w:val="000000" w:themeColor="text1"/>
          <w:szCs w:val="21"/>
          <w:vertAlign w:val="subscript"/>
        </w:rPr>
        <w:t>tox</w:t>
      </w:r>
      <w:r w:rsidRPr="007A724B">
        <w:rPr>
          <w:rFonts w:ascii="Times New Roman" w:hAnsi="Times New Roman" w:cs="Times New Roman"/>
          <w:color w:val="000000" w:themeColor="text1"/>
          <w:szCs w:val="21"/>
        </w:rPr>
        <w:t xml:space="preserve"> (left), Ddd_Ss (middle), and Ddd_Fa (right), measured by UPLC-MS/MS</w:t>
      </w:r>
    </w:p>
    <w:p w14:paraId="3294F482" w14:textId="3F010F1C" w:rsidR="002F510E" w:rsidRPr="007A724B" w:rsidRDefault="00554225">
      <w:pPr>
        <w:rPr>
          <w:rFonts w:ascii="Times New Roman" w:hAnsi="Times New Roman" w:cs="Times New Roman"/>
          <w:b/>
          <w:bCs/>
          <w:color w:val="000000" w:themeColor="text1"/>
          <w:sz w:val="24"/>
        </w:rPr>
      </w:pPr>
      <w:r w:rsidRPr="007A724B">
        <w:rPr>
          <w:rFonts w:ascii="Times New Roman" w:hAnsi="Times New Roman" w:cs="Times New Roman"/>
          <w:b/>
          <w:bCs/>
          <w:noProof/>
          <w:color w:val="000000" w:themeColor="text1"/>
          <w:sz w:val="24"/>
        </w:rPr>
        <w:lastRenderedPageBreak/>
        <w:drawing>
          <wp:inline distT="0" distB="0" distL="0" distR="0" wp14:anchorId="26AD7892" wp14:editId="2A505FBD">
            <wp:extent cx="5274310" cy="6248400"/>
            <wp:effectExtent l="0" t="0" r="2540" b="0"/>
            <wp:docPr id="135394212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942120" name="图片 1353942120"/>
                    <pic:cNvPicPr/>
                  </pic:nvPicPr>
                  <pic:blipFill rotWithShape="1">
                    <a:blip r:embed="rId9"/>
                    <a:srcRect b="16220"/>
                    <a:stretch>
                      <a:fillRect/>
                    </a:stretch>
                  </pic:blipFill>
                  <pic:spPr bwMode="auto">
                    <a:xfrm>
                      <a:off x="0" y="0"/>
                      <a:ext cx="5274310" cy="6248400"/>
                    </a:xfrm>
                    <a:prstGeom prst="rect">
                      <a:avLst/>
                    </a:prstGeom>
                    <a:ln>
                      <a:noFill/>
                    </a:ln>
                    <a:extLst>
                      <a:ext uri="{53640926-AAD7-44D8-BBD7-CCE9431645EC}">
                        <a14:shadowObscured xmlns:a14="http://schemas.microsoft.com/office/drawing/2010/main"/>
                      </a:ext>
                    </a:extLst>
                  </pic:spPr>
                </pic:pic>
              </a:graphicData>
            </a:graphic>
          </wp:inline>
        </w:drawing>
      </w:r>
    </w:p>
    <w:p w14:paraId="1774F027" w14:textId="77777777" w:rsidR="002F510E" w:rsidRPr="007A724B" w:rsidRDefault="00000000">
      <w:pPr>
        <w:pStyle w:val="a9"/>
        <w:spacing w:beforeLines="50" w:before="156" w:beforeAutospacing="0" w:after="0" w:afterAutospacing="0"/>
        <w:jc w:val="both"/>
        <w:rPr>
          <w:rStyle w:val="ad"/>
          <w:rFonts w:ascii="Times New Roman" w:hAnsi="Times New Roman" w:cs="Times New Roman"/>
          <w:color w:val="000000" w:themeColor="text1"/>
          <w:sz w:val="21"/>
          <w:szCs w:val="21"/>
        </w:rPr>
      </w:pPr>
      <w:r w:rsidRPr="007A724B">
        <w:rPr>
          <w:rStyle w:val="ad"/>
          <w:rFonts w:ascii="Times New Roman" w:hAnsi="Times New Roman" w:cs="Times New Roman"/>
          <w:color w:val="000000" w:themeColor="text1"/>
          <w:sz w:val="21"/>
          <w:szCs w:val="21"/>
        </w:rPr>
        <w:t>Figure S</w:t>
      </w:r>
      <w:r w:rsidRPr="007A724B">
        <w:rPr>
          <w:rStyle w:val="ad"/>
          <w:rFonts w:ascii="Times New Roman" w:hAnsi="Times New Roman" w:cs="Times New Roman" w:hint="eastAsia"/>
          <w:color w:val="000000" w:themeColor="text1"/>
          <w:sz w:val="21"/>
          <w:szCs w:val="21"/>
        </w:rPr>
        <w:t>2</w:t>
      </w:r>
      <w:r w:rsidRPr="007A724B">
        <w:rPr>
          <w:rStyle w:val="ad"/>
          <w:rFonts w:ascii="Times New Roman" w:hAnsi="Times New Roman" w:cs="Times New Roman"/>
          <w:color w:val="000000" w:themeColor="text1"/>
          <w:sz w:val="21"/>
          <w:szCs w:val="21"/>
        </w:rPr>
        <w:t xml:space="preserve">: cFOOT-seq </w:t>
      </w:r>
      <w:r w:rsidRPr="007A724B">
        <w:rPr>
          <w:rStyle w:val="ad"/>
          <w:rFonts w:ascii="Times New Roman" w:hAnsi="Times New Roman" w:cs="Times New Roman" w:hint="eastAsia"/>
          <w:color w:val="000000" w:themeColor="text1"/>
          <w:sz w:val="21"/>
          <w:szCs w:val="21"/>
        </w:rPr>
        <w:t>map</w:t>
      </w:r>
      <w:r w:rsidRPr="007A724B">
        <w:rPr>
          <w:rStyle w:val="ad"/>
          <w:rFonts w:ascii="Times New Roman" w:hAnsi="Times New Roman" w:cs="Times New Roman"/>
          <w:color w:val="000000" w:themeColor="text1"/>
          <w:sz w:val="21"/>
          <w:szCs w:val="21"/>
        </w:rPr>
        <w:t>s chromatin accessibility, nucleosome occupancy, and TF footprint, related to Figure 1.</w:t>
      </w:r>
    </w:p>
    <w:p w14:paraId="7C2DC23C"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Style w:val="ad"/>
          <w:rFonts w:ascii="Times New Roman" w:hAnsi="Times New Roman" w:cs="Times New Roman" w:hint="eastAsia"/>
          <w:color w:val="000000" w:themeColor="text1"/>
          <w:sz w:val="21"/>
          <w:szCs w:val="21"/>
        </w:rPr>
        <w:t>A</w:t>
      </w:r>
      <w:r w:rsidRPr="007A724B">
        <w:rPr>
          <w:rStyle w:val="ad"/>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Unnormalized</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a</w:t>
      </w:r>
      <w:r w:rsidRPr="007A724B">
        <w:rPr>
          <w:rFonts w:ascii="Times New Roman" w:hAnsi="Times New Roman" w:cs="Times New Roman"/>
          <w:color w:val="000000" w:themeColor="text1"/>
          <w:sz w:val="21"/>
          <w:szCs w:val="21"/>
        </w:rPr>
        <w:t xml:space="preserve">verage conversion rates around </w:t>
      </w:r>
      <w:r w:rsidRPr="007A724B">
        <w:rPr>
          <w:rFonts w:ascii="Times New Roman" w:hAnsi="Times New Roman" w:cs="Times New Roman" w:hint="eastAsia"/>
          <w:color w:val="000000" w:themeColor="text1"/>
          <w:sz w:val="21"/>
          <w:szCs w:val="21"/>
        </w:rPr>
        <w:t>ATAC-seq peak</w:t>
      </w:r>
      <w:r w:rsidRPr="007A724B">
        <w:rPr>
          <w:rFonts w:ascii="Times New Roman" w:hAnsi="Times New Roman" w:cs="Times New Roman"/>
          <w:color w:val="000000" w:themeColor="text1"/>
          <w:sz w:val="21"/>
          <w:szCs w:val="21"/>
        </w:rPr>
        <w:t xml:space="preserve"> center (left) and transcription start sites (TSS) (right) in R1 cells</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with increasing average genomic conversion rates.</w:t>
      </w:r>
    </w:p>
    <w:p w14:paraId="02816F3D"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Style w:val="ad"/>
          <w:rFonts w:ascii="Times New Roman" w:hAnsi="Times New Roman" w:cs="Times New Roman" w:hint="eastAsia"/>
          <w:color w:val="000000" w:themeColor="text1"/>
          <w:sz w:val="21"/>
          <w:szCs w:val="21"/>
        </w:rPr>
        <w:t>B</w:t>
      </w:r>
      <w:r w:rsidRPr="007A724B">
        <w:rPr>
          <w:rStyle w:val="ad"/>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Unnormalized average conversion rates around </w:t>
      </w:r>
      <w:r w:rsidRPr="007A724B">
        <w:rPr>
          <w:rFonts w:ascii="Times New Roman" w:hAnsi="Times New Roman" w:cs="Times New Roman" w:hint="eastAsia"/>
          <w:color w:val="000000" w:themeColor="text1"/>
          <w:sz w:val="21"/>
          <w:szCs w:val="21"/>
        </w:rPr>
        <w:t>ATAC-seq peak</w:t>
      </w:r>
      <w:r w:rsidRPr="007A724B">
        <w:rPr>
          <w:rFonts w:ascii="Times New Roman" w:hAnsi="Times New Roman" w:cs="Times New Roman"/>
          <w:color w:val="000000" w:themeColor="text1"/>
          <w:sz w:val="21"/>
          <w:szCs w:val="21"/>
        </w:rPr>
        <w:t xml:space="preserve"> center (left) and transcription start sites (TSS) (right) in HepG2 cells with increasing average genomic conversion rates.</w:t>
      </w:r>
    </w:p>
    <w:p w14:paraId="3A9518F4"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Style w:val="ad"/>
          <w:rFonts w:ascii="Times New Roman" w:hAnsi="Times New Roman" w:cs="Times New Roman" w:hint="eastAsia"/>
          <w:color w:val="000000" w:themeColor="text1"/>
          <w:sz w:val="21"/>
          <w:szCs w:val="21"/>
        </w:rPr>
        <w:t>C</w:t>
      </w:r>
      <w:r w:rsidRPr="007A724B">
        <w:rPr>
          <w:rStyle w:val="ad"/>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Normalized average conversion rates around </w:t>
      </w:r>
      <w:r w:rsidRPr="007A724B">
        <w:rPr>
          <w:rFonts w:ascii="Times New Roman" w:hAnsi="Times New Roman" w:cs="Times New Roman" w:hint="eastAsia"/>
          <w:color w:val="000000" w:themeColor="text1"/>
          <w:sz w:val="21"/>
          <w:szCs w:val="21"/>
        </w:rPr>
        <w:t>ATAC-seq peak</w:t>
      </w:r>
      <w:r w:rsidRPr="007A724B">
        <w:rPr>
          <w:rFonts w:ascii="Times New Roman" w:hAnsi="Times New Roman" w:cs="Times New Roman"/>
          <w:color w:val="000000" w:themeColor="text1"/>
          <w:sz w:val="21"/>
          <w:szCs w:val="21"/>
        </w:rPr>
        <w:t xml:space="preserve"> center (left) and transcription start sites (TSS) (right) in HepG2 cells</w:t>
      </w:r>
      <w:r w:rsidRPr="007A724B">
        <w:rPr>
          <w:rFonts w:ascii="Times New Roman" w:hAnsi="Times New Roman" w:cs="Times New Roman" w:hint="eastAsia"/>
          <w:color w:val="000000" w:themeColor="text1"/>
          <w:sz w:val="21"/>
          <w:szCs w:val="21"/>
        </w:rPr>
        <w:t xml:space="preserve"> with </w:t>
      </w:r>
      <w:r w:rsidRPr="007A724B">
        <w:rPr>
          <w:rFonts w:ascii="Times New Roman" w:hAnsi="Times New Roman" w:cs="Times New Roman"/>
          <w:color w:val="000000" w:themeColor="text1"/>
          <w:sz w:val="21"/>
          <w:szCs w:val="21"/>
        </w:rPr>
        <w:t>increasing average genomic conversion rates.</w:t>
      </w:r>
    </w:p>
    <w:p w14:paraId="04EB1F6A" w14:textId="2135934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Style w:val="ad"/>
          <w:rFonts w:ascii="Times New Roman" w:hAnsi="Times New Roman" w:cs="Times New Roman" w:hint="eastAsia"/>
          <w:color w:val="000000" w:themeColor="text1"/>
          <w:sz w:val="21"/>
          <w:szCs w:val="21"/>
        </w:rPr>
        <w:t>D</w:t>
      </w:r>
      <w:r w:rsidRPr="007A724B">
        <w:rPr>
          <w:rStyle w:val="ad"/>
          <w:rFonts w:ascii="Times New Roman" w:hAnsi="Times New Roman" w:cs="Times New Roman"/>
          <w:color w:val="000000" w:themeColor="text1"/>
          <w:sz w:val="21"/>
          <w:szCs w:val="21"/>
        </w:rPr>
        <w:t>-</w:t>
      </w:r>
      <w:r w:rsidRPr="007A724B">
        <w:rPr>
          <w:rStyle w:val="ad"/>
          <w:rFonts w:ascii="Times New Roman" w:hAnsi="Times New Roman" w:cs="Times New Roman" w:hint="eastAsia"/>
          <w:color w:val="000000" w:themeColor="text1"/>
          <w:sz w:val="21"/>
          <w:szCs w:val="21"/>
        </w:rPr>
        <w:t>E</w:t>
      </w:r>
      <w:r w:rsidRPr="007A724B">
        <w:rPr>
          <w:rStyle w:val="ad"/>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Average profiles of normalized </w:t>
      </w:r>
      <w:r w:rsidRPr="007A724B">
        <w:rPr>
          <w:rFonts w:ascii="Times New Roman" w:hAnsi="Times New Roman" w:cs="Times New Roman" w:hint="eastAsia"/>
          <w:color w:val="000000" w:themeColor="text1"/>
          <w:sz w:val="21"/>
          <w:szCs w:val="21"/>
        </w:rPr>
        <w:t>DNA</w:t>
      </w:r>
      <w:r w:rsidRPr="007A724B">
        <w:rPr>
          <w:rFonts w:ascii="Times New Roman" w:hAnsi="Times New Roman" w:cs="Times New Roman"/>
          <w:color w:val="000000" w:themeColor="text1"/>
          <w:sz w:val="21"/>
          <w:szCs w:val="21"/>
        </w:rPr>
        <w:t xml:space="preserve"> conversion rates</w:t>
      </w:r>
      <w:r w:rsidRPr="007A724B">
        <w:rPr>
          <w:rFonts w:ascii="Times New Roman" w:hAnsi="Times New Roman" w:cs="Times New Roman" w:hint="eastAsia"/>
          <w:color w:val="000000" w:themeColor="text1"/>
          <w:sz w:val="21"/>
          <w:szCs w:val="21"/>
        </w:rPr>
        <w:t xml:space="preserve"> of cFOOT-seq</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and MNase-seq signal</w:t>
      </w:r>
      <w:r w:rsidRPr="007A724B">
        <w:rPr>
          <w:rFonts w:ascii="Times New Roman" w:hAnsi="Times New Roman" w:cs="Times New Roman"/>
          <w:color w:val="000000" w:themeColor="text1"/>
          <w:sz w:val="21"/>
          <w:szCs w:val="21"/>
        </w:rPr>
        <w:t xml:space="preserve"> around all REST (</w:t>
      </w:r>
      <w:r w:rsidR="00BC5793">
        <w:rPr>
          <w:rFonts w:ascii="Times New Roman" w:hAnsi="Times New Roman" w:cs="Times New Roman" w:hint="eastAsia"/>
          <w:color w:val="000000" w:themeColor="text1"/>
          <w:sz w:val="21"/>
          <w:szCs w:val="21"/>
        </w:rPr>
        <w:t>D</w:t>
      </w:r>
      <w:r w:rsidRPr="007A724B">
        <w:rPr>
          <w:rFonts w:ascii="Times New Roman" w:hAnsi="Times New Roman" w:cs="Times New Roman"/>
          <w:color w:val="000000" w:themeColor="text1"/>
          <w:sz w:val="21"/>
          <w:szCs w:val="21"/>
        </w:rPr>
        <w:t>) or YY1 (</w:t>
      </w:r>
      <w:r w:rsidR="00BC5793">
        <w:rPr>
          <w:rFonts w:ascii="Times New Roman" w:hAnsi="Times New Roman" w:cs="Times New Roman" w:hint="eastAsia"/>
          <w:color w:val="000000" w:themeColor="text1"/>
          <w:sz w:val="21"/>
          <w:szCs w:val="21"/>
        </w:rPr>
        <w:t>E</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binding sites</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 xml:space="preserve">defined by </w:t>
      </w:r>
      <w:r w:rsidRPr="007A724B">
        <w:rPr>
          <w:rFonts w:ascii="Times New Roman" w:hAnsi="Times New Roman" w:cs="Times New Roman"/>
          <w:color w:val="000000" w:themeColor="text1"/>
          <w:sz w:val="21"/>
          <w:szCs w:val="21"/>
        </w:rPr>
        <w:t xml:space="preserve">ChIP-seq </w:t>
      </w:r>
      <w:r w:rsidRPr="007A724B">
        <w:rPr>
          <w:rFonts w:ascii="Times New Roman" w:hAnsi="Times New Roman" w:cs="Times New Roman" w:hint="eastAsia"/>
          <w:color w:val="000000" w:themeColor="text1"/>
          <w:sz w:val="21"/>
          <w:szCs w:val="21"/>
        </w:rPr>
        <w:t>aligned to their</w:t>
      </w:r>
      <w:r w:rsidRPr="007A724B">
        <w:rPr>
          <w:rFonts w:ascii="Times New Roman" w:hAnsi="Times New Roman" w:cs="Times New Roman"/>
          <w:color w:val="000000" w:themeColor="text1"/>
          <w:sz w:val="21"/>
          <w:szCs w:val="21"/>
        </w:rPr>
        <w:t xml:space="preserve"> respective</w:t>
      </w:r>
      <w:r w:rsidRPr="007A724B">
        <w:rPr>
          <w:rFonts w:ascii="Times New Roman" w:hAnsi="Times New Roman" w:cs="Times New Roman" w:hint="eastAsia"/>
          <w:color w:val="000000" w:themeColor="text1"/>
          <w:sz w:val="21"/>
          <w:szCs w:val="21"/>
        </w:rPr>
        <w:t xml:space="preserve"> motifs </w:t>
      </w:r>
      <w:r w:rsidRPr="007A724B">
        <w:rPr>
          <w:rFonts w:ascii="Times New Roman" w:hAnsi="Times New Roman" w:cs="Times New Roman"/>
          <w:color w:val="000000" w:themeColor="text1"/>
          <w:sz w:val="21"/>
          <w:szCs w:val="21"/>
        </w:rPr>
        <w:lastRenderedPageBreak/>
        <w:t xml:space="preserve">(top), and </w:t>
      </w:r>
      <w:r w:rsidRPr="007A724B">
        <w:rPr>
          <w:rFonts w:ascii="Times New Roman" w:hAnsi="Times New Roman" w:cs="Times New Roman" w:hint="eastAsia"/>
          <w:color w:val="000000" w:themeColor="text1"/>
          <w:sz w:val="21"/>
          <w:szCs w:val="21"/>
        </w:rPr>
        <w:t>distribution</w:t>
      </w:r>
      <w:r w:rsidRPr="007A724B">
        <w:rPr>
          <w:rFonts w:ascii="Times New Roman" w:hAnsi="Times New Roman" w:cs="Times New Roman"/>
          <w:color w:val="000000" w:themeColor="text1"/>
          <w:sz w:val="21"/>
          <w:szCs w:val="21"/>
        </w:rPr>
        <w:t xml:space="preserve"> of DNA conversion rates at</w:t>
      </w:r>
      <w:r w:rsidRPr="007A724B">
        <w:rPr>
          <w:rFonts w:ascii="Times New Roman" w:hAnsi="Times New Roman" w:cs="Times New Roman" w:hint="eastAsia"/>
          <w:color w:val="000000" w:themeColor="text1"/>
          <w:sz w:val="21"/>
          <w:szCs w:val="21"/>
        </w:rPr>
        <w:t xml:space="preserve"> a</w:t>
      </w:r>
      <w:r w:rsidRPr="007A724B">
        <w:rPr>
          <w:rFonts w:ascii="Times New Roman" w:hAnsi="Times New Roman" w:cs="Times New Roman"/>
          <w:color w:val="000000" w:themeColor="text1"/>
          <w:sz w:val="21"/>
          <w:szCs w:val="21"/>
        </w:rPr>
        <w:t xml:space="preserve"> representative genomic </w:t>
      </w:r>
      <w:r w:rsidRPr="007A724B">
        <w:rPr>
          <w:rFonts w:ascii="Times New Roman" w:hAnsi="Times New Roman" w:cs="Times New Roman" w:hint="eastAsia"/>
          <w:color w:val="000000" w:themeColor="text1"/>
          <w:sz w:val="21"/>
          <w:szCs w:val="21"/>
        </w:rPr>
        <w:t>region</w:t>
      </w:r>
      <w:r w:rsidRPr="007A724B">
        <w:rPr>
          <w:rFonts w:ascii="Times New Roman" w:hAnsi="Times New Roman" w:cs="Times New Roman"/>
          <w:color w:val="000000" w:themeColor="text1"/>
          <w:sz w:val="21"/>
          <w:szCs w:val="21"/>
        </w:rPr>
        <w:t xml:space="preserve"> flanking the </w:t>
      </w:r>
      <w:r w:rsidR="00BC5793">
        <w:rPr>
          <w:rFonts w:ascii="Times New Roman" w:hAnsi="Times New Roman" w:cs="Times New Roman" w:hint="eastAsia"/>
          <w:color w:val="000000" w:themeColor="text1"/>
          <w:sz w:val="21"/>
          <w:szCs w:val="21"/>
        </w:rPr>
        <w:t>REST</w:t>
      </w:r>
      <w:r w:rsidRPr="007A724B">
        <w:rPr>
          <w:rFonts w:ascii="Times New Roman" w:hAnsi="Times New Roman" w:cs="Times New Roman"/>
          <w:color w:val="000000" w:themeColor="text1"/>
          <w:sz w:val="21"/>
          <w:szCs w:val="21"/>
        </w:rPr>
        <w:t xml:space="preserve"> or YY1 motif (bottom) in R1 cells. The pattern of nucleosome positioning as indicated by MNase-seq is shown with a grey dashed line. The profiles indicate binding events at motif centers and nucleosome patterns around REST or YY1 binding sites, showing samples with increasing average genomic conversion rates.</w:t>
      </w:r>
    </w:p>
    <w:p w14:paraId="4B20D6A9"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Style w:val="ad"/>
          <w:rFonts w:ascii="Times New Roman" w:hAnsi="Times New Roman" w:cs="Times New Roman" w:hint="eastAsia"/>
          <w:color w:val="000000" w:themeColor="text1"/>
          <w:sz w:val="21"/>
          <w:szCs w:val="21"/>
        </w:rPr>
        <w:t>F</w:t>
      </w:r>
      <w:r w:rsidRPr="007A724B">
        <w:rPr>
          <w:rStyle w:val="ad"/>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Schematic of </w:t>
      </w:r>
      <w:r w:rsidRPr="007A724B">
        <w:rPr>
          <w:rFonts w:ascii="Times New Roman" w:hAnsi="Times New Roman" w:cs="Times New Roman"/>
          <w:i/>
          <w:iCs/>
          <w:color w:val="000000" w:themeColor="text1"/>
          <w:sz w:val="21"/>
          <w:szCs w:val="21"/>
        </w:rPr>
        <w:t>Yy1</w:t>
      </w:r>
      <w:r w:rsidRPr="007A724B">
        <w:rPr>
          <w:rFonts w:ascii="Times New Roman" w:hAnsi="Times New Roman" w:cs="Times New Roman"/>
          <w:color w:val="000000" w:themeColor="text1"/>
          <w:sz w:val="21"/>
          <w:szCs w:val="21"/>
        </w:rPr>
        <w:t xml:space="preserve"> KO R1 cell collection through FACS after Dox-induced expression of Cas9 (left). Western blot analysis of YY1 protein levels in cells with or without Dox induction, using antibodies against YY1 and GAPDH (right).</w:t>
      </w:r>
    </w:p>
    <w:p w14:paraId="45D7F13A" w14:textId="27A80444"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G.</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 xml:space="preserve">Distribution of DNA conversion rates around a representative YY1 binding site in R1 </w:t>
      </w:r>
      <w:proofErr w:type="spellStart"/>
      <w:r w:rsidR="00D41F1A">
        <w:rPr>
          <w:rFonts w:ascii="Times New Roman" w:hAnsi="Times New Roman" w:cs="Times New Roman" w:hint="eastAsia"/>
          <w:color w:val="000000" w:themeColor="text1"/>
          <w:sz w:val="21"/>
          <w:szCs w:val="21"/>
        </w:rPr>
        <w:t>wt</w:t>
      </w:r>
      <w:proofErr w:type="spellEnd"/>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w:t>
      </w:r>
      <w:r w:rsidRPr="007A724B">
        <w:rPr>
          <w:rFonts w:ascii="Times New Roman" w:hAnsi="Times New Roman" w:cs="Times New Roman" w:hint="eastAsia"/>
          <w:color w:val="000000" w:themeColor="text1"/>
          <w:sz w:val="21"/>
          <w:szCs w:val="21"/>
        </w:rPr>
        <w:t>33%</w:t>
      </w:r>
      <w:r w:rsidRPr="007A724B">
        <w:rPr>
          <w:rFonts w:ascii="Times New Roman" w:hAnsi="Times New Roman" w:cs="Times New Roman"/>
          <w:color w:val="000000" w:themeColor="text1"/>
          <w:sz w:val="21"/>
          <w:szCs w:val="21"/>
        </w:rPr>
        <w:t xml:space="preserve">) and </w:t>
      </w:r>
      <w:r w:rsidRPr="00D41F1A">
        <w:rPr>
          <w:rFonts w:ascii="Times New Roman" w:hAnsi="Times New Roman" w:cs="Times New Roman"/>
          <w:i/>
          <w:iCs/>
          <w:color w:val="000000" w:themeColor="text1"/>
          <w:sz w:val="21"/>
          <w:szCs w:val="21"/>
        </w:rPr>
        <w:t>Y</w:t>
      </w:r>
      <w:r w:rsidR="00D41F1A" w:rsidRPr="00D41F1A">
        <w:rPr>
          <w:rFonts w:ascii="Times New Roman" w:hAnsi="Times New Roman" w:cs="Times New Roman" w:hint="eastAsia"/>
          <w:i/>
          <w:iCs/>
          <w:color w:val="000000" w:themeColor="text1"/>
          <w:sz w:val="21"/>
          <w:szCs w:val="21"/>
        </w:rPr>
        <w:t>y</w:t>
      </w:r>
      <w:r w:rsidRPr="00D41F1A">
        <w:rPr>
          <w:rFonts w:ascii="Times New Roman" w:hAnsi="Times New Roman" w:cs="Times New Roman"/>
          <w:i/>
          <w:iCs/>
          <w:color w:val="000000" w:themeColor="text1"/>
          <w:sz w:val="21"/>
          <w:szCs w:val="21"/>
        </w:rPr>
        <w:t>1</w:t>
      </w:r>
      <w:r w:rsidRPr="007A724B">
        <w:rPr>
          <w:rFonts w:ascii="Times New Roman" w:hAnsi="Times New Roman" w:cs="Times New Roman"/>
          <w:color w:val="000000" w:themeColor="text1"/>
          <w:sz w:val="21"/>
          <w:szCs w:val="21"/>
        </w:rPr>
        <w:t xml:space="preserve"> KO (32%) cells. The YY1 ChIP</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track (purple) </w:t>
      </w:r>
      <w:r w:rsidRPr="007A724B">
        <w:rPr>
          <w:rFonts w:ascii="Times New Roman" w:hAnsi="Times New Roman" w:cs="Times New Roman" w:hint="eastAsia"/>
          <w:color w:val="000000" w:themeColor="text1"/>
          <w:sz w:val="21"/>
          <w:szCs w:val="21"/>
        </w:rPr>
        <w:t>shows</w:t>
      </w:r>
      <w:r w:rsidRPr="007A724B">
        <w:rPr>
          <w:rFonts w:ascii="Times New Roman" w:hAnsi="Times New Roman" w:cs="Times New Roman"/>
          <w:color w:val="000000" w:themeColor="text1"/>
          <w:sz w:val="21"/>
          <w:szCs w:val="21"/>
        </w:rPr>
        <w:t xml:space="preserve"> the YY1 binding sites, and the position of the YY1 motif is indicated.</w:t>
      </w:r>
      <w:r w:rsidRPr="007A724B">
        <w:rPr>
          <w:rFonts w:asciiTheme="minorHAnsi" w:eastAsiaTheme="minorEastAsia" w:hAnsiTheme="minorHAnsi" w:cstheme="minorBidi"/>
          <w:color w:val="000000" w:themeColor="text1"/>
          <w:kern w:val="2"/>
          <w:sz w:val="21"/>
        </w:rPr>
        <w:t xml:space="preserve"> </w:t>
      </w:r>
      <w:r w:rsidRPr="007A724B">
        <w:rPr>
          <w:rFonts w:ascii="Times New Roman" w:hAnsi="Times New Roman" w:cs="Times New Roman"/>
          <w:color w:val="000000" w:themeColor="text1"/>
          <w:sz w:val="21"/>
          <w:szCs w:val="21"/>
        </w:rPr>
        <w:t xml:space="preserve">cFOOT-seq conversion rates for R1 </w:t>
      </w:r>
      <w:proofErr w:type="spellStart"/>
      <w:r w:rsidR="00D41F1A">
        <w:rPr>
          <w:rFonts w:ascii="Times New Roman" w:hAnsi="Times New Roman" w:cs="Times New Roman" w:hint="eastAsia"/>
          <w:color w:val="000000" w:themeColor="text1"/>
          <w:sz w:val="21"/>
          <w:szCs w:val="21"/>
        </w:rPr>
        <w:t>wt</w:t>
      </w:r>
      <w:proofErr w:type="spellEnd"/>
      <w:r w:rsidRPr="007A724B">
        <w:rPr>
          <w:rFonts w:ascii="Times New Roman" w:hAnsi="Times New Roman" w:cs="Times New Roman"/>
          <w:color w:val="000000" w:themeColor="text1"/>
          <w:sz w:val="21"/>
          <w:szCs w:val="21"/>
        </w:rPr>
        <w:t xml:space="preserve"> (blue) and R1 </w:t>
      </w:r>
      <w:r w:rsidRPr="00D41F1A">
        <w:rPr>
          <w:rFonts w:ascii="Times New Roman" w:hAnsi="Times New Roman" w:cs="Times New Roman"/>
          <w:i/>
          <w:iCs/>
          <w:color w:val="000000" w:themeColor="text1"/>
          <w:sz w:val="21"/>
          <w:szCs w:val="21"/>
        </w:rPr>
        <w:t>Y</w:t>
      </w:r>
      <w:r w:rsidR="00D41F1A" w:rsidRPr="00D41F1A">
        <w:rPr>
          <w:rFonts w:ascii="Times New Roman" w:hAnsi="Times New Roman" w:cs="Times New Roman" w:hint="eastAsia"/>
          <w:i/>
          <w:iCs/>
          <w:color w:val="000000" w:themeColor="text1"/>
          <w:sz w:val="21"/>
          <w:szCs w:val="21"/>
        </w:rPr>
        <w:t>y</w:t>
      </w:r>
      <w:r w:rsidRPr="00D41F1A">
        <w:rPr>
          <w:rFonts w:ascii="Times New Roman" w:hAnsi="Times New Roman" w:cs="Times New Roman"/>
          <w:i/>
          <w:iCs/>
          <w:color w:val="000000" w:themeColor="text1"/>
          <w:sz w:val="21"/>
          <w:szCs w:val="21"/>
        </w:rPr>
        <w:t>1</w:t>
      </w:r>
      <w:r w:rsidRPr="007A724B">
        <w:rPr>
          <w:rFonts w:ascii="Times New Roman" w:hAnsi="Times New Roman" w:cs="Times New Roman"/>
          <w:color w:val="000000" w:themeColor="text1"/>
          <w:sz w:val="21"/>
          <w:szCs w:val="21"/>
        </w:rPr>
        <w:t xml:space="preserve"> KO (orange) cells are shown. The conversion rate difference track (red) represents the difference in conversion rates between R1 </w:t>
      </w:r>
      <w:r w:rsidR="00D41F1A">
        <w:rPr>
          <w:rFonts w:ascii="Times New Roman" w:hAnsi="Times New Roman" w:cs="Times New Roman" w:hint="eastAsia"/>
          <w:color w:val="000000" w:themeColor="text1"/>
          <w:sz w:val="21"/>
          <w:szCs w:val="21"/>
        </w:rPr>
        <w:t>w t</w:t>
      </w:r>
      <w:r w:rsidRPr="007A724B">
        <w:rPr>
          <w:rFonts w:ascii="Times New Roman" w:hAnsi="Times New Roman" w:cs="Times New Roman"/>
          <w:color w:val="000000" w:themeColor="text1"/>
          <w:sz w:val="21"/>
          <w:szCs w:val="21"/>
        </w:rPr>
        <w:t xml:space="preserve"> and R1 </w:t>
      </w:r>
      <w:r w:rsidRPr="00D41F1A">
        <w:rPr>
          <w:rFonts w:ascii="Times New Roman" w:hAnsi="Times New Roman" w:cs="Times New Roman"/>
          <w:i/>
          <w:iCs/>
          <w:color w:val="000000" w:themeColor="text1"/>
          <w:sz w:val="21"/>
          <w:szCs w:val="21"/>
        </w:rPr>
        <w:t>Y</w:t>
      </w:r>
      <w:r w:rsidR="00D41F1A" w:rsidRPr="00D41F1A">
        <w:rPr>
          <w:rFonts w:ascii="Times New Roman" w:hAnsi="Times New Roman" w:cs="Times New Roman" w:hint="eastAsia"/>
          <w:i/>
          <w:iCs/>
          <w:color w:val="000000" w:themeColor="text1"/>
          <w:sz w:val="21"/>
          <w:szCs w:val="21"/>
        </w:rPr>
        <w:t>y</w:t>
      </w:r>
      <w:r w:rsidRPr="00D41F1A">
        <w:rPr>
          <w:rFonts w:ascii="Times New Roman" w:hAnsi="Times New Roman" w:cs="Times New Roman"/>
          <w:i/>
          <w:iCs/>
          <w:color w:val="000000" w:themeColor="text1"/>
          <w:sz w:val="21"/>
          <w:szCs w:val="21"/>
        </w:rPr>
        <w:t>1</w:t>
      </w:r>
      <w:r w:rsidRPr="007A724B">
        <w:rPr>
          <w:rFonts w:ascii="Times New Roman" w:hAnsi="Times New Roman" w:cs="Times New Roman"/>
          <w:color w:val="000000" w:themeColor="text1"/>
          <w:sz w:val="21"/>
          <w:szCs w:val="21"/>
        </w:rPr>
        <w:t xml:space="preserve"> KO cell, reflecting changes in TF binding at the YY1 motif</w:t>
      </w:r>
    </w:p>
    <w:p w14:paraId="084E2420"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H. </w:t>
      </w:r>
      <w:r w:rsidRPr="007A724B">
        <w:rPr>
          <w:rFonts w:ascii="Times New Roman" w:hAnsi="Times New Roman" w:cs="Times New Roman" w:hint="eastAsia"/>
          <w:color w:val="000000" w:themeColor="text1"/>
          <w:sz w:val="21"/>
          <w:szCs w:val="21"/>
        </w:rPr>
        <w:t>Average signal profiles of cFOOT-seq (top), DNase-seq (middle), and ATAC-seq (bottom) in open chromatin regions (OCR) and closed chromatin regions (CCR) around the centers of all CTCF (left) or CEBPA (right) motif center(</w:t>
      </w:r>
      <w:r w:rsidRPr="007A724B">
        <w:rPr>
          <w:rFonts w:ascii="Times New Roman" w:hAnsi="Times New Roman" w:cs="Times New Roman" w:hint="eastAsia"/>
          <w:color w:val="000000" w:themeColor="text1"/>
          <w:sz w:val="21"/>
          <w:szCs w:val="21"/>
        </w:rPr>
        <w:t>±</w:t>
      </w:r>
      <w:r w:rsidRPr="007A724B">
        <w:rPr>
          <w:rFonts w:ascii="Times New Roman" w:hAnsi="Times New Roman" w:cs="Times New Roman" w:hint="eastAsia"/>
          <w:color w:val="000000" w:themeColor="text1"/>
          <w:sz w:val="21"/>
          <w:szCs w:val="21"/>
        </w:rPr>
        <w:t>0.5kb).</w:t>
      </w:r>
    </w:p>
    <w:p w14:paraId="38CCA23D"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Style w:val="ad"/>
          <w:rFonts w:ascii="Times New Roman" w:hAnsi="Times New Roman" w:cs="Times New Roman" w:hint="eastAsia"/>
          <w:color w:val="000000" w:themeColor="text1"/>
          <w:sz w:val="21"/>
          <w:szCs w:val="21"/>
        </w:rPr>
        <w:t>I</w:t>
      </w:r>
      <w:r w:rsidRPr="007A724B">
        <w:rPr>
          <w:rStyle w:val="ad"/>
          <w:rFonts w:ascii="Times New Roman" w:hAnsi="Times New Roman" w:cs="Times New Roman"/>
          <w:color w:val="000000" w:themeColor="text1"/>
          <w:sz w:val="21"/>
          <w:szCs w:val="21"/>
        </w:rPr>
        <w:t>.</w:t>
      </w:r>
      <w:r w:rsidRPr="007A724B">
        <w:rPr>
          <w:rFonts w:ascii="Times New Roman" w:hAnsi="Times New Roman" w:cs="Times New Roman"/>
          <w:color w:val="000000" w:themeColor="text1"/>
          <w:sz w:val="21"/>
          <w:szCs w:val="21"/>
        </w:rPr>
        <w:t xml:space="preserve"> Normalized </w:t>
      </w:r>
      <w:r w:rsidRPr="007A724B">
        <w:rPr>
          <w:rFonts w:ascii="Times New Roman" w:hAnsi="Times New Roman" w:cs="Times New Roman" w:hint="eastAsia"/>
          <w:color w:val="000000" w:themeColor="text1"/>
          <w:sz w:val="21"/>
          <w:szCs w:val="21"/>
        </w:rPr>
        <w:t>DNA</w:t>
      </w:r>
      <w:r w:rsidRPr="007A724B">
        <w:rPr>
          <w:rFonts w:ascii="Times New Roman" w:hAnsi="Times New Roman" w:cs="Times New Roman"/>
          <w:color w:val="000000" w:themeColor="text1"/>
          <w:sz w:val="21"/>
          <w:szCs w:val="21"/>
        </w:rPr>
        <w:t xml:space="preserve"> conversion rates around </w:t>
      </w:r>
      <w:r w:rsidRPr="007A724B">
        <w:rPr>
          <w:rFonts w:ascii="Times New Roman" w:hAnsi="Times New Roman" w:cs="Times New Roman" w:hint="eastAsia"/>
          <w:color w:val="000000" w:themeColor="text1"/>
          <w:sz w:val="21"/>
          <w:szCs w:val="21"/>
        </w:rPr>
        <w:t>ATAC-seq peak center</w:t>
      </w:r>
      <w:r w:rsidRPr="007A724B">
        <w:rPr>
          <w:rFonts w:ascii="Times New Roman" w:hAnsi="Times New Roman" w:cs="Times New Roman"/>
          <w:color w:val="000000" w:themeColor="text1"/>
          <w:sz w:val="21"/>
          <w:szCs w:val="21"/>
        </w:rPr>
        <w:t>, TSS</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w:t>
      </w:r>
      <w:r w:rsidRPr="007A724B">
        <w:rPr>
          <w:rFonts w:ascii="Times New Roman" w:hAnsi="Times New Roman" w:cs="Times New Roman"/>
          <w:color w:val="000000" w:themeColor="text1"/>
          <w:szCs w:val="21"/>
        </w:rPr>
        <w:t>±0.1kb)</w:t>
      </w:r>
      <w:r w:rsidRPr="007A724B">
        <w:rPr>
          <w:rFonts w:ascii="Times New Roman" w:hAnsi="Times New Roman" w:cs="Times New Roman"/>
          <w:color w:val="000000" w:themeColor="text1"/>
          <w:sz w:val="21"/>
          <w:szCs w:val="21"/>
        </w:rPr>
        <w:t xml:space="preserve"> in R1 samples with low input cell numbers (5-5000).</w:t>
      </w:r>
    </w:p>
    <w:p w14:paraId="1D78C3FF"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t xml:space="preserve">J. </w:t>
      </w:r>
      <w:r w:rsidRPr="007A724B">
        <w:rPr>
          <w:rFonts w:ascii="Times New Roman" w:hAnsi="Times New Roman" w:cs="Times New Roman"/>
          <w:color w:val="000000" w:themeColor="text1"/>
          <w:sz w:val="21"/>
          <w:szCs w:val="21"/>
        </w:rPr>
        <w:t xml:space="preserve">Average profiles of normalized </w:t>
      </w:r>
      <w:r w:rsidRPr="007A724B">
        <w:rPr>
          <w:rFonts w:ascii="Times New Roman" w:hAnsi="Times New Roman" w:cs="Times New Roman" w:hint="eastAsia"/>
          <w:color w:val="000000" w:themeColor="text1"/>
          <w:sz w:val="21"/>
          <w:szCs w:val="21"/>
        </w:rPr>
        <w:t>DNA</w:t>
      </w:r>
      <w:r w:rsidRPr="007A724B">
        <w:rPr>
          <w:rFonts w:ascii="Times New Roman" w:hAnsi="Times New Roman" w:cs="Times New Roman"/>
          <w:color w:val="000000" w:themeColor="text1"/>
          <w:sz w:val="21"/>
          <w:szCs w:val="21"/>
        </w:rPr>
        <w:t xml:space="preserve"> conversion rates</w:t>
      </w:r>
      <w:r w:rsidRPr="007A724B">
        <w:rPr>
          <w:rFonts w:ascii="Times New Roman" w:hAnsi="Times New Roman" w:cs="Times New Roman" w:hint="eastAsia"/>
          <w:color w:val="000000" w:themeColor="text1"/>
          <w:sz w:val="21"/>
          <w:szCs w:val="21"/>
        </w:rPr>
        <w:t xml:space="preserve"> of cFOOT-seq</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and MNase-seq signal</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 xml:space="preserve">around </w:t>
      </w:r>
      <w:r w:rsidRPr="007A724B">
        <w:rPr>
          <w:rFonts w:ascii="Times New Roman" w:hAnsi="Times New Roman" w:cs="Times New Roman"/>
          <w:color w:val="000000" w:themeColor="text1"/>
          <w:sz w:val="21"/>
          <w:szCs w:val="21"/>
        </w:rPr>
        <w:t>CTCF binding sites</w:t>
      </w:r>
      <w:r w:rsidRPr="007A724B">
        <w:rPr>
          <w:rFonts w:ascii="Times New Roman" w:hAnsi="Times New Roman" w:cs="Times New Roman" w:hint="eastAsia"/>
          <w:color w:val="000000" w:themeColor="text1"/>
          <w:sz w:val="21"/>
          <w:szCs w:val="21"/>
        </w:rPr>
        <w:t xml:space="preserve"> aligned to</w:t>
      </w:r>
      <w:r w:rsidRPr="007A724B">
        <w:rPr>
          <w:rFonts w:ascii="Times New Roman" w:hAnsi="Times New Roman" w:cs="Times New Roman"/>
          <w:color w:val="000000" w:themeColor="text1"/>
          <w:sz w:val="21"/>
          <w:szCs w:val="21"/>
        </w:rPr>
        <w:t xml:space="preserve"> CTCF motifs in R1 samples with low input cell numbers (5-5000).</w:t>
      </w:r>
    </w:p>
    <w:p w14:paraId="3D03CC34" w14:textId="77777777" w:rsidR="002F510E" w:rsidRPr="007A724B" w:rsidRDefault="002F510E">
      <w:pPr>
        <w:pStyle w:val="a9"/>
        <w:spacing w:beforeLines="50" w:before="156" w:beforeAutospacing="0" w:after="0" w:afterAutospacing="0"/>
        <w:jc w:val="both"/>
        <w:rPr>
          <w:rFonts w:ascii="Times New Roman" w:hAnsi="Times New Roman" w:cs="Times New Roman"/>
          <w:color w:val="000000" w:themeColor="text1"/>
          <w:sz w:val="21"/>
          <w:szCs w:val="21"/>
        </w:rPr>
      </w:pPr>
    </w:p>
    <w:p w14:paraId="55BDB411" w14:textId="77777777" w:rsidR="002F510E" w:rsidRPr="007A724B" w:rsidRDefault="002F510E">
      <w:pPr>
        <w:pStyle w:val="a9"/>
        <w:spacing w:beforeLines="50" w:before="156" w:beforeAutospacing="0" w:after="0" w:afterAutospacing="0"/>
        <w:jc w:val="both"/>
        <w:rPr>
          <w:rFonts w:ascii="Times New Roman" w:hAnsi="Times New Roman" w:cs="Times New Roman"/>
          <w:color w:val="000000" w:themeColor="text1"/>
          <w:sz w:val="21"/>
          <w:szCs w:val="21"/>
        </w:rPr>
      </w:pPr>
    </w:p>
    <w:p w14:paraId="69B1CD76" w14:textId="19457674" w:rsidR="002F510E" w:rsidRPr="007A724B" w:rsidRDefault="00554225">
      <w:pPr>
        <w:pStyle w:val="a9"/>
        <w:spacing w:beforeLines="50" w:before="156" w:beforeAutospacing="0" w:after="0" w:afterAutospacing="0"/>
        <w:jc w:val="both"/>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18DDF98A" wp14:editId="743FABD7">
            <wp:extent cx="5274310" cy="6515100"/>
            <wp:effectExtent l="0" t="0" r="2540" b="0"/>
            <wp:docPr id="132992595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9925953" name="图片 1329925953"/>
                    <pic:cNvPicPr/>
                  </pic:nvPicPr>
                  <pic:blipFill rotWithShape="1">
                    <a:blip r:embed="rId10"/>
                    <a:srcRect b="12644"/>
                    <a:stretch>
                      <a:fillRect/>
                    </a:stretch>
                  </pic:blipFill>
                  <pic:spPr bwMode="auto">
                    <a:xfrm>
                      <a:off x="0" y="0"/>
                      <a:ext cx="5274310" cy="6515100"/>
                    </a:xfrm>
                    <a:prstGeom prst="rect">
                      <a:avLst/>
                    </a:prstGeom>
                    <a:ln>
                      <a:noFill/>
                    </a:ln>
                    <a:extLst>
                      <a:ext uri="{53640926-AAD7-44D8-BBD7-CCE9431645EC}">
                        <a14:shadowObscured xmlns:a14="http://schemas.microsoft.com/office/drawing/2010/main"/>
                      </a:ext>
                    </a:extLst>
                  </pic:spPr>
                </pic:pic>
              </a:graphicData>
            </a:graphic>
          </wp:inline>
        </w:drawing>
      </w:r>
    </w:p>
    <w:p w14:paraId="6524072D" w14:textId="77777777" w:rsidR="002F510E" w:rsidRPr="007A724B" w:rsidRDefault="00000000">
      <w:pPr>
        <w:rPr>
          <w:rFonts w:ascii="Times New Roman" w:hAnsi="Times New Roman" w:cs="Times New Roman"/>
          <w:b/>
          <w:bCs/>
          <w:color w:val="000000" w:themeColor="text1"/>
          <w:szCs w:val="21"/>
        </w:rPr>
      </w:pPr>
      <w:r w:rsidRPr="007A724B">
        <w:rPr>
          <w:rFonts w:ascii="Times New Roman" w:hAnsi="Times New Roman" w:cs="Times New Roman"/>
          <w:b/>
          <w:bCs/>
          <w:color w:val="000000" w:themeColor="text1"/>
          <w:szCs w:val="21"/>
        </w:rPr>
        <w:t>Fig.S</w:t>
      </w:r>
      <w:r w:rsidRPr="007A724B">
        <w:rPr>
          <w:rFonts w:ascii="Times New Roman" w:hAnsi="Times New Roman" w:cs="Times New Roman" w:hint="eastAsia"/>
          <w:b/>
          <w:bCs/>
          <w:color w:val="000000" w:themeColor="text1"/>
          <w:szCs w:val="21"/>
        </w:rPr>
        <w:t>3: FootTrack analysis framework and performance of cFOOT-seq under different conditions</w:t>
      </w:r>
      <w:r w:rsidRPr="007A724B">
        <w:rPr>
          <w:rFonts w:ascii="Times New Roman" w:hAnsi="Times New Roman" w:cs="Times New Roman"/>
          <w:b/>
          <w:bCs/>
          <w:color w:val="000000" w:themeColor="text1"/>
          <w:szCs w:val="21"/>
        </w:rPr>
        <w:t>, r</w:t>
      </w:r>
      <w:r w:rsidRPr="007A724B">
        <w:rPr>
          <w:rStyle w:val="ad"/>
          <w:rFonts w:ascii="Times New Roman" w:hAnsi="Times New Roman" w:cs="Times New Roman"/>
          <w:color w:val="000000" w:themeColor="text1"/>
          <w:szCs w:val="21"/>
        </w:rPr>
        <w:t>elated to Figure 2.</w:t>
      </w:r>
    </w:p>
    <w:p w14:paraId="323424FC" w14:textId="77777777" w:rsidR="002F510E" w:rsidRPr="007A724B" w:rsidRDefault="00000000">
      <w:pPr>
        <w:pStyle w:val="a9"/>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A. </w:t>
      </w:r>
      <w:r w:rsidRPr="007A724B">
        <w:rPr>
          <w:rFonts w:ascii="Times New Roman" w:hAnsi="Times New Roman" w:cs="Times New Roman"/>
          <w:color w:val="000000" w:themeColor="text1"/>
          <w:sz w:val="21"/>
          <w:szCs w:val="21"/>
        </w:rPr>
        <w:t>Analysis framework for cFOOT-seq processing, including read alignment, C/T conversion calling, bias correction, and</w:t>
      </w:r>
      <w:r w:rsidRPr="007A724B">
        <w:rPr>
          <w:rFonts w:ascii="Times New Roman" w:hAnsi="Times New Roman" w:cs="Times New Roman" w:hint="eastAsia"/>
          <w:color w:val="000000" w:themeColor="text1"/>
          <w:sz w:val="21"/>
          <w:szCs w:val="21"/>
        </w:rPr>
        <w:t xml:space="preserve"> downstream analysis</w:t>
      </w:r>
      <w:r w:rsidRPr="007A724B">
        <w:rPr>
          <w:rFonts w:ascii="Times New Roman" w:hAnsi="Times New Roman" w:cs="Times New Roman"/>
          <w:color w:val="000000" w:themeColor="text1"/>
          <w:sz w:val="21"/>
          <w:szCs w:val="21"/>
        </w:rPr>
        <w:t>. Bias correction is performed using two modes: global background (average conversion rate across the entire genome) and local background (average conversion rate within a ±50 bp window around each base). The corrected conversion rate is calculated by subtracting the expected from the observed conversion rate. The framework supports</w:t>
      </w:r>
      <w:r w:rsidRPr="007A724B">
        <w:rPr>
          <w:rFonts w:ascii="Times New Roman" w:hAnsi="Times New Roman" w:cs="Times New Roman" w:hint="eastAsia"/>
          <w:color w:val="000000" w:themeColor="text1"/>
          <w:sz w:val="21"/>
          <w:szCs w:val="21"/>
        </w:rPr>
        <w:t xml:space="preserve"> two</w:t>
      </w:r>
      <w:r w:rsidRPr="007A724B">
        <w:rPr>
          <w:rFonts w:ascii="Times New Roman" w:hAnsi="Times New Roman" w:cs="Times New Roman"/>
          <w:color w:val="000000" w:themeColor="text1"/>
          <w:sz w:val="21"/>
          <w:szCs w:val="21"/>
        </w:rPr>
        <w:t xml:space="preserve"> primary analyses: (1) Quantification of TF occupancy at known binding sites, (2) De novo prediction of TF binding sites using strategy S1 (calculating footprint scores directly from corrected data) and S2 (predicting footprints using binomial statistical tests)</w:t>
      </w:r>
    </w:p>
    <w:p w14:paraId="157BB702" w14:textId="77777777" w:rsidR="002F510E" w:rsidRPr="007A724B" w:rsidRDefault="00000000">
      <w:pPr>
        <w:pStyle w:val="a9"/>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lastRenderedPageBreak/>
        <w:t xml:space="preserve">B. </w:t>
      </w:r>
      <w:r w:rsidRPr="007A724B">
        <w:rPr>
          <w:rFonts w:ascii="Times New Roman" w:hAnsi="Times New Roman" w:cs="Times New Roman"/>
          <w:color w:val="000000" w:themeColor="text1"/>
          <w:sz w:val="21"/>
          <w:szCs w:val="21"/>
        </w:rPr>
        <w:t xml:space="preserve">Average profiles and heatmaps of normalized DNA conversion rates around </w:t>
      </w:r>
      <w:r w:rsidRPr="007A724B">
        <w:rPr>
          <w:rFonts w:ascii="Times New Roman" w:hAnsi="Times New Roman" w:cs="Times New Roman" w:hint="eastAsia"/>
          <w:color w:val="000000" w:themeColor="text1"/>
          <w:sz w:val="21"/>
          <w:szCs w:val="21"/>
        </w:rPr>
        <w:t>HNF1B</w:t>
      </w:r>
      <w:r w:rsidRPr="007A724B">
        <w:rPr>
          <w:rFonts w:ascii="Times New Roman" w:hAnsi="Times New Roman" w:cs="Times New Roman"/>
          <w:color w:val="000000" w:themeColor="text1"/>
          <w:sz w:val="21"/>
          <w:szCs w:val="21"/>
        </w:rPr>
        <w:t xml:space="preserve"> binding sites in </w:t>
      </w:r>
      <w:r w:rsidRPr="007A724B">
        <w:rPr>
          <w:rFonts w:ascii="Times New Roman" w:hAnsi="Times New Roman" w:cs="Times New Roman" w:hint="eastAsia"/>
          <w:color w:val="000000" w:themeColor="text1"/>
          <w:sz w:val="21"/>
          <w:szCs w:val="21"/>
        </w:rPr>
        <w:t>K562</w:t>
      </w:r>
      <w:r w:rsidRPr="007A724B">
        <w:rPr>
          <w:rFonts w:ascii="Times New Roman" w:hAnsi="Times New Roman" w:cs="Times New Roman"/>
          <w:color w:val="000000" w:themeColor="text1"/>
          <w:sz w:val="21"/>
          <w:szCs w:val="21"/>
        </w:rPr>
        <w:t xml:space="preserve"> and </w:t>
      </w:r>
      <w:r w:rsidRPr="007A724B">
        <w:rPr>
          <w:rFonts w:ascii="Times New Roman" w:hAnsi="Times New Roman" w:cs="Times New Roman" w:hint="eastAsia"/>
          <w:color w:val="000000" w:themeColor="text1"/>
          <w:sz w:val="21"/>
          <w:szCs w:val="21"/>
        </w:rPr>
        <w:t>HepG2</w:t>
      </w:r>
      <w:r w:rsidRPr="007A724B">
        <w:rPr>
          <w:rFonts w:ascii="Times New Roman" w:hAnsi="Times New Roman" w:cs="Times New Roman"/>
          <w:color w:val="000000" w:themeColor="text1"/>
          <w:sz w:val="21"/>
          <w:szCs w:val="21"/>
        </w:rPr>
        <w:t xml:space="preserve"> cells, </w:t>
      </w:r>
      <w:r w:rsidRPr="007A724B">
        <w:rPr>
          <w:rFonts w:ascii="Times New Roman" w:hAnsi="Times New Roman" w:cs="Times New Roman" w:hint="eastAsia"/>
          <w:color w:val="000000" w:themeColor="text1"/>
          <w:sz w:val="21"/>
          <w:szCs w:val="21"/>
        </w:rPr>
        <w:t xml:space="preserve">comparing </w:t>
      </w:r>
      <w:r w:rsidRPr="007A724B">
        <w:rPr>
          <w:rFonts w:ascii="Times New Roman" w:hAnsi="Times New Roman" w:cs="Times New Roman"/>
          <w:color w:val="000000" w:themeColor="text1"/>
          <w:sz w:val="21"/>
          <w:szCs w:val="21"/>
        </w:rPr>
        <w:t>the data before and after bias correction</w:t>
      </w:r>
      <w:r w:rsidRPr="007A724B">
        <w:rPr>
          <w:rFonts w:ascii="Times New Roman" w:hAnsi="Times New Roman" w:cs="Times New Roman" w:hint="eastAsia"/>
          <w:color w:val="000000" w:themeColor="text1"/>
          <w:sz w:val="21"/>
          <w:szCs w:val="21"/>
        </w:rPr>
        <w:t>.</w:t>
      </w:r>
    </w:p>
    <w:p w14:paraId="46288AF0" w14:textId="77777777" w:rsidR="002F510E" w:rsidRPr="007A724B" w:rsidRDefault="00000000">
      <w:pPr>
        <w:pStyle w:val="a9"/>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C. </w:t>
      </w:r>
      <w:r w:rsidRPr="007A724B">
        <w:rPr>
          <w:rFonts w:ascii="Times New Roman" w:hAnsi="Times New Roman" w:cs="Times New Roman" w:hint="eastAsia"/>
          <w:color w:val="000000" w:themeColor="text1"/>
          <w:sz w:val="21"/>
          <w:szCs w:val="21"/>
        </w:rPr>
        <w:t>S</w:t>
      </w:r>
      <w:r w:rsidRPr="007A724B">
        <w:rPr>
          <w:rFonts w:ascii="Times New Roman" w:hAnsi="Times New Roman" w:cs="Times New Roman"/>
          <w:color w:val="000000" w:themeColor="text1"/>
          <w:sz w:val="21"/>
          <w:szCs w:val="21"/>
        </w:rPr>
        <w:t>equence bias of SsdA</w:t>
      </w:r>
      <w:r w:rsidRPr="007A724B">
        <w:rPr>
          <w:rFonts w:ascii="Times New Roman" w:hAnsi="Times New Roman" w:cs="Times New Roman"/>
          <w:color w:val="000000" w:themeColor="text1"/>
          <w:sz w:val="21"/>
          <w:szCs w:val="21"/>
          <w:vertAlign w:val="subscript"/>
        </w:rPr>
        <w:t>tox</w:t>
      </w:r>
      <w:r w:rsidRPr="007A724B">
        <w:rPr>
          <w:rFonts w:ascii="Times New Roman" w:hAnsi="Times New Roman" w:cs="Times New Roman"/>
          <w:color w:val="000000" w:themeColor="text1"/>
          <w:sz w:val="21"/>
          <w:szCs w:val="21"/>
        </w:rPr>
        <w:t xml:space="preserve"> on naked DNA of human and mouse before and after bias correction. Each panel shows the position-specific scoring matrix (PSSM) scores for nucleotides A, T, C, and G across positions from -10 bp to +10 bp relative to cytosine.</w:t>
      </w:r>
    </w:p>
    <w:p w14:paraId="1C66F068" w14:textId="77777777" w:rsidR="002F510E" w:rsidRPr="007A724B" w:rsidRDefault="00000000">
      <w:pPr>
        <w:pStyle w:val="a9"/>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D.</w:t>
      </w:r>
      <w:r w:rsidRPr="007A724B">
        <w:rPr>
          <w:b/>
          <w:bCs/>
          <w:color w:val="000000" w:themeColor="text1"/>
          <w:sz w:val="21"/>
          <w:szCs w:val="21"/>
        </w:rPr>
        <w:t xml:space="preserve"> </w:t>
      </w:r>
      <w:r w:rsidRPr="007A724B">
        <w:rPr>
          <w:rFonts w:ascii="Times New Roman" w:hAnsi="Times New Roman" w:cs="Times New Roman"/>
          <w:color w:val="000000" w:themeColor="text1"/>
          <w:sz w:val="21"/>
          <w:szCs w:val="21"/>
        </w:rPr>
        <w:t>Schematic illustration of the calculation of the positive ratio of FOS (top), along with violin plots showing TFOS scores (left) and the proportion of sites with positive FOS for each TF (right) under different genomic conversion rates in HepG2 cells</w:t>
      </w:r>
      <w:r w:rsidRPr="007A724B">
        <w:rPr>
          <w:rFonts w:ascii="Times New Roman" w:hAnsi="Times New Roman" w:cs="Times New Roman" w:hint="eastAsia"/>
          <w:color w:val="000000" w:themeColor="text1"/>
          <w:sz w:val="21"/>
          <w:szCs w:val="21"/>
        </w:rPr>
        <w:t xml:space="preserve"> using cFOOT-ATAC-seq</w:t>
      </w:r>
      <w:r w:rsidRPr="007A724B">
        <w:rPr>
          <w:rFonts w:ascii="Times New Roman" w:hAnsi="Times New Roman" w:cs="Times New Roman"/>
          <w:color w:val="000000" w:themeColor="text1"/>
          <w:sz w:val="21"/>
          <w:szCs w:val="21"/>
        </w:rPr>
        <w:t xml:space="preserve">. The conversion rates are color-coded and labeled at the bottom of each plot. </w:t>
      </w:r>
      <w:r w:rsidRPr="007A724B">
        <w:rPr>
          <w:rFonts w:ascii="Times New Roman" w:hAnsi="Times New Roman" w:cs="Times New Roman" w:hint="eastAsia"/>
          <w:color w:val="000000" w:themeColor="text1"/>
          <w:sz w:val="21"/>
          <w:szCs w:val="21"/>
        </w:rPr>
        <w:t xml:space="preserve">The </w:t>
      </w:r>
      <w:r w:rsidRPr="007A724B">
        <w:rPr>
          <w:rFonts w:ascii="Times New Roman" w:hAnsi="Times New Roman" w:cs="Times New Roman"/>
          <w:color w:val="000000" w:themeColor="text1"/>
          <w:sz w:val="21"/>
          <w:szCs w:val="21"/>
        </w:rPr>
        <w:t xml:space="preserve">median </w:t>
      </w:r>
      <w:r w:rsidRPr="007A724B">
        <w:rPr>
          <w:rFonts w:ascii="Times New Roman" w:hAnsi="Times New Roman" w:cs="Times New Roman" w:hint="eastAsia"/>
          <w:color w:val="000000" w:themeColor="text1"/>
          <w:sz w:val="21"/>
          <w:szCs w:val="21"/>
        </w:rPr>
        <w:t>values of TFOS and FOS positive ratio are shown</w:t>
      </w:r>
      <w:r w:rsidRPr="007A724B">
        <w:rPr>
          <w:rFonts w:ascii="Times New Roman" w:hAnsi="Times New Roman" w:cs="Times New Roman"/>
          <w:color w:val="000000" w:themeColor="text1"/>
          <w:sz w:val="21"/>
          <w:szCs w:val="21"/>
        </w:rPr>
        <w:t xml:space="preserve"> above each violin plot.</w:t>
      </w:r>
    </w:p>
    <w:p w14:paraId="342189BE" w14:textId="77777777" w:rsidR="002F510E" w:rsidRPr="007A724B" w:rsidRDefault="00000000">
      <w:pPr>
        <w:pStyle w:val="a9"/>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E.</w:t>
      </w:r>
      <w:r w:rsidRPr="007A724B">
        <w:rPr>
          <w:rFonts w:ascii="Times New Roman" w:hAnsi="Times New Roman" w:cs="Times New Roman"/>
          <w:color w:val="000000" w:themeColor="text1"/>
          <w:sz w:val="21"/>
          <w:szCs w:val="21"/>
        </w:rPr>
        <w:t xml:space="preserve"> Violin plots (left) and correlation plots (right) showing TFOS at various sequencing depths in HepG2 cells. The median TFOS</w:t>
      </w:r>
      <w:r w:rsidRPr="007A724B">
        <w:rPr>
          <w:rFonts w:ascii="Times New Roman" w:hAnsi="Times New Roman" w:cs="Times New Roman" w:hint="eastAsia"/>
          <w:color w:val="000000" w:themeColor="text1"/>
          <w:sz w:val="21"/>
          <w:szCs w:val="21"/>
        </w:rPr>
        <w:t xml:space="preserve"> values</w:t>
      </w:r>
      <w:r w:rsidRPr="007A724B">
        <w:rPr>
          <w:rFonts w:ascii="Times New Roman" w:hAnsi="Times New Roman" w:cs="Times New Roman"/>
          <w:color w:val="000000" w:themeColor="text1"/>
          <w:sz w:val="21"/>
          <w:szCs w:val="21"/>
        </w:rPr>
        <w:t xml:space="preserve"> for all tested TFs in HepG2 </w:t>
      </w:r>
      <w:proofErr w:type="gramStart"/>
      <w:r w:rsidRPr="007A724B">
        <w:rPr>
          <w:rFonts w:ascii="Times New Roman" w:hAnsi="Times New Roman" w:cs="Times New Roman"/>
          <w:color w:val="000000" w:themeColor="text1"/>
          <w:sz w:val="21"/>
          <w:szCs w:val="21"/>
        </w:rPr>
        <w:t>is</w:t>
      </w:r>
      <w:proofErr w:type="gramEnd"/>
      <w:r w:rsidRPr="007A724B">
        <w:rPr>
          <w:rFonts w:ascii="Times New Roman" w:hAnsi="Times New Roman" w:cs="Times New Roman"/>
          <w:color w:val="000000" w:themeColor="text1"/>
          <w:sz w:val="21"/>
          <w:szCs w:val="21"/>
        </w:rPr>
        <w:t xml:space="preserve"> indicated above each violin plot. The total sequencing amount and average reads depth for each condition is listed for the corresponding plots.</w:t>
      </w:r>
    </w:p>
    <w:p w14:paraId="05AE0E33"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color w:val="000000" w:themeColor="text1"/>
          <w:szCs w:val="21"/>
        </w:rPr>
        <w:br w:type="page"/>
      </w:r>
    </w:p>
    <w:p w14:paraId="4E34B05F" w14:textId="12EB4A4A" w:rsidR="00B23C2A" w:rsidRPr="007A724B" w:rsidRDefault="00554225">
      <w:pPr>
        <w:pStyle w:val="a9"/>
        <w:rPr>
          <w:rFonts w:ascii="Times New Roman" w:hAnsi="Times New Roman" w:cs="Times New Roman"/>
          <w:color w:val="000000" w:themeColor="text1"/>
          <w:sz w:val="21"/>
          <w:szCs w:val="21"/>
        </w:rPr>
      </w:pPr>
      <w:r w:rsidRPr="007A724B">
        <w:rPr>
          <w:rFonts w:ascii="Times New Roman" w:hAnsi="Times New Roman" w:cs="Times New Roman"/>
          <w:noProof/>
          <w:color w:val="000000" w:themeColor="text1"/>
          <w:sz w:val="21"/>
          <w:szCs w:val="21"/>
        </w:rPr>
        <w:lastRenderedPageBreak/>
        <w:drawing>
          <wp:inline distT="0" distB="0" distL="0" distR="0" wp14:anchorId="678DBEF0" wp14:editId="70A7AD51">
            <wp:extent cx="5274310" cy="7458075"/>
            <wp:effectExtent l="0" t="0" r="2540" b="9525"/>
            <wp:docPr id="10488982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8898279" name="图片 1048898279"/>
                    <pic:cNvPicPr/>
                  </pic:nvPicPr>
                  <pic:blipFill>
                    <a:blip r:embed="rId11"/>
                    <a:stretch>
                      <a:fillRect/>
                    </a:stretch>
                  </pic:blipFill>
                  <pic:spPr>
                    <a:xfrm>
                      <a:off x="0" y="0"/>
                      <a:ext cx="5274310" cy="7458075"/>
                    </a:xfrm>
                    <a:prstGeom prst="rect">
                      <a:avLst/>
                    </a:prstGeom>
                  </pic:spPr>
                </pic:pic>
              </a:graphicData>
            </a:graphic>
          </wp:inline>
        </w:drawing>
      </w:r>
    </w:p>
    <w:p w14:paraId="608B167F" w14:textId="77777777" w:rsidR="002F510E" w:rsidRPr="007A724B" w:rsidRDefault="00000000">
      <w:pPr>
        <w:pStyle w:val="a9"/>
        <w:rPr>
          <w:rFonts w:ascii="Times New Roman" w:hAnsi="Times New Roman" w:cs="Times New Roman"/>
          <w:b/>
          <w:bCs/>
          <w:color w:val="000000" w:themeColor="text1"/>
          <w:sz w:val="21"/>
          <w:szCs w:val="21"/>
        </w:rPr>
      </w:pPr>
      <w:r w:rsidRPr="007A724B">
        <w:rPr>
          <w:rFonts w:ascii="Times New Roman" w:hAnsi="Times New Roman" w:cs="Times New Roman" w:hint="eastAsia"/>
          <w:b/>
          <w:bCs/>
          <w:color w:val="000000" w:themeColor="text1"/>
          <w:sz w:val="21"/>
          <w:szCs w:val="21"/>
        </w:rPr>
        <w:t>Fig.S4 cFOOT-seq combined with ATAC-seq provide high-resolution and sensitive view of genomic TF occupancy</w:t>
      </w:r>
      <w:r w:rsidRPr="007A724B">
        <w:rPr>
          <w:rStyle w:val="ad"/>
          <w:rFonts w:ascii="Times New Roman" w:hAnsi="Times New Roman" w:cs="Times New Roman"/>
          <w:color w:val="000000" w:themeColor="text1"/>
          <w:sz w:val="21"/>
          <w:szCs w:val="21"/>
        </w:rPr>
        <w:t xml:space="preserve">, related to Figure </w:t>
      </w:r>
      <w:r w:rsidRPr="007A724B">
        <w:rPr>
          <w:rStyle w:val="ad"/>
          <w:rFonts w:ascii="Times New Roman" w:hAnsi="Times New Roman" w:cs="Times New Roman"/>
          <w:color w:val="000000" w:themeColor="text1"/>
          <w:szCs w:val="21"/>
        </w:rPr>
        <w:t>2</w:t>
      </w:r>
      <w:r w:rsidRPr="007A724B">
        <w:rPr>
          <w:rStyle w:val="ad"/>
          <w:rFonts w:ascii="Times New Roman" w:hAnsi="Times New Roman" w:cs="Times New Roman"/>
          <w:color w:val="000000" w:themeColor="text1"/>
          <w:sz w:val="21"/>
          <w:szCs w:val="21"/>
        </w:rPr>
        <w:t>.</w:t>
      </w:r>
    </w:p>
    <w:p w14:paraId="52EAF0C3" w14:textId="77777777" w:rsidR="002F510E" w:rsidRPr="007A724B" w:rsidRDefault="00000000">
      <w:pPr>
        <w:pStyle w:val="a9"/>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t>A</w:t>
      </w:r>
      <w:r w:rsidRPr="007A724B">
        <w:rPr>
          <w:rFonts w:ascii="Times New Roman" w:hAnsi="Times New Roman" w:cs="Times New Roman"/>
          <w:b/>
          <w:bCs/>
          <w:color w:val="000000" w:themeColor="text1"/>
          <w:sz w:val="21"/>
          <w:szCs w:val="21"/>
        </w:rPr>
        <w:t xml:space="preserve">. </w:t>
      </w:r>
      <w:r w:rsidRPr="007A724B">
        <w:rPr>
          <w:rFonts w:ascii="Times New Roman" w:hAnsi="Times New Roman" w:cs="Times New Roman"/>
          <w:color w:val="000000" w:themeColor="text1"/>
          <w:sz w:val="21"/>
          <w:szCs w:val="21"/>
        </w:rPr>
        <w:t>Scatter plot showing the correlation between TFOS differences of 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(30%) and ATAC-cFOOT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(33%) (R=0.75, p &lt; 2.2e-16), 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(30%) and cFOOT-ATAC</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(36%) (R=0.88, p &lt; 2.2e-16) for each transcription factor (TFOS -0.05~0.20) in HepG2 cells.</w:t>
      </w:r>
    </w:p>
    <w:p w14:paraId="1A2339FD" w14:textId="77777777" w:rsidR="002F510E" w:rsidRPr="007A724B" w:rsidRDefault="00000000">
      <w:pPr>
        <w:pStyle w:val="a9"/>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lastRenderedPageBreak/>
        <w:t>B</w:t>
      </w:r>
      <w:r w:rsidRPr="007A724B">
        <w:rPr>
          <w:rFonts w:ascii="Times New Roman" w:hAnsi="Times New Roman" w:cs="Times New Roman"/>
          <w:b/>
          <w:bCs/>
          <w:color w:val="000000" w:themeColor="text1"/>
          <w:sz w:val="21"/>
          <w:szCs w:val="21"/>
        </w:rPr>
        <w:t xml:space="preserve">. </w:t>
      </w:r>
      <w:r w:rsidRPr="007A724B">
        <w:rPr>
          <w:rFonts w:ascii="Times New Roman" w:hAnsi="Times New Roman" w:cs="Times New Roman"/>
          <w:color w:val="000000" w:themeColor="text1"/>
          <w:sz w:val="21"/>
          <w:szCs w:val="21"/>
        </w:rPr>
        <w:t>Normalized average conversion rates around ±0.1 kb of ARNT2 (left), HNF4A (middle), and FOXA1 (right) motifs in HepG2 cells, comparing conversion rates from 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cFOOT-ATAC</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and ATAC-cFOOT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methods.</w:t>
      </w:r>
    </w:p>
    <w:p w14:paraId="54746DE2" w14:textId="77777777" w:rsidR="002F510E" w:rsidRPr="007A724B" w:rsidRDefault="00000000">
      <w:pPr>
        <w:pStyle w:val="a9"/>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t>C</w:t>
      </w:r>
      <w:r w:rsidRPr="007A724B">
        <w:rPr>
          <w:rFonts w:ascii="Times New Roman" w:hAnsi="Times New Roman" w:cs="Times New Roman"/>
          <w:b/>
          <w:bCs/>
          <w:color w:val="000000" w:themeColor="text1"/>
          <w:sz w:val="21"/>
          <w:szCs w:val="21"/>
        </w:rPr>
        <w:t xml:space="preserve">. </w:t>
      </w:r>
      <w:r w:rsidRPr="007A724B">
        <w:rPr>
          <w:rFonts w:ascii="Times New Roman" w:hAnsi="Times New Roman" w:cs="Times New Roman"/>
          <w:color w:val="000000" w:themeColor="text1"/>
          <w:sz w:val="21"/>
          <w:szCs w:val="21"/>
        </w:rPr>
        <w:t>Comparison of cFOOT-ATAC</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and cFOOT</w:t>
      </w:r>
      <w:r w:rsidRPr="007A724B">
        <w:rPr>
          <w:rFonts w:ascii="Times New Roman" w:hAnsi="Times New Roman" w:cs="Times New Roman" w:hint="eastAsia"/>
          <w:color w:val="000000" w:themeColor="text1"/>
          <w:sz w:val="21"/>
          <w:szCs w:val="21"/>
        </w:rPr>
        <w:t>-seq</w:t>
      </w:r>
      <w:r w:rsidRPr="007A724B">
        <w:rPr>
          <w:rFonts w:ascii="Times New Roman" w:hAnsi="Times New Roman" w:cs="Times New Roman"/>
          <w:color w:val="000000" w:themeColor="text1"/>
          <w:sz w:val="21"/>
          <w:szCs w:val="21"/>
        </w:rPr>
        <w:t xml:space="preserve"> methods</w:t>
      </w:r>
      <w:r w:rsidRPr="007A724B">
        <w:rPr>
          <w:rFonts w:ascii="Times New Roman" w:hAnsi="Times New Roman" w:cs="Times New Roman" w:hint="eastAsia"/>
          <w:color w:val="000000" w:themeColor="text1"/>
          <w:sz w:val="21"/>
          <w:szCs w:val="21"/>
        </w:rPr>
        <w:t xml:space="preserve"> in HepG2 cells</w:t>
      </w:r>
      <w:r w:rsidRPr="007A724B">
        <w:rPr>
          <w:rFonts w:ascii="Times New Roman" w:hAnsi="Times New Roman" w:cs="Times New Roman"/>
          <w:color w:val="000000" w:themeColor="text1"/>
          <w:sz w:val="21"/>
          <w:szCs w:val="21"/>
        </w:rPr>
        <w:t xml:space="preserve"> showing read depth around the ATAC</w:t>
      </w:r>
      <w:r w:rsidRPr="007A724B">
        <w:rPr>
          <w:rFonts w:ascii="Times New Roman" w:hAnsi="Times New Roman" w:cs="Times New Roman" w:hint="eastAsia"/>
          <w:color w:val="000000" w:themeColor="text1"/>
          <w:sz w:val="21"/>
          <w:szCs w:val="21"/>
        </w:rPr>
        <w:t>-seq peak</w:t>
      </w:r>
      <w:r w:rsidRPr="007A724B">
        <w:rPr>
          <w:rFonts w:ascii="Times New Roman" w:hAnsi="Times New Roman" w:cs="Times New Roman"/>
          <w:color w:val="000000" w:themeColor="text1"/>
          <w:sz w:val="21"/>
          <w:szCs w:val="21"/>
        </w:rPr>
        <w:t xml:space="preserve"> center (left) and FRiP values (right).</w:t>
      </w:r>
      <w:r w:rsidRPr="007A724B">
        <w:rPr>
          <w:rFonts w:ascii="Times New Roman" w:hAnsi="Times New Roman" w:cs="Times New Roman" w:hint="eastAsia"/>
          <w:color w:val="000000" w:themeColor="text1"/>
          <w:sz w:val="21"/>
          <w:szCs w:val="21"/>
        </w:rPr>
        <w:t xml:space="preserve"> Data for all conditions were obtained by extracting 10 million reads.</w:t>
      </w:r>
    </w:p>
    <w:p w14:paraId="11A8622D" w14:textId="77777777" w:rsidR="002F510E" w:rsidRPr="007A724B" w:rsidRDefault="00000000">
      <w:pPr>
        <w:pStyle w:val="a9"/>
        <w:rPr>
          <w:rFonts w:ascii="Times New Roman" w:hAnsi="Times New Roman" w:cs="Times New Roman"/>
          <w:color w:val="000000" w:themeColor="text1"/>
          <w:sz w:val="21"/>
          <w:szCs w:val="21"/>
          <w:highlight w:val="yellow"/>
        </w:rPr>
      </w:pPr>
      <w:r w:rsidRPr="007A724B">
        <w:rPr>
          <w:rFonts w:ascii="Times New Roman" w:hAnsi="Times New Roman" w:cs="Times New Roman" w:hint="eastAsia"/>
          <w:b/>
          <w:bCs/>
          <w:color w:val="000000" w:themeColor="text1"/>
          <w:sz w:val="21"/>
          <w:szCs w:val="21"/>
        </w:rPr>
        <w:t>D.</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 w:val="21"/>
          <w:szCs w:val="21"/>
        </w:rPr>
        <w:t xml:space="preserve">Comparison of cFOOT-ATAC-seq </w:t>
      </w:r>
      <w:r w:rsidRPr="007A724B">
        <w:rPr>
          <w:rFonts w:ascii="Times New Roman" w:hAnsi="Times New Roman" w:cs="Times New Roman" w:hint="eastAsia"/>
          <w:color w:val="000000" w:themeColor="text1"/>
          <w:sz w:val="21"/>
          <w:szCs w:val="21"/>
        </w:rPr>
        <w:t>(29%)</w:t>
      </w:r>
      <w:r w:rsidRPr="007A724B">
        <w:rPr>
          <w:rFonts w:ascii="Times New Roman" w:hAnsi="Times New Roman" w:cs="Times New Roman"/>
          <w:color w:val="000000" w:themeColor="text1"/>
          <w:sz w:val="21"/>
          <w:szCs w:val="21"/>
        </w:rPr>
        <w:t xml:space="preserve"> depth at ATAC-seq peak center with different conversion rates in K562 cells (left), and the corresponding FRiP values (right). Data for all conditions were obtained by extracting 10 million reads.</w:t>
      </w:r>
    </w:p>
    <w:p w14:paraId="03CB217B" w14:textId="77777777" w:rsidR="002F510E" w:rsidRPr="007A724B" w:rsidRDefault="00000000">
      <w:pPr>
        <w:pStyle w:val="a9"/>
        <w:numPr>
          <w:ilvl w:val="0"/>
          <w:numId w:val="1"/>
        </w:numPr>
        <w:rPr>
          <w:rFonts w:ascii="Times New Roman" w:hAnsi="Times New Roman" w:cs="Times New Roman"/>
          <w:color w:val="000000" w:themeColor="text1"/>
          <w:sz w:val="21"/>
          <w:szCs w:val="21"/>
        </w:rPr>
      </w:pPr>
      <w:r w:rsidRPr="007A724B">
        <w:rPr>
          <w:rFonts w:ascii="Times New Roman" w:hAnsi="Times New Roman" w:cs="Times New Roman"/>
          <w:color w:val="000000" w:themeColor="text1"/>
          <w:sz w:val="21"/>
          <w:szCs w:val="21"/>
        </w:rPr>
        <w:t xml:space="preserve">Violin plots showing TFOS scores (left) and the proportion of sites with positive FOS for each TF (right) under different genomic conversion rates in K562 cells using cFOOT-ATAC-seq. The conversion rates are color-coded and labeled at the bottom of each plot. The median </w:t>
      </w:r>
      <w:r w:rsidRPr="007A724B">
        <w:rPr>
          <w:rFonts w:ascii="Times New Roman" w:hAnsi="Times New Roman" w:cs="Times New Roman" w:hint="eastAsia"/>
          <w:color w:val="000000" w:themeColor="text1"/>
          <w:sz w:val="21"/>
          <w:szCs w:val="21"/>
        </w:rPr>
        <w:t>values</w:t>
      </w:r>
      <w:r w:rsidRPr="007A724B">
        <w:rPr>
          <w:rFonts w:ascii="Times New Roman" w:hAnsi="Times New Roman" w:cs="Times New Roman"/>
          <w:color w:val="000000" w:themeColor="text1"/>
          <w:sz w:val="21"/>
          <w:szCs w:val="21"/>
        </w:rPr>
        <w:t xml:space="preserve"> of TFOS and positive FOS ratio for all tested TFs are indicated above each violin plot.</w:t>
      </w:r>
    </w:p>
    <w:p w14:paraId="22D029F3" w14:textId="77777777" w:rsidR="002F510E" w:rsidRPr="007A724B" w:rsidRDefault="00000000">
      <w:pPr>
        <w:spacing w:beforeLines="50" w:before="156"/>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F</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Schematic representation (top) of the calculation for integral width and full-width half-maximum (FWHM) width of TF footprints. The scatter plot (middle) and violin plot (bottom) show the distribution of FWHM width and integral width, respectively, illustrating the resolution of 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DNase</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cFOOT-ATAC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and ATAC-cFOOT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methods in detecting 204 HepG2 TF footprints across </w:t>
      </w:r>
      <w:r w:rsidRPr="007A724B">
        <w:rPr>
          <w:rFonts w:ascii="Times New Roman" w:hAnsi="Times New Roman" w:cs="Times New Roman" w:hint="eastAsia"/>
          <w:color w:val="000000" w:themeColor="text1"/>
          <w:szCs w:val="21"/>
        </w:rPr>
        <w:t xml:space="preserve">different </w:t>
      </w:r>
      <w:r w:rsidRPr="007A724B">
        <w:rPr>
          <w:rFonts w:ascii="Times New Roman" w:hAnsi="Times New Roman" w:cs="Times New Roman"/>
          <w:color w:val="000000" w:themeColor="text1"/>
          <w:szCs w:val="21"/>
        </w:rPr>
        <w:t xml:space="preserve">sequencing depths. The median </w:t>
      </w:r>
      <w:r w:rsidRPr="007A724B">
        <w:rPr>
          <w:rFonts w:ascii="Times New Roman" w:hAnsi="Times New Roman" w:cs="Times New Roman" w:hint="eastAsia"/>
          <w:color w:val="000000" w:themeColor="text1"/>
          <w:szCs w:val="21"/>
        </w:rPr>
        <w:t>values</w:t>
      </w:r>
      <w:r w:rsidRPr="007A724B">
        <w:rPr>
          <w:rFonts w:ascii="Times New Roman" w:hAnsi="Times New Roman" w:cs="Times New Roman"/>
          <w:color w:val="000000" w:themeColor="text1"/>
          <w:szCs w:val="21"/>
        </w:rPr>
        <w:t xml:space="preserve"> of FWHM width and integral width of each tested method are shown above the graphs.</w:t>
      </w:r>
    </w:p>
    <w:p w14:paraId="26E626F2" w14:textId="77777777" w:rsidR="002F510E" w:rsidRPr="007A724B" w:rsidRDefault="00000000">
      <w:pPr>
        <w:spacing w:beforeLines="50" w:before="156"/>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G</w:t>
      </w:r>
      <w:r w:rsidRPr="007A724B">
        <w:rPr>
          <w:rFonts w:ascii="Times New Roman" w:hAnsi="Times New Roman" w:cs="Times New Roman"/>
          <w:b/>
          <w:bCs/>
          <w:color w:val="000000" w:themeColor="text1"/>
          <w:szCs w:val="21"/>
        </w:rPr>
        <w:t>.</w:t>
      </w:r>
      <w:r w:rsidRPr="007A724B">
        <w:rPr>
          <w:rFonts w:ascii="Times New Roman" w:hAnsi="Times New Roman" w:cs="Times New Roman"/>
          <w:color w:val="000000" w:themeColor="text1"/>
          <w:szCs w:val="21"/>
        </w:rPr>
        <w:t xml:space="preserve"> Normalized average conversion rates around ±0.1 kb of </w:t>
      </w:r>
      <w:r w:rsidRPr="007A724B">
        <w:rPr>
          <w:rFonts w:ascii="Times New Roman" w:hAnsi="Times New Roman" w:cs="Times New Roman" w:hint="eastAsia"/>
          <w:color w:val="000000" w:themeColor="text1"/>
          <w:szCs w:val="21"/>
        </w:rPr>
        <w:t>ATF4, CEBPD, HNF1A, FOXA1</w:t>
      </w:r>
      <w:r w:rsidRPr="007A724B">
        <w:rPr>
          <w:rFonts w:ascii="Times New Roman" w:hAnsi="Times New Roman" w:cs="Times New Roman"/>
          <w:color w:val="000000" w:themeColor="text1"/>
          <w:szCs w:val="21"/>
        </w:rPr>
        <w:t xml:space="preserve"> motif</w:t>
      </w:r>
      <w:r w:rsidRPr="007A724B">
        <w:rPr>
          <w:rFonts w:ascii="Times New Roman" w:hAnsi="Times New Roman" w:cs="Times New Roman" w:hint="eastAsia"/>
          <w:color w:val="000000" w:themeColor="text1"/>
          <w:szCs w:val="21"/>
        </w:rPr>
        <w:t xml:space="preserve"> center</w:t>
      </w:r>
      <w:r w:rsidRPr="007A724B">
        <w:rPr>
          <w:rFonts w:ascii="Times New Roman" w:hAnsi="Times New Roman" w:cs="Times New Roman"/>
          <w:color w:val="000000" w:themeColor="text1"/>
          <w:szCs w:val="21"/>
        </w:rPr>
        <w:t xml:space="preserve"> in HepG2 cells. The plot compares the ability of 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DNase</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cFOOT-ATAC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and ATAC-cFOOT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methods to detect these </w:t>
      </w:r>
      <w:r w:rsidRPr="007A724B">
        <w:rPr>
          <w:rFonts w:ascii="Times New Roman" w:hAnsi="Times New Roman" w:cs="Times New Roman" w:hint="eastAsia"/>
          <w:color w:val="000000" w:themeColor="text1"/>
          <w:szCs w:val="21"/>
        </w:rPr>
        <w:t xml:space="preserve">four </w:t>
      </w:r>
      <w:r w:rsidRPr="007A724B">
        <w:rPr>
          <w:rFonts w:ascii="Times New Roman" w:hAnsi="Times New Roman" w:cs="Times New Roman"/>
          <w:color w:val="000000" w:themeColor="text1"/>
          <w:szCs w:val="21"/>
        </w:rPr>
        <w:t xml:space="preserve">TF footprints under different </w:t>
      </w:r>
      <w:r w:rsidRPr="007A724B">
        <w:rPr>
          <w:rFonts w:ascii="Times New Roman" w:hAnsi="Times New Roman" w:cs="Times New Roman" w:hint="eastAsia"/>
          <w:color w:val="000000" w:themeColor="text1"/>
          <w:szCs w:val="21"/>
        </w:rPr>
        <w:t>reads number</w:t>
      </w:r>
      <w:r w:rsidRPr="007A724B">
        <w:rPr>
          <w:rFonts w:ascii="Times New Roman" w:hAnsi="Times New Roman" w:cs="Times New Roman"/>
          <w:color w:val="000000" w:themeColor="text1"/>
          <w:szCs w:val="21"/>
        </w:rPr>
        <w:t xml:space="preserve"> (0.33 M, 1.65 M, 13.20 M)</w:t>
      </w:r>
      <w:r w:rsidRPr="007A724B">
        <w:rPr>
          <w:rFonts w:ascii="Times New Roman" w:hAnsi="Times New Roman" w:cs="Times New Roman" w:hint="eastAsia"/>
          <w:color w:val="000000" w:themeColor="text1"/>
          <w:szCs w:val="21"/>
        </w:rPr>
        <w:t>.</w:t>
      </w:r>
      <w:r w:rsidRPr="007A724B">
        <w:rPr>
          <w:rFonts w:ascii="Times New Roman" w:hAnsi="Times New Roman" w:cs="Times New Roman"/>
          <w:color w:val="000000" w:themeColor="text1"/>
          <w:szCs w:val="21"/>
        </w:rPr>
        <w:t xml:space="preserve"> The signal of ATAC-seq with 0.33 M is not available due to lo</w:t>
      </w:r>
      <w:r w:rsidRPr="007A724B">
        <w:rPr>
          <w:rFonts w:ascii="Times New Roman" w:hAnsi="Times New Roman" w:cs="Times New Roman" w:hint="eastAsia"/>
          <w:color w:val="000000" w:themeColor="text1"/>
          <w:szCs w:val="21"/>
        </w:rPr>
        <w:t>w reads number</w:t>
      </w:r>
    </w:p>
    <w:p w14:paraId="6670D952" w14:textId="77777777" w:rsidR="002F510E" w:rsidRPr="007A724B" w:rsidRDefault="00000000">
      <w:pPr>
        <w:spacing w:beforeLines="50" w:before="156"/>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H</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Area under the ROC curve (AUC) for both strategies (S1 and S2) using local and global background modes. Results are shown for cFOOT-seq (left), cFOOT-ATAC-seq (middle), and ATAC-cFOOT-seq (right) of HepG2.</w:t>
      </w:r>
    </w:p>
    <w:p w14:paraId="3F4E8C7D" w14:textId="31081CC6" w:rsidR="002F510E" w:rsidRPr="007A724B" w:rsidRDefault="00000000">
      <w:pPr>
        <w:spacing w:beforeLines="50" w:before="156"/>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I-L.</w:t>
      </w:r>
      <w:r w:rsidR="001B5B79" w:rsidRPr="007A724B">
        <w:rPr>
          <w:rFonts w:ascii="Times New Roman" w:hAnsi="Times New Roman" w:cs="Times New Roman" w:hint="eastAsia"/>
          <w:b/>
          <w:bCs/>
          <w:color w:val="000000" w:themeColor="text1"/>
          <w:szCs w:val="21"/>
        </w:rPr>
        <w:t xml:space="preserve"> </w:t>
      </w:r>
      <w:r w:rsidR="001B5B79" w:rsidRPr="007A724B">
        <w:rPr>
          <w:rFonts w:ascii="Times New Roman" w:hAnsi="Times New Roman" w:cs="Times New Roman"/>
          <w:color w:val="000000" w:themeColor="text1"/>
          <w:szCs w:val="21"/>
        </w:rPr>
        <w:t xml:space="preserve">Density distributions of de novo predicted footprints (per 200 bp) by FootTrack in open chromatin regions (OCRs, defined by ATAC-seq), </w:t>
      </w:r>
      <w:r w:rsidR="008F48BC" w:rsidRPr="007A724B">
        <w:rPr>
          <w:rFonts w:ascii="Times New Roman" w:hAnsi="Times New Roman" w:cs="Times New Roman"/>
          <w:color w:val="000000" w:themeColor="text1"/>
          <w:szCs w:val="21"/>
        </w:rPr>
        <w:t>with comparisons between</w:t>
      </w:r>
      <w:r w:rsidR="001B5B79" w:rsidRPr="007A724B">
        <w:rPr>
          <w:rFonts w:ascii="Times New Roman" w:hAnsi="Times New Roman" w:cs="Times New Roman"/>
          <w:color w:val="000000" w:themeColor="text1"/>
          <w:szCs w:val="21"/>
        </w:rPr>
        <w:t xml:space="preserve"> promoter-associated and enhancer-associated OCRs in HepG2 cFOOT-seq (I), HepG2 cFOOT-ATAC-seq (J), K562 cFOOT-seq (K), and R1 cFOOT-seq (L).</w:t>
      </w:r>
    </w:p>
    <w:p w14:paraId="4263E828" w14:textId="2816AAB3" w:rsidR="002F510E" w:rsidRPr="007A724B" w:rsidRDefault="00000000" w:rsidP="00F67879">
      <w:pPr>
        <w:spacing w:beforeLines="50" w:before="156"/>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M-O.</w:t>
      </w:r>
      <w:r w:rsidRPr="007A724B">
        <w:rPr>
          <w:rFonts w:ascii="Times New Roman" w:hAnsi="Times New Roman" w:cs="Times New Roman"/>
          <w:color w:val="000000" w:themeColor="text1"/>
          <w:szCs w:val="21"/>
        </w:rPr>
        <w:t xml:space="preserve"> </w:t>
      </w:r>
      <w:r w:rsidR="008F48BC" w:rsidRPr="007A724B">
        <w:rPr>
          <w:rFonts w:ascii="Times New Roman" w:hAnsi="Times New Roman" w:cs="Times New Roman"/>
          <w:color w:val="000000" w:themeColor="text1"/>
          <w:szCs w:val="21"/>
        </w:rPr>
        <w:t>Pie charts show the proportions of footprints in OCRs with or without known motifs</w:t>
      </w:r>
      <w:r w:rsidRPr="007A724B">
        <w:rPr>
          <w:rFonts w:ascii="Times New Roman" w:hAnsi="Times New Roman" w:cs="Times New Roman"/>
          <w:color w:val="000000" w:themeColor="text1"/>
          <w:szCs w:val="21"/>
        </w:rPr>
        <w:t xml:space="preserve">. Violin plots </w:t>
      </w:r>
      <w:r w:rsidR="008F48BC" w:rsidRPr="007A724B">
        <w:rPr>
          <w:rFonts w:ascii="Times New Roman" w:hAnsi="Times New Roman" w:cs="Times New Roman" w:hint="eastAsia"/>
          <w:color w:val="000000" w:themeColor="text1"/>
          <w:szCs w:val="21"/>
        </w:rPr>
        <w:t>display</w:t>
      </w:r>
      <w:r w:rsidRPr="007A724B">
        <w:rPr>
          <w:rFonts w:ascii="Times New Roman" w:hAnsi="Times New Roman" w:cs="Times New Roman"/>
          <w:color w:val="000000" w:themeColor="text1"/>
          <w:szCs w:val="21"/>
        </w:rPr>
        <w:t xml:space="preserve"> the distributions of footprint lengths (middle) and footprint scores (bottom) </w:t>
      </w:r>
      <w:r w:rsidR="008F48BC" w:rsidRPr="007A724B">
        <w:rPr>
          <w:rFonts w:ascii="Times New Roman" w:hAnsi="Times New Roman" w:cs="Times New Roman"/>
          <w:color w:val="000000" w:themeColor="text1"/>
          <w:szCs w:val="21"/>
        </w:rPr>
        <w:t>for each category in</w:t>
      </w:r>
      <w:r w:rsidRPr="007A724B">
        <w:rPr>
          <w:rFonts w:ascii="Times New Roman" w:hAnsi="Times New Roman" w:cs="Times New Roman"/>
          <w:color w:val="000000" w:themeColor="text1"/>
          <w:szCs w:val="21"/>
        </w:rPr>
        <w:t xml:space="preserve"> HepG2 cFOOT-seq (M), K562 cFOOT-seq (N), and R1 cFOOT-seq (O).</w:t>
      </w:r>
    </w:p>
    <w:p w14:paraId="0DCE0EB1" w14:textId="76A88903" w:rsidR="002F510E" w:rsidRPr="007A724B" w:rsidRDefault="001603D5">
      <w:pPr>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3A9D26E9" wp14:editId="5C5A3DD5">
            <wp:extent cx="5274310" cy="5575300"/>
            <wp:effectExtent l="0" t="0" r="2540" b="6350"/>
            <wp:docPr id="102115506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1155061" name="图片 1021155061"/>
                    <pic:cNvPicPr/>
                  </pic:nvPicPr>
                  <pic:blipFill rotWithShape="1">
                    <a:blip r:embed="rId12"/>
                    <a:srcRect b="25245"/>
                    <a:stretch>
                      <a:fillRect/>
                    </a:stretch>
                  </pic:blipFill>
                  <pic:spPr bwMode="auto">
                    <a:xfrm>
                      <a:off x="0" y="0"/>
                      <a:ext cx="5274310" cy="5575300"/>
                    </a:xfrm>
                    <a:prstGeom prst="rect">
                      <a:avLst/>
                    </a:prstGeom>
                    <a:ln>
                      <a:noFill/>
                    </a:ln>
                    <a:extLst>
                      <a:ext uri="{53640926-AAD7-44D8-BBD7-CCE9431645EC}">
                        <a14:shadowObscured xmlns:a14="http://schemas.microsoft.com/office/drawing/2010/main"/>
                      </a:ext>
                    </a:extLst>
                  </pic:spPr>
                </pic:pic>
              </a:graphicData>
            </a:graphic>
          </wp:inline>
        </w:drawing>
      </w:r>
    </w:p>
    <w:p w14:paraId="35164CB5" w14:textId="77777777" w:rsidR="002F510E" w:rsidRPr="007A724B" w:rsidRDefault="00000000">
      <w:pPr>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Figure S</w:t>
      </w:r>
      <w:r w:rsidRPr="007A724B">
        <w:rPr>
          <w:rFonts w:ascii="Times New Roman" w:hAnsi="Times New Roman" w:cs="Times New Roman" w:hint="eastAsia"/>
          <w:b/>
          <w:bCs/>
          <w:color w:val="000000" w:themeColor="text1"/>
          <w:szCs w:val="21"/>
        </w:rPr>
        <w:t>5</w:t>
      </w:r>
      <w:r w:rsidRPr="007A724B">
        <w:rPr>
          <w:rFonts w:ascii="Times New Roman" w:hAnsi="Times New Roman" w:cs="Times New Roman"/>
          <w:b/>
          <w:bCs/>
          <w:color w:val="000000" w:themeColor="text1"/>
          <w:szCs w:val="21"/>
        </w:rPr>
        <w:t>: Single-molecule and single-cell analysis of cFOOT-seq combinational methods, r</w:t>
      </w:r>
      <w:r w:rsidRPr="007A724B">
        <w:rPr>
          <w:rStyle w:val="ad"/>
          <w:rFonts w:ascii="Times New Roman" w:hAnsi="Times New Roman" w:cs="Times New Roman"/>
          <w:color w:val="000000" w:themeColor="text1"/>
          <w:szCs w:val="21"/>
        </w:rPr>
        <w:t>elated to Figure 2.</w:t>
      </w:r>
      <w:r w:rsidRPr="007A724B">
        <w:rPr>
          <w:rFonts w:ascii="Times New Roman" w:hAnsi="Times New Roman" w:cs="Times New Roman"/>
          <w:b/>
          <w:bCs/>
          <w:color w:val="000000" w:themeColor="text1"/>
          <w:szCs w:val="21"/>
        </w:rPr>
        <w:br/>
      </w:r>
      <w:r w:rsidRPr="007A724B">
        <w:rPr>
          <w:rFonts w:ascii="Times New Roman" w:hAnsi="Times New Roman" w:cs="Times New Roman" w:hint="eastAsia"/>
          <w:b/>
          <w:bCs/>
          <w:color w:val="000000" w:themeColor="text1"/>
          <w:szCs w:val="21"/>
        </w:rPr>
        <w:t>A.</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IGV browser graphics showing profiles of cFOOT-seq, cFOOT-ATAC-seq, ATAC-cFOOT-seq, DNase-seq, and ATAC-seq at a representative site (chr1: 110,338,780–110,339,310) in HepG2 cells. The "cFOOT footprint" track shows footprint scores derived from cFOOT-seq data, while the "DNase footprint" track shows footprint probabilities from DNase-seq data. The five tracks below display the distribution of corrected cutting events for ATAC-seq and DNase-seq, along with the corrected conversion rates for cFOOT-seq, cFOOT-ATAC-seq, and ATAC-cFOOT-seq. The black labels at the bottom highlight motifs identified in ChIP-seq peaks, corresponding to TF binding sites</w:t>
      </w:r>
      <w:r w:rsidRPr="007A724B">
        <w:rPr>
          <w:rFonts w:ascii="Times New Roman" w:hAnsi="Times New Roman" w:cs="Times New Roman"/>
          <w:color w:val="000000" w:themeColor="text1"/>
          <w:szCs w:val="21"/>
        </w:rPr>
        <w:br/>
      </w:r>
      <w:r w:rsidRPr="007A724B">
        <w:rPr>
          <w:rFonts w:ascii="Times New Roman" w:hAnsi="Times New Roman" w:cs="Times New Roman"/>
          <w:b/>
          <w:bCs/>
          <w:color w:val="000000" w:themeColor="text1"/>
          <w:szCs w:val="21"/>
        </w:rPr>
        <w:t>B</w:t>
      </w:r>
      <w:r w:rsidRPr="007A724B">
        <w:rPr>
          <w:rFonts w:ascii="Times New Roman" w:hAnsi="Times New Roman" w:cs="Times New Roman" w:hint="eastAsia"/>
          <w:b/>
          <w:bCs/>
          <w:color w:val="000000" w:themeColor="text1"/>
          <w:szCs w:val="21"/>
        </w:rPr>
        <w:t>.</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IGV browser visualization showing the single-molecule profile of cFOOT-ATAC</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at a representative site (chr6: 41,072,521–41,072,983) in HepG2 cells. The "cFOOT-ATAC footprint" track represents footprint scores calculated from cFOOT-ATAC-seq data, while the "DNase</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footprint" track shows footprint probabilities derived from DNase-seq data. The " cFOOT-ATAC reads" track displays individual mapped reads in this region. Both forward and reverse strands are shown for the three TF motifs (PAX, KLF-SP, and YY1), and categorized into bound and unbound </w:t>
      </w:r>
      <w:r w:rsidRPr="007A724B">
        <w:rPr>
          <w:rFonts w:ascii="Times New Roman" w:hAnsi="Times New Roman" w:cs="Times New Roman"/>
          <w:color w:val="000000" w:themeColor="text1"/>
          <w:szCs w:val="21"/>
        </w:rPr>
        <w:lastRenderedPageBreak/>
        <w:t>states based on conversion rates</w:t>
      </w:r>
      <w:r w:rsidRPr="007A724B">
        <w:rPr>
          <w:rFonts w:ascii="Times New Roman" w:hAnsi="Times New Roman" w:cs="Times New Roman" w:hint="eastAsia"/>
          <w:color w:val="000000" w:themeColor="text1"/>
          <w:szCs w:val="21"/>
        </w:rPr>
        <w:t xml:space="preserve"> at each motif</w:t>
      </w:r>
      <w:r w:rsidRPr="007A724B">
        <w:rPr>
          <w:rFonts w:ascii="Times New Roman" w:hAnsi="Times New Roman" w:cs="Times New Roman"/>
          <w:color w:val="000000" w:themeColor="text1"/>
          <w:szCs w:val="21"/>
        </w:rPr>
        <w:br/>
      </w:r>
      <w:r w:rsidRPr="007A724B">
        <w:rPr>
          <w:rFonts w:ascii="Times New Roman" w:hAnsi="Times New Roman" w:cs="Times New Roman"/>
          <w:b/>
          <w:bCs/>
          <w:color w:val="000000" w:themeColor="text1"/>
          <w:szCs w:val="21"/>
        </w:rPr>
        <w:t>C-D</w:t>
      </w:r>
      <w:r w:rsidRPr="007A724B">
        <w:rPr>
          <w:rFonts w:ascii="Times New Roman" w:hAnsi="Times New Roman" w:cs="Times New Roman" w:hint="eastAsia"/>
          <w:b/>
          <w:bCs/>
          <w:color w:val="000000" w:themeColor="text1"/>
          <w:szCs w:val="21"/>
        </w:rPr>
        <w:t>.</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 xml:space="preserve">IGV browser visualization showing the single-molecule profile of </w:t>
      </w:r>
      <w:proofErr w:type="spellStart"/>
      <w:r w:rsidRPr="007A724B">
        <w:rPr>
          <w:rFonts w:ascii="Times New Roman" w:hAnsi="Times New Roman" w:cs="Times New Roman"/>
          <w:color w:val="000000" w:themeColor="text1"/>
          <w:szCs w:val="21"/>
        </w:rPr>
        <w:t>of</w:t>
      </w:r>
      <w:proofErr w:type="spellEnd"/>
      <w:r w:rsidRPr="007A724B">
        <w:rPr>
          <w:rFonts w:ascii="Times New Roman" w:hAnsi="Times New Roman" w:cs="Times New Roman"/>
          <w:color w:val="000000" w:themeColor="text1"/>
          <w:szCs w:val="21"/>
        </w:rPr>
        <w:t xml:space="preserve"> ATAC-cFOOT</w:t>
      </w:r>
      <w:r w:rsidRPr="007A724B">
        <w:rPr>
          <w:rFonts w:ascii="Times New Roman" w:hAnsi="Times New Roman" w:cs="Times New Roman" w:hint="eastAsia"/>
          <w:color w:val="000000" w:themeColor="text1"/>
          <w:szCs w:val="21"/>
        </w:rPr>
        <w:t>-seq</w:t>
      </w:r>
      <w:r w:rsidRPr="007A724B">
        <w:rPr>
          <w:rFonts w:ascii="Times New Roman" w:hAnsi="Times New Roman" w:cs="Times New Roman"/>
          <w:color w:val="000000" w:themeColor="text1"/>
          <w:szCs w:val="21"/>
        </w:rPr>
        <w:t xml:space="preserve"> data (C) and cFOOT-ATAC data (D) at a representative site (chr1: 110,338,780–110,339,310) in HepG2 cells. The " cFOOT-ATAC footprint" track represents footprint scores calculated from cFOOT-ATAC-seq data, while the "DNase footprint" track shows footprint probabilities derived from DNase-seq data. The " cFOOT-ATAC reads" track displays individual mapped reads in this region. Both forward and reverse strands are shown for the three TF motifs (two E-boxes, and ZBTB33), and categorized into bound and unbound states based on conversion rates</w:t>
      </w:r>
      <w:r w:rsidRPr="007A724B">
        <w:rPr>
          <w:rFonts w:ascii="Times New Roman" w:hAnsi="Times New Roman" w:cs="Times New Roman" w:hint="eastAsia"/>
          <w:color w:val="000000" w:themeColor="text1"/>
          <w:szCs w:val="21"/>
        </w:rPr>
        <w:t xml:space="preserve"> at each motif</w:t>
      </w:r>
    </w:p>
    <w:p w14:paraId="33897C45" w14:textId="52B7B4A3" w:rsidR="00F67879" w:rsidRPr="007A724B" w:rsidRDefault="00000000">
      <w:pPr>
        <w:rPr>
          <w:rFonts w:ascii="Times New Roman" w:hAnsi="Times New Roman" w:cs="Times New Roman"/>
          <w:color w:val="000000" w:themeColor="text1"/>
          <w:szCs w:val="21"/>
        </w:rPr>
      </w:pPr>
      <w:r w:rsidRPr="007A724B">
        <w:rPr>
          <w:rFonts w:ascii="Times New Roman" w:hAnsi="Times New Roman" w:cs="Times New Roman" w:hint="eastAsia"/>
          <w:b/>
          <w:bCs/>
          <w:color w:val="000000" w:themeColor="text1"/>
          <w:szCs w:val="21"/>
        </w:rPr>
        <w:t xml:space="preserve">E. </w:t>
      </w:r>
      <w:r w:rsidRPr="007A724B">
        <w:rPr>
          <w:rFonts w:ascii="Times New Roman" w:hAnsi="Times New Roman" w:cs="Times New Roman"/>
          <w:color w:val="000000" w:themeColor="text1"/>
          <w:szCs w:val="21"/>
        </w:rPr>
        <w:t>Schematic of the experimental workflow for scATAC-cFOOT-seq, including Tn5 fragmentation, deamination, FAC sorting, barcoding, and pooling for library construction.</w:t>
      </w:r>
      <w:r w:rsidRPr="007A724B">
        <w:rPr>
          <w:rFonts w:ascii="Times New Roman" w:hAnsi="Times New Roman" w:cs="Times New Roman"/>
          <w:color w:val="000000" w:themeColor="text1"/>
          <w:szCs w:val="21"/>
        </w:rPr>
        <w:br/>
      </w:r>
      <w:r w:rsidRPr="007A724B">
        <w:rPr>
          <w:rFonts w:ascii="Times New Roman" w:hAnsi="Times New Roman" w:cs="Times New Roman" w:hint="eastAsia"/>
          <w:b/>
          <w:bCs/>
          <w:color w:val="000000" w:themeColor="text1"/>
          <w:szCs w:val="21"/>
        </w:rPr>
        <w:t>F.</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Violin plots showing the distribution of FRiP (fraction of reads in peaks) for single cells in scATAC-cFOOT-seq</w:t>
      </w:r>
      <w:r w:rsidRPr="007A724B">
        <w:rPr>
          <w:rFonts w:ascii="Times New Roman" w:hAnsi="Times New Roman" w:cs="Times New Roman" w:hint="eastAsia"/>
          <w:color w:val="000000" w:themeColor="text1"/>
          <w:szCs w:val="21"/>
        </w:rPr>
        <w:t xml:space="preserve">, 10x </w:t>
      </w:r>
      <w:proofErr w:type="spellStart"/>
      <w:r w:rsidRPr="007A724B">
        <w:rPr>
          <w:rFonts w:ascii="Times New Roman" w:hAnsi="Times New Roman" w:cs="Times New Roman" w:hint="eastAsia"/>
          <w:color w:val="000000" w:themeColor="text1"/>
          <w:szCs w:val="21"/>
        </w:rPr>
        <w:t>snATAC</w:t>
      </w:r>
      <w:proofErr w:type="spellEnd"/>
      <w:r w:rsidRPr="007A724B">
        <w:rPr>
          <w:rFonts w:ascii="Times New Roman" w:hAnsi="Times New Roman" w:cs="Times New Roman" w:hint="eastAsia"/>
          <w:color w:val="000000" w:themeColor="text1"/>
          <w:szCs w:val="21"/>
        </w:rPr>
        <w:t>-seq, ISSAAC-seq and SHARE-seq</w:t>
      </w:r>
      <w:r w:rsidRPr="007A724B">
        <w:rPr>
          <w:rFonts w:ascii="Times New Roman" w:hAnsi="Times New Roman" w:cs="Times New Roman"/>
          <w:color w:val="000000" w:themeColor="text1"/>
          <w:szCs w:val="21"/>
        </w:rPr>
        <w:t xml:space="preserve"> of K562.</w:t>
      </w:r>
      <w:r w:rsidRPr="007A724B">
        <w:rPr>
          <w:rFonts w:ascii="Times New Roman" w:hAnsi="Times New Roman" w:cs="Times New Roman"/>
          <w:color w:val="000000" w:themeColor="text1"/>
          <w:szCs w:val="21"/>
        </w:rPr>
        <w:br/>
      </w:r>
      <w:r w:rsidRPr="007A724B">
        <w:rPr>
          <w:rFonts w:ascii="Times New Roman" w:hAnsi="Times New Roman" w:cs="Times New Roman" w:hint="eastAsia"/>
          <w:b/>
          <w:bCs/>
          <w:color w:val="000000" w:themeColor="text1"/>
          <w:szCs w:val="21"/>
        </w:rPr>
        <w:t>G.</w:t>
      </w:r>
      <w:r w:rsidRPr="007A724B">
        <w:rPr>
          <w:rFonts w:ascii="Times New Roman" w:hAnsi="Times New Roman" w:cs="Times New Roman"/>
          <w:b/>
          <w:bCs/>
          <w:color w:val="000000" w:themeColor="text1"/>
          <w:szCs w:val="21"/>
        </w:rPr>
        <w:t xml:space="preserve"> </w:t>
      </w:r>
      <w:r w:rsidRPr="007A724B">
        <w:rPr>
          <w:rFonts w:ascii="Times New Roman" w:hAnsi="Times New Roman" w:cs="Times New Roman"/>
          <w:color w:val="000000" w:themeColor="text1"/>
          <w:szCs w:val="21"/>
        </w:rPr>
        <w:t>Plot showing the conversion rate at aggregated CTCF (left) and NRF1 (right) binding motifs in individual single cells (gray lines) and the merged data (red line) of K562.</w:t>
      </w:r>
    </w:p>
    <w:p w14:paraId="66420308" w14:textId="1185C853" w:rsidR="002F510E" w:rsidRPr="007A724B" w:rsidRDefault="00F67879" w:rsidP="00F67879">
      <w:pPr>
        <w:widowControl/>
        <w:jc w:val="left"/>
        <w:rPr>
          <w:rFonts w:ascii="Times New Roman" w:hAnsi="Times New Roman" w:cs="Times New Roman"/>
          <w:color w:val="000000" w:themeColor="text1"/>
          <w:szCs w:val="21"/>
        </w:rPr>
      </w:pPr>
      <w:r w:rsidRPr="007A724B">
        <w:rPr>
          <w:rFonts w:ascii="Times New Roman" w:hAnsi="Times New Roman" w:cs="Times New Roman"/>
          <w:color w:val="000000" w:themeColor="text1"/>
          <w:szCs w:val="21"/>
        </w:rPr>
        <w:br w:type="page"/>
      </w:r>
    </w:p>
    <w:p w14:paraId="0D7B3D13" w14:textId="31E0EEA1" w:rsidR="002F510E" w:rsidRPr="007A724B" w:rsidRDefault="00554225">
      <w:pPr>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1D2F68FD" wp14:editId="185EB459">
            <wp:extent cx="5274310" cy="6026150"/>
            <wp:effectExtent l="0" t="0" r="2540" b="0"/>
            <wp:docPr id="129128715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287151" name="图片 1291287151"/>
                    <pic:cNvPicPr/>
                  </pic:nvPicPr>
                  <pic:blipFill rotWithShape="1">
                    <a:blip r:embed="rId13"/>
                    <a:srcRect l="241" t="-85" r="-241" b="19285"/>
                    <a:stretch>
                      <a:fillRect/>
                    </a:stretch>
                  </pic:blipFill>
                  <pic:spPr bwMode="auto">
                    <a:xfrm>
                      <a:off x="0" y="0"/>
                      <a:ext cx="5274310" cy="6026150"/>
                    </a:xfrm>
                    <a:prstGeom prst="rect">
                      <a:avLst/>
                    </a:prstGeom>
                    <a:ln>
                      <a:noFill/>
                    </a:ln>
                    <a:extLst>
                      <a:ext uri="{53640926-AAD7-44D8-BBD7-CCE9431645EC}">
                        <a14:shadowObscured xmlns:a14="http://schemas.microsoft.com/office/drawing/2010/main"/>
                      </a:ext>
                    </a:extLst>
                  </pic:spPr>
                </pic:pic>
              </a:graphicData>
            </a:graphic>
          </wp:inline>
        </w:drawing>
      </w:r>
    </w:p>
    <w:p w14:paraId="4BE2BC59" w14:textId="77777777" w:rsidR="002F510E" w:rsidRPr="007A724B" w:rsidRDefault="00000000">
      <w:pPr>
        <w:rPr>
          <w:rFonts w:ascii="Times New Roman" w:hAnsi="Times New Roman" w:cs="Times New Roman"/>
          <w:b/>
          <w:bCs/>
          <w:color w:val="000000" w:themeColor="text1"/>
          <w:szCs w:val="21"/>
        </w:rPr>
      </w:pPr>
      <w:r w:rsidRPr="007A724B">
        <w:rPr>
          <w:rStyle w:val="ad"/>
          <w:rFonts w:ascii="Times New Roman" w:hAnsi="Times New Roman" w:cs="Times New Roman"/>
          <w:color w:val="000000" w:themeColor="text1"/>
          <w:szCs w:val="21"/>
        </w:rPr>
        <w:t>Figure S</w:t>
      </w:r>
      <w:r w:rsidRPr="007A724B">
        <w:rPr>
          <w:rStyle w:val="ad"/>
          <w:rFonts w:ascii="Times New Roman" w:hAnsi="Times New Roman" w:cs="Times New Roman" w:hint="eastAsia"/>
          <w:color w:val="000000" w:themeColor="text1"/>
          <w:szCs w:val="21"/>
        </w:rPr>
        <w:t>6</w:t>
      </w:r>
      <w:r w:rsidRPr="007A724B">
        <w:rPr>
          <w:rStyle w:val="ad"/>
          <w:rFonts w:ascii="Times New Roman" w:hAnsi="Times New Roman" w:cs="Times New Roman"/>
          <w:color w:val="000000" w:themeColor="text1"/>
          <w:szCs w:val="21"/>
        </w:rPr>
        <w:t>:</w:t>
      </w:r>
      <w:r w:rsidRPr="007A724B">
        <w:rPr>
          <w:rFonts w:ascii="Times New Roman" w:hAnsi="Times New Roman" w:cs="Times New Roman"/>
          <w:b/>
          <w:bCs/>
          <w:color w:val="000000" w:themeColor="text1"/>
          <w:szCs w:val="21"/>
        </w:rPr>
        <w:t xml:space="preserve"> cFOOT-seq quantitatively assess</w:t>
      </w:r>
      <w:r w:rsidRPr="007A724B">
        <w:rPr>
          <w:rFonts w:ascii="Times New Roman" w:hAnsi="Times New Roman" w:cs="Times New Roman" w:hint="eastAsia"/>
          <w:b/>
          <w:bCs/>
          <w:color w:val="000000" w:themeColor="text1"/>
          <w:szCs w:val="21"/>
        </w:rPr>
        <w:t xml:space="preserve"> </w:t>
      </w:r>
      <w:r w:rsidRPr="007A724B">
        <w:rPr>
          <w:rFonts w:ascii="Times New Roman" w:hAnsi="Times New Roman" w:cs="Times New Roman"/>
          <w:b/>
          <w:bCs/>
          <w:color w:val="000000" w:themeColor="text1"/>
          <w:szCs w:val="21"/>
        </w:rPr>
        <w:t xml:space="preserve">the </w:t>
      </w:r>
      <w:r w:rsidRPr="007A724B">
        <w:rPr>
          <w:rFonts w:ascii="Times New Roman" w:hAnsi="Times New Roman" w:cs="Times New Roman" w:hint="eastAsia"/>
          <w:b/>
          <w:bCs/>
          <w:color w:val="000000" w:themeColor="text1"/>
          <w:szCs w:val="21"/>
        </w:rPr>
        <w:t>impact</w:t>
      </w:r>
      <w:r w:rsidRPr="007A724B">
        <w:rPr>
          <w:rFonts w:ascii="Times New Roman" w:hAnsi="Times New Roman" w:cs="Times New Roman"/>
          <w:b/>
          <w:bCs/>
          <w:color w:val="000000" w:themeColor="text1"/>
          <w:szCs w:val="21"/>
        </w:rPr>
        <w:t xml:space="preserve"> of chromatin accessibility, histone modifications, and cofactors on TF occupancy, </w:t>
      </w:r>
      <w:r w:rsidRPr="007A724B">
        <w:rPr>
          <w:rStyle w:val="ad"/>
          <w:rFonts w:ascii="Times New Roman" w:hAnsi="Times New Roman" w:cs="Times New Roman"/>
          <w:color w:val="000000" w:themeColor="text1"/>
          <w:szCs w:val="21"/>
        </w:rPr>
        <w:t>related to Figure 3.</w:t>
      </w:r>
    </w:p>
    <w:p w14:paraId="54606FE2"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A.</w:t>
      </w:r>
      <w:r w:rsidRPr="007A724B">
        <w:rPr>
          <w:rFonts w:ascii="Times New Roman" w:hAnsi="Times New Roman" w:cs="Times New Roman"/>
          <w:color w:val="000000" w:themeColor="text1"/>
          <w:sz w:val="21"/>
          <w:szCs w:val="21"/>
        </w:rPr>
        <w:t xml:space="preserve"> Heatmaps showing TFOS across different chromatin accessibility regions in HepG2 (left, 30%) and K562 (right, 30%) cells. Regions are categorized into closed chromatin regions (CCR) and low, moderate, and high open chromatin regions (OCR). TFs highlighted in orange indicate those with higher TFOS in OCR of HepG2, while TFs highlighted in blue indicate those with higher TFOS in OCR of K562. The color scale represents TFOS depth, with higher values in red and lower values in blue.</w:t>
      </w:r>
    </w:p>
    <w:p w14:paraId="12B10ADE"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B. </w:t>
      </w:r>
      <w:r w:rsidRPr="007A724B">
        <w:rPr>
          <w:rFonts w:ascii="Times New Roman" w:hAnsi="Times New Roman" w:cs="Times New Roman"/>
          <w:color w:val="000000" w:themeColor="text1"/>
          <w:sz w:val="21"/>
          <w:szCs w:val="21"/>
        </w:rPr>
        <w:t>Violin plots illustrating the distribution of TFOS scores in different chromatin accessibility regions (</w:t>
      </w:r>
      <w:r w:rsidRPr="007A724B">
        <w:rPr>
          <w:rFonts w:ascii="Times New Roman" w:hAnsi="Times New Roman" w:cs="Times New Roman" w:hint="eastAsia"/>
          <w:color w:val="000000" w:themeColor="text1"/>
          <w:sz w:val="21"/>
          <w:szCs w:val="21"/>
        </w:rPr>
        <w:t>CCR</w:t>
      </w:r>
      <w:r w:rsidRPr="007A724B">
        <w:rPr>
          <w:rFonts w:ascii="Times New Roman" w:hAnsi="Times New Roman" w:cs="Times New Roman"/>
          <w:color w:val="000000" w:themeColor="text1"/>
          <w:sz w:val="21"/>
          <w:szCs w:val="21"/>
        </w:rPr>
        <w:t>, low, moderate, high</w:t>
      </w:r>
      <w:r w:rsidRPr="007A724B">
        <w:rPr>
          <w:rFonts w:ascii="Times New Roman" w:hAnsi="Times New Roman" w:cs="Times New Roman" w:hint="eastAsia"/>
          <w:color w:val="000000" w:themeColor="text1"/>
          <w:sz w:val="21"/>
          <w:szCs w:val="21"/>
        </w:rPr>
        <w:t xml:space="preserve"> OCR</w:t>
      </w:r>
      <w:r w:rsidRPr="007A724B">
        <w:rPr>
          <w:rFonts w:ascii="Times New Roman" w:hAnsi="Times New Roman" w:cs="Times New Roman"/>
          <w:color w:val="000000" w:themeColor="text1"/>
          <w:sz w:val="21"/>
          <w:szCs w:val="21"/>
        </w:rPr>
        <w:t>) for HepG2 (left) and K562 (right) cells. The median TFOS</w:t>
      </w:r>
      <w:r w:rsidRPr="007A724B">
        <w:rPr>
          <w:rFonts w:ascii="Times New Roman" w:hAnsi="Times New Roman" w:cs="Times New Roman" w:hint="eastAsia"/>
          <w:color w:val="000000" w:themeColor="text1"/>
          <w:sz w:val="21"/>
          <w:szCs w:val="21"/>
        </w:rPr>
        <w:t xml:space="preserve"> values</w:t>
      </w:r>
      <w:r w:rsidRPr="007A724B">
        <w:rPr>
          <w:rFonts w:ascii="Times New Roman" w:hAnsi="Times New Roman" w:cs="Times New Roman"/>
          <w:color w:val="000000" w:themeColor="text1"/>
          <w:sz w:val="21"/>
          <w:szCs w:val="21"/>
        </w:rPr>
        <w:t xml:space="preserve"> for each </w:t>
      </w:r>
      <w:proofErr w:type="spellStart"/>
      <w:r w:rsidRPr="007A724B">
        <w:rPr>
          <w:rFonts w:ascii="Times New Roman" w:hAnsi="Times New Roman" w:cs="Times New Roman"/>
          <w:color w:val="000000" w:themeColor="text1"/>
          <w:sz w:val="21"/>
          <w:szCs w:val="21"/>
        </w:rPr>
        <w:t>regioon</w:t>
      </w:r>
      <w:proofErr w:type="spellEnd"/>
      <w:r w:rsidRPr="007A724B">
        <w:rPr>
          <w:rFonts w:ascii="Times New Roman" w:hAnsi="Times New Roman" w:cs="Times New Roman"/>
          <w:color w:val="000000" w:themeColor="text1"/>
          <w:sz w:val="21"/>
          <w:szCs w:val="21"/>
        </w:rPr>
        <w:t xml:space="preserve"> are indicated above each violin plot.</w:t>
      </w:r>
    </w:p>
    <w:p w14:paraId="2CFAB15A"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lastRenderedPageBreak/>
        <w:t>C.</w:t>
      </w:r>
      <w:r w:rsidRPr="007A724B">
        <w:rPr>
          <w:rFonts w:ascii="Times New Roman" w:hAnsi="Times New Roman" w:cs="Times New Roman"/>
          <w:color w:val="000000" w:themeColor="text1"/>
          <w:sz w:val="21"/>
          <w:szCs w:val="21"/>
        </w:rPr>
        <w:t xml:space="preserve"> Scatter plot showing the correlation between TFOS differences of OCR and CCR for each transcription factor in HepG2 and K562 cells. (n=</w:t>
      </w:r>
      <w:r w:rsidRPr="007A724B">
        <w:rPr>
          <w:rFonts w:ascii="Times New Roman" w:hAnsi="Times New Roman" w:cs="Times New Roman" w:hint="eastAsia"/>
          <w:color w:val="000000" w:themeColor="text1"/>
          <w:sz w:val="21"/>
          <w:szCs w:val="21"/>
        </w:rPr>
        <w:t>89</w:t>
      </w:r>
      <w:r w:rsidRPr="007A724B">
        <w:rPr>
          <w:rFonts w:ascii="Times New Roman" w:hAnsi="Times New Roman" w:cs="Times New Roman"/>
          <w:color w:val="000000" w:themeColor="text1"/>
          <w:sz w:val="21"/>
          <w:szCs w:val="21"/>
        </w:rPr>
        <w:t>, R=0.7</w:t>
      </w:r>
      <w:r w:rsidRPr="007A724B">
        <w:rPr>
          <w:rFonts w:ascii="Times New Roman" w:hAnsi="Times New Roman" w:cs="Times New Roman" w:hint="eastAsia"/>
          <w:color w:val="000000" w:themeColor="text1"/>
          <w:sz w:val="21"/>
          <w:szCs w:val="21"/>
        </w:rPr>
        <w:t>9</w:t>
      </w:r>
      <w:r w:rsidRPr="007A724B">
        <w:rPr>
          <w:rFonts w:ascii="Times New Roman" w:hAnsi="Times New Roman" w:cs="Times New Roman"/>
          <w:color w:val="000000" w:themeColor="text1"/>
          <w:sz w:val="21"/>
          <w:szCs w:val="21"/>
        </w:rPr>
        <w:t>, p &lt; 2.2e-16).</w:t>
      </w:r>
    </w:p>
    <w:p w14:paraId="2872A735"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D. </w:t>
      </w:r>
      <w:r w:rsidRPr="007A724B">
        <w:rPr>
          <w:rFonts w:ascii="Times New Roman" w:hAnsi="Times New Roman" w:cs="Times New Roman"/>
          <w:color w:val="000000" w:themeColor="text1"/>
          <w:sz w:val="21"/>
          <w:szCs w:val="21"/>
        </w:rPr>
        <w:t>Average profiles and heatmaps displaying corrected DNA conversion rates around the motif centers for HNF4G and GATA2 binding sites</w:t>
      </w:r>
      <w:r w:rsidRPr="007A724B">
        <w:rPr>
          <w:rFonts w:ascii="Times New Roman" w:hAnsi="Times New Roman" w:cs="Times New Roman" w:hint="eastAsia"/>
          <w:color w:val="000000" w:themeColor="text1"/>
          <w:sz w:val="21"/>
          <w:szCs w:val="21"/>
        </w:rPr>
        <w:t xml:space="preserve"> defined by ChIP-seq</w:t>
      </w:r>
      <w:r w:rsidRPr="007A724B">
        <w:rPr>
          <w:rFonts w:ascii="Times New Roman" w:hAnsi="Times New Roman" w:cs="Times New Roman"/>
          <w:color w:val="000000" w:themeColor="text1"/>
          <w:sz w:val="21"/>
          <w:szCs w:val="21"/>
        </w:rPr>
        <w:t xml:space="preserve"> in HepG2 and K562 cells. The differences in conversion patterns between HepG2 and K562 cells indicate cell type-specific flanking chromatin accessibility and TF occupancy around the motif centers for HNF4G and GATA2</w:t>
      </w:r>
    </w:p>
    <w:p w14:paraId="53C9D7B2" w14:textId="77777777" w:rsidR="00F67879" w:rsidRPr="007A724B" w:rsidRDefault="00F67879" w:rsidP="00F67879">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E.</w:t>
      </w:r>
      <w:r w:rsidRPr="007A724B">
        <w:rPr>
          <w:rFonts w:ascii="Times New Roman" w:hAnsi="Times New Roman" w:cs="Times New Roman"/>
          <w:color w:val="000000" w:themeColor="text1"/>
          <w:sz w:val="21"/>
          <w:szCs w:val="21"/>
        </w:rPr>
        <w:t xml:space="preserve"> Average profiles showing ATAC-seq reads depth (left) or corrected DNA conversion rates (middle) around ZBED4 and EGR1 binding sites in HepG2 cells, and the density distribution of distances between EGR1 and ZBED4 motif centers (right).</w:t>
      </w:r>
    </w:p>
    <w:p w14:paraId="0164BD28" w14:textId="77777777" w:rsidR="00F67879" w:rsidRPr="007A724B" w:rsidRDefault="00F67879" w:rsidP="00F67879">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F</w:t>
      </w:r>
      <w:r w:rsidRPr="007A724B">
        <w:rPr>
          <w:rFonts w:ascii="Times New Roman" w:hAnsi="Times New Roman" w:cs="Times New Roman"/>
          <w:color w:val="000000" w:themeColor="text1"/>
          <w:sz w:val="21"/>
          <w:szCs w:val="21"/>
        </w:rPr>
        <w:t>. Average profiles showing ATAC-seq reads depth (left) or corrected DNA conversion rates (middle) around MAZ and SP1 binding sites in K562 cells, and the density distribution of distances between MAZ and SP1 motif centers (right).</w:t>
      </w:r>
    </w:p>
    <w:p w14:paraId="10B953D1" w14:textId="77777777" w:rsidR="00F67879" w:rsidRPr="007A724B" w:rsidRDefault="00F67879" w:rsidP="00F67879">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G</w:t>
      </w:r>
      <w:r w:rsidRPr="007A724B">
        <w:rPr>
          <w:rFonts w:ascii="Times New Roman" w:hAnsi="Times New Roman" w:cs="Times New Roman"/>
          <w:color w:val="000000" w:themeColor="text1"/>
          <w:sz w:val="21"/>
          <w:szCs w:val="21"/>
        </w:rPr>
        <w:t>. Average profiles showing ATAC-seq reads depth (left) or corrected DNA conversion rates (middle) around ZNF143 and THAP11 binding sites in R1 cells, and the density distribution of distances between ZNF143 and THAP11 motif centers (right).</w:t>
      </w:r>
    </w:p>
    <w:p w14:paraId="30D139D1" w14:textId="77777777" w:rsidR="00F67879" w:rsidRPr="007A724B" w:rsidRDefault="00F67879" w:rsidP="00F67879">
      <w:pPr>
        <w:pStyle w:val="a9"/>
        <w:spacing w:beforeLines="50" w:before="156" w:beforeAutospacing="0" w:after="0" w:afterAutospacing="0"/>
        <w:jc w:val="both"/>
        <w:rPr>
          <w:rFonts w:ascii="Times New Roman" w:hAnsi="Times New Roman" w:cs="Times New Roman"/>
          <w:color w:val="000000" w:themeColor="text1"/>
          <w:sz w:val="21"/>
          <w:szCs w:val="21"/>
          <w:highlight w:val="yellow"/>
        </w:rPr>
      </w:pPr>
      <w:r w:rsidRPr="007A724B">
        <w:rPr>
          <w:rFonts w:ascii="Times New Roman" w:hAnsi="Times New Roman" w:cs="Times New Roman"/>
          <w:b/>
          <w:bCs/>
          <w:color w:val="000000" w:themeColor="text1"/>
          <w:sz w:val="21"/>
          <w:szCs w:val="21"/>
        </w:rPr>
        <w:t xml:space="preserve">H-I. </w:t>
      </w:r>
      <w:r w:rsidRPr="007A724B">
        <w:rPr>
          <w:rFonts w:ascii="Times New Roman" w:hAnsi="Times New Roman" w:cs="Times New Roman"/>
          <w:color w:val="000000" w:themeColor="text1"/>
          <w:sz w:val="21"/>
          <w:szCs w:val="21"/>
        </w:rPr>
        <w:t>Average profiles showing corrected DNA conversion rate (left) and ChIP-seq signal (right) around ATF3 (</w:t>
      </w:r>
      <w:r w:rsidRPr="007A724B">
        <w:rPr>
          <w:rFonts w:ascii="Times New Roman" w:hAnsi="Times New Roman" w:cs="Times New Roman"/>
          <w:b/>
          <w:bCs/>
          <w:color w:val="000000" w:themeColor="text1"/>
          <w:sz w:val="21"/>
          <w:szCs w:val="21"/>
        </w:rPr>
        <w:t>H</w:t>
      </w:r>
      <w:r w:rsidRPr="007A724B">
        <w:rPr>
          <w:rFonts w:ascii="Times New Roman" w:hAnsi="Times New Roman" w:cs="Times New Roman"/>
          <w:color w:val="000000" w:themeColor="text1"/>
          <w:sz w:val="21"/>
          <w:szCs w:val="21"/>
        </w:rPr>
        <w:t>) and CTCF (</w:t>
      </w:r>
      <w:r w:rsidRPr="007A724B">
        <w:rPr>
          <w:rFonts w:ascii="Times New Roman" w:hAnsi="Times New Roman" w:cs="Times New Roman"/>
          <w:b/>
          <w:bCs/>
          <w:color w:val="000000" w:themeColor="text1"/>
          <w:sz w:val="21"/>
          <w:szCs w:val="21"/>
        </w:rPr>
        <w:t>I</w:t>
      </w:r>
      <w:r w:rsidRPr="007A724B">
        <w:rPr>
          <w:rFonts w:ascii="Times New Roman" w:hAnsi="Times New Roman" w:cs="Times New Roman"/>
          <w:color w:val="000000" w:themeColor="text1"/>
          <w:sz w:val="21"/>
          <w:szCs w:val="21"/>
        </w:rPr>
        <w:t>) binding sites in K562 cells. Binding sites were defined by ChIP-seq of each TF. Both cFOOT-seq and ChIP-seq signals are shown separately for regions marked by different combinations of histone modifications (H3K4me1</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xml:space="preserve"> H3K27ac</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H3K4me1</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xml:space="preserve"> H3K27ac</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H3K4me3</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xml:space="preserve"> H3K27ac</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and H3K4me3</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xml:space="preserve"> H3K27ac</w:t>
      </w:r>
      <w:r w:rsidRPr="007A724B">
        <w:rPr>
          <w:rFonts w:ascii="Times New Roman" w:hAnsi="Times New Roman" w:cs="Times New Roman"/>
          <w:color w:val="000000" w:themeColor="text1"/>
          <w:sz w:val="21"/>
          <w:szCs w:val="21"/>
          <w:vertAlign w:val="superscript"/>
        </w:rPr>
        <w:t>+</w:t>
      </w:r>
      <w:r w:rsidRPr="007A724B">
        <w:rPr>
          <w:rFonts w:ascii="Times New Roman" w:hAnsi="Times New Roman" w:cs="Times New Roman"/>
          <w:color w:val="000000" w:themeColor="text1"/>
          <w:sz w:val="21"/>
          <w:szCs w:val="21"/>
        </w:rPr>
        <w:t>) of K562 cells.</w:t>
      </w:r>
    </w:p>
    <w:p w14:paraId="338831C1" w14:textId="77777777" w:rsidR="002F510E" w:rsidRPr="007A724B" w:rsidRDefault="00000000">
      <w:pPr>
        <w:widowControl/>
        <w:jc w:val="left"/>
        <w:rPr>
          <w:rFonts w:ascii="Times New Roman" w:eastAsia="宋体" w:hAnsi="Times New Roman" w:cs="Times New Roman"/>
          <w:color w:val="000000" w:themeColor="text1"/>
          <w:kern w:val="0"/>
          <w:szCs w:val="21"/>
        </w:rPr>
      </w:pPr>
      <w:r w:rsidRPr="007A724B">
        <w:rPr>
          <w:rFonts w:ascii="Times New Roman" w:hAnsi="Times New Roman" w:cs="Times New Roman"/>
          <w:color w:val="000000" w:themeColor="text1"/>
          <w:szCs w:val="21"/>
        </w:rPr>
        <w:br w:type="page"/>
      </w:r>
    </w:p>
    <w:p w14:paraId="0AE989BD" w14:textId="2F3B530A" w:rsidR="002F510E" w:rsidRPr="007A724B" w:rsidRDefault="00554225">
      <w:pPr>
        <w:widowControl/>
        <w:spacing w:beforeLines="50" w:before="156"/>
        <w:outlineLvl w:val="2"/>
        <w:rPr>
          <w:rFonts w:ascii="Times New Roman" w:hAnsi="Times New Roman" w:cs="Times New Roman"/>
          <w:b/>
          <w:bCs/>
          <w:color w:val="000000" w:themeColor="text1"/>
          <w:szCs w:val="21"/>
        </w:rPr>
      </w:pPr>
      <w:r w:rsidRPr="007A724B">
        <w:rPr>
          <w:rFonts w:ascii="Times New Roman" w:hAnsi="Times New Roman" w:cs="Times New Roman"/>
          <w:b/>
          <w:bCs/>
          <w:noProof/>
          <w:color w:val="000000" w:themeColor="text1"/>
          <w:szCs w:val="21"/>
        </w:rPr>
        <w:lastRenderedPageBreak/>
        <w:drawing>
          <wp:inline distT="0" distB="0" distL="0" distR="0" wp14:anchorId="11ED7DED" wp14:editId="0854DA9D">
            <wp:extent cx="5274310" cy="5022850"/>
            <wp:effectExtent l="0" t="0" r="2540" b="6350"/>
            <wp:docPr id="47713984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139845" name="图片 477139845"/>
                    <pic:cNvPicPr/>
                  </pic:nvPicPr>
                  <pic:blipFill rotWithShape="1">
                    <a:blip r:embed="rId14"/>
                    <a:srcRect b="32652"/>
                    <a:stretch>
                      <a:fillRect/>
                    </a:stretch>
                  </pic:blipFill>
                  <pic:spPr bwMode="auto">
                    <a:xfrm>
                      <a:off x="0" y="0"/>
                      <a:ext cx="5274310" cy="5022850"/>
                    </a:xfrm>
                    <a:prstGeom prst="rect">
                      <a:avLst/>
                    </a:prstGeom>
                    <a:ln>
                      <a:noFill/>
                    </a:ln>
                    <a:extLst>
                      <a:ext uri="{53640926-AAD7-44D8-BBD7-CCE9431645EC}">
                        <a14:shadowObscured xmlns:a14="http://schemas.microsoft.com/office/drawing/2010/main"/>
                      </a:ext>
                    </a:extLst>
                  </pic:spPr>
                </pic:pic>
              </a:graphicData>
            </a:graphic>
          </wp:inline>
        </w:drawing>
      </w:r>
    </w:p>
    <w:p w14:paraId="3C55DC38" w14:textId="77777777" w:rsidR="002F510E" w:rsidRPr="007A724B" w:rsidRDefault="00000000">
      <w:pPr>
        <w:widowControl/>
        <w:spacing w:beforeLines="50" w:before="156"/>
        <w:outlineLvl w:val="2"/>
        <w:rPr>
          <w:rFonts w:ascii="Times New Roman" w:eastAsia="宋体" w:hAnsi="Times New Roman" w:cs="Times New Roman"/>
          <w:b/>
          <w:bCs/>
          <w:color w:val="000000" w:themeColor="text1"/>
          <w:kern w:val="0"/>
          <w:szCs w:val="21"/>
        </w:rPr>
      </w:pPr>
      <w:r w:rsidRPr="007A724B">
        <w:rPr>
          <w:rFonts w:ascii="Times New Roman" w:eastAsia="宋体" w:hAnsi="Times New Roman" w:cs="Times New Roman"/>
          <w:b/>
          <w:bCs/>
          <w:color w:val="000000" w:themeColor="text1"/>
          <w:kern w:val="0"/>
          <w:szCs w:val="21"/>
        </w:rPr>
        <w:t>Figure S</w:t>
      </w:r>
      <w:r w:rsidRPr="007A724B">
        <w:rPr>
          <w:rFonts w:ascii="Times New Roman" w:eastAsia="宋体" w:hAnsi="Times New Roman" w:cs="Times New Roman" w:hint="eastAsia"/>
          <w:b/>
          <w:bCs/>
          <w:color w:val="000000" w:themeColor="text1"/>
          <w:kern w:val="0"/>
          <w:szCs w:val="21"/>
        </w:rPr>
        <w:t>7</w:t>
      </w:r>
      <w:r w:rsidRPr="007A724B">
        <w:rPr>
          <w:rFonts w:ascii="Times New Roman" w:eastAsia="宋体" w:hAnsi="Times New Roman" w:cs="Times New Roman"/>
          <w:b/>
          <w:bCs/>
          <w:color w:val="000000" w:themeColor="text1"/>
          <w:kern w:val="0"/>
          <w:szCs w:val="21"/>
        </w:rPr>
        <w:t>: Detailed analysis of TF binding differences in MEF and R1, r</w:t>
      </w:r>
      <w:r w:rsidRPr="007A724B">
        <w:rPr>
          <w:rStyle w:val="ad"/>
          <w:rFonts w:ascii="Times New Roman" w:hAnsi="Times New Roman" w:cs="Times New Roman"/>
          <w:color w:val="000000" w:themeColor="text1"/>
          <w:szCs w:val="21"/>
        </w:rPr>
        <w:t>elated to Figure 4.</w:t>
      </w:r>
    </w:p>
    <w:p w14:paraId="44EE31E7"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Cs w:val="21"/>
        </w:rPr>
      </w:pPr>
      <w:r w:rsidRPr="007A724B">
        <w:rPr>
          <w:rFonts w:ascii="Times New Roman" w:hAnsi="Times New Roman" w:cs="Times New Roman"/>
          <w:b/>
          <w:bCs/>
          <w:color w:val="000000" w:themeColor="text1"/>
          <w:szCs w:val="21"/>
        </w:rPr>
        <w:t>A</w:t>
      </w:r>
      <w:r w:rsidRPr="007A724B">
        <w:rPr>
          <w:rFonts w:ascii="Times New Roman" w:hAnsi="Times New Roman" w:cs="Times New Roman"/>
          <w:color w:val="000000" w:themeColor="text1"/>
          <w:sz w:val="21"/>
          <w:szCs w:val="21"/>
        </w:rPr>
        <w:t xml:space="preserve">. Volcano plots showing </w:t>
      </w:r>
      <w:r w:rsidRPr="007A724B">
        <w:rPr>
          <w:rFonts w:ascii="Times New Roman" w:hAnsi="Times New Roman" w:cs="Times New Roman" w:hint="eastAsia"/>
          <w:color w:val="000000" w:themeColor="text1"/>
          <w:sz w:val="21"/>
          <w:szCs w:val="21"/>
        </w:rPr>
        <w:t xml:space="preserve">FootTrack-predicted </w:t>
      </w:r>
      <w:r w:rsidRPr="007A724B">
        <w:rPr>
          <w:rFonts w:ascii="Times New Roman" w:hAnsi="Times New Roman" w:cs="Times New Roman"/>
          <w:color w:val="000000" w:themeColor="text1"/>
          <w:sz w:val="21"/>
          <w:szCs w:val="21"/>
        </w:rPr>
        <w:t xml:space="preserve">TF clusters with differential </w:t>
      </w:r>
      <w:r w:rsidRPr="007A724B">
        <w:rPr>
          <w:rFonts w:ascii="Times New Roman" w:hAnsi="Times New Roman" w:cs="Times New Roman" w:hint="eastAsia"/>
          <w:color w:val="000000" w:themeColor="text1"/>
          <w:sz w:val="21"/>
          <w:szCs w:val="21"/>
        </w:rPr>
        <w:t xml:space="preserve">TF </w:t>
      </w:r>
      <w:r w:rsidRPr="007A724B">
        <w:rPr>
          <w:rFonts w:ascii="Times New Roman" w:hAnsi="Times New Roman" w:cs="Times New Roman"/>
          <w:color w:val="000000" w:themeColor="text1"/>
          <w:sz w:val="21"/>
          <w:szCs w:val="21"/>
        </w:rPr>
        <w:t>binding scores</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between MEF and R1 cells in MEF open regions (left) and R1</w:t>
      </w:r>
      <w:r w:rsidRPr="007A724B">
        <w:rPr>
          <w:rFonts w:ascii="Times New Roman" w:hAnsi="Times New Roman" w:cs="Times New Roman" w:hint="eastAsia"/>
          <w:color w:val="000000" w:themeColor="text1"/>
          <w:sz w:val="21"/>
          <w:szCs w:val="21"/>
        </w:rPr>
        <w:t xml:space="preserve"> </w:t>
      </w:r>
      <w:r w:rsidRPr="007A724B">
        <w:rPr>
          <w:rFonts w:ascii="Times New Roman" w:hAnsi="Times New Roman" w:cs="Times New Roman"/>
          <w:color w:val="000000" w:themeColor="text1"/>
          <w:sz w:val="21"/>
          <w:szCs w:val="21"/>
        </w:rPr>
        <w:t>open regions (right). TFs with significantly upregulated footprint scores in R1 cells are highlighted in red, while those significantly downregulated in R1 are highlighted in blue.</w:t>
      </w:r>
    </w:p>
    <w:p w14:paraId="00FD316E" w14:textId="77777777" w:rsidR="002F510E" w:rsidRPr="007A724B" w:rsidRDefault="00000000">
      <w:pPr>
        <w:pStyle w:val="a9"/>
        <w:rPr>
          <w:rFonts w:ascii="Times New Roman" w:hAnsi="Times New Roman" w:cs="Times New Roman"/>
          <w:color w:val="000000" w:themeColor="text1"/>
          <w:szCs w:val="21"/>
        </w:rPr>
      </w:pPr>
      <w:r w:rsidRPr="007A724B">
        <w:rPr>
          <w:rFonts w:ascii="Times New Roman" w:hAnsi="Times New Roman" w:cs="Times New Roman"/>
          <w:b/>
          <w:bCs/>
          <w:color w:val="000000" w:themeColor="text1"/>
          <w:sz w:val="21"/>
          <w:szCs w:val="21"/>
        </w:rPr>
        <w:t>B</w:t>
      </w:r>
      <w:r w:rsidRPr="007A724B">
        <w:rPr>
          <w:rFonts w:ascii="Times New Roman" w:hAnsi="Times New Roman" w:cs="Times New Roman"/>
          <w:color w:val="000000" w:themeColor="text1"/>
          <w:sz w:val="21"/>
          <w:szCs w:val="21"/>
        </w:rPr>
        <w:t>.</w:t>
      </w:r>
      <w:r w:rsidRPr="007A724B">
        <w:rPr>
          <w:rFonts w:ascii="Times New Roman" w:hAnsi="Times New Roman" w:cs="Times New Roman" w:hint="eastAsia"/>
          <w:color w:val="000000" w:themeColor="text1"/>
          <w:sz w:val="21"/>
          <w:szCs w:val="21"/>
        </w:rPr>
        <w:t xml:space="preserve"> Transcription </w:t>
      </w:r>
      <w:r w:rsidRPr="007A724B">
        <w:rPr>
          <w:rFonts w:ascii="Times New Roman" w:hAnsi="Times New Roman" w:cs="Times New Roman"/>
          <w:color w:val="000000" w:themeColor="text1"/>
          <w:sz w:val="21"/>
          <w:szCs w:val="21"/>
        </w:rPr>
        <w:t>f</w:t>
      </w:r>
      <w:r w:rsidRPr="007A724B">
        <w:rPr>
          <w:rFonts w:ascii="Times New Roman" w:hAnsi="Times New Roman" w:cs="Times New Roman" w:hint="eastAsia"/>
          <w:color w:val="000000" w:themeColor="text1"/>
          <w:sz w:val="21"/>
          <w:szCs w:val="21"/>
        </w:rPr>
        <w:t xml:space="preserve">actor </w:t>
      </w:r>
      <w:r w:rsidRPr="007A724B">
        <w:rPr>
          <w:rFonts w:ascii="Times New Roman" w:hAnsi="Times New Roman" w:cs="Times New Roman"/>
          <w:color w:val="000000" w:themeColor="text1"/>
          <w:sz w:val="21"/>
          <w:szCs w:val="21"/>
        </w:rPr>
        <w:t>c</w:t>
      </w:r>
      <w:r w:rsidRPr="007A724B">
        <w:rPr>
          <w:rFonts w:ascii="Times New Roman" w:hAnsi="Times New Roman" w:cs="Times New Roman" w:hint="eastAsia"/>
          <w:color w:val="000000" w:themeColor="text1"/>
          <w:sz w:val="21"/>
          <w:szCs w:val="21"/>
        </w:rPr>
        <w:t xml:space="preserve">o-occurrence </w:t>
      </w:r>
      <w:r w:rsidRPr="007A724B">
        <w:rPr>
          <w:rFonts w:ascii="Times New Roman" w:hAnsi="Times New Roman" w:cs="Times New Roman"/>
          <w:color w:val="000000" w:themeColor="text1"/>
          <w:sz w:val="21"/>
          <w:szCs w:val="21"/>
        </w:rPr>
        <w:t>n</w:t>
      </w:r>
      <w:r w:rsidRPr="007A724B">
        <w:rPr>
          <w:rFonts w:ascii="Times New Roman" w:hAnsi="Times New Roman" w:cs="Times New Roman" w:hint="eastAsia"/>
          <w:color w:val="000000" w:themeColor="text1"/>
          <w:sz w:val="21"/>
          <w:szCs w:val="21"/>
        </w:rPr>
        <w:t xml:space="preserve">etwork changes Between MEF and R1 Cells. This network diagram illustrates the co-occurring transcription factor (TF) pairs with edges colored based on the cosine log2 fold change (log2fc) between R1 and MEF cells. </w:t>
      </w:r>
      <w:r w:rsidRPr="007A724B">
        <w:rPr>
          <w:rFonts w:ascii="Times New Roman" w:hAnsi="Times New Roman" w:cs="Times New Roman"/>
          <w:color w:val="000000" w:themeColor="text1"/>
          <w:sz w:val="21"/>
          <w:szCs w:val="21"/>
        </w:rPr>
        <w:t>Nodes representing TFs specific to R1 are highlighted in red, while those specific to MEF are highlighted in blue, indicating differential TF associations unique to each cell type.</w:t>
      </w:r>
    </w:p>
    <w:p w14:paraId="0C5DF985" w14:textId="77777777" w:rsidR="002F510E" w:rsidRPr="007A724B" w:rsidRDefault="002F510E">
      <w:pPr>
        <w:rPr>
          <w:rFonts w:ascii="Times New Roman" w:hAnsi="Times New Roman" w:cs="Times New Roman"/>
          <w:color w:val="000000" w:themeColor="text1"/>
          <w:szCs w:val="21"/>
        </w:rPr>
      </w:pPr>
    </w:p>
    <w:p w14:paraId="0C3A0B68" w14:textId="77777777" w:rsidR="002F510E" w:rsidRPr="007A724B" w:rsidRDefault="00000000">
      <w:pPr>
        <w:widowControl/>
        <w:jc w:val="left"/>
        <w:rPr>
          <w:rFonts w:ascii="Times New Roman" w:hAnsi="Times New Roman" w:cs="Times New Roman"/>
          <w:color w:val="000000" w:themeColor="text1"/>
          <w:szCs w:val="21"/>
        </w:rPr>
      </w:pPr>
      <w:r w:rsidRPr="007A724B">
        <w:rPr>
          <w:rFonts w:ascii="Times New Roman" w:hAnsi="Times New Roman" w:cs="Times New Roman"/>
          <w:color w:val="000000" w:themeColor="text1"/>
          <w:szCs w:val="21"/>
        </w:rPr>
        <w:br w:type="page"/>
      </w:r>
    </w:p>
    <w:p w14:paraId="29D45A94" w14:textId="08988DE7" w:rsidR="002F510E" w:rsidRPr="007A724B" w:rsidRDefault="001603D5">
      <w:pPr>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5F887B2F" wp14:editId="241EE30F">
            <wp:extent cx="5274310" cy="4927600"/>
            <wp:effectExtent l="0" t="0" r="2540" b="6350"/>
            <wp:docPr id="165951724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17241" name="图片 1659517241"/>
                    <pic:cNvPicPr/>
                  </pic:nvPicPr>
                  <pic:blipFill rotWithShape="1">
                    <a:blip r:embed="rId15"/>
                    <a:srcRect b="33930"/>
                    <a:stretch>
                      <a:fillRect/>
                    </a:stretch>
                  </pic:blipFill>
                  <pic:spPr bwMode="auto">
                    <a:xfrm>
                      <a:off x="0" y="0"/>
                      <a:ext cx="5274310" cy="4927600"/>
                    </a:xfrm>
                    <a:prstGeom prst="rect">
                      <a:avLst/>
                    </a:prstGeom>
                    <a:ln>
                      <a:noFill/>
                    </a:ln>
                    <a:extLst>
                      <a:ext uri="{53640926-AAD7-44D8-BBD7-CCE9431645EC}">
                        <a14:shadowObscured xmlns:a14="http://schemas.microsoft.com/office/drawing/2010/main"/>
                      </a:ext>
                    </a:extLst>
                  </pic:spPr>
                </pic:pic>
              </a:graphicData>
            </a:graphic>
          </wp:inline>
        </w:drawing>
      </w:r>
    </w:p>
    <w:p w14:paraId="52A3AE07" w14:textId="77777777" w:rsidR="002F510E" w:rsidRPr="007A724B" w:rsidRDefault="00000000">
      <w:pPr>
        <w:rPr>
          <w:rFonts w:ascii="Times New Roman" w:hAnsi="Times New Roman" w:cs="Times New Roman"/>
          <w:b/>
          <w:bCs/>
          <w:color w:val="000000" w:themeColor="text1"/>
          <w:szCs w:val="21"/>
        </w:rPr>
      </w:pPr>
      <w:r w:rsidRPr="007A724B">
        <w:rPr>
          <w:rFonts w:ascii="Times New Roman" w:eastAsia="宋体" w:hAnsi="Times New Roman" w:cs="Times New Roman"/>
          <w:b/>
          <w:bCs/>
          <w:color w:val="000000" w:themeColor="text1"/>
          <w:kern w:val="0"/>
          <w:szCs w:val="21"/>
        </w:rPr>
        <w:t>Figure S</w:t>
      </w:r>
      <w:r w:rsidRPr="007A724B">
        <w:rPr>
          <w:rFonts w:ascii="Times New Roman" w:eastAsia="宋体" w:hAnsi="Times New Roman" w:cs="Times New Roman" w:hint="eastAsia"/>
          <w:b/>
          <w:bCs/>
          <w:color w:val="000000" w:themeColor="text1"/>
          <w:kern w:val="0"/>
          <w:szCs w:val="21"/>
        </w:rPr>
        <w:t>8</w:t>
      </w:r>
      <w:r w:rsidRPr="007A724B">
        <w:rPr>
          <w:rFonts w:ascii="Times New Roman" w:eastAsia="宋体" w:hAnsi="Times New Roman" w:cs="Times New Roman"/>
          <w:b/>
          <w:bCs/>
          <w:color w:val="000000" w:themeColor="text1"/>
          <w:kern w:val="0"/>
          <w:szCs w:val="21"/>
        </w:rPr>
        <w:t xml:space="preserve">: </w:t>
      </w:r>
      <w:r w:rsidRPr="007A724B">
        <w:rPr>
          <w:rFonts w:ascii="Times New Roman" w:hAnsi="Times New Roman" w:cs="Times New Roman"/>
          <w:b/>
          <w:bCs/>
          <w:color w:val="000000" w:themeColor="text1"/>
          <w:szCs w:val="21"/>
        </w:rPr>
        <w:t>cFOOT-seq depicts dynamics of nucleosome organization and TF occupancy in response to inhibition of SWI/SNF, r</w:t>
      </w:r>
      <w:r w:rsidRPr="007A724B">
        <w:rPr>
          <w:rStyle w:val="ad"/>
          <w:rFonts w:ascii="Times New Roman" w:hAnsi="Times New Roman" w:cs="Times New Roman"/>
          <w:color w:val="000000" w:themeColor="text1"/>
          <w:szCs w:val="21"/>
        </w:rPr>
        <w:t>elated to Figure 5.</w:t>
      </w:r>
    </w:p>
    <w:p w14:paraId="6C5824F5" w14:textId="77777777" w:rsidR="002F510E" w:rsidRPr="007A724B" w:rsidRDefault="00000000">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A.</w:t>
      </w:r>
      <w:r w:rsidRPr="007A724B">
        <w:rPr>
          <w:rFonts w:ascii="Times New Roman" w:eastAsia="宋体" w:hAnsi="Times New Roman" w:cs="Times New Roman"/>
          <w:color w:val="000000" w:themeColor="text1"/>
          <w:kern w:val="0"/>
          <w:szCs w:val="21"/>
        </w:rPr>
        <w:t xml:space="preserve"> Schematic representation of BRM014 treatments on </w:t>
      </w:r>
      <w:proofErr w:type="spellStart"/>
      <w:r w:rsidRPr="007A724B">
        <w:rPr>
          <w:rFonts w:ascii="Times New Roman" w:eastAsia="宋体" w:hAnsi="Times New Roman" w:cs="Times New Roman" w:hint="eastAsia"/>
          <w:color w:val="000000" w:themeColor="text1"/>
          <w:kern w:val="0"/>
          <w:szCs w:val="21"/>
        </w:rPr>
        <w:t>mESCs</w:t>
      </w:r>
      <w:proofErr w:type="spellEnd"/>
      <w:r w:rsidRPr="007A724B">
        <w:rPr>
          <w:rFonts w:ascii="Times New Roman" w:eastAsia="宋体" w:hAnsi="Times New Roman" w:cs="Times New Roman" w:hint="eastAsia"/>
          <w:color w:val="000000" w:themeColor="text1"/>
          <w:kern w:val="0"/>
          <w:szCs w:val="21"/>
        </w:rPr>
        <w:t xml:space="preserve"> (OG2 cells)</w:t>
      </w:r>
      <w:r w:rsidRPr="007A724B">
        <w:rPr>
          <w:rFonts w:ascii="Times New Roman" w:eastAsia="宋体" w:hAnsi="Times New Roman" w:cs="Times New Roman"/>
          <w:color w:val="000000" w:themeColor="text1"/>
          <w:kern w:val="0"/>
          <w:szCs w:val="21"/>
        </w:rPr>
        <w:t>.</w:t>
      </w:r>
    </w:p>
    <w:p w14:paraId="0C8ECE6E" w14:textId="77777777" w:rsidR="002F510E" w:rsidRPr="007A724B" w:rsidRDefault="00000000">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B.</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Average profile</w:t>
      </w:r>
      <w:r w:rsidRPr="007A724B">
        <w:rPr>
          <w:rFonts w:ascii="Times New Roman" w:hAnsi="Times New Roman" w:cs="Times New Roman" w:hint="eastAsia"/>
          <w:color w:val="000000" w:themeColor="text1"/>
          <w:szCs w:val="21"/>
        </w:rPr>
        <w:t xml:space="preserve"> </w:t>
      </w:r>
      <w:r w:rsidRPr="007A724B">
        <w:rPr>
          <w:rFonts w:ascii="Times New Roman" w:eastAsia="宋体" w:hAnsi="Times New Roman" w:cs="Times New Roman"/>
          <w:color w:val="000000" w:themeColor="text1"/>
          <w:kern w:val="0"/>
          <w:szCs w:val="21"/>
        </w:rPr>
        <w:t xml:space="preserve">showing normalized DNA conversion rates around </w:t>
      </w:r>
      <w:r w:rsidRPr="007A724B">
        <w:rPr>
          <w:rFonts w:ascii="Times New Roman" w:eastAsia="宋体" w:hAnsi="Times New Roman" w:cs="Times New Roman" w:hint="eastAsia"/>
          <w:color w:val="000000" w:themeColor="text1"/>
          <w:kern w:val="0"/>
          <w:szCs w:val="21"/>
        </w:rPr>
        <w:t>OCR defined by ATAC-seq</w:t>
      </w:r>
      <w:r w:rsidRPr="007A724B">
        <w:rPr>
          <w:rFonts w:ascii="Times New Roman" w:eastAsia="宋体" w:hAnsi="Times New Roman" w:cs="Times New Roman"/>
          <w:color w:val="000000" w:themeColor="text1"/>
          <w:kern w:val="0"/>
          <w:szCs w:val="21"/>
        </w:rPr>
        <w:t xml:space="preserve"> in </w:t>
      </w:r>
      <w:proofErr w:type="spellStart"/>
      <w:r w:rsidRPr="007A724B">
        <w:rPr>
          <w:rFonts w:ascii="Times New Roman" w:eastAsia="宋体" w:hAnsi="Times New Roman" w:cs="Times New Roman" w:hint="eastAsia"/>
          <w:color w:val="000000" w:themeColor="text1"/>
          <w:kern w:val="0"/>
          <w:szCs w:val="21"/>
        </w:rPr>
        <w:t>mESCs</w:t>
      </w:r>
      <w:proofErr w:type="spellEnd"/>
      <w:r w:rsidRPr="007A724B">
        <w:rPr>
          <w:rFonts w:ascii="Times New Roman" w:eastAsia="宋体" w:hAnsi="Times New Roman" w:cs="Times New Roman" w:hint="eastAsia"/>
          <w:color w:val="000000" w:themeColor="text1"/>
          <w:kern w:val="0"/>
          <w:szCs w:val="21"/>
        </w:rPr>
        <w:t xml:space="preserve"> (OG2 cells)</w:t>
      </w:r>
      <w:r w:rsidRPr="007A724B">
        <w:rPr>
          <w:rFonts w:ascii="Times New Roman" w:eastAsia="宋体" w:hAnsi="Times New Roman" w:cs="Times New Roman"/>
          <w:color w:val="000000" w:themeColor="text1"/>
          <w:kern w:val="0"/>
          <w:szCs w:val="21"/>
        </w:rPr>
        <w:t xml:space="preserve"> treated with BRM014 at 0 h </w:t>
      </w:r>
      <w:r w:rsidRPr="007A724B">
        <w:rPr>
          <w:rFonts w:ascii="Times New Roman" w:eastAsia="宋体" w:hAnsi="Times New Roman" w:cs="Times New Roman" w:hint="eastAsia"/>
          <w:color w:val="000000" w:themeColor="text1"/>
          <w:kern w:val="0"/>
          <w:szCs w:val="21"/>
        </w:rPr>
        <w:t>(control, 39%)</w:t>
      </w:r>
      <w:r w:rsidRPr="007A724B">
        <w:rPr>
          <w:rFonts w:ascii="Times New Roman" w:eastAsia="宋体" w:hAnsi="Times New Roman" w:cs="Times New Roman"/>
          <w:color w:val="000000" w:themeColor="text1"/>
          <w:kern w:val="0"/>
          <w:szCs w:val="21"/>
        </w:rPr>
        <w:t xml:space="preserve">, 1 h </w:t>
      </w:r>
      <w:r w:rsidRPr="007A724B">
        <w:rPr>
          <w:rFonts w:ascii="Times New Roman" w:eastAsia="宋体" w:hAnsi="Times New Roman" w:cs="Times New Roman" w:hint="eastAsia"/>
          <w:color w:val="000000" w:themeColor="text1"/>
          <w:kern w:val="0"/>
          <w:szCs w:val="21"/>
        </w:rPr>
        <w:t>(40%)</w:t>
      </w:r>
      <w:r w:rsidRPr="007A724B">
        <w:rPr>
          <w:rFonts w:ascii="Times New Roman" w:eastAsia="宋体" w:hAnsi="Times New Roman" w:cs="Times New Roman"/>
          <w:color w:val="000000" w:themeColor="text1"/>
          <w:kern w:val="0"/>
          <w:szCs w:val="21"/>
        </w:rPr>
        <w:t xml:space="preserve">, and 24 h </w:t>
      </w:r>
      <w:r w:rsidRPr="007A724B">
        <w:rPr>
          <w:rFonts w:ascii="Times New Roman" w:eastAsia="宋体" w:hAnsi="Times New Roman" w:cs="Times New Roman" w:hint="eastAsia"/>
          <w:color w:val="000000" w:themeColor="text1"/>
          <w:kern w:val="0"/>
          <w:szCs w:val="21"/>
        </w:rPr>
        <w:t>(38%)</w:t>
      </w:r>
      <w:r w:rsidRPr="007A724B">
        <w:rPr>
          <w:rFonts w:ascii="Times New Roman" w:eastAsia="宋体" w:hAnsi="Times New Roman" w:cs="Times New Roman"/>
          <w:color w:val="000000" w:themeColor="text1"/>
          <w:kern w:val="0"/>
          <w:szCs w:val="21"/>
        </w:rPr>
        <w:t>.</w:t>
      </w:r>
    </w:p>
    <w:p w14:paraId="5D921C83" w14:textId="77777777" w:rsidR="002F510E" w:rsidRPr="007A724B" w:rsidRDefault="00000000">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C.</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Average profiles</w:t>
      </w:r>
      <w:r w:rsidRPr="007A724B">
        <w:rPr>
          <w:rFonts w:ascii="Times New Roman" w:hAnsi="Times New Roman" w:cs="Times New Roman" w:hint="eastAsia"/>
          <w:color w:val="000000" w:themeColor="text1"/>
          <w:szCs w:val="21"/>
        </w:rPr>
        <w:t xml:space="preserve"> </w:t>
      </w:r>
      <w:r w:rsidRPr="007A724B">
        <w:rPr>
          <w:rFonts w:ascii="Times New Roman" w:eastAsia="宋体" w:hAnsi="Times New Roman" w:cs="Times New Roman"/>
          <w:color w:val="000000" w:themeColor="text1"/>
          <w:kern w:val="0"/>
          <w:szCs w:val="21"/>
        </w:rPr>
        <w:t>and heatmaps showing DNA conversion rates around OCT4, REST, and CTCF binding sites under control conditions and after 24 h BRM014 treatment. OCT4 and REST sites show decreased chromatin accessibility and altered TF footprints, while CTCF sites exhibit minimal change.</w:t>
      </w:r>
    </w:p>
    <w:p w14:paraId="495CC387" w14:textId="77777777" w:rsidR="002F510E" w:rsidRPr="007A724B" w:rsidRDefault="00000000">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D.</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Volcano plots showing</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hint="eastAsia"/>
          <w:color w:val="000000" w:themeColor="text1"/>
          <w:szCs w:val="21"/>
        </w:rPr>
        <w:t>FootTrack-predicted</w:t>
      </w:r>
      <w:r w:rsidRPr="007A724B">
        <w:rPr>
          <w:rFonts w:ascii="Times New Roman" w:hAnsi="Times New Roman" w:cs="Times New Roman"/>
          <w:color w:val="000000" w:themeColor="text1"/>
          <w:szCs w:val="21"/>
        </w:rPr>
        <w:t xml:space="preserve"> TF clusters with differential </w:t>
      </w:r>
      <w:r w:rsidRPr="007A724B">
        <w:rPr>
          <w:rFonts w:ascii="Times New Roman" w:hAnsi="Times New Roman" w:cs="Times New Roman" w:hint="eastAsia"/>
          <w:color w:val="000000" w:themeColor="text1"/>
          <w:szCs w:val="21"/>
        </w:rPr>
        <w:t xml:space="preserve">TF </w:t>
      </w:r>
      <w:r w:rsidRPr="007A724B">
        <w:rPr>
          <w:rFonts w:ascii="Times New Roman" w:hAnsi="Times New Roman" w:cs="Times New Roman"/>
          <w:color w:val="000000" w:themeColor="text1"/>
          <w:szCs w:val="21"/>
        </w:rPr>
        <w:t>binding scores</w:t>
      </w:r>
      <w:r w:rsidRPr="007A724B">
        <w:rPr>
          <w:rFonts w:ascii="Times New Roman" w:hAnsi="Times New Roman" w:cs="Times New Roman" w:hint="eastAsia"/>
          <w:color w:val="000000" w:themeColor="text1"/>
          <w:szCs w:val="21"/>
        </w:rPr>
        <w:t xml:space="preserve"> </w:t>
      </w:r>
      <w:r w:rsidRPr="007A724B">
        <w:rPr>
          <w:rFonts w:ascii="Times New Roman" w:eastAsia="宋体" w:hAnsi="Times New Roman" w:cs="Times New Roman"/>
          <w:color w:val="000000" w:themeColor="text1"/>
          <w:kern w:val="0"/>
          <w:szCs w:val="21"/>
        </w:rPr>
        <w:t>between control and 24 h BRM014-treated OG2 cells at open regions.</w:t>
      </w:r>
      <w:r w:rsidRPr="007A724B">
        <w:rPr>
          <w:rFonts w:ascii="Times New Roman" w:hAnsi="Times New Roman" w:cs="Times New Roman"/>
          <w:color w:val="000000" w:themeColor="text1"/>
          <w:szCs w:val="21"/>
        </w:rPr>
        <w:t xml:space="preserve"> </w:t>
      </w:r>
      <w:r w:rsidRPr="007A724B">
        <w:rPr>
          <w:rFonts w:ascii="Times New Roman" w:eastAsia="宋体" w:hAnsi="Times New Roman" w:cs="Times New Roman"/>
          <w:color w:val="000000" w:themeColor="text1"/>
          <w:kern w:val="0"/>
          <w:szCs w:val="21"/>
        </w:rPr>
        <w:t>TFs with downregulated scores are shown in blue, indicating decreased binding activity.</w:t>
      </w:r>
    </w:p>
    <w:p w14:paraId="06C5E824" w14:textId="77777777" w:rsidR="002F510E" w:rsidRPr="007A724B" w:rsidRDefault="00000000">
      <w:pPr>
        <w:widowControl/>
        <w:spacing w:beforeLines="50" w:before="156"/>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E.</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 xml:space="preserve">Average profiles </w:t>
      </w:r>
      <w:r w:rsidRPr="007A724B">
        <w:rPr>
          <w:rFonts w:ascii="Times New Roman" w:eastAsia="宋体" w:hAnsi="Times New Roman" w:cs="Times New Roman"/>
          <w:color w:val="000000" w:themeColor="text1"/>
          <w:kern w:val="0"/>
          <w:szCs w:val="21"/>
        </w:rPr>
        <w:t>and heatmaps of conversion rates around MYCN</w:t>
      </w:r>
      <w:r w:rsidRPr="007A724B">
        <w:rPr>
          <w:rFonts w:ascii="Times New Roman" w:eastAsia="宋体" w:hAnsi="Times New Roman" w:cs="Times New Roman" w:hint="eastAsia"/>
          <w:color w:val="000000" w:themeColor="text1"/>
          <w:kern w:val="0"/>
          <w:szCs w:val="21"/>
        </w:rPr>
        <w:t xml:space="preserve"> and</w:t>
      </w:r>
      <w:r w:rsidRPr="007A724B">
        <w:rPr>
          <w:rFonts w:ascii="Times New Roman" w:eastAsia="宋体" w:hAnsi="Times New Roman" w:cs="Times New Roman"/>
          <w:color w:val="000000" w:themeColor="text1"/>
          <w:kern w:val="0"/>
          <w:szCs w:val="21"/>
        </w:rPr>
        <w:t xml:space="preserve"> KLF4 binding sites</w:t>
      </w:r>
      <w:r w:rsidRPr="007A724B">
        <w:rPr>
          <w:rFonts w:ascii="Times New Roman" w:eastAsia="宋体" w:hAnsi="Times New Roman" w:cs="Times New Roman" w:hint="eastAsia"/>
          <w:color w:val="000000" w:themeColor="text1"/>
          <w:kern w:val="0"/>
          <w:szCs w:val="21"/>
        </w:rPr>
        <w:t xml:space="preserve"> defined by ChIP-seq </w:t>
      </w:r>
      <w:r w:rsidRPr="007A724B">
        <w:rPr>
          <w:rFonts w:ascii="Times New Roman" w:eastAsia="宋体" w:hAnsi="Times New Roman" w:cs="Times New Roman"/>
          <w:color w:val="000000" w:themeColor="text1"/>
          <w:kern w:val="0"/>
          <w:szCs w:val="21"/>
        </w:rPr>
        <w:t>in OG2 cells treated with BRM014 for 0 h (control) and 24 h, aligned to motif centers and ranked by average conversion rates.</w:t>
      </w:r>
    </w:p>
    <w:p w14:paraId="7167553D"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hint="eastAsia"/>
          <w:b/>
          <w:bCs/>
          <w:color w:val="000000" w:themeColor="text1"/>
          <w:sz w:val="21"/>
          <w:szCs w:val="21"/>
        </w:rPr>
        <w:lastRenderedPageBreak/>
        <w:t>F</w:t>
      </w:r>
      <w:r w:rsidRPr="007A724B">
        <w:rPr>
          <w:rFonts w:ascii="Times New Roman" w:hAnsi="Times New Roman" w:cs="Times New Roman"/>
          <w:b/>
          <w:bCs/>
          <w:color w:val="000000" w:themeColor="text1"/>
          <w:sz w:val="21"/>
          <w:szCs w:val="21"/>
        </w:rPr>
        <w:t>.</w:t>
      </w:r>
      <w:r w:rsidRPr="007A724B">
        <w:rPr>
          <w:rFonts w:ascii="Times New Roman" w:hAnsi="Times New Roman" w:cs="Times New Roman"/>
          <w:color w:val="000000" w:themeColor="text1"/>
          <w:sz w:val="21"/>
          <w:szCs w:val="21"/>
        </w:rPr>
        <w:t xml:space="preserve"> Average profiles of DNA conversion rates around </w:t>
      </w:r>
      <w:r w:rsidRPr="007A724B">
        <w:rPr>
          <w:rFonts w:ascii="Times New Roman" w:hAnsi="Times New Roman" w:cs="Times New Roman" w:hint="eastAsia"/>
          <w:color w:val="000000" w:themeColor="text1"/>
          <w:sz w:val="21"/>
          <w:szCs w:val="21"/>
        </w:rPr>
        <w:t>OCR</w:t>
      </w:r>
      <w:r w:rsidRPr="007A724B">
        <w:rPr>
          <w:rFonts w:ascii="Times New Roman" w:hAnsi="Times New Roman" w:cs="Times New Roman"/>
          <w:color w:val="000000" w:themeColor="text1"/>
          <w:sz w:val="21"/>
          <w:szCs w:val="21"/>
        </w:rPr>
        <w:t xml:space="preserve"> illustrating changes in chromatin accessibility following different durations of BRM014 treatment and recovery</w:t>
      </w:r>
      <w:r w:rsidRPr="007A724B">
        <w:rPr>
          <w:rFonts w:ascii="Times New Roman" w:hAnsi="Times New Roman" w:cs="Times New Roman" w:hint="eastAsia"/>
          <w:color w:val="000000" w:themeColor="text1"/>
          <w:sz w:val="21"/>
          <w:szCs w:val="21"/>
        </w:rPr>
        <w:t xml:space="preserve"> in HepG2 cells</w:t>
      </w:r>
      <w:r w:rsidRPr="007A724B">
        <w:rPr>
          <w:rFonts w:ascii="Times New Roman" w:hAnsi="Times New Roman" w:cs="Times New Roman"/>
          <w:color w:val="000000" w:themeColor="text1"/>
          <w:sz w:val="21"/>
          <w:szCs w:val="21"/>
        </w:rPr>
        <w:t>.</w:t>
      </w:r>
    </w:p>
    <w:p w14:paraId="243DECCA"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G. </w:t>
      </w:r>
      <w:r w:rsidRPr="007A724B">
        <w:rPr>
          <w:rFonts w:ascii="Times New Roman" w:hAnsi="Times New Roman" w:cs="Times New Roman"/>
          <w:color w:val="000000" w:themeColor="text1"/>
          <w:sz w:val="21"/>
          <w:szCs w:val="21"/>
        </w:rPr>
        <w:t>Heatmap showing the dynamic changes in the flank accessibility of 4 categories of TFs responding to BRM014 as defined by TFOS</w:t>
      </w:r>
      <w:r w:rsidRPr="007A724B">
        <w:rPr>
          <w:rFonts w:ascii="Times New Roman" w:hAnsi="Times New Roman" w:cs="Times New Roman" w:hint="eastAsia"/>
          <w:color w:val="000000" w:themeColor="text1"/>
          <w:sz w:val="21"/>
          <w:szCs w:val="21"/>
        </w:rPr>
        <w:t xml:space="preserve"> change ratio,</w:t>
      </w:r>
      <w:r w:rsidRPr="007A724B">
        <w:rPr>
          <w:rFonts w:ascii="Times New Roman" w:hAnsi="Times New Roman" w:cs="Times New Roman"/>
          <w:color w:val="000000" w:themeColor="text1"/>
          <w:sz w:val="21"/>
          <w:szCs w:val="21"/>
        </w:rPr>
        <w:t xml:space="preserve"> with the left label marked the consensus clusters derived from TFOS (as shown in 5C), and the colors represent the proportion of flank accessibility change relative to the 0 h untreated baseline.</w:t>
      </w:r>
    </w:p>
    <w:p w14:paraId="76B1BCF3" w14:textId="77777777" w:rsidR="002F510E" w:rsidRPr="007A724B" w:rsidRDefault="00000000">
      <w:pPr>
        <w:pStyle w:val="a9"/>
        <w:spacing w:beforeLines="50" w:before="156" w:beforeAutospacing="0" w:after="0" w:afterAutospacing="0"/>
        <w:jc w:val="both"/>
        <w:rPr>
          <w:rFonts w:ascii="Times New Roman" w:hAnsi="Times New Roman" w:cs="Times New Roman"/>
          <w:color w:val="000000" w:themeColor="text1"/>
          <w:sz w:val="21"/>
          <w:szCs w:val="21"/>
        </w:rPr>
      </w:pPr>
      <w:r w:rsidRPr="007A724B">
        <w:rPr>
          <w:rFonts w:ascii="Times New Roman" w:hAnsi="Times New Roman" w:cs="Times New Roman"/>
          <w:b/>
          <w:bCs/>
          <w:color w:val="000000" w:themeColor="text1"/>
          <w:sz w:val="21"/>
          <w:szCs w:val="21"/>
        </w:rPr>
        <w:t xml:space="preserve">H-I. </w:t>
      </w:r>
      <w:r w:rsidRPr="007A724B">
        <w:rPr>
          <w:rFonts w:ascii="Times New Roman" w:hAnsi="Times New Roman" w:cs="Times New Roman"/>
          <w:color w:val="000000" w:themeColor="text1"/>
          <w:sz w:val="21"/>
          <w:szCs w:val="21"/>
        </w:rPr>
        <w:t>Average profiles of DNA conversion rates around TF binding sites of</w:t>
      </w:r>
      <w:r w:rsidRPr="007A724B">
        <w:rPr>
          <w:rFonts w:ascii="Times New Roman" w:hAnsi="Times New Roman" w:cs="Times New Roman" w:hint="eastAsia"/>
          <w:color w:val="000000" w:themeColor="text1"/>
          <w:sz w:val="21"/>
          <w:szCs w:val="21"/>
        </w:rPr>
        <w:t xml:space="preserve"> JUNB</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and</w:t>
      </w:r>
      <w:r w:rsidRPr="007A724B">
        <w:rPr>
          <w:rFonts w:ascii="Times New Roman" w:hAnsi="Times New Roman" w:cs="Times New Roman"/>
          <w:color w:val="000000" w:themeColor="text1"/>
          <w:sz w:val="21"/>
          <w:szCs w:val="21"/>
        </w:rPr>
        <w:t xml:space="preserve"> FOSL</w:t>
      </w:r>
      <w:r w:rsidRPr="007A724B">
        <w:rPr>
          <w:rFonts w:ascii="Times New Roman" w:hAnsi="Times New Roman" w:cs="Times New Roman" w:hint="eastAsia"/>
          <w:color w:val="000000" w:themeColor="text1"/>
          <w:sz w:val="21"/>
          <w:szCs w:val="21"/>
        </w:rPr>
        <w:t>2 (</w:t>
      </w:r>
      <w:r w:rsidRPr="007A724B">
        <w:rPr>
          <w:rFonts w:ascii="Times New Roman" w:hAnsi="Times New Roman" w:cs="Times New Roman"/>
          <w:color w:val="000000" w:themeColor="text1"/>
          <w:sz w:val="21"/>
          <w:szCs w:val="21"/>
        </w:rPr>
        <w:t>H</w:t>
      </w:r>
      <w:r w:rsidRPr="007A724B">
        <w:rPr>
          <w:rFonts w:ascii="Times New Roman" w:hAnsi="Times New Roman" w:cs="Times New Roman" w:hint="eastAsia"/>
          <w:color w:val="000000" w:themeColor="text1"/>
          <w:sz w:val="21"/>
          <w:szCs w:val="21"/>
        </w:rPr>
        <w:t>)</w:t>
      </w:r>
      <w:r w:rsidRPr="007A724B">
        <w:rPr>
          <w:rFonts w:ascii="Times New Roman" w:hAnsi="Times New Roman" w:cs="Times New Roman"/>
          <w:color w:val="000000" w:themeColor="text1"/>
          <w:sz w:val="21"/>
          <w:szCs w:val="21"/>
        </w:rPr>
        <w:t xml:space="preserve">, </w:t>
      </w:r>
      <w:r w:rsidRPr="007A724B">
        <w:rPr>
          <w:rFonts w:ascii="Times New Roman" w:hAnsi="Times New Roman" w:cs="Times New Roman" w:hint="eastAsia"/>
          <w:color w:val="000000" w:themeColor="text1"/>
          <w:sz w:val="21"/>
          <w:szCs w:val="21"/>
        </w:rPr>
        <w:t>ZBTB33, NFYA</w:t>
      </w:r>
      <w:r w:rsidRPr="007A724B">
        <w:rPr>
          <w:rFonts w:ascii="Times New Roman" w:hAnsi="Times New Roman" w:cs="Times New Roman"/>
          <w:color w:val="000000" w:themeColor="text1"/>
          <w:sz w:val="21"/>
          <w:szCs w:val="21"/>
        </w:rPr>
        <w:t xml:space="preserve"> and </w:t>
      </w:r>
      <w:r w:rsidRPr="007A724B">
        <w:rPr>
          <w:rFonts w:ascii="Times New Roman" w:hAnsi="Times New Roman" w:cs="Times New Roman" w:hint="eastAsia"/>
          <w:color w:val="000000" w:themeColor="text1"/>
          <w:sz w:val="21"/>
          <w:szCs w:val="21"/>
        </w:rPr>
        <w:t>NRF1</w:t>
      </w:r>
      <w:r w:rsidRPr="007A724B">
        <w:rPr>
          <w:rFonts w:ascii="Times New Roman" w:hAnsi="Times New Roman" w:cs="Times New Roman"/>
          <w:color w:val="000000" w:themeColor="text1"/>
          <w:sz w:val="21"/>
          <w:szCs w:val="21"/>
        </w:rPr>
        <w:t xml:space="preserve"> (I) under control, 1 h, 6 h, and 24 h BRM014 treatments, as well as 6 h and 24 h recovery after 24 h BRM014 treatment. The profiles show changes in chromatin accessibility and TF footprints across different treatment conditions.</w:t>
      </w:r>
      <w:r w:rsidRPr="007A724B">
        <w:rPr>
          <w:rFonts w:ascii="Times New Roman" w:hAnsi="Times New Roman" w:cs="Times New Roman" w:hint="eastAsia"/>
          <w:color w:val="000000" w:themeColor="text1"/>
          <w:sz w:val="21"/>
          <w:szCs w:val="21"/>
        </w:rPr>
        <w:t xml:space="preserve"> </w:t>
      </w:r>
    </w:p>
    <w:p w14:paraId="1BAA9FA1" w14:textId="77777777" w:rsidR="002F510E" w:rsidRPr="007A724B" w:rsidRDefault="00000000">
      <w:pPr>
        <w:widowControl/>
        <w:jc w:val="left"/>
        <w:rPr>
          <w:rFonts w:ascii="Times New Roman" w:eastAsia="宋体" w:hAnsi="Times New Roman" w:cs="Times New Roman"/>
          <w:color w:val="000000" w:themeColor="text1"/>
          <w:kern w:val="0"/>
          <w:szCs w:val="21"/>
        </w:rPr>
      </w:pPr>
      <w:r w:rsidRPr="007A724B">
        <w:rPr>
          <w:rFonts w:ascii="Times New Roman" w:hAnsi="Times New Roman" w:cs="Times New Roman"/>
          <w:color w:val="000000" w:themeColor="text1"/>
          <w:szCs w:val="21"/>
        </w:rPr>
        <w:br w:type="page"/>
      </w:r>
    </w:p>
    <w:p w14:paraId="7BBAA5F2" w14:textId="1D8D9E81" w:rsidR="002F510E" w:rsidRPr="007A724B" w:rsidRDefault="00554225">
      <w:pPr>
        <w:rPr>
          <w:rFonts w:ascii="Times New Roman" w:hAnsi="Times New Roman" w:cs="Times New Roman"/>
          <w:color w:val="000000" w:themeColor="text1"/>
          <w:szCs w:val="21"/>
        </w:rPr>
      </w:pPr>
      <w:r w:rsidRPr="007A724B">
        <w:rPr>
          <w:rFonts w:ascii="Times New Roman" w:hAnsi="Times New Roman" w:cs="Times New Roman"/>
          <w:noProof/>
          <w:color w:val="000000" w:themeColor="text1"/>
          <w:szCs w:val="21"/>
        </w:rPr>
        <w:lastRenderedPageBreak/>
        <w:drawing>
          <wp:inline distT="0" distB="0" distL="0" distR="0" wp14:anchorId="5D0689E9" wp14:editId="61685A64">
            <wp:extent cx="5274310" cy="6070600"/>
            <wp:effectExtent l="0" t="0" r="2540" b="6350"/>
            <wp:docPr id="9839834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3983437" name="图片 983983437"/>
                    <pic:cNvPicPr/>
                  </pic:nvPicPr>
                  <pic:blipFill rotWithShape="1">
                    <a:blip r:embed="rId16"/>
                    <a:srcRect b="18604"/>
                    <a:stretch>
                      <a:fillRect/>
                    </a:stretch>
                  </pic:blipFill>
                  <pic:spPr bwMode="auto">
                    <a:xfrm>
                      <a:off x="0" y="0"/>
                      <a:ext cx="5274310" cy="6070600"/>
                    </a:xfrm>
                    <a:prstGeom prst="rect">
                      <a:avLst/>
                    </a:prstGeom>
                    <a:ln>
                      <a:noFill/>
                    </a:ln>
                    <a:extLst>
                      <a:ext uri="{53640926-AAD7-44D8-BBD7-CCE9431645EC}">
                        <a14:shadowObscured xmlns:a14="http://schemas.microsoft.com/office/drawing/2010/main"/>
                      </a:ext>
                    </a:extLst>
                  </pic:spPr>
                </pic:pic>
              </a:graphicData>
            </a:graphic>
          </wp:inline>
        </w:drawing>
      </w:r>
    </w:p>
    <w:p w14:paraId="427D398A" w14:textId="77777777" w:rsidR="002F510E" w:rsidRPr="007A724B" w:rsidRDefault="00000000">
      <w:pPr>
        <w:widowControl/>
        <w:rPr>
          <w:rFonts w:ascii="Times New Roman" w:eastAsia="宋体" w:hAnsi="Times New Roman" w:cs="Times New Roman"/>
          <w:color w:val="000000" w:themeColor="text1"/>
          <w:kern w:val="0"/>
          <w:szCs w:val="21"/>
        </w:rPr>
      </w:pPr>
      <w:r w:rsidRPr="007A724B">
        <w:rPr>
          <w:rFonts w:ascii="Times New Roman" w:eastAsia="宋体" w:hAnsi="Times New Roman" w:cs="Times New Roman"/>
          <w:b/>
          <w:bCs/>
          <w:color w:val="000000" w:themeColor="text1"/>
          <w:kern w:val="0"/>
          <w:szCs w:val="21"/>
        </w:rPr>
        <w:t>Figure S</w:t>
      </w:r>
      <w:r w:rsidRPr="007A724B">
        <w:rPr>
          <w:rFonts w:ascii="Times New Roman" w:eastAsia="宋体" w:hAnsi="Times New Roman" w:cs="Times New Roman" w:hint="eastAsia"/>
          <w:b/>
          <w:bCs/>
          <w:color w:val="000000" w:themeColor="text1"/>
          <w:kern w:val="0"/>
          <w:szCs w:val="21"/>
        </w:rPr>
        <w:t>9</w:t>
      </w:r>
      <w:r w:rsidRPr="007A724B">
        <w:rPr>
          <w:rFonts w:ascii="Times New Roman" w:eastAsia="宋体" w:hAnsi="Times New Roman" w:cs="Times New Roman"/>
          <w:b/>
          <w:bCs/>
          <w:color w:val="000000" w:themeColor="text1"/>
          <w:kern w:val="0"/>
          <w:szCs w:val="21"/>
        </w:rPr>
        <w:t xml:space="preserve">: </w:t>
      </w:r>
      <w:r w:rsidRPr="007A724B">
        <w:rPr>
          <w:rFonts w:ascii="Times New Roman" w:hAnsi="Times New Roman" w:cs="Times New Roman"/>
          <w:b/>
          <w:bCs/>
          <w:color w:val="000000" w:themeColor="text1"/>
          <w:szCs w:val="21"/>
        </w:rPr>
        <w:t>Definition of TF dependency on SWI/SNF reveals spatial organization rule of TFs, r</w:t>
      </w:r>
      <w:r w:rsidRPr="007A724B">
        <w:rPr>
          <w:rStyle w:val="ad"/>
          <w:rFonts w:ascii="Times New Roman" w:hAnsi="Times New Roman" w:cs="Times New Roman"/>
          <w:color w:val="000000" w:themeColor="text1"/>
          <w:szCs w:val="21"/>
        </w:rPr>
        <w:t>elated to Figure 6.</w:t>
      </w:r>
    </w:p>
    <w:p w14:paraId="59152A17" w14:textId="77777777" w:rsidR="002F510E" w:rsidRPr="007A724B" w:rsidRDefault="00000000">
      <w:pPr>
        <w:widowControl/>
        <w:spacing w:beforeLines="50" w:before="156"/>
        <w:rPr>
          <w:rFonts w:ascii="Times New Roman" w:hAnsi="Times New Roman" w:cs="Times New Roman"/>
          <w:color w:val="000000" w:themeColor="text1"/>
          <w:szCs w:val="21"/>
        </w:rPr>
      </w:pPr>
      <w:r w:rsidRPr="007A724B">
        <w:rPr>
          <w:rFonts w:ascii="Times New Roman" w:eastAsia="宋体" w:hAnsi="Times New Roman" w:cs="Times New Roman"/>
          <w:b/>
          <w:bCs/>
          <w:color w:val="000000" w:themeColor="text1"/>
          <w:kern w:val="0"/>
          <w:szCs w:val="21"/>
        </w:rPr>
        <w:t>A.</w:t>
      </w:r>
      <w:r w:rsidRPr="007A724B">
        <w:rPr>
          <w:rFonts w:ascii="Times New Roman" w:eastAsia="宋体" w:hAnsi="Times New Roman" w:cs="Times New Roman"/>
          <w:color w:val="000000" w:themeColor="text1"/>
          <w:kern w:val="0"/>
          <w:szCs w:val="21"/>
        </w:rPr>
        <w:t xml:space="preserve"> </w:t>
      </w:r>
      <w:r w:rsidRPr="007A724B">
        <w:rPr>
          <w:rFonts w:ascii="Times New Roman" w:hAnsi="Times New Roman" w:cs="Times New Roman"/>
          <w:color w:val="000000" w:themeColor="text1"/>
          <w:szCs w:val="21"/>
        </w:rPr>
        <w:t>Average profiles of DNA conversion rates</w:t>
      </w:r>
      <w:r w:rsidRPr="007A724B">
        <w:rPr>
          <w:rFonts w:ascii="Times New Roman" w:hAnsi="Times New Roman" w:cs="Times New Roman" w:hint="eastAsia"/>
          <w:color w:val="000000" w:themeColor="text1"/>
          <w:szCs w:val="21"/>
        </w:rPr>
        <w:t xml:space="preserve"> in promoter (left) and enhancer (right)</w:t>
      </w:r>
      <w:r w:rsidRPr="007A724B">
        <w:rPr>
          <w:rFonts w:ascii="Times New Roman" w:hAnsi="Times New Roman" w:cs="Times New Roman"/>
          <w:color w:val="000000" w:themeColor="text1"/>
          <w:szCs w:val="21"/>
        </w:rPr>
        <w:t xml:space="preserve"> around</w:t>
      </w:r>
      <w:r w:rsidRPr="007A724B">
        <w:rPr>
          <w:rFonts w:ascii="Times New Roman" w:hAnsi="Times New Roman" w:cs="Times New Roman" w:hint="eastAsia"/>
          <w:color w:val="000000" w:themeColor="text1"/>
          <w:szCs w:val="21"/>
        </w:rPr>
        <w:t xml:space="preserve"> SWI/SNF</w:t>
      </w:r>
      <w:r w:rsidRPr="007A724B">
        <w:rPr>
          <w:rFonts w:ascii="Times New Roman" w:hAnsi="Times New Roman" w:cs="Times New Roman"/>
          <w:color w:val="000000" w:themeColor="text1"/>
          <w:szCs w:val="21"/>
          <w:vertAlign w:val="superscript"/>
        </w:rPr>
        <w:t>+</w:t>
      </w:r>
      <w:r w:rsidRPr="007A724B">
        <w:rPr>
          <w:rFonts w:ascii="Times New Roman" w:hAnsi="Times New Roman" w:cs="Times New Roman"/>
          <w:color w:val="000000" w:themeColor="text1"/>
          <w:szCs w:val="21"/>
        </w:rPr>
        <w:t xml:space="preserve"> OCR regions, illustrating changes in chromatin accessibility following different durations of BRM014 treatment and recovery.</w:t>
      </w:r>
    </w:p>
    <w:p w14:paraId="5314E4A2" w14:textId="77777777" w:rsidR="00F67879" w:rsidRPr="007A724B" w:rsidRDefault="00F67879" w:rsidP="00F67879">
      <w:pPr>
        <w:pStyle w:val="a9"/>
        <w:spacing w:beforeLines="50" w:before="156" w:beforeAutospacing="0" w:after="0" w:afterAutospacing="0"/>
        <w:jc w:val="both"/>
        <w:rPr>
          <w:rFonts w:ascii="Times New Roman" w:hAnsi="Times New Roman" w:cs="Times New Roman"/>
          <w:b/>
          <w:bCs/>
          <w:color w:val="000000" w:themeColor="text1"/>
          <w:sz w:val="21"/>
          <w:szCs w:val="21"/>
        </w:rPr>
      </w:pPr>
      <w:r w:rsidRPr="007A724B">
        <w:rPr>
          <w:rFonts w:ascii="Times New Roman" w:hAnsi="Times New Roman" w:cs="Times New Roman"/>
          <w:b/>
          <w:bCs/>
          <w:color w:val="000000" w:themeColor="text1"/>
          <w:sz w:val="21"/>
          <w:szCs w:val="21"/>
        </w:rPr>
        <w:t xml:space="preserve">B. </w:t>
      </w:r>
      <w:r w:rsidRPr="007A724B">
        <w:rPr>
          <w:rFonts w:ascii="Times New Roman" w:hAnsi="Times New Roman" w:cs="Times New Roman"/>
          <w:color w:val="000000" w:themeColor="text1"/>
          <w:sz w:val="21"/>
          <w:szCs w:val="21"/>
        </w:rPr>
        <w:t>Violin plot showing, for each TF class, the ratio between the proportion of TF binding at cell-specific gene promoters and that at housekeeping gene promoters</w:t>
      </w:r>
      <w:r w:rsidRPr="007A724B">
        <w:rPr>
          <w:rFonts w:ascii="Times New Roman" w:hAnsi="Times New Roman" w:cs="Times New Roman" w:hint="eastAsia"/>
          <w:color w:val="000000" w:themeColor="text1"/>
          <w:sz w:val="21"/>
          <w:szCs w:val="21"/>
        </w:rPr>
        <w:t xml:space="preserve"> (left)</w:t>
      </w:r>
      <w:r w:rsidRPr="007A724B">
        <w:rPr>
          <w:rFonts w:ascii="Times New Roman" w:hAnsi="Times New Roman" w:cs="Times New Roman"/>
          <w:color w:val="000000" w:themeColor="text1"/>
          <w:sz w:val="21"/>
          <w:szCs w:val="21"/>
        </w:rPr>
        <w:t>. GO enrichment of HepG2-specific genes</w:t>
      </w:r>
      <w:r w:rsidRPr="007A724B">
        <w:rPr>
          <w:rFonts w:ascii="Times New Roman" w:hAnsi="Times New Roman" w:cs="Times New Roman" w:hint="eastAsia"/>
          <w:color w:val="000000" w:themeColor="text1"/>
          <w:sz w:val="21"/>
          <w:szCs w:val="21"/>
        </w:rPr>
        <w:t xml:space="preserve"> (right)</w:t>
      </w:r>
      <w:r w:rsidRPr="007A724B">
        <w:rPr>
          <w:rFonts w:ascii="Times New Roman" w:hAnsi="Times New Roman" w:cs="Times New Roman"/>
          <w:color w:val="000000" w:themeColor="text1"/>
          <w:sz w:val="21"/>
          <w:szCs w:val="21"/>
        </w:rPr>
        <w:t>.</w:t>
      </w:r>
    </w:p>
    <w:p w14:paraId="5956015D" w14:textId="271C53F9" w:rsidR="002F510E" w:rsidRPr="007A724B" w:rsidRDefault="00000000">
      <w:pPr>
        <w:pStyle w:val="a9"/>
        <w:spacing w:beforeLines="50" w:before="156" w:beforeAutospacing="0" w:after="0" w:afterAutospacing="0"/>
        <w:jc w:val="both"/>
        <w:rPr>
          <w:rFonts w:ascii="Times New Roman" w:eastAsiaTheme="minorEastAsia" w:hAnsi="Times New Roman" w:cs="Times New Roman"/>
          <w:color w:val="000000" w:themeColor="text1"/>
          <w:kern w:val="2"/>
          <w:sz w:val="21"/>
          <w:szCs w:val="21"/>
        </w:rPr>
      </w:pPr>
      <w:r w:rsidRPr="007A724B">
        <w:rPr>
          <w:rFonts w:ascii="Times New Roman" w:hAnsi="Times New Roman" w:cs="Times New Roman" w:hint="eastAsia"/>
          <w:b/>
          <w:bCs/>
          <w:color w:val="000000" w:themeColor="text1"/>
          <w:sz w:val="21"/>
          <w:szCs w:val="21"/>
        </w:rPr>
        <w:t xml:space="preserve">C. </w:t>
      </w:r>
      <w:r w:rsidRPr="007A724B">
        <w:rPr>
          <w:rFonts w:ascii="Times New Roman" w:eastAsiaTheme="minorEastAsia" w:hAnsi="Times New Roman" w:cs="Times New Roman"/>
          <w:color w:val="000000" w:themeColor="text1"/>
          <w:kern w:val="2"/>
          <w:sz w:val="21"/>
          <w:szCs w:val="21"/>
        </w:rPr>
        <w:t xml:space="preserve">This network diagram displays the co-occurrence of transcription factor (TF) pairs within the </w:t>
      </w:r>
      <w:r w:rsidRPr="007A724B">
        <w:rPr>
          <w:rFonts w:ascii="Times New Roman" w:eastAsiaTheme="minorEastAsia" w:hAnsi="Times New Roman" w:cs="Times New Roman" w:hint="eastAsia"/>
          <w:color w:val="000000" w:themeColor="text1"/>
          <w:kern w:val="2"/>
          <w:sz w:val="21"/>
          <w:szCs w:val="21"/>
        </w:rPr>
        <w:t xml:space="preserve">promoter </w:t>
      </w:r>
      <w:r w:rsidRPr="007A724B">
        <w:rPr>
          <w:rFonts w:ascii="Times New Roman" w:eastAsiaTheme="minorEastAsia" w:hAnsi="Times New Roman" w:cs="Times New Roman"/>
          <w:color w:val="000000" w:themeColor="text1"/>
          <w:kern w:val="2"/>
          <w:sz w:val="21"/>
          <w:szCs w:val="21"/>
        </w:rPr>
        <w:t>regions of HepG2 cells. Each node represents a different TF, with the color coding indicating varying levels of sensitivity or resistance. Edges between nodes indicate potential co-occurrence relationships among the TFs</w:t>
      </w:r>
    </w:p>
    <w:p w14:paraId="5460671A" w14:textId="5FAC2A69" w:rsidR="002F510E" w:rsidRPr="007A724B" w:rsidRDefault="00000000">
      <w:pPr>
        <w:pStyle w:val="a9"/>
        <w:spacing w:beforeLines="50" w:before="156" w:beforeAutospacing="0" w:after="0" w:afterAutospacing="0"/>
        <w:jc w:val="both"/>
        <w:rPr>
          <w:rFonts w:ascii="Times New Roman" w:eastAsiaTheme="minorEastAsia" w:hAnsi="Times New Roman" w:cs="Times New Roman"/>
          <w:color w:val="000000" w:themeColor="text1"/>
          <w:kern w:val="2"/>
          <w:sz w:val="21"/>
          <w:szCs w:val="21"/>
        </w:rPr>
      </w:pPr>
      <w:r w:rsidRPr="007A724B">
        <w:rPr>
          <w:rFonts w:ascii="Times New Roman" w:hAnsi="Times New Roman" w:cs="Times New Roman" w:hint="eastAsia"/>
          <w:b/>
          <w:bCs/>
          <w:color w:val="000000" w:themeColor="text1"/>
          <w:sz w:val="21"/>
          <w:szCs w:val="21"/>
        </w:rPr>
        <w:lastRenderedPageBreak/>
        <w:t>D</w:t>
      </w:r>
      <w:r w:rsidRPr="007A724B">
        <w:rPr>
          <w:rFonts w:ascii="Times New Roman" w:hAnsi="Times New Roman" w:cs="Times New Roman"/>
          <w:b/>
          <w:bCs/>
          <w:color w:val="000000" w:themeColor="text1"/>
          <w:sz w:val="21"/>
          <w:szCs w:val="21"/>
        </w:rPr>
        <w:t>.</w:t>
      </w:r>
      <w:r w:rsidRPr="007A724B">
        <w:rPr>
          <w:rFonts w:ascii="Times New Roman" w:eastAsiaTheme="minorEastAsia" w:hAnsi="Times New Roman" w:cs="Times New Roman"/>
          <w:color w:val="000000" w:themeColor="text1"/>
          <w:kern w:val="2"/>
          <w:sz w:val="21"/>
          <w:szCs w:val="21"/>
        </w:rPr>
        <w:t xml:space="preserve"> </w:t>
      </w:r>
      <w:r w:rsidRPr="007A724B">
        <w:rPr>
          <w:rFonts w:ascii="Times New Roman" w:hAnsi="Times New Roman" w:cs="Times New Roman"/>
          <w:color w:val="000000" w:themeColor="text1"/>
          <w:sz w:val="21"/>
          <w:szCs w:val="21"/>
        </w:rPr>
        <w:t xml:space="preserve">The bar graph displays the edge density in transcription factor co-occurrence network within the </w:t>
      </w:r>
      <w:r w:rsidRPr="007A724B">
        <w:rPr>
          <w:rFonts w:ascii="Times New Roman" w:hAnsi="Times New Roman" w:cs="Times New Roman" w:hint="eastAsia"/>
          <w:color w:val="000000" w:themeColor="text1"/>
          <w:sz w:val="21"/>
          <w:szCs w:val="21"/>
        </w:rPr>
        <w:t>promoter</w:t>
      </w:r>
      <w:r w:rsidRPr="007A724B">
        <w:rPr>
          <w:rFonts w:ascii="Times New Roman" w:hAnsi="Times New Roman" w:cs="Times New Roman"/>
          <w:color w:val="000000" w:themeColor="text1"/>
          <w:sz w:val="21"/>
          <w:szCs w:val="21"/>
        </w:rPr>
        <w:t xml:space="preserve"> regions of HepG2 cells among transcription factor pairs, categorized by their sensitivity to BRM014.</w:t>
      </w:r>
      <w:r w:rsidRPr="007A724B">
        <w:rPr>
          <w:rFonts w:ascii="Times New Roman" w:hAnsi="Times New Roman" w:cs="Times New Roman" w:hint="eastAsia"/>
          <w:color w:val="000000" w:themeColor="text1"/>
          <w:sz w:val="21"/>
          <w:szCs w:val="21"/>
        </w:rPr>
        <w:t xml:space="preserve"> </w:t>
      </w:r>
      <w:r w:rsidRPr="007A724B">
        <w:rPr>
          <w:rFonts w:ascii="Times New Roman" w:eastAsiaTheme="minorEastAsia" w:hAnsi="Times New Roman" w:cs="Times New Roman"/>
          <w:color w:val="000000" w:themeColor="text1"/>
          <w:kern w:val="2"/>
          <w:sz w:val="21"/>
          <w:szCs w:val="21"/>
        </w:rPr>
        <w:t>The categories include interactions between TF pairs that are both resistant (blue bar), one resistant and one sensitive (grey bar), and both sensitive (red bar).</w:t>
      </w:r>
    </w:p>
    <w:p w14:paraId="116025A4" w14:textId="3FD89A1E" w:rsidR="002F510E" w:rsidRPr="007A724B" w:rsidRDefault="002F510E">
      <w:pPr>
        <w:widowControl/>
        <w:jc w:val="left"/>
        <w:rPr>
          <w:rFonts w:ascii="Times New Roman" w:hAnsi="Times New Roman" w:cs="Times New Roman"/>
          <w:color w:val="000000" w:themeColor="text1"/>
          <w:szCs w:val="21"/>
        </w:rPr>
      </w:pPr>
    </w:p>
    <w:sectPr w:rsidR="002F510E" w:rsidRPr="007A724B" w:rsidSect="000B51F2">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3E2F5C8" w14:textId="77777777" w:rsidR="00847465" w:rsidRDefault="00847465" w:rsidP="00FD236E">
      <w:r>
        <w:separator/>
      </w:r>
    </w:p>
  </w:endnote>
  <w:endnote w:type="continuationSeparator" w:id="0">
    <w:p w14:paraId="2FF85254" w14:textId="77777777" w:rsidR="00847465" w:rsidRDefault="00847465" w:rsidP="00FD23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8FEA7F2" w14:textId="77777777" w:rsidR="00847465" w:rsidRDefault="00847465" w:rsidP="00FD236E">
      <w:r>
        <w:separator/>
      </w:r>
    </w:p>
  </w:footnote>
  <w:footnote w:type="continuationSeparator" w:id="0">
    <w:p w14:paraId="0D5B0A84" w14:textId="77777777" w:rsidR="00847465" w:rsidRDefault="00847465" w:rsidP="00FD236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02358CD"/>
    <w:multiLevelType w:val="singleLevel"/>
    <w:tmpl w:val="102358CD"/>
    <w:lvl w:ilvl="0">
      <w:start w:val="5"/>
      <w:numFmt w:val="upperLetter"/>
      <w:suff w:val="space"/>
      <w:lvlText w:val="%1."/>
      <w:lvlJc w:val="left"/>
      <w:rPr>
        <w:rFonts w:hint="default"/>
        <w:b/>
        <w:bCs/>
      </w:rPr>
    </w:lvl>
  </w:abstractNum>
  <w:num w:numId="1" w16cid:durableId="130266084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208"/>
  <w:bordersDoNotSurroundHeader/>
  <w:bordersDoNotSurroundFooter/>
  <w:hideSpellingErrors/>
  <w:hideGrammaticalErrors/>
  <w:proofState w:spelling="clean" w:grammar="clean"/>
  <w:defaultTabStop w:val="420"/>
  <w:drawingGridHorizontalSpacing w:val="105"/>
  <w:drawingGridVerticalSpacing w:val="156"/>
  <w:displayHorizontalDrawingGridEvery w:val="2"/>
  <w:displayVerticalDrawingGridEvery w:val="2"/>
  <w:noPunctuationKerning/>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F6713"/>
    <w:rsid w:val="00010822"/>
    <w:rsid w:val="00012EFE"/>
    <w:rsid w:val="0001344A"/>
    <w:rsid w:val="00014494"/>
    <w:rsid w:val="000166B2"/>
    <w:rsid w:val="00017B7F"/>
    <w:rsid w:val="0002404F"/>
    <w:rsid w:val="00025275"/>
    <w:rsid w:val="00044768"/>
    <w:rsid w:val="000465B0"/>
    <w:rsid w:val="000546DF"/>
    <w:rsid w:val="00060C56"/>
    <w:rsid w:val="00065E35"/>
    <w:rsid w:val="000815F6"/>
    <w:rsid w:val="000972B9"/>
    <w:rsid w:val="000B0000"/>
    <w:rsid w:val="000B23E3"/>
    <w:rsid w:val="000B51F2"/>
    <w:rsid w:val="000C01EE"/>
    <w:rsid w:val="000C2C3A"/>
    <w:rsid w:val="000C477E"/>
    <w:rsid w:val="000D2688"/>
    <w:rsid w:val="000D5D34"/>
    <w:rsid w:val="000F0454"/>
    <w:rsid w:val="000F142D"/>
    <w:rsid w:val="00102F91"/>
    <w:rsid w:val="00104549"/>
    <w:rsid w:val="00104A1E"/>
    <w:rsid w:val="0011144E"/>
    <w:rsid w:val="00112A9D"/>
    <w:rsid w:val="001160F3"/>
    <w:rsid w:val="0011640F"/>
    <w:rsid w:val="00120228"/>
    <w:rsid w:val="00124CA7"/>
    <w:rsid w:val="00125F30"/>
    <w:rsid w:val="00126174"/>
    <w:rsid w:val="00126198"/>
    <w:rsid w:val="00126709"/>
    <w:rsid w:val="00132279"/>
    <w:rsid w:val="001406AB"/>
    <w:rsid w:val="00140883"/>
    <w:rsid w:val="001465EF"/>
    <w:rsid w:val="0015433D"/>
    <w:rsid w:val="001603D5"/>
    <w:rsid w:val="0018290D"/>
    <w:rsid w:val="0019554C"/>
    <w:rsid w:val="001A0AE6"/>
    <w:rsid w:val="001B1CD1"/>
    <w:rsid w:val="001B36C6"/>
    <w:rsid w:val="001B5B79"/>
    <w:rsid w:val="001B754E"/>
    <w:rsid w:val="001C31C4"/>
    <w:rsid w:val="001D20DC"/>
    <w:rsid w:val="001D5B24"/>
    <w:rsid w:val="001E0FFB"/>
    <w:rsid w:val="001E1E4E"/>
    <w:rsid w:val="001E39F0"/>
    <w:rsid w:val="001F1CE3"/>
    <w:rsid w:val="001F39E9"/>
    <w:rsid w:val="001F6A6E"/>
    <w:rsid w:val="001F72CA"/>
    <w:rsid w:val="00200C08"/>
    <w:rsid w:val="00203E10"/>
    <w:rsid w:val="002073D2"/>
    <w:rsid w:val="002138F5"/>
    <w:rsid w:val="002414D2"/>
    <w:rsid w:val="002440FE"/>
    <w:rsid w:val="00252EEC"/>
    <w:rsid w:val="00254626"/>
    <w:rsid w:val="00255288"/>
    <w:rsid w:val="0025714D"/>
    <w:rsid w:val="0026712E"/>
    <w:rsid w:val="00270737"/>
    <w:rsid w:val="002718A7"/>
    <w:rsid w:val="00280B89"/>
    <w:rsid w:val="00280BE4"/>
    <w:rsid w:val="00280C34"/>
    <w:rsid w:val="002958CD"/>
    <w:rsid w:val="002B1FD2"/>
    <w:rsid w:val="002B2013"/>
    <w:rsid w:val="002B209B"/>
    <w:rsid w:val="002B2C74"/>
    <w:rsid w:val="002B7123"/>
    <w:rsid w:val="002C2809"/>
    <w:rsid w:val="002C5651"/>
    <w:rsid w:val="002C78BA"/>
    <w:rsid w:val="002D6A78"/>
    <w:rsid w:val="002D7B74"/>
    <w:rsid w:val="002F510E"/>
    <w:rsid w:val="00313D98"/>
    <w:rsid w:val="00314136"/>
    <w:rsid w:val="00315122"/>
    <w:rsid w:val="00317AF8"/>
    <w:rsid w:val="00332174"/>
    <w:rsid w:val="00337069"/>
    <w:rsid w:val="003432BD"/>
    <w:rsid w:val="0035369C"/>
    <w:rsid w:val="00353DA5"/>
    <w:rsid w:val="003557DF"/>
    <w:rsid w:val="0035755B"/>
    <w:rsid w:val="00362793"/>
    <w:rsid w:val="00363104"/>
    <w:rsid w:val="00371AF5"/>
    <w:rsid w:val="0037619E"/>
    <w:rsid w:val="00386186"/>
    <w:rsid w:val="00393E71"/>
    <w:rsid w:val="003A0A9E"/>
    <w:rsid w:val="003C3D93"/>
    <w:rsid w:val="003D1F05"/>
    <w:rsid w:val="003D4DC1"/>
    <w:rsid w:val="003D64ED"/>
    <w:rsid w:val="003E459F"/>
    <w:rsid w:val="003E5DF8"/>
    <w:rsid w:val="003E756F"/>
    <w:rsid w:val="00413570"/>
    <w:rsid w:val="00425F69"/>
    <w:rsid w:val="004276F5"/>
    <w:rsid w:val="004371B5"/>
    <w:rsid w:val="00442C06"/>
    <w:rsid w:val="004438E6"/>
    <w:rsid w:val="004468CB"/>
    <w:rsid w:val="0047028E"/>
    <w:rsid w:val="00474B4F"/>
    <w:rsid w:val="00475B49"/>
    <w:rsid w:val="00481E65"/>
    <w:rsid w:val="00482BD8"/>
    <w:rsid w:val="00485231"/>
    <w:rsid w:val="00495A42"/>
    <w:rsid w:val="004A052B"/>
    <w:rsid w:val="004A4263"/>
    <w:rsid w:val="004A44C8"/>
    <w:rsid w:val="004B2B5A"/>
    <w:rsid w:val="004C7B77"/>
    <w:rsid w:val="004D2480"/>
    <w:rsid w:val="004E50B8"/>
    <w:rsid w:val="004E7509"/>
    <w:rsid w:val="004F3912"/>
    <w:rsid w:val="004F7A53"/>
    <w:rsid w:val="00503B7C"/>
    <w:rsid w:val="005050C9"/>
    <w:rsid w:val="00507D0B"/>
    <w:rsid w:val="00520A12"/>
    <w:rsid w:val="00520B71"/>
    <w:rsid w:val="00525BCD"/>
    <w:rsid w:val="00526755"/>
    <w:rsid w:val="005307AE"/>
    <w:rsid w:val="00547DC0"/>
    <w:rsid w:val="00554225"/>
    <w:rsid w:val="0056177D"/>
    <w:rsid w:val="00572A5F"/>
    <w:rsid w:val="005926B1"/>
    <w:rsid w:val="005A09CD"/>
    <w:rsid w:val="005B140A"/>
    <w:rsid w:val="005B3CB4"/>
    <w:rsid w:val="005B3E1A"/>
    <w:rsid w:val="005D0981"/>
    <w:rsid w:val="005E27CB"/>
    <w:rsid w:val="005E36A4"/>
    <w:rsid w:val="005E6875"/>
    <w:rsid w:val="005F12BF"/>
    <w:rsid w:val="005F1A78"/>
    <w:rsid w:val="005F4734"/>
    <w:rsid w:val="006043B4"/>
    <w:rsid w:val="00615E44"/>
    <w:rsid w:val="00633F46"/>
    <w:rsid w:val="006422F0"/>
    <w:rsid w:val="006538E5"/>
    <w:rsid w:val="00656861"/>
    <w:rsid w:val="00661D7C"/>
    <w:rsid w:val="00661E76"/>
    <w:rsid w:val="00673DC6"/>
    <w:rsid w:val="00674680"/>
    <w:rsid w:val="00676B91"/>
    <w:rsid w:val="00676CB9"/>
    <w:rsid w:val="006841E1"/>
    <w:rsid w:val="00695AF6"/>
    <w:rsid w:val="006B795F"/>
    <w:rsid w:val="006C085B"/>
    <w:rsid w:val="006C235F"/>
    <w:rsid w:val="006C4CEB"/>
    <w:rsid w:val="006C56F8"/>
    <w:rsid w:val="006D1E0D"/>
    <w:rsid w:val="006E018F"/>
    <w:rsid w:val="006E7D89"/>
    <w:rsid w:val="0070006C"/>
    <w:rsid w:val="007000F3"/>
    <w:rsid w:val="007066F7"/>
    <w:rsid w:val="007076EC"/>
    <w:rsid w:val="00717E83"/>
    <w:rsid w:val="007236F4"/>
    <w:rsid w:val="00744B13"/>
    <w:rsid w:val="0074586E"/>
    <w:rsid w:val="00756C20"/>
    <w:rsid w:val="0076410D"/>
    <w:rsid w:val="00766763"/>
    <w:rsid w:val="00777249"/>
    <w:rsid w:val="00777606"/>
    <w:rsid w:val="00786FEE"/>
    <w:rsid w:val="0078730A"/>
    <w:rsid w:val="00793A77"/>
    <w:rsid w:val="00794420"/>
    <w:rsid w:val="007950E9"/>
    <w:rsid w:val="007A35A1"/>
    <w:rsid w:val="007A724B"/>
    <w:rsid w:val="007A7B73"/>
    <w:rsid w:val="007B2283"/>
    <w:rsid w:val="007C278A"/>
    <w:rsid w:val="007D072F"/>
    <w:rsid w:val="007D2135"/>
    <w:rsid w:val="007D40D3"/>
    <w:rsid w:val="007D5EDD"/>
    <w:rsid w:val="007E3C65"/>
    <w:rsid w:val="007E3E36"/>
    <w:rsid w:val="007E75C2"/>
    <w:rsid w:val="008059B1"/>
    <w:rsid w:val="008061EC"/>
    <w:rsid w:val="008143BF"/>
    <w:rsid w:val="00816E83"/>
    <w:rsid w:val="00824D6F"/>
    <w:rsid w:val="00833B7F"/>
    <w:rsid w:val="0083584B"/>
    <w:rsid w:val="0083586B"/>
    <w:rsid w:val="00846002"/>
    <w:rsid w:val="00847465"/>
    <w:rsid w:val="00847CE6"/>
    <w:rsid w:val="008562F2"/>
    <w:rsid w:val="00860907"/>
    <w:rsid w:val="008613F9"/>
    <w:rsid w:val="008615A8"/>
    <w:rsid w:val="00867262"/>
    <w:rsid w:val="00875670"/>
    <w:rsid w:val="008865DA"/>
    <w:rsid w:val="00891C67"/>
    <w:rsid w:val="008A4F0F"/>
    <w:rsid w:val="008A6EC7"/>
    <w:rsid w:val="008B029C"/>
    <w:rsid w:val="008D6F67"/>
    <w:rsid w:val="008E4D54"/>
    <w:rsid w:val="008E664C"/>
    <w:rsid w:val="008F48BC"/>
    <w:rsid w:val="008F5A14"/>
    <w:rsid w:val="00903DC3"/>
    <w:rsid w:val="0090421F"/>
    <w:rsid w:val="0091096E"/>
    <w:rsid w:val="00910EB1"/>
    <w:rsid w:val="00913BAF"/>
    <w:rsid w:val="00916304"/>
    <w:rsid w:val="00923798"/>
    <w:rsid w:val="009320F7"/>
    <w:rsid w:val="0095083F"/>
    <w:rsid w:val="00950894"/>
    <w:rsid w:val="00951BEA"/>
    <w:rsid w:val="00953F4A"/>
    <w:rsid w:val="00957806"/>
    <w:rsid w:val="00961033"/>
    <w:rsid w:val="00962143"/>
    <w:rsid w:val="00984752"/>
    <w:rsid w:val="009969D7"/>
    <w:rsid w:val="009B3E2C"/>
    <w:rsid w:val="009B69FB"/>
    <w:rsid w:val="009C3222"/>
    <w:rsid w:val="009C43BF"/>
    <w:rsid w:val="009C6A38"/>
    <w:rsid w:val="009D0606"/>
    <w:rsid w:val="009D214A"/>
    <w:rsid w:val="009D344B"/>
    <w:rsid w:val="009F345D"/>
    <w:rsid w:val="009F5DC8"/>
    <w:rsid w:val="009F6713"/>
    <w:rsid w:val="009F76F1"/>
    <w:rsid w:val="00A03264"/>
    <w:rsid w:val="00A140E2"/>
    <w:rsid w:val="00A179EA"/>
    <w:rsid w:val="00A260C1"/>
    <w:rsid w:val="00A34C0A"/>
    <w:rsid w:val="00A36C39"/>
    <w:rsid w:val="00A429C5"/>
    <w:rsid w:val="00A47F54"/>
    <w:rsid w:val="00A54F0F"/>
    <w:rsid w:val="00A733E3"/>
    <w:rsid w:val="00A75F9C"/>
    <w:rsid w:val="00A76609"/>
    <w:rsid w:val="00A954C5"/>
    <w:rsid w:val="00A97D38"/>
    <w:rsid w:val="00AA442B"/>
    <w:rsid w:val="00AB0395"/>
    <w:rsid w:val="00AB11FC"/>
    <w:rsid w:val="00AC3375"/>
    <w:rsid w:val="00AD0EE2"/>
    <w:rsid w:val="00AD1FCB"/>
    <w:rsid w:val="00AE1E80"/>
    <w:rsid w:val="00AE3748"/>
    <w:rsid w:val="00AF02E1"/>
    <w:rsid w:val="00AF0DA9"/>
    <w:rsid w:val="00AF6C85"/>
    <w:rsid w:val="00B12EE4"/>
    <w:rsid w:val="00B17ABF"/>
    <w:rsid w:val="00B20353"/>
    <w:rsid w:val="00B23C2A"/>
    <w:rsid w:val="00B3140A"/>
    <w:rsid w:val="00B37400"/>
    <w:rsid w:val="00B47405"/>
    <w:rsid w:val="00B47EE7"/>
    <w:rsid w:val="00B57EDF"/>
    <w:rsid w:val="00B65471"/>
    <w:rsid w:val="00B803C8"/>
    <w:rsid w:val="00B87291"/>
    <w:rsid w:val="00BA10FB"/>
    <w:rsid w:val="00BA4C81"/>
    <w:rsid w:val="00BB0790"/>
    <w:rsid w:val="00BB2B96"/>
    <w:rsid w:val="00BC5793"/>
    <w:rsid w:val="00BC5EA1"/>
    <w:rsid w:val="00BD5525"/>
    <w:rsid w:val="00BF1F5F"/>
    <w:rsid w:val="00BF2FD4"/>
    <w:rsid w:val="00BF6F8A"/>
    <w:rsid w:val="00C0699C"/>
    <w:rsid w:val="00C11F29"/>
    <w:rsid w:val="00C210C6"/>
    <w:rsid w:val="00C21BDD"/>
    <w:rsid w:val="00C32056"/>
    <w:rsid w:val="00C3295A"/>
    <w:rsid w:val="00C35C53"/>
    <w:rsid w:val="00C36F2F"/>
    <w:rsid w:val="00C40947"/>
    <w:rsid w:val="00C45D88"/>
    <w:rsid w:val="00C474A9"/>
    <w:rsid w:val="00C5452C"/>
    <w:rsid w:val="00C56DD7"/>
    <w:rsid w:val="00C63DCD"/>
    <w:rsid w:val="00C649DC"/>
    <w:rsid w:val="00CA2830"/>
    <w:rsid w:val="00CA5838"/>
    <w:rsid w:val="00CB0028"/>
    <w:rsid w:val="00CB6FE2"/>
    <w:rsid w:val="00CB743E"/>
    <w:rsid w:val="00CB7F94"/>
    <w:rsid w:val="00CC6DB5"/>
    <w:rsid w:val="00CD371D"/>
    <w:rsid w:val="00CE4915"/>
    <w:rsid w:val="00CE75C1"/>
    <w:rsid w:val="00CF4CCA"/>
    <w:rsid w:val="00D01779"/>
    <w:rsid w:val="00D26067"/>
    <w:rsid w:val="00D35B1E"/>
    <w:rsid w:val="00D41F1A"/>
    <w:rsid w:val="00D465D3"/>
    <w:rsid w:val="00D62538"/>
    <w:rsid w:val="00D66295"/>
    <w:rsid w:val="00D70383"/>
    <w:rsid w:val="00D71FB4"/>
    <w:rsid w:val="00D764B0"/>
    <w:rsid w:val="00D811FC"/>
    <w:rsid w:val="00DA10C8"/>
    <w:rsid w:val="00DA2D05"/>
    <w:rsid w:val="00DA3475"/>
    <w:rsid w:val="00DB157C"/>
    <w:rsid w:val="00DB27C7"/>
    <w:rsid w:val="00DB3790"/>
    <w:rsid w:val="00DB3FFC"/>
    <w:rsid w:val="00DB6DD8"/>
    <w:rsid w:val="00DC67A0"/>
    <w:rsid w:val="00DD1456"/>
    <w:rsid w:val="00DD4B0E"/>
    <w:rsid w:val="00DE262F"/>
    <w:rsid w:val="00DF759D"/>
    <w:rsid w:val="00E07296"/>
    <w:rsid w:val="00E076DF"/>
    <w:rsid w:val="00E07B49"/>
    <w:rsid w:val="00E15800"/>
    <w:rsid w:val="00E202A5"/>
    <w:rsid w:val="00E27C47"/>
    <w:rsid w:val="00E302A7"/>
    <w:rsid w:val="00E348D3"/>
    <w:rsid w:val="00E34A3B"/>
    <w:rsid w:val="00E379BF"/>
    <w:rsid w:val="00E47143"/>
    <w:rsid w:val="00E6129B"/>
    <w:rsid w:val="00E62752"/>
    <w:rsid w:val="00E6644D"/>
    <w:rsid w:val="00E72481"/>
    <w:rsid w:val="00E73D12"/>
    <w:rsid w:val="00E76883"/>
    <w:rsid w:val="00E84370"/>
    <w:rsid w:val="00E84AEE"/>
    <w:rsid w:val="00EA2A28"/>
    <w:rsid w:val="00EB6137"/>
    <w:rsid w:val="00EC531E"/>
    <w:rsid w:val="00ED123D"/>
    <w:rsid w:val="00ED3958"/>
    <w:rsid w:val="00EE3150"/>
    <w:rsid w:val="00EE7067"/>
    <w:rsid w:val="00F13CF0"/>
    <w:rsid w:val="00F145D5"/>
    <w:rsid w:val="00F15F6B"/>
    <w:rsid w:val="00F2100F"/>
    <w:rsid w:val="00F3397B"/>
    <w:rsid w:val="00F41E84"/>
    <w:rsid w:val="00F67879"/>
    <w:rsid w:val="00F96C9C"/>
    <w:rsid w:val="00FA47D6"/>
    <w:rsid w:val="00FB5685"/>
    <w:rsid w:val="00FD236E"/>
    <w:rsid w:val="00FE4A9D"/>
    <w:rsid w:val="00FF5594"/>
    <w:rsid w:val="00FF748E"/>
    <w:rsid w:val="164B51D1"/>
    <w:rsid w:val="1C872CDB"/>
    <w:rsid w:val="327713AF"/>
    <w:rsid w:val="384D5029"/>
    <w:rsid w:val="3D7A37BD"/>
    <w:rsid w:val="453540EC"/>
    <w:rsid w:val="557800E0"/>
    <w:rsid w:val="56C24CCE"/>
    <w:rsid w:val="56E542AB"/>
    <w:rsid w:val="5D991420"/>
    <w:rsid w:val="67036484"/>
    <w:rsid w:val="697A340C"/>
    <w:rsid w:val="75C351EC"/>
    <w:rsid w:val="7CF20851"/>
    <w:rsid w:val="7F4B6E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2946B959"/>
  <w14:defaultImageDpi w14:val="32767"/>
  <w15:docId w15:val="{344E30D2-2F17-47D4-8737-9118FE6CFD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qFormat="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a4"/>
    <w:unhideWhenUsed/>
    <w:qFormat/>
    <w:pPr>
      <w:jc w:val="left"/>
    </w:pPr>
  </w:style>
  <w:style w:type="paragraph" w:styleId="a5">
    <w:name w:val="footer"/>
    <w:basedOn w:val="a"/>
    <w:link w:val="a6"/>
    <w:uiPriority w:val="99"/>
    <w:unhideWhenUsed/>
    <w:qFormat/>
    <w:pPr>
      <w:tabs>
        <w:tab w:val="center" w:pos="4153"/>
        <w:tab w:val="right" w:pos="8306"/>
      </w:tabs>
      <w:snapToGrid w:val="0"/>
      <w:jc w:val="left"/>
    </w:pPr>
    <w:rPr>
      <w:sz w:val="18"/>
      <w:szCs w:val="18"/>
    </w:rPr>
  </w:style>
  <w:style w:type="paragraph" w:styleId="a7">
    <w:name w:val="header"/>
    <w:basedOn w:val="a"/>
    <w:link w:val="a8"/>
    <w:uiPriority w:val="99"/>
    <w:unhideWhenUsed/>
    <w:qFormat/>
    <w:pPr>
      <w:tabs>
        <w:tab w:val="center" w:pos="4153"/>
        <w:tab w:val="right" w:pos="8306"/>
      </w:tabs>
      <w:snapToGrid w:val="0"/>
      <w:jc w:val="center"/>
    </w:pPr>
    <w:rPr>
      <w:sz w:val="18"/>
      <w:szCs w:val="18"/>
    </w:rPr>
  </w:style>
  <w:style w:type="paragraph" w:styleId="a9">
    <w:name w:val="Normal (Web)"/>
    <w:basedOn w:val="a"/>
    <w:uiPriority w:val="99"/>
    <w:unhideWhenUsed/>
    <w:qFormat/>
    <w:pPr>
      <w:widowControl/>
      <w:spacing w:before="100" w:beforeAutospacing="1" w:after="100" w:afterAutospacing="1"/>
      <w:jc w:val="left"/>
    </w:pPr>
    <w:rPr>
      <w:rFonts w:ascii="宋体" w:eastAsia="宋体" w:hAnsi="宋体" w:cs="宋体"/>
      <w:kern w:val="0"/>
      <w:sz w:val="24"/>
    </w:rPr>
  </w:style>
  <w:style w:type="paragraph" w:styleId="aa">
    <w:name w:val="annotation subject"/>
    <w:basedOn w:val="a3"/>
    <w:next w:val="a3"/>
    <w:link w:val="ab"/>
    <w:uiPriority w:val="99"/>
    <w:semiHidden/>
    <w:unhideWhenUsed/>
    <w:qFormat/>
    <w:rPr>
      <w:b/>
      <w:bCs/>
    </w:rPr>
  </w:style>
  <w:style w:type="table" w:styleId="ac">
    <w:name w:val="Table Grid"/>
    <w:basedOn w:val="a1"/>
    <w:uiPriority w:val="39"/>
    <w:qFormat/>
    <w:rPr>
      <w:rFonts w:asciiTheme="minorHAnsi" w:eastAsiaTheme="minorEastAsia" w:hAnsiTheme="minorHAnsi" w:cstheme="minorBidi"/>
      <w:kern w:val="2"/>
      <w:sz w:val="21"/>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d">
    <w:name w:val="Strong"/>
    <w:basedOn w:val="a0"/>
    <w:uiPriority w:val="22"/>
    <w:qFormat/>
    <w:rPr>
      <w:b/>
      <w:bCs/>
    </w:rPr>
  </w:style>
  <w:style w:type="character" w:styleId="ae">
    <w:name w:val="line number"/>
    <w:basedOn w:val="a0"/>
    <w:uiPriority w:val="99"/>
    <w:semiHidden/>
    <w:unhideWhenUsed/>
    <w:qFormat/>
  </w:style>
  <w:style w:type="character" w:styleId="af">
    <w:name w:val="annotation reference"/>
    <w:basedOn w:val="a0"/>
    <w:unhideWhenUsed/>
    <w:qFormat/>
    <w:rPr>
      <w:sz w:val="21"/>
      <w:szCs w:val="21"/>
    </w:rPr>
  </w:style>
  <w:style w:type="character" w:customStyle="1" w:styleId="katex-mathml">
    <w:name w:val="katex-mathml"/>
    <w:basedOn w:val="a0"/>
    <w:qFormat/>
  </w:style>
  <w:style w:type="character" w:customStyle="1" w:styleId="mord">
    <w:name w:val="mord"/>
    <w:basedOn w:val="a0"/>
    <w:qFormat/>
  </w:style>
  <w:style w:type="character" w:customStyle="1" w:styleId="vlist-s">
    <w:name w:val="vlist-s"/>
    <w:basedOn w:val="a0"/>
    <w:qFormat/>
  </w:style>
  <w:style w:type="character" w:customStyle="1" w:styleId="a8">
    <w:name w:val="页眉 字符"/>
    <w:basedOn w:val="a0"/>
    <w:link w:val="a7"/>
    <w:uiPriority w:val="99"/>
    <w:qFormat/>
    <w:rPr>
      <w:sz w:val="18"/>
      <w:szCs w:val="18"/>
    </w:rPr>
  </w:style>
  <w:style w:type="character" w:customStyle="1" w:styleId="a6">
    <w:name w:val="页脚 字符"/>
    <w:basedOn w:val="a0"/>
    <w:link w:val="a5"/>
    <w:uiPriority w:val="99"/>
    <w:qFormat/>
    <w:rPr>
      <w:sz w:val="18"/>
      <w:szCs w:val="18"/>
    </w:rPr>
  </w:style>
  <w:style w:type="paragraph" w:customStyle="1" w:styleId="1">
    <w:name w:val="修订1"/>
    <w:hidden/>
    <w:uiPriority w:val="99"/>
    <w:semiHidden/>
    <w:qFormat/>
    <w:rPr>
      <w:rFonts w:asciiTheme="minorHAnsi" w:eastAsiaTheme="minorEastAsia" w:hAnsiTheme="minorHAnsi" w:cstheme="minorBidi"/>
      <w:kern w:val="2"/>
      <w:sz w:val="21"/>
      <w:szCs w:val="24"/>
    </w:rPr>
  </w:style>
  <w:style w:type="character" w:customStyle="1" w:styleId="a4">
    <w:name w:val="批注文字 字符"/>
    <w:basedOn w:val="a0"/>
    <w:link w:val="a3"/>
    <w:qFormat/>
  </w:style>
  <w:style w:type="character" w:customStyle="1" w:styleId="ab">
    <w:name w:val="批注主题 字符"/>
    <w:basedOn w:val="a4"/>
    <w:link w:val="aa"/>
    <w:uiPriority w:val="99"/>
    <w:semiHidden/>
    <w:qFormat/>
    <w:rPr>
      <w:b/>
      <w:bCs/>
    </w:rPr>
  </w:style>
  <w:style w:type="paragraph" w:styleId="af0">
    <w:name w:val="List Paragraph"/>
    <w:basedOn w:val="a"/>
    <w:uiPriority w:val="34"/>
    <w:qFormat/>
    <w:pPr>
      <w:ind w:firstLineChars="200" w:firstLine="420"/>
    </w:pPr>
  </w:style>
  <w:style w:type="paragraph" w:customStyle="1" w:styleId="2">
    <w:name w:val="修订2"/>
    <w:hidden/>
    <w:uiPriority w:val="99"/>
    <w:unhideWhenUsed/>
    <w:qFormat/>
    <w:rPr>
      <w:rFonts w:asciiTheme="minorHAnsi" w:eastAsiaTheme="minorEastAsia" w:hAnsiTheme="minorHAnsi" w:cstheme="minorBidi"/>
      <w:kern w:val="2"/>
      <w:sz w:val="21"/>
      <w:szCs w:val="24"/>
    </w:rPr>
  </w:style>
  <w:style w:type="paragraph" w:customStyle="1" w:styleId="3">
    <w:name w:val="修订3"/>
    <w:hidden/>
    <w:uiPriority w:val="99"/>
    <w:unhideWhenUsed/>
    <w:qFormat/>
    <w:rPr>
      <w:rFonts w:asciiTheme="minorHAnsi" w:eastAsiaTheme="minorEastAsia" w:hAnsiTheme="minorHAnsi" w:cstheme="minorBidi"/>
      <w:kern w:val="2"/>
      <w:sz w:val="21"/>
      <w:szCs w:val="24"/>
    </w:rPr>
  </w:style>
  <w:style w:type="paragraph" w:styleId="af1">
    <w:name w:val="Revision"/>
    <w:hidden/>
    <w:uiPriority w:val="99"/>
    <w:unhideWhenUsed/>
    <w:rsid w:val="00FD236E"/>
    <w:rPr>
      <w:rFonts w:asciiTheme="minorHAnsi" w:eastAsiaTheme="minorEastAsia" w:hAnsiTheme="minorHAnsi" w:cstheme="minorBidi"/>
      <w:kern w:val="2"/>
      <w:sz w:val="21"/>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DF32E40-485D-E446-80E9-3A66A0449C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2810</Words>
  <Characters>16020</Characters>
  <Application>Microsoft Office Word</Application>
  <DocSecurity>0</DocSecurity>
  <Lines>133</Lines>
  <Paragraphs>37</Paragraphs>
  <ScaleCrop>false</ScaleCrop>
  <Company/>
  <LinksUpToDate>false</LinksUpToDate>
  <CharactersWithSpaces>18793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jiamin zhang</dc:creator>
  <cp:lastModifiedBy>jiamin zhang</cp:lastModifiedBy>
  <cp:revision>2</cp:revision>
  <cp:lastPrinted>2025-07-06T13:21:00Z</cp:lastPrinted>
  <dcterms:created xsi:type="dcterms:W3CDTF">2025-10-26T08:40:00Z</dcterms:created>
  <dcterms:modified xsi:type="dcterms:W3CDTF">2025-10-26T08:40:00Z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eyJoZGlkIjoiNzM0ODYwZTkyODAyNDg5ZjU1OGVkMWRjZTEzZTBjZmYiLCJ1c2VySWQiOiI0NDcyNzY3NzAifQ==</vt:lpwstr>
  </property>
  <property fmtid="{D5CDD505-2E9C-101B-9397-08002B2CF9AE}" pid="3" name="KSOProductBuildVer">
    <vt:lpwstr>2052-12.1.0.21541</vt:lpwstr>
  </property>
  <property fmtid="{D5CDD505-2E9C-101B-9397-08002B2CF9AE}" pid="4" name="ICV">
    <vt:lpwstr>646BC725971F4446A0C1DA56B4AF8B29_13</vt:lpwstr>
  </property>
</Properties>
</file>