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38B85F">
      <w:pPr>
        <w:pStyle w:val="13"/>
        <w:rPr>
          <w:b w:val="0"/>
        </w:rPr>
      </w:pPr>
      <w:r>
        <w:t>Supplementary Material</w:t>
      </w:r>
    </w:p>
    <w:p w14:paraId="1C480E7D">
      <w:pPr>
        <w:jc w:val="center"/>
        <w:rPr>
          <w:rFonts w:cs="Times New Roman"/>
          <w:b/>
          <w:bCs/>
          <w:sz w:val="32"/>
          <w:szCs w:val="32"/>
        </w:rPr>
      </w:pPr>
      <w:r>
        <w:rPr>
          <w:rFonts w:cs="Times New Roman"/>
          <w:b/>
          <w:bCs/>
          <w:sz w:val="32"/>
          <w:szCs w:val="32"/>
        </w:rPr>
        <w:t xml:space="preserve">The pathogenic role of inflammation in idiopathic intracranial hypertension: </w:t>
      </w:r>
      <w:r>
        <w:rPr>
          <w:rFonts w:hint="eastAsia" w:cs="Times New Roman"/>
          <w:b/>
          <w:bCs/>
          <w:sz w:val="32"/>
          <w:szCs w:val="32"/>
        </w:rPr>
        <w:t>a</w:t>
      </w:r>
      <w:r>
        <w:rPr>
          <w:rFonts w:cs="Times New Roman"/>
          <w:b/>
          <w:bCs/>
          <w:sz w:val="32"/>
          <w:szCs w:val="32"/>
        </w:rPr>
        <w:t>n assessment based on genetic evidence</w:t>
      </w:r>
    </w:p>
    <w:p w14:paraId="6073E766">
      <w:pPr>
        <w:rPr>
          <w:rFonts w:cs="Times New Roman"/>
          <w:b/>
          <w:bCs/>
          <w:szCs w:val="24"/>
        </w:rPr>
      </w:pPr>
    </w:p>
    <w:p w14:paraId="456654B6">
      <w:pPr>
        <w:rPr>
          <w:b/>
          <w:bCs/>
        </w:rPr>
      </w:pPr>
    </w:p>
    <w:p w14:paraId="27711038">
      <w:pPr>
        <w:rPr>
          <w:b/>
          <w:bCs/>
        </w:rPr>
      </w:pPr>
      <w:r>
        <w:rPr>
          <w:b/>
          <w:bCs/>
        </w:rPr>
        <w:t>Table S1.</w:t>
      </w:r>
      <w:r>
        <w:t xml:space="preserve"> </w:t>
      </w:r>
      <w:r>
        <w:rPr>
          <w:b/>
          <w:bCs/>
        </w:rPr>
        <w:t xml:space="preserve">The </w:t>
      </w:r>
      <w:r>
        <w:rPr>
          <w:rFonts w:hint="eastAsia"/>
          <w:b/>
          <w:bCs/>
        </w:rPr>
        <w:t>association between inflammatory regulatory factors and idiopathic intracranial hypertension</w:t>
      </w:r>
      <w:r>
        <w:rPr>
          <w:b/>
          <w:bCs/>
        </w:rPr>
        <w:t xml:space="preserve"> </w:t>
      </w:r>
    </w:p>
    <w:p w14:paraId="62B0FA65">
      <w:pPr>
        <w:rPr>
          <w:b/>
          <w:bCs/>
        </w:rPr>
      </w:pPr>
    </w:p>
    <w:p w14:paraId="383B9588">
      <w:r>
        <w:rPr>
          <w:b w:val="0"/>
          <w:bCs w:val="0"/>
        </w:rPr>
        <w:t>Sheet</w:t>
      </w:r>
      <w:r>
        <w:rPr>
          <w:rFonts w:hint="eastAsia"/>
          <w:b w:val="0"/>
          <w:bCs w:val="0"/>
          <w:lang w:val="en-US" w:eastAsia="zh-CN"/>
        </w:rPr>
        <w:t xml:space="preserve"> </w:t>
      </w:r>
      <w:r>
        <w:rPr>
          <w:b w:val="0"/>
          <w:bCs w:val="0"/>
        </w:rPr>
        <w:t xml:space="preserve">1: </w:t>
      </w:r>
      <w:r>
        <w:t xml:space="preserve">Characteristics of the genetic instrument variables for the cytokines in the Mendelian randomization study at level </w:t>
      </w:r>
      <w:r>
        <w:rPr>
          <w:i/>
          <w:iCs/>
        </w:rPr>
        <w:t>P</w:t>
      </w:r>
      <w:r>
        <w:t> &lt; 5 × 10</w:t>
      </w:r>
      <w:r>
        <w:rPr>
          <w:vertAlign w:val="superscript"/>
        </w:rPr>
        <w:t>–6</w:t>
      </w:r>
      <w:r>
        <w:t xml:space="preserve">. </w:t>
      </w:r>
    </w:p>
    <w:p w14:paraId="3060F9AD">
      <w:r>
        <w:rPr>
          <w:b w:val="0"/>
          <w:bCs w:val="0"/>
        </w:rPr>
        <w:t xml:space="preserve">Sheet 2: </w:t>
      </w:r>
      <w:r>
        <w:t xml:space="preserve">MR analysis of 41 cytokines and IIH risk. </w:t>
      </w:r>
    </w:p>
    <w:p w14:paraId="66D9C66E">
      <w:r>
        <w:rPr>
          <w:b w:val="0"/>
          <w:bCs w:val="0"/>
        </w:rPr>
        <w:t xml:space="preserve">Sheet 3: </w:t>
      </w:r>
      <w:r>
        <w:t xml:space="preserve">Heterogeneity analysis of 41 cytokines and IIH risk. </w:t>
      </w:r>
    </w:p>
    <w:p w14:paraId="4F597676">
      <w:r>
        <w:rPr>
          <w:b w:val="0"/>
          <w:bCs w:val="0"/>
        </w:rPr>
        <w:t>Sheet 4:</w:t>
      </w:r>
      <w:r>
        <w:t xml:space="preserve"> MR</w:t>
      </w:r>
      <w:r>
        <w:rPr>
          <w:rFonts w:hint="eastAsia"/>
        </w:rPr>
        <w:t>-</w:t>
      </w:r>
      <w:r>
        <w:t xml:space="preserve">Egger intercept analysis of the association between 41 cytokines and IIH risk. </w:t>
      </w:r>
    </w:p>
    <w:p w14:paraId="1124F342">
      <w:r>
        <w:rPr>
          <w:b w:val="0"/>
          <w:bCs w:val="0"/>
        </w:rPr>
        <w:t xml:space="preserve">Sheet 5: </w:t>
      </w:r>
      <w:r>
        <w:t>MR</w:t>
      </w:r>
      <w:r>
        <w:rPr>
          <w:rFonts w:hint="eastAsia"/>
        </w:rPr>
        <w:t>-</w:t>
      </w:r>
      <w:r>
        <w:t>PRESSO analysis of the association between 41 cytokines and IIH risk.</w:t>
      </w:r>
    </w:p>
    <w:p w14:paraId="5F3D17FD"/>
    <w:p w14:paraId="6E567004"/>
    <w:p w14:paraId="2A89118A">
      <w:r>
        <w:rPr>
          <w:rFonts w:hint="eastAsia" w:eastAsia="宋体"/>
          <w:lang w:eastAsia="zh-CN"/>
        </w:rPr>
        <w:drawing>
          <wp:inline distT="0" distB="0" distL="114300" distR="114300">
            <wp:extent cx="5259705" cy="2038985"/>
            <wp:effectExtent l="0" t="0" r="17145" b="18415"/>
            <wp:docPr id="1" name="图片 1" descr="Supplementary Figure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upplementary Figure S1"/>
                    <pic:cNvPicPr>
                      <a:picLocks noChangeAspect="1"/>
                    </pic:cNvPicPr>
                  </pic:nvPicPr>
                  <pic:blipFill>
                    <a:blip r:embed="rId4"/>
                    <a:stretch>
                      <a:fillRect/>
                    </a:stretch>
                  </pic:blipFill>
                  <pic:spPr>
                    <a:xfrm>
                      <a:off x="0" y="0"/>
                      <a:ext cx="5259705" cy="2038985"/>
                    </a:xfrm>
                    <a:prstGeom prst="rect">
                      <a:avLst/>
                    </a:prstGeom>
                  </pic:spPr>
                </pic:pic>
              </a:graphicData>
            </a:graphic>
          </wp:inline>
        </w:drawing>
      </w:r>
    </w:p>
    <w:p w14:paraId="73BA29E5">
      <w:pPr>
        <w:keepNext/>
        <w:rPr>
          <w:rFonts w:cs="Times New Roman"/>
          <w:szCs w:val="24"/>
        </w:rPr>
      </w:pPr>
      <w:r>
        <w:rPr>
          <w:rFonts w:cs="Times New Roman"/>
          <w:b/>
          <w:szCs w:val="24"/>
        </w:rPr>
        <w:t xml:space="preserve">Figure </w:t>
      </w:r>
      <w:r>
        <w:rPr>
          <w:rFonts w:hint="eastAsia" w:cs="Times New Roman"/>
          <w:b/>
          <w:szCs w:val="24"/>
        </w:rPr>
        <w:t>S</w:t>
      </w:r>
      <w:r>
        <w:rPr>
          <w:rFonts w:cs="Times New Roman"/>
          <w:b/>
          <w:szCs w:val="24"/>
        </w:rPr>
        <w:t>1.</w:t>
      </w:r>
      <w:r>
        <w:rPr>
          <w:rFonts w:cs="Times New Roman"/>
          <w:szCs w:val="24"/>
        </w:rPr>
        <w:t xml:space="preserve"> Scatter plots of MR analyses for VEGF and IL-10 in IIH</w:t>
      </w:r>
      <w:r>
        <w:rPr>
          <w:rFonts w:hint="eastAsia" w:cs="Times New Roman"/>
          <w:szCs w:val="24"/>
        </w:rPr>
        <w:t>.</w:t>
      </w:r>
    </w:p>
    <w:p w14:paraId="3B894A8E">
      <w:pPr>
        <w:keepNext/>
        <w:rPr>
          <w:rFonts w:cs="Times New Roman"/>
          <w:szCs w:val="24"/>
        </w:rPr>
      </w:pPr>
      <w:r>
        <w:rPr>
          <w:rFonts w:cs="Times New Roman"/>
          <w:szCs w:val="24"/>
        </w:rPr>
        <w:t>Footnotes: In the graphical representation, individual inverse variance (IV) associations with cytokine risk are depicted as black dots, while individual IV associations with IIH are also represented. Vertical and horizontal lines denote the 95% confidence intervals (CI) of the odds ratio for each IV. The slope of the lines reflects the estimated causal effect determined through MR methods.</w:t>
      </w:r>
    </w:p>
    <w:p w14:paraId="18C8B27B">
      <w:pPr>
        <w:keepNext/>
        <w:rPr>
          <w:rFonts w:cs="Times New Roman"/>
          <w:szCs w:val="24"/>
        </w:rPr>
      </w:pPr>
      <w:r>
        <w:rPr>
          <w:rFonts w:cs="Times New Roman"/>
          <w:szCs w:val="24"/>
        </w:rPr>
        <w:t>(A) Scatter plots for the exposure of VEGF</w:t>
      </w:r>
      <w:r>
        <w:rPr>
          <w:rFonts w:hint="eastAsia" w:cs="Times New Roman"/>
          <w:szCs w:val="24"/>
        </w:rPr>
        <w:t>.</w:t>
      </w:r>
    </w:p>
    <w:p w14:paraId="03274348">
      <w:pPr>
        <w:keepNext/>
        <w:rPr>
          <w:rFonts w:cs="Times New Roman"/>
          <w:szCs w:val="24"/>
        </w:rPr>
      </w:pPr>
      <w:r>
        <w:rPr>
          <w:rFonts w:cs="Times New Roman"/>
          <w:szCs w:val="24"/>
        </w:rPr>
        <w:t>(B) Scatter plots for the exposure of IL-10</w:t>
      </w:r>
      <w:r>
        <w:rPr>
          <w:rFonts w:hint="eastAsia" w:cs="Times New Roman"/>
          <w:szCs w:val="24"/>
        </w:rPr>
        <w:t>.</w:t>
      </w:r>
    </w:p>
    <w:p w14:paraId="6844644C">
      <w:pPr>
        <w:keepNext/>
        <w:rPr>
          <w:rFonts w:cs="Times New Roman"/>
          <w:b/>
          <w:szCs w:val="24"/>
        </w:rPr>
      </w:pPr>
    </w:p>
    <w:p w14:paraId="77DB1AFA"/>
    <w:p w14:paraId="44391B32">
      <w:pPr>
        <w:rPr>
          <w:rFonts w:hint="eastAsia"/>
        </w:rPr>
      </w:pPr>
    </w:p>
    <w:p w14:paraId="7987FC1D">
      <w:pPr>
        <w:rPr>
          <w:rFonts w:hint="eastAsia" w:eastAsia="宋体"/>
          <w:lang w:eastAsia="zh-CN"/>
        </w:rPr>
      </w:pPr>
      <w:r>
        <w:rPr>
          <w:rFonts w:hint="eastAsia" w:eastAsia="宋体"/>
          <w:lang w:eastAsia="zh-CN"/>
        </w:rPr>
        <w:drawing>
          <wp:inline distT="0" distB="0" distL="114300" distR="114300">
            <wp:extent cx="5259705" cy="1844040"/>
            <wp:effectExtent l="0" t="0" r="17145" b="3810"/>
            <wp:docPr id="2" name="图片 2" descr="Supplementary Figure 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upplementary Figure S2"/>
                    <pic:cNvPicPr>
                      <a:picLocks noChangeAspect="1"/>
                    </pic:cNvPicPr>
                  </pic:nvPicPr>
                  <pic:blipFill>
                    <a:blip r:embed="rId5"/>
                    <a:stretch>
                      <a:fillRect/>
                    </a:stretch>
                  </pic:blipFill>
                  <pic:spPr>
                    <a:xfrm>
                      <a:off x="0" y="0"/>
                      <a:ext cx="5259705" cy="1844040"/>
                    </a:xfrm>
                    <a:prstGeom prst="rect">
                      <a:avLst/>
                    </a:prstGeom>
                  </pic:spPr>
                </pic:pic>
              </a:graphicData>
            </a:graphic>
          </wp:inline>
        </w:drawing>
      </w:r>
    </w:p>
    <w:p w14:paraId="6E38C69E">
      <w:pPr>
        <w:keepNext/>
        <w:rPr>
          <w:rFonts w:cs="Times New Roman"/>
          <w:szCs w:val="24"/>
        </w:rPr>
      </w:pPr>
      <w:bookmarkStart w:id="0" w:name="OLE_LINK4"/>
      <w:r>
        <w:rPr>
          <w:rFonts w:cs="Times New Roman"/>
          <w:b/>
          <w:szCs w:val="24"/>
        </w:rPr>
        <w:t xml:space="preserve">Figure </w:t>
      </w:r>
      <w:r>
        <w:rPr>
          <w:rFonts w:hint="eastAsia" w:cs="Times New Roman"/>
          <w:b/>
          <w:szCs w:val="24"/>
        </w:rPr>
        <w:t>S</w:t>
      </w:r>
      <w:r>
        <w:rPr>
          <w:rFonts w:cs="Times New Roman"/>
          <w:b/>
          <w:szCs w:val="24"/>
        </w:rPr>
        <w:t>2.</w:t>
      </w:r>
      <w:r>
        <w:rPr>
          <w:rFonts w:cs="Times New Roman"/>
          <w:szCs w:val="24"/>
        </w:rPr>
        <w:t xml:space="preserve"> </w:t>
      </w:r>
      <w:r>
        <w:rPr>
          <w:rFonts w:cs="Times New Roman"/>
        </w:rPr>
        <w:t>Leave-one-out plots</w:t>
      </w:r>
      <w:r>
        <w:rPr>
          <w:rFonts w:cs="Times New Roman"/>
          <w:szCs w:val="24"/>
        </w:rPr>
        <w:t xml:space="preserve"> of MR analyses for VEGF and IL-10 in IIH</w:t>
      </w:r>
      <w:r>
        <w:rPr>
          <w:rFonts w:hint="eastAsia" w:cs="Times New Roman"/>
          <w:szCs w:val="24"/>
        </w:rPr>
        <w:t>.</w:t>
      </w:r>
    </w:p>
    <w:p w14:paraId="5E87CBDE">
      <w:pPr>
        <w:keepNext/>
        <w:rPr>
          <w:rFonts w:cs="Times New Roman"/>
          <w:szCs w:val="24"/>
        </w:rPr>
      </w:pPr>
      <w:r>
        <w:rPr>
          <w:rFonts w:cs="Times New Roman"/>
          <w:szCs w:val="24"/>
        </w:rPr>
        <w:t>Footnotes:</w:t>
      </w:r>
      <w:r>
        <w:t xml:space="preserve"> </w:t>
      </w:r>
      <w:r>
        <w:rPr>
          <w:rFonts w:cs="Times New Roman"/>
          <w:szCs w:val="24"/>
        </w:rPr>
        <w:t>Each black dot represents the estimated effect size obtained by excluding a particular individual. Accompanying each dot, a horizontal line is typically depicted, representing the 95% confidence interval (CI) of the estimated effect size. The distribution and pattern of these dots, along with the corresponding confidence intervals, allow for an assessment of the stability of the overall estimated effect when individual participants are sequentially excluded from the analysis</w:t>
      </w:r>
      <w:r>
        <w:rPr>
          <w:rFonts w:hint="eastAsia" w:cs="Times New Roman"/>
          <w:szCs w:val="24"/>
        </w:rPr>
        <w:t>.</w:t>
      </w:r>
      <w:r>
        <w:rPr>
          <w:rFonts w:cs="Times New Roman"/>
          <w:szCs w:val="24"/>
        </w:rPr>
        <w:t xml:space="preserve"> </w:t>
      </w:r>
    </w:p>
    <w:p w14:paraId="16A4432E">
      <w:pPr>
        <w:keepNext/>
        <w:rPr>
          <w:rFonts w:cs="Times New Roman"/>
          <w:szCs w:val="24"/>
        </w:rPr>
      </w:pPr>
      <w:r>
        <w:rPr>
          <w:rFonts w:cs="Times New Roman"/>
          <w:szCs w:val="24"/>
        </w:rPr>
        <w:t xml:space="preserve">(A) </w:t>
      </w:r>
      <w:r>
        <w:rPr>
          <w:rFonts w:cs="Times New Roman"/>
        </w:rPr>
        <w:t>Leave-one-out plots</w:t>
      </w:r>
      <w:r>
        <w:rPr>
          <w:rFonts w:cs="Times New Roman"/>
          <w:szCs w:val="24"/>
        </w:rPr>
        <w:t xml:space="preserve"> for the exposure of VEGF</w:t>
      </w:r>
      <w:r>
        <w:rPr>
          <w:rFonts w:hint="eastAsia" w:cs="Times New Roman"/>
          <w:szCs w:val="24"/>
        </w:rPr>
        <w:t>.</w:t>
      </w:r>
    </w:p>
    <w:p w14:paraId="36B1F6E8">
      <w:pPr>
        <w:keepNext/>
        <w:rPr>
          <w:rFonts w:cs="Times New Roman"/>
          <w:b/>
          <w:szCs w:val="24"/>
        </w:rPr>
      </w:pPr>
      <w:r>
        <w:rPr>
          <w:rFonts w:cs="Times New Roman"/>
          <w:szCs w:val="24"/>
        </w:rPr>
        <w:t xml:space="preserve">(B) </w:t>
      </w:r>
      <w:r>
        <w:rPr>
          <w:rFonts w:cs="Times New Roman"/>
        </w:rPr>
        <w:t>Leave-one-out plots</w:t>
      </w:r>
      <w:r>
        <w:rPr>
          <w:rFonts w:cs="Times New Roman"/>
          <w:szCs w:val="24"/>
        </w:rPr>
        <w:t xml:space="preserve"> for the exposure of IL-10</w:t>
      </w:r>
      <w:r>
        <w:rPr>
          <w:rFonts w:hint="eastAsia" w:cs="Times New Roman"/>
          <w:szCs w:val="24"/>
        </w:rPr>
        <w:t>.</w:t>
      </w:r>
    </w:p>
    <w:bookmarkEnd w:id="0"/>
    <w:p w14:paraId="27774CB2"/>
    <w:p w14:paraId="171637A5">
      <w:r>
        <w:rPr>
          <w:rFonts w:hint="eastAsia" w:eastAsia="宋体"/>
          <w:lang w:eastAsia="zh-CN"/>
        </w:rPr>
        <w:drawing>
          <wp:inline distT="0" distB="0" distL="114300" distR="114300">
            <wp:extent cx="5259705" cy="1917065"/>
            <wp:effectExtent l="0" t="0" r="17145" b="6985"/>
            <wp:docPr id="3" name="图片 3" descr="Supplementary Figure 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upplementary Figure S3"/>
                    <pic:cNvPicPr>
                      <a:picLocks noChangeAspect="1"/>
                    </pic:cNvPicPr>
                  </pic:nvPicPr>
                  <pic:blipFill>
                    <a:blip r:embed="rId6"/>
                    <a:stretch>
                      <a:fillRect/>
                    </a:stretch>
                  </pic:blipFill>
                  <pic:spPr>
                    <a:xfrm>
                      <a:off x="0" y="0"/>
                      <a:ext cx="5259705" cy="1917065"/>
                    </a:xfrm>
                    <a:prstGeom prst="rect">
                      <a:avLst/>
                    </a:prstGeom>
                  </pic:spPr>
                </pic:pic>
              </a:graphicData>
            </a:graphic>
          </wp:inline>
        </w:drawing>
      </w:r>
    </w:p>
    <w:p w14:paraId="6100E54D">
      <w:pPr>
        <w:keepNext/>
        <w:rPr>
          <w:rFonts w:cs="Times New Roman"/>
          <w:szCs w:val="24"/>
        </w:rPr>
      </w:pPr>
      <w:r>
        <w:rPr>
          <w:rFonts w:cs="Times New Roman"/>
          <w:b/>
          <w:szCs w:val="24"/>
        </w:rPr>
        <w:t xml:space="preserve">Figure </w:t>
      </w:r>
      <w:r>
        <w:rPr>
          <w:rFonts w:hint="eastAsia" w:cs="Times New Roman"/>
          <w:b/>
          <w:szCs w:val="24"/>
        </w:rPr>
        <w:t>S</w:t>
      </w:r>
      <w:r>
        <w:rPr>
          <w:rFonts w:cs="Times New Roman"/>
          <w:b/>
          <w:szCs w:val="24"/>
        </w:rPr>
        <w:t>3.</w:t>
      </w:r>
      <w:r>
        <w:rPr>
          <w:rFonts w:cs="Times New Roman"/>
          <w:szCs w:val="24"/>
        </w:rPr>
        <w:t xml:space="preserve"> </w:t>
      </w:r>
      <w:r>
        <w:rPr>
          <w:rFonts w:cs="Times New Roman"/>
        </w:rPr>
        <w:t>Funnel plots</w:t>
      </w:r>
      <w:r>
        <w:rPr>
          <w:rFonts w:cs="Times New Roman"/>
          <w:szCs w:val="24"/>
        </w:rPr>
        <w:t xml:space="preserve"> of MR analyses for VEGF and IL-10 in IIH</w:t>
      </w:r>
      <w:r>
        <w:rPr>
          <w:rFonts w:hint="eastAsia" w:cs="Times New Roman"/>
          <w:szCs w:val="24"/>
        </w:rPr>
        <w:t>.</w:t>
      </w:r>
    </w:p>
    <w:p w14:paraId="7A69A957">
      <w:pPr>
        <w:keepNext/>
        <w:rPr>
          <w:rFonts w:cs="Times New Roman"/>
          <w:szCs w:val="24"/>
        </w:rPr>
      </w:pPr>
      <w:r>
        <w:rPr>
          <w:rFonts w:cs="Times New Roman"/>
          <w:szCs w:val="24"/>
        </w:rPr>
        <w:t>Footnotes:</w:t>
      </w:r>
      <w:r>
        <w:t xml:space="preserve"> </w:t>
      </w:r>
      <w:bookmarkStart w:id="1" w:name="OLE_LINK5"/>
      <w:r>
        <w:rPr>
          <w:rFonts w:cs="Times New Roman"/>
          <w:szCs w:val="24"/>
        </w:rPr>
        <w:t>The funnel plots illustrate the IVW estimate for each cytokine SNP in relation to IIH, plotted against the reciprocal of the standard error (1/SE).</w:t>
      </w:r>
      <w:bookmarkEnd w:id="1"/>
    </w:p>
    <w:p w14:paraId="42925DCD">
      <w:pPr>
        <w:keepNext/>
        <w:rPr>
          <w:rFonts w:cs="Times New Roman"/>
          <w:szCs w:val="24"/>
        </w:rPr>
      </w:pPr>
      <w:r>
        <w:rPr>
          <w:rFonts w:cs="Times New Roman"/>
          <w:szCs w:val="24"/>
        </w:rPr>
        <w:t xml:space="preserve">(A) </w:t>
      </w:r>
      <w:r>
        <w:rPr>
          <w:rFonts w:cs="Times New Roman"/>
        </w:rPr>
        <w:t>Funnel plots</w:t>
      </w:r>
      <w:r>
        <w:rPr>
          <w:rFonts w:cs="Times New Roman"/>
          <w:szCs w:val="24"/>
        </w:rPr>
        <w:t xml:space="preserve"> for the exposure of VEGF</w:t>
      </w:r>
      <w:r>
        <w:rPr>
          <w:rFonts w:hint="eastAsia" w:cs="Times New Roman"/>
          <w:szCs w:val="24"/>
        </w:rPr>
        <w:t>.</w:t>
      </w:r>
    </w:p>
    <w:p w14:paraId="04254A3B">
      <w:pPr>
        <w:keepNext/>
        <w:rPr>
          <w:rFonts w:cs="Times New Roman"/>
          <w:b/>
          <w:szCs w:val="24"/>
        </w:rPr>
      </w:pPr>
      <w:r>
        <w:rPr>
          <w:rFonts w:cs="Times New Roman"/>
          <w:szCs w:val="24"/>
        </w:rPr>
        <w:t xml:space="preserve">(B) </w:t>
      </w:r>
      <w:r>
        <w:rPr>
          <w:rFonts w:cs="Times New Roman"/>
        </w:rPr>
        <w:t xml:space="preserve">Funnel plots </w:t>
      </w:r>
      <w:r>
        <w:rPr>
          <w:rFonts w:cs="Times New Roman"/>
          <w:szCs w:val="24"/>
        </w:rPr>
        <w:t>for the exposure of IL-10</w:t>
      </w:r>
      <w:r>
        <w:rPr>
          <w:rFonts w:hint="eastAsia" w:cs="Times New Roman"/>
          <w:szCs w:val="24"/>
        </w:rPr>
        <w:t>.</w:t>
      </w:r>
    </w:p>
    <w:p w14:paraId="6DBF5A87"/>
    <w:p w14:paraId="3C02FFD7">
      <w:pPr>
        <w:rPr>
          <w:rFonts w:hint="eastAsia"/>
        </w:rPr>
      </w:pPr>
      <w:bookmarkStart w:id="2" w:name="_GoBack"/>
      <w:bookmarkEnd w:id="2"/>
    </w:p>
    <w:p w14:paraId="6C6BAB3A">
      <w:pPr>
        <w:rPr>
          <w:rFonts w:hint="eastAsia" w:eastAsia="宋体"/>
          <w:lang w:eastAsia="zh-CN"/>
        </w:rPr>
      </w:pPr>
      <w:r>
        <w:rPr>
          <w:rFonts w:hint="eastAsia" w:eastAsia="宋体"/>
          <w:lang w:eastAsia="zh-CN"/>
        </w:rPr>
        <w:drawing>
          <wp:inline distT="0" distB="0" distL="114300" distR="114300">
            <wp:extent cx="5264150" cy="2295525"/>
            <wp:effectExtent l="0" t="0" r="12700" b="9525"/>
            <wp:docPr id="4" name="图片 4" descr="Supplementary Figure 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upplementary Figure S4"/>
                    <pic:cNvPicPr>
                      <a:picLocks noChangeAspect="1"/>
                    </pic:cNvPicPr>
                  </pic:nvPicPr>
                  <pic:blipFill>
                    <a:blip r:embed="rId7"/>
                    <a:stretch>
                      <a:fillRect/>
                    </a:stretch>
                  </pic:blipFill>
                  <pic:spPr>
                    <a:xfrm>
                      <a:off x="0" y="0"/>
                      <a:ext cx="5264150" cy="2295525"/>
                    </a:xfrm>
                    <a:prstGeom prst="rect">
                      <a:avLst/>
                    </a:prstGeom>
                  </pic:spPr>
                </pic:pic>
              </a:graphicData>
            </a:graphic>
          </wp:inline>
        </w:drawing>
      </w:r>
    </w:p>
    <w:p w14:paraId="09F0CDCB">
      <w:pPr>
        <w:keepNext/>
        <w:rPr>
          <w:rFonts w:cs="Times New Roman"/>
          <w:szCs w:val="24"/>
        </w:rPr>
      </w:pPr>
      <w:r>
        <w:rPr>
          <w:rFonts w:cs="Times New Roman"/>
          <w:b/>
          <w:szCs w:val="24"/>
        </w:rPr>
        <w:t xml:space="preserve">Figure </w:t>
      </w:r>
      <w:r>
        <w:rPr>
          <w:rFonts w:hint="eastAsia" w:cs="Times New Roman"/>
          <w:b/>
          <w:szCs w:val="24"/>
        </w:rPr>
        <w:t>S</w:t>
      </w:r>
      <w:r>
        <w:rPr>
          <w:rFonts w:cs="Times New Roman"/>
          <w:b/>
          <w:szCs w:val="24"/>
        </w:rPr>
        <w:t>4.</w:t>
      </w:r>
      <w:r>
        <w:rPr>
          <w:rFonts w:cs="Times New Roman"/>
          <w:szCs w:val="24"/>
        </w:rPr>
        <w:t xml:space="preserve"> </w:t>
      </w:r>
      <w:r>
        <w:rPr>
          <w:rFonts w:cs="Times New Roman"/>
        </w:rPr>
        <w:t>Forest plots</w:t>
      </w:r>
      <w:r>
        <w:rPr>
          <w:rFonts w:cs="Times New Roman"/>
          <w:szCs w:val="24"/>
        </w:rPr>
        <w:t xml:space="preserve"> of MR analyses for VEGF and IL-10 in IIH</w:t>
      </w:r>
      <w:r>
        <w:rPr>
          <w:rFonts w:hint="eastAsia" w:cs="Times New Roman"/>
          <w:szCs w:val="24"/>
        </w:rPr>
        <w:t>.</w:t>
      </w:r>
    </w:p>
    <w:p w14:paraId="76139273">
      <w:pPr>
        <w:keepNext/>
        <w:rPr>
          <w:rFonts w:cs="Times New Roman"/>
          <w:szCs w:val="24"/>
        </w:rPr>
      </w:pPr>
      <w:r>
        <w:rPr>
          <w:rFonts w:cs="Times New Roman"/>
          <w:szCs w:val="24"/>
        </w:rPr>
        <w:t>Footnotes:</w:t>
      </w:r>
      <w:r>
        <w:t xml:space="preserve"> </w:t>
      </w:r>
      <w:r>
        <w:rPr>
          <w:rFonts w:cs="Times New Roman"/>
          <w:szCs w:val="24"/>
        </w:rPr>
        <w:t>The forest plot displays the IVW estimates for each cytokine SNP in relation to IIH, along with the overall IVW estimate and MR-Egger estimate.</w:t>
      </w:r>
    </w:p>
    <w:p w14:paraId="67E649D6">
      <w:pPr>
        <w:keepNext/>
        <w:rPr>
          <w:rFonts w:cs="Times New Roman"/>
          <w:szCs w:val="24"/>
        </w:rPr>
      </w:pPr>
      <w:r>
        <w:rPr>
          <w:rFonts w:cs="Times New Roman"/>
          <w:szCs w:val="24"/>
        </w:rPr>
        <w:t xml:space="preserve">(A) </w:t>
      </w:r>
      <w:r>
        <w:rPr>
          <w:rFonts w:cs="Times New Roman"/>
        </w:rPr>
        <w:t>Forest plots</w:t>
      </w:r>
      <w:r>
        <w:rPr>
          <w:rFonts w:cs="Times New Roman"/>
          <w:szCs w:val="24"/>
        </w:rPr>
        <w:t xml:space="preserve"> for the exposure of VEGF</w:t>
      </w:r>
      <w:r>
        <w:rPr>
          <w:rFonts w:hint="eastAsia" w:cs="Times New Roman"/>
          <w:szCs w:val="24"/>
        </w:rPr>
        <w:t>.</w:t>
      </w:r>
    </w:p>
    <w:p w14:paraId="08AB8950">
      <w:pPr>
        <w:keepNext/>
        <w:rPr>
          <w:rFonts w:cs="Times New Roman"/>
          <w:b/>
          <w:szCs w:val="24"/>
        </w:rPr>
      </w:pPr>
      <w:r>
        <w:rPr>
          <w:rFonts w:cs="Times New Roman"/>
          <w:szCs w:val="24"/>
        </w:rPr>
        <w:t xml:space="preserve">(B) </w:t>
      </w:r>
      <w:r>
        <w:rPr>
          <w:rFonts w:cs="Times New Roman"/>
        </w:rPr>
        <w:t xml:space="preserve">Forest plots </w:t>
      </w:r>
      <w:r>
        <w:rPr>
          <w:rFonts w:cs="Times New Roman"/>
          <w:szCs w:val="24"/>
        </w:rPr>
        <w:t>for the exposure of IL-10</w:t>
      </w:r>
      <w:r>
        <w:rPr>
          <w:rFonts w:hint="eastAsia" w:cs="Times New Roman"/>
          <w:szCs w:val="24"/>
        </w:rPr>
        <w:t>.</w:t>
      </w:r>
    </w:p>
    <w:p w14:paraId="26D3225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documentProtection w:enforcement="0"/>
  <w:defaultTabStop w:val="420"/>
  <w:noPunctuationKerning w:val="1"/>
  <w:characterSpacingControl w:val="doNotCompress"/>
  <w:compat>
    <w:doNotExpandShiftReturn/>
    <w:doNotWrapTextWithPunct/>
    <w:doNotUseEastAsianBreakRules/>
    <w:useFELayout/>
    <w:compatSetting w:name="compatibilityMode" w:uri="http://schemas.microsoft.com/office/word" w:val="12"/>
  </w:compat>
  <w:docVars>
    <w:docVar w:name="__Grammarly_42____i" w:val="H4sIAAAAAAAEAKtWckksSQxILCpxzi/NK1GyMqwFAAEhoTITAAAA"/>
    <w:docVar w:name="__Grammarly_42___1" w:val="H4sIAAAAAAAEAKtWcslP9kxRslIyNDYxNDGwMDMysrQwNzO1MDBT0lEKTi0uzszPAykwrAUABsnYDCwAAAA="/>
  </w:docVars>
  <w:rsids>
    <w:rsidRoot w:val="00C51546"/>
    <w:rsid w:val="000453BA"/>
    <w:rsid w:val="00146A4E"/>
    <w:rsid w:val="00224DAA"/>
    <w:rsid w:val="00604839"/>
    <w:rsid w:val="007A1B10"/>
    <w:rsid w:val="008434AC"/>
    <w:rsid w:val="00992726"/>
    <w:rsid w:val="00AF12A8"/>
    <w:rsid w:val="00B11392"/>
    <w:rsid w:val="00B26E9F"/>
    <w:rsid w:val="00BD47F3"/>
    <w:rsid w:val="00C00C38"/>
    <w:rsid w:val="00C3100D"/>
    <w:rsid w:val="00C51546"/>
    <w:rsid w:val="059D2B4D"/>
    <w:rsid w:val="18AA42B6"/>
    <w:rsid w:val="1EF04FB7"/>
    <w:rsid w:val="223661CA"/>
    <w:rsid w:val="278F2373"/>
    <w:rsid w:val="30890898"/>
    <w:rsid w:val="32402B76"/>
    <w:rsid w:val="3AB35324"/>
    <w:rsid w:val="40947D12"/>
    <w:rsid w:val="415518CD"/>
    <w:rsid w:val="524F64DC"/>
    <w:rsid w:val="567D0BF2"/>
    <w:rsid w:val="5ED87A99"/>
    <w:rsid w:val="67A65231"/>
    <w:rsid w:val="73BB6BEC"/>
    <w:rsid w:val="7D6B5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4"/>
      <w:szCs w:val="22"/>
      <w:lang w:val="en-US" w:eastAsia="zh-CN" w:bidi="ar-SA"/>
      <w14:ligatures w14:val="standardContextual"/>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link w:val="12"/>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tabs>
        <w:tab w:val="center" w:pos="4153"/>
        <w:tab w:val="right" w:pos="8306"/>
      </w:tabs>
      <w:snapToGrid w:val="0"/>
      <w:jc w:val="center"/>
    </w:pPr>
    <w:rPr>
      <w:sz w:val="18"/>
      <w:szCs w:val="18"/>
    </w:rPr>
  </w:style>
  <w:style w:type="paragraph" w:styleId="5">
    <w:name w:val="Title"/>
    <w:basedOn w:val="1"/>
    <w:next w:val="1"/>
    <w:link w:val="14"/>
    <w:qFormat/>
    <w:uiPriority w:val="10"/>
    <w:pPr>
      <w:spacing w:before="240" w:after="60"/>
      <w:jc w:val="center"/>
      <w:outlineLvl w:val="0"/>
    </w:pPr>
    <w:rPr>
      <w:rFonts w:asciiTheme="majorHAnsi" w:hAnsiTheme="majorHAnsi" w:eastAsiaTheme="majorEastAsia" w:cstheme="majorBidi"/>
      <w:b/>
      <w:bCs/>
      <w:sz w:val="32"/>
      <w:szCs w:val="32"/>
    </w:rPr>
  </w:style>
  <w:style w:type="character" w:styleId="8">
    <w:name w:val="Hyperlink"/>
    <w:basedOn w:val="7"/>
    <w:unhideWhenUsed/>
    <w:qFormat/>
    <w:uiPriority w:val="99"/>
    <w:rPr>
      <w:color w:val="0563C1" w:themeColor="hyperlink"/>
      <w:u w:val="single"/>
    </w:rPr>
  </w:style>
  <w:style w:type="character" w:styleId="9">
    <w:name w:val="HTML Code"/>
    <w:basedOn w:val="7"/>
    <w:semiHidden/>
    <w:unhideWhenUsed/>
    <w:qFormat/>
    <w:uiPriority w:val="99"/>
    <w:rPr>
      <w:rFonts w:ascii="Courier New" w:hAnsi="Courier New"/>
      <w:sz w:val="20"/>
    </w:rPr>
  </w:style>
  <w:style w:type="character" w:styleId="10">
    <w:name w:val="annotation reference"/>
    <w:basedOn w:val="7"/>
    <w:semiHidden/>
    <w:unhideWhenUsed/>
    <w:qFormat/>
    <w:uiPriority w:val="99"/>
    <w:rPr>
      <w:sz w:val="21"/>
      <w:szCs w:val="21"/>
    </w:rPr>
  </w:style>
  <w:style w:type="character" w:customStyle="1" w:styleId="11">
    <w:name w:val="页眉 字符"/>
    <w:basedOn w:val="7"/>
    <w:link w:val="4"/>
    <w:qFormat/>
    <w:uiPriority w:val="99"/>
    <w:rPr>
      <w:sz w:val="18"/>
      <w:szCs w:val="18"/>
    </w:rPr>
  </w:style>
  <w:style w:type="character" w:customStyle="1" w:styleId="12">
    <w:name w:val="页脚 字符"/>
    <w:basedOn w:val="7"/>
    <w:link w:val="3"/>
    <w:qFormat/>
    <w:uiPriority w:val="99"/>
    <w:rPr>
      <w:sz w:val="18"/>
      <w:szCs w:val="18"/>
    </w:rPr>
  </w:style>
  <w:style w:type="paragraph" w:customStyle="1" w:styleId="13">
    <w:name w:val="Supplementary Material"/>
    <w:basedOn w:val="5"/>
    <w:next w:val="5"/>
    <w:qFormat/>
    <w:uiPriority w:val="0"/>
    <w:pPr>
      <w:widowControl/>
      <w:suppressLineNumbers/>
      <w:spacing w:after="120"/>
      <w:outlineLvl w:val="9"/>
    </w:pPr>
    <w:rPr>
      <w:rFonts w:ascii="Times New Roman" w:hAnsi="Times New Roman" w:cs="Times New Roman" w:eastAsiaTheme="minorEastAsia"/>
      <w:bCs w:val="0"/>
      <w:i/>
      <w:kern w:val="0"/>
      <w:lang w:eastAsia="en-US"/>
    </w:rPr>
  </w:style>
  <w:style w:type="character" w:customStyle="1" w:styleId="14">
    <w:name w:val="标题 字符"/>
    <w:basedOn w:val="7"/>
    <w:link w:val="5"/>
    <w:qFormat/>
    <w:uiPriority w:val="10"/>
    <w:rPr>
      <w:rFonts w:asciiTheme="majorHAnsi" w:hAnsiTheme="majorHAnsi" w:eastAsiaTheme="majorEastAsia" w:cstheme="majorBidi"/>
      <w:b/>
      <w:bCs/>
      <w:sz w:val="32"/>
      <w:szCs w:val="32"/>
    </w:rPr>
  </w:style>
  <w:style w:type="character" w:customStyle="1" w:styleId="15">
    <w:name w:val="未处理的提及1"/>
    <w:basedOn w:val="7"/>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388</Words>
  <Characters>2120</Characters>
  <Lines>69</Lines>
  <Paragraphs>37</Paragraphs>
  <TotalTime>3</TotalTime>
  <ScaleCrop>false</ScaleCrop>
  <LinksUpToDate>false</LinksUpToDate>
  <CharactersWithSpaces>2490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2024-01-28T12:27:00Z</dcterms:created>
  <dc:creator>梦圆 张</dc:creator>
  <cp:lastModifiedBy>ann</cp:lastModifiedBy>
  <dcterms:modified xsi:type="dcterms:W3CDTF">2026-09-28T01:21:37Z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eyJoZGlkIjoiMGExMGY5NjcxODU5OGI0MDY0M2YzNTE0ZTcyOTUzNzgiLCJ1c2VySWQiOiIyMzc2NTYxMyJ9</vt:lpwstr>
  </property>
  <property fmtid="{D5CDD505-2E9C-101B-9397-08002B2CF9AE}" pid="3" name="KSOProductBuildVer">
    <vt:lpwstr>2052-12.1.0.28043</vt:lpwstr>
  </property>
  <property fmtid="{D5CDD505-2E9C-101B-9397-08002B2CF9AE}" pid="4" name="ICV">
    <vt:lpwstr>A08A09CFAEB3437F915F32B871157F32_12</vt:lpwstr>
  </property>
</Properties>
</file>