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9D6D64">
      <w:pPr>
        <w:spacing w:line="480" w:lineRule="auto"/>
        <w:jc w:val="center"/>
        <w:rPr>
          <w:rFonts w:ascii="Times New Roman" w:hAnsi="Times New Roman" w:cs="Times New Roman"/>
          <w:b/>
          <w:sz w:val="28"/>
          <w:szCs w:val="28"/>
        </w:rPr>
      </w:pPr>
      <w:r>
        <w:rPr>
          <w:rFonts w:ascii="Times New Roman" w:hAnsi="Times New Roman" w:cs="Times New Roman"/>
          <w:b/>
          <w:sz w:val="28"/>
          <w:szCs w:val="28"/>
        </w:rPr>
        <w:t xml:space="preserve">ZmHOP2a </w:t>
      </w:r>
      <w:r>
        <w:rPr>
          <w:rFonts w:ascii="Times New Roman" w:hAnsi="Times New Roman" w:eastAsia="宋体" w:cs="Times New Roman"/>
          <w:b/>
          <w:sz w:val="28"/>
          <w:szCs w:val="28"/>
        </w:rPr>
        <w:t>C</w:t>
      </w:r>
      <w:r>
        <w:rPr>
          <w:rFonts w:ascii="Times New Roman" w:hAnsi="Times New Roman" w:cs="Times New Roman"/>
          <w:b/>
          <w:sz w:val="28"/>
          <w:szCs w:val="28"/>
        </w:rPr>
        <w:t xml:space="preserve">oordinates </w:t>
      </w:r>
      <w:r>
        <w:rPr>
          <w:rFonts w:ascii="Times New Roman" w:hAnsi="Times New Roman" w:eastAsia="宋体" w:cs="Times New Roman"/>
          <w:b/>
          <w:sz w:val="28"/>
          <w:szCs w:val="28"/>
        </w:rPr>
        <w:t>M</w:t>
      </w:r>
      <w:r>
        <w:rPr>
          <w:rFonts w:ascii="Times New Roman" w:hAnsi="Times New Roman" w:cs="Times New Roman"/>
          <w:b/>
          <w:sz w:val="28"/>
          <w:szCs w:val="28"/>
        </w:rPr>
        <w:t xml:space="preserve">eiotic </w:t>
      </w:r>
      <w:r>
        <w:rPr>
          <w:rFonts w:ascii="Times New Roman" w:hAnsi="Times New Roman" w:eastAsia="宋体" w:cs="Times New Roman"/>
          <w:b/>
          <w:sz w:val="28"/>
          <w:szCs w:val="28"/>
        </w:rPr>
        <w:t>R</w:t>
      </w:r>
      <w:r>
        <w:rPr>
          <w:rFonts w:ascii="Times New Roman" w:hAnsi="Times New Roman" w:cs="Times New Roman"/>
          <w:b/>
          <w:sz w:val="28"/>
          <w:szCs w:val="28"/>
        </w:rPr>
        <w:t xml:space="preserve">ecombination and </w:t>
      </w:r>
      <w:r>
        <w:rPr>
          <w:rFonts w:ascii="Times New Roman" w:hAnsi="Times New Roman" w:eastAsia="宋体" w:cs="Times New Roman"/>
          <w:b/>
          <w:sz w:val="28"/>
          <w:szCs w:val="28"/>
        </w:rPr>
        <w:t>S</w:t>
      </w:r>
      <w:r>
        <w:rPr>
          <w:rFonts w:ascii="Times New Roman" w:hAnsi="Times New Roman" w:cs="Times New Roman"/>
          <w:b/>
          <w:sz w:val="28"/>
          <w:szCs w:val="28"/>
        </w:rPr>
        <w:t xml:space="preserve">ynapsis in </w:t>
      </w:r>
      <w:r>
        <w:rPr>
          <w:rFonts w:ascii="Times New Roman" w:hAnsi="Times New Roman" w:eastAsia="宋体" w:cs="Times New Roman"/>
          <w:b/>
          <w:sz w:val="28"/>
          <w:szCs w:val="28"/>
        </w:rPr>
        <w:t>M</w:t>
      </w:r>
      <w:r>
        <w:rPr>
          <w:rFonts w:ascii="Times New Roman" w:hAnsi="Times New Roman" w:cs="Times New Roman"/>
          <w:b/>
          <w:sz w:val="28"/>
          <w:szCs w:val="28"/>
        </w:rPr>
        <w:t>aize</w:t>
      </w:r>
    </w:p>
    <w:p w14:paraId="267A39AC">
      <w:pPr>
        <w:spacing w:line="360" w:lineRule="auto"/>
        <w:rPr>
          <w:rFonts w:ascii="Times New Roman" w:hAnsi="Times New Roman" w:cs="Times New Roman"/>
        </w:rPr>
      </w:pPr>
      <w:r>
        <w:rPr>
          <w:rFonts w:ascii="Times New Roman" w:hAnsi="Times New Roman" w:cs="Times New Roman"/>
        </w:rPr>
        <w:t>Nan Wu</w:t>
      </w:r>
      <w:r>
        <w:rPr>
          <w:rFonts w:ascii="Times New Roman" w:hAnsi="Times New Roman" w:cs="Times New Roman"/>
          <w:vertAlign w:val="superscript"/>
        </w:rPr>
        <w:t>1</w:t>
      </w:r>
      <w:r>
        <w:rPr>
          <w:rFonts w:ascii="Times New Roman" w:hAnsi="Times New Roman" w:cs="Times New Roman"/>
        </w:rPr>
        <w:t>, Wojciech P Pawlowski</w:t>
      </w:r>
      <w:r>
        <w:rPr>
          <w:rFonts w:ascii="Times New Roman" w:hAnsi="Times New Roman" w:cs="Times New Roman"/>
          <w:vertAlign w:val="superscript"/>
        </w:rPr>
        <w:t>2</w:t>
      </w:r>
      <w:r>
        <w:rPr>
          <w:rFonts w:ascii="Times New Roman" w:hAnsi="Times New Roman" w:cs="Times New Roman"/>
        </w:rPr>
        <w:t>, Yan He</w:t>
      </w:r>
      <w:r>
        <w:rPr>
          <w:rFonts w:ascii="Times New Roman" w:hAnsi="Times New Roman" w:eastAsia="宋体" w:cs="Times New Roman"/>
          <w:vertAlign w:val="superscript"/>
        </w:rPr>
        <w:t>1,3,</w:t>
      </w:r>
      <w:r>
        <w:rPr>
          <w:rFonts w:ascii="Times New Roman" w:hAnsi="Times New Roman" w:cs="Times New Roman"/>
          <w:vertAlign w:val="superscript"/>
        </w:rPr>
        <w:t>*</w:t>
      </w:r>
      <w:r>
        <w:rPr>
          <w:rFonts w:ascii="Times New Roman" w:hAnsi="Times New Roman" w:eastAsia="宋体" w:cs="Times New Roman"/>
          <w:bCs/>
        </w:rPr>
        <w:t xml:space="preserve"> and J</w:t>
      </w:r>
      <w:r>
        <w:rPr>
          <w:rFonts w:ascii="Times New Roman" w:hAnsi="Times New Roman" w:cs="Times New Roman"/>
          <w:bCs/>
        </w:rPr>
        <w:t>inghan Liu</w:t>
      </w:r>
      <w:r>
        <w:rPr>
          <w:rFonts w:ascii="Times New Roman" w:hAnsi="Times New Roman" w:eastAsia="宋体" w:cs="Times New Roman"/>
          <w:vertAlign w:val="superscript"/>
        </w:rPr>
        <w:t>3</w:t>
      </w:r>
      <w:r>
        <w:rPr>
          <w:rFonts w:ascii="Times New Roman" w:hAnsi="Times New Roman" w:cs="Times New Roman"/>
          <w:vertAlign w:val="superscript"/>
        </w:rPr>
        <w:t>,*</w:t>
      </w:r>
      <w:r>
        <w:rPr>
          <w:rFonts w:ascii="Times New Roman" w:hAnsi="Times New Roman" w:cs="Times New Roman"/>
        </w:rPr>
        <w:t xml:space="preserve"> </w:t>
      </w:r>
    </w:p>
    <w:p w14:paraId="3A0332A2">
      <w:pPr>
        <w:spacing w:line="360" w:lineRule="auto"/>
        <w:contextualSpacing/>
        <w:rPr>
          <w:rFonts w:ascii="Times New Roman" w:hAnsi="Times New Roman" w:cs="Times New Roman"/>
        </w:rPr>
      </w:pPr>
      <w:r>
        <w:rPr>
          <w:rFonts w:ascii="Times New Roman" w:hAnsi="Times New Roman" w:cs="Times New Roman"/>
          <w:vertAlign w:val="superscript"/>
        </w:rPr>
        <w:t>1</w:t>
      </w:r>
      <w:r>
        <w:rPr>
          <w:rFonts w:ascii="Times New Roman" w:hAnsi="Times New Roman" w:eastAsia="Arial Unicode MS" w:cs="Times New Roman"/>
        </w:rPr>
        <w:t>State Key Laboratory of Maize Bio-breeding, National Maize Improvement Center, College of Agronomy and Biotechnology, China Agricultural University, Beijing 100193, China.</w:t>
      </w:r>
    </w:p>
    <w:p w14:paraId="27BA3EB4">
      <w:pPr>
        <w:spacing w:line="360" w:lineRule="auto"/>
        <w:contextualSpacing/>
        <w:rPr>
          <w:rFonts w:ascii="Times New Roman" w:hAnsi="Times New Roman" w:cs="Times New Roman"/>
        </w:rPr>
      </w:pPr>
      <w:bookmarkStart w:id="0" w:name="OLE_LINK52"/>
      <w:r>
        <w:rPr>
          <w:rFonts w:ascii="Times New Roman" w:hAnsi="Times New Roman" w:cs="Times New Roman"/>
          <w:vertAlign w:val="superscript"/>
        </w:rPr>
        <w:t>2</w:t>
      </w:r>
      <w:bookmarkEnd w:id="0"/>
      <w:r>
        <w:rPr>
          <w:rFonts w:ascii="Times New Roman" w:hAnsi="Times New Roman" w:cs="Times New Roman"/>
        </w:rPr>
        <w:t>Section of Plant Biology, School of Integrative Plant Science, Cornell University, Ithaca, NY 14853</w:t>
      </w:r>
      <w:r>
        <w:rPr>
          <w:rFonts w:ascii="Times New Roman" w:hAnsi="Times New Roman" w:eastAsia="宋体" w:cs="Times New Roman"/>
        </w:rPr>
        <w:t>, USA.</w:t>
      </w:r>
    </w:p>
    <w:p w14:paraId="2F044EAB">
      <w:pPr>
        <w:spacing w:line="360" w:lineRule="auto"/>
        <w:contextualSpacing/>
        <w:rPr>
          <w:rFonts w:ascii="Times New Roman" w:hAnsi="Times New Roman" w:eastAsia="宋体" w:cs="Times New Roman"/>
        </w:rPr>
      </w:pPr>
      <w:r>
        <w:rPr>
          <w:rFonts w:ascii="Times New Roman" w:hAnsi="Times New Roman" w:eastAsia="宋体" w:cs="Times New Roman"/>
          <w:vertAlign w:val="superscript"/>
        </w:rPr>
        <w:t>3</w:t>
      </w:r>
      <w:r>
        <w:rPr>
          <w:rFonts w:ascii="Times New Roman" w:hAnsi="Times New Roman" w:cs="Times New Roman"/>
        </w:rPr>
        <w:t>Key Laboratory of Seed Innovation, Institute of Genetics and Developmental Biology, Chinese Academy of Sciences, Beijing 100101, China</w:t>
      </w:r>
      <w:r>
        <w:rPr>
          <w:rFonts w:ascii="Times New Roman" w:hAnsi="Times New Roman" w:eastAsia="宋体" w:cs="Times New Roman"/>
        </w:rPr>
        <w:t>.</w:t>
      </w:r>
    </w:p>
    <w:p w14:paraId="7D810D79">
      <w:pPr>
        <w:spacing w:line="360" w:lineRule="auto"/>
        <w:rPr>
          <w:rFonts w:ascii="Times New Roman" w:hAnsi="Times New Roman" w:eastAsia="宋体" w:cs="Times New Roman"/>
          <w:iCs/>
        </w:rPr>
      </w:pPr>
      <w:r>
        <w:rPr>
          <w:rFonts w:ascii="Times New Roman" w:hAnsi="Times New Roman" w:cs="Times New Roman"/>
        </w:rPr>
        <w:t>*</w:t>
      </w:r>
      <w:r>
        <w:rPr>
          <w:rFonts w:ascii="Times New Roman" w:hAnsi="Times New Roman" w:eastAsia="宋体" w:cs="Times New Roman"/>
          <w:iCs/>
        </w:rPr>
        <w:t>C</w:t>
      </w:r>
      <w:r>
        <w:rPr>
          <w:rFonts w:ascii="Times New Roman" w:hAnsi="Times New Roman" w:cs="Times New Roman"/>
          <w:iCs/>
        </w:rPr>
        <w:t xml:space="preserve">orrespondence </w:t>
      </w:r>
      <w:r>
        <w:rPr>
          <w:rFonts w:ascii="Times New Roman" w:hAnsi="Times New Roman" w:eastAsia="宋体" w:cs="Times New Roman"/>
          <w:iCs/>
        </w:rPr>
        <w:t>authors</w:t>
      </w:r>
      <w:r>
        <w:rPr>
          <w:rFonts w:ascii="Times New Roman" w:hAnsi="Times New Roman" w:cs="Times New Roman"/>
          <w:iCs/>
        </w:rPr>
        <w:t>:</w:t>
      </w:r>
      <w:r>
        <w:rPr>
          <w:rFonts w:ascii="Times New Roman" w:hAnsi="Times New Roman" w:eastAsia="宋体" w:cs="Times New Roman"/>
          <w:iCs/>
        </w:rPr>
        <w:t xml:space="preserve"> </w:t>
      </w:r>
    </w:p>
    <w:p w14:paraId="2C424E84">
      <w:pPr>
        <w:spacing w:line="360" w:lineRule="auto"/>
        <w:rPr>
          <w:rFonts w:ascii="Times New Roman" w:hAnsi="Times New Roman" w:eastAsia="宋体" w:cs="Times New Roman"/>
          <w:iCs/>
        </w:rPr>
      </w:pPr>
      <w:r>
        <w:rPr>
          <w:rFonts w:ascii="Times New Roman" w:hAnsi="Times New Roman" w:eastAsia="宋体" w:cs="Times New Roman"/>
          <w:bCs/>
        </w:rPr>
        <w:t>J</w:t>
      </w:r>
      <w:r>
        <w:rPr>
          <w:rFonts w:ascii="Times New Roman" w:hAnsi="Times New Roman" w:cs="Times New Roman"/>
          <w:bCs/>
        </w:rPr>
        <w:t>inghan Liu</w:t>
      </w:r>
      <w:r>
        <w:rPr>
          <w:rFonts w:ascii="Times New Roman" w:hAnsi="Times New Roman" w:cs="Times New Roman"/>
          <w:iCs/>
        </w:rPr>
        <w:t xml:space="preserve"> </w:t>
      </w:r>
      <w:r>
        <w:rPr>
          <w:rFonts w:ascii="Times New Roman" w:hAnsi="Times New Roman" w:eastAsia="宋体" w:cs="Times New Roman"/>
          <w:iCs/>
        </w:rPr>
        <w:t>(</w:t>
      </w:r>
      <w:r>
        <w:fldChar w:fldCharType="begin"/>
      </w:r>
      <w:r>
        <w:instrText xml:space="preserve"> HYPERLINK "mailto:jhliu@genetics.ac.cn;" </w:instrText>
      </w:r>
      <w:r>
        <w:fldChar w:fldCharType="separate"/>
      </w:r>
      <w:r>
        <w:rPr>
          <w:rStyle w:val="18"/>
          <w:rFonts w:ascii="Times New Roman" w:hAnsi="Times New Roman" w:cs="Times New Roman"/>
          <w:iCs/>
          <w:color w:val="auto"/>
        </w:rPr>
        <w:t>jhliu@genetics.ac.cn</w:t>
      </w:r>
      <w:r>
        <w:rPr>
          <w:rStyle w:val="18"/>
          <w:rFonts w:ascii="Times New Roman" w:hAnsi="Times New Roman" w:eastAsia="宋体" w:cs="Times New Roman"/>
          <w:iCs/>
          <w:color w:val="auto"/>
        </w:rPr>
        <w:t>);</w:t>
      </w:r>
      <w:r>
        <w:rPr>
          <w:rStyle w:val="18"/>
          <w:rFonts w:ascii="Times New Roman" w:hAnsi="Times New Roman" w:eastAsia="宋体" w:cs="Times New Roman"/>
          <w:iCs/>
          <w:color w:val="auto"/>
        </w:rPr>
        <w:fldChar w:fldCharType="end"/>
      </w:r>
      <w:r>
        <w:rPr>
          <w:rFonts w:ascii="Times New Roman" w:hAnsi="Times New Roman" w:eastAsia="宋体" w:cs="Times New Roman"/>
          <w:iCs/>
        </w:rPr>
        <w:t xml:space="preserve"> </w:t>
      </w:r>
    </w:p>
    <w:p w14:paraId="534AB057">
      <w:pPr>
        <w:spacing w:line="360" w:lineRule="auto"/>
        <w:rPr>
          <w:rFonts w:ascii="Times New Roman" w:hAnsi="Times New Roman" w:eastAsia="宋体" w:cs="Times New Roman"/>
          <w:iCs/>
        </w:rPr>
      </w:pPr>
      <w:r>
        <w:rPr>
          <w:rFonts w:ascii="Times New Roman" w:hAnsi="Times New Roman" w:cs="Times New Roman"/>
        </w:rPr>
        <w:t>Yan He</w:t>
      </w:r>
      <w:r>
        <w:rPr>
          <w:rFonts w:ascii="Times New Roman" w:hAnsi="Times New Roman" w:eastAsia="宋体" w:cs="Times New Roman"/>
        </w:rPr>
        <w:t xml:space="preserve"> (</w:t>
      </w:r>
      <w:r>
        <w:fldChar w:fldCharType="begin"/>
      </w:r>
      <w:r>
        <w:instrText xml:space="preserve"> HYPERLINK "mailto:yh352@genetics.ac.cn" </w:instrText>
      </w:r>
      <w:r>
        <w:fldChar w:fldCharType="separate"/>
      </w:r>
      <w:r>
        <w:rPr>
          <w:rStyle w:val="18"/>
          <w:rFonts w:ascii="Times New Roman" w:hAnsi="Times New Roman" w:eastAsia="宋体" w:cs="Times New Roman"/>
          <w:iCs/>
          <w:color w:val="auto"/>
        </w:rPr>
        <w:t>yh352@genetics.ac.cn</w:t>
      </w:r>
      <w:r>
        <w:rPr>
          <w:rStyle w:val="18"/>
          <w:rFonts w:ascii="Times New Roman" w:hAnsi="Times New Roman" w:eastAsia="宋体" w:cs="Times New Roman"/>
          <w:iCs/>
          <w:color w:val="auto"/>
        </w:rPr>
        <w:fldChar w:fldCharType="end"/>
      </w:r>
      <w:r>
        <w:rPr>
          <w:rStyle w:val="18"/>
          <w:rFonts w:ascii="Times New Roman" w:hAnsi="Times New Roman" w:eastAsia="宋体" w:cs="Times New Roman"/>
          <w:iCs/>
          <w:color w:val="auto"/>
          <w:u w:val="none"/>
        </w:rPr>
        <w:t>)</w:t>
      </w:r>
    </w:p>
    <w:p w14:paraId="59E601EB">
      <w:pPr>
        <w:rPr>
          <w:rFonts w:ascii="Times New Roman" w:hAnsi="Times New Roman" w:cs="Times New Roman"/>
        </w:rPr>
      </w:pPr>
    </w:p>
    <w:p w14:paraId="3F7E4617">
      <w:pPr>
        <w:rPr>
          <w:rFonts w:ascii="Times New Roman" w:hAnsi="Times New Roman" w:cs="Times New Roman"/>
        </w:rPr>
      </w:pPr>
      <w:r>
        <w:rPr>
          <w:rFonts w:ascii="Times New Roman" w:hAnsi="Times New Roman" w:cs="Times New Roman"/>
        </w:rPr>
        <w:drawing>
          <wp:inline distT="0" distB="0" distL="0" distR="0">
            <wp:extent cx="5570220" cy="6559550"/>
            <wp:effectExtent l="0" t="0" r="0" b="0"/>
            <wp:docPr id="9002609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260943" name="图片 1"/>
                    <pic:cNvPicPr>
                      <a:picLocks noChangeAspect="1" noChangeArrowheads="1"/>
                    </pic:cNvPicPr>
                  </pic:nvPicPr>
                  <pic:blipFill>
                    <a:blip r:embed="rId4">
                      <a:extLst>
                        <a:ext uri="{28A0092B-C50C-407E-A947-70E740481C1C}">
                          <a14:useLocalDpi xmlns:a14="http://schemas.microsoft.com/office/drawing/2010/main" val="0"/>
                        </a:ext>
                      </a:extLst>
                    </a:blip>
                    <a:srcRect l="4629"/>
                    <a:stretch>
                      <a:fillRect/>
                    </a:stretch>
                  </pic:blipFill>
                  <pic:spPr>
                    <a:xfrm>
                      <a:off x="0" y="0"/>
                      <a:ext cx="5570386" cy="6559550"/>
                    </a:xfrm>
                    <a:prstGeom prst="rect">
                      <a:avLst/>
                    </a:prstGeom>
                    <a:noFill/>
                    <a:ln>
                      <a:noFill/>
                    </a:ln>
                  </pic:spPr>
                </pic:pic>
              </a:graphicData>
            </a:graphic>
          </wp:inline>
        </w:drawing>
      </w:r>
    </w:p>
    <w:p w14:paraId="3F63D6F0">
      <w:pPr>
        <w:rPr>
          <w:rFonts w:ascii="Times New Roman" w:hAnsi="Times New Roman" w:cs="Times New Roman"/>
        </w:rPr>
      </w:pPr>
      <w:r>
        <w:rPr>
          <w:rFonts w:ascii="Times New Roman" w:hAnsi="Times New Roman" w:cs="Times New Roman"/>
          <w:b/>
          <w:bCs/>
        </w:rPr>
        <w:t xml:space="preserve">Fig.S1 Comparative analysis of HOP2 homologs across species. </w:t>
      </w:r>
    </w:p>
    <w:p w14:paraId="4738B8C7">
      <w:pPr>
        <w:rPr>
          <w:rFonts w:ascii="Times New Roman" w:hAnsi="Times New Roman" w:cs="Times New Roman"/>
        </w:rPr>
      </w:pPr>
      <w:r>
        <w:rPr>
          <w:rFonts w:ascii="Times New Roman" w:hAnsi="Times New Roman" w:cs="Times New Roman"/>
        </w:rPr>
        <w:t>(A) Multiple sequence alignment of HOP2 proteins. The color gradient from dark to light indicates the degree of amino acid conservation (from high to low). Functional domains are marked. (B) AlphaFold-predicted structures of HOP2 homologs from budding yeast, mouse, human, rice, and maize. Conserved functional domains are highlighted in yellow; the red arrow indicates the WHD domain of maize HOP2a. (C) HOP2 neighbour-joining phylogenetic tree based on an alignment of amino acid sequences. The scale bar represents the number of changes per amino acid position.</w:t>
      </w:r>
    </w:p>
    <w:p w14:paraId="34F85D71">
      <w:pPr>
        <w:rPr>
          <w:rFonts w:ascii="Times New Roman" w:hAnsi="Times New Roman" w:cs="Times New Roman"/>
        </w:rPr>
      </w:pPr>
    </w:p>
    <w:p w14:paraId="336C96C4">
      <w:pPr>
        <w:rPr>
          <w:rFonts w:ascii="Times New Roman" w:hAnsi="Times New Roman" w:cs="Times New Roman"/>
        </w:rPr>
      </w:pPr>
    </w:p>
    <w:p w14:paraId="55ADCCE1">
      <w:pPr>
        <w:jc w:val="center"/>
        <w:rPr>
          <w:rFonts w:ascii="Times New Roman" w:hAnsi="Times New Roman" w:cs="Times New Roman"/>
        </w:rPr>
      </w:pPr>
      <w:r>
        <w:rPr>
          <w:rFonts w:ascii="Times New Roman" w:hAnsi="Times New Roman" w:cs="Times New Roman"/>
        </w:rPr>
        <w:drawing>
          <wp:inline distT="0" distB="0" distL="0" distR="0">
            <wp:extent cx="4110355" cy="2035175"/>
            <wp:effectExtent l="0" t="0" r="0" b="0"/>
            <wp:docPr id="40080185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801852" name="图片 2"/>
                    <pic:cNvPicPr>
                      <a:picLocks noChangeAspect="1" noChangeArrowheads="1"/>
                    </pic:cNvPicPr>
                  </pic:nvPicPr>
                  <pic:blipFill>
                    <a:blip r:embed="rId5">
                      <a:extLst>
                        <a:ext uri="{28A0092B-C50C-407E-A947-70E740481C1C}">
                          <a14:useLocalDpi xmlns:a14="http://schemas.microsoft.com/office/drawing/2010/main" val="0"/>
                        </a:ext>
                      </a:extLst>
                    </a:blip>
                    <a:srcRect r="7103" b="75195"/>
                    <a:stretch>
                      <a:fillRect/>
                    </a:stretch>
                  </pic:blipFill>
                  <pic:spPr>
                    <a:xfrm>
                      <a:off x="0" y="0"/>
                      <a:ext cx="4111549" cy="2035534"/>
                    </a:xfrm>
                    <a:prstGeom prst="rect">
                      <a:avLst/>
                    </a:prstGeom>
                    <a:noFill/>
                    <a:ln>
                      <a:noFill/>
                    </a:ln>
                  </pic:spPr>
                </pic:pic>
              </a:graphicData>
            </a:graphic>
          </wp:inline>
        </w:drawing>
      </w:r>
    </w:p>
    <w:p w14:paraId="14F3A88B">
      <w:pPr>
        <w:rPr>
          <w:rFonts w:ascii="Times New Roman" w:hAnsi="Times New Roman" w:cs="Times New Roman"/>
        </w:rPr>
      </w:pPr>
      <w:r>
        <w:rPr>
          <w:rFonts w:ascii="Times New Roman" w:hAnsi="Times New Roman" w:cs="Times New Roman"/>
          <w:b/>
          <w:bCs/>
        </w:rPr>
        <w:t>Fig. S2. Subcellular localization of HOP2a in maize protoplasts.</w:t>
      </w:r>
    </w:p>
    <w:p w14:paraId="62959451">
      <w:pPr>
        <w:rPr>
          <w:rFonts w:ascii="Times New Roman" w:hAnsi="Times New Roman" w:cs="Times New Roman"/>
        </w:rPr>
      </w:pPr>
      <w:r>
        <w:rPr>
          <w:rFonts w:ascii="Times New Roman" w:hAnsi="Times New Roman" w:cs="Times New Roman"/>
        </w:rPr>
        <w:t xml:space="preserve">35S::HOP2a-eGFP fusion construct was transiently expressed in maize protoplasts to determine the subcellular localization of HOP2a, and 35S::eGFP served as a negative control. Images from left to right show GFP fluorescence (Green), DAPI staining of nuclei (Blue), bright-field, and merged images. Scale bars =10 </w:t>
      </w:r>
      <w:r>
        <w:rPr>
          <w:rFonts w:ascii="Times New Roman" w:hAnsi="Times New Roman" w:cs="Times New Roman"/>
          <w:lang w:val="el-GR"/>
        </w:rPr>
        <w:t>μ</w:t>
      </w:r>
      <w:r>
        <w:rPr>
          <w:rFonts w:ascii="Times New Roman" w:hAnsi="Times New Roman" w:cs="Times New Roman"/>
        </w:rPr>
        <w:t>m.</w:t>
      </w:r>
    </w:p>
    <w:p w14:paraId="1C90E5B2">
      <w:pPr>
        <w:rPr>
          <w:rFonts w:ascii="Times New Roman" w:hAnsi="Times New Roman" w:cs="Times New Roman"/>
        </w:rPr>
      </w:pPr>
    </w:p>
    <w:p w14:paraId="3D255F47">
      <w:pPr>
        <w:jc w:val="center"/>
        <w:rPr>
          <w:rFonts w:ascii="Times New Roman" w:hAnsi="Times New Roman" w:cs="Times New Roman"/>
        </w:rPr>
      </w:pPr>
      <w:r>
        <w:rPr>
          <w:rFonts w:ascii="Times New Roman" w:hAnsi="Times New Roman" w:cs="Times New Roman"/>
        </w:rPr>
        <w:drawing>
          <wp:inline distT="0" distB="0" distL="0" distR="0">
            <wp:extent cx="2409190" cy="2838450"/>
            <wp:effectExtent l="0" t="0" r="0" b="0"/>
            <wp:docPr id="20578267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826716" name="图片 3"/>
                    <pic:cNvPicPr>
                      <a:picLocks noChangeAspect="1" noChangeArrowheads="1"/>
                    </pic:cNvPicPr>
                  </pic:nvPicPr>
                  <pic:blipFill>
                    <a:blip r:embed="rId6">
                      <a:extLst>
                        <a:ext uri="{28A0092B-C50C-407E-A947-70E740481C1C}">
                          <a14:useLocalDpi xmlns:a14="http://schemas.microsoft.com/office/drawing/2010/main" val="0"/>
                        </a:ext>
                      </a:extLst>
                    </a:blip>
                    <a:srcRect r="28785" b="67821"/>
                    <a:stretch>
                      <a:fillRect/>
                    </a:stretch>
                  </pic:blipFill>
                  <pic:spPr>
                    <a:xfrm>
                      <a:off x="0" y="0"/>
                      <a:ext cx="2409385" cy="2838615"/>
                    </a:xfrm>
                    <a:prstGeom prst="rect">
                      <a:avLst/>
                    </a:prstGeom>
                    <a:noFill/>
                    <a:ln>
                      <a:noFill/>
                    </a:ln>
                  </pic:spPr>
                </pic:pic>
              </a:graphicData>
            </a:graphic>
          </wp:inline>
        </w:drawing>
      </w:r>
    </w:p>
    <w:p w14:paraId="01397C89">
      <w:pPr>
        <w:rPr>
          <w:rFonts w:ascii="Times New Roman" w:hAnsi="Times New Roman" w:cs="Times New Roman"/>
        </w:rPr>
      </w:pPr>
      <w:r>
        <w:rPr>
          <w:rFonts w:ascii="Times New Roman" w:hAnsi="Times New Roman" w:cs="Times New Roman"/>
          <w:b/>
          <w:bCs/>
        </w:rPr>
        <w:t xml:space="preserve">Fig. S3. Characterization of </w:t>
      </w:r>
      <w:r>
        <w:rPr>
          <w:rFonts w:ascii="Times New Roman" w:hAnsi="Times New Roman" w:cs="Times New Roman"/>
          <w:b/>
          <w:bCs/>
          <w:i/>
          <w:iCs/>
        </w:rPr>
        <w:t xml:space="preserve">zmhop2a-2 </w:t>
      </w:r>
      <w:r>
        <w:rPr>
          <w:rFonts w:ascii="Times New Roman" w:hAnsi="Times New Roman" w:cs="Times New Roman"/>
          <w:b/>
          <w:bCs/>
        </w:rPr>
        <w:t>mutant.</w:t>
      </w:r>
    </w:p>
    <w:p w14:paraId="156B362A">
      <w:pPr>
        <w:rPr>
          <w:rFonts w:ascii="Times New Roman" w:hAnsi="Times New Roman" w:cs="Times New Roman"/>
        </w:rPr>
      </w:pPr>
      <w:r>
        <w:rPr>
          <w:rFonts w:ascii="Times New Roman" w:hAnsi="Times New Roman" w:cs="Times New Roman"/>
        </w:rPr>
        <w:t xml:space="preserve">(A) Tassels from </w:t>
      </w:r>
      <w:r>
        <w:rPr>
          <w:rFonts w:ascii="Times New Roman" w:hAnsi="Times New Roman" w:cs="Times New Roman"/>
          <w:i/>
          <w:iCs/>
        </w:rPr>
        <w:t xml:space="preserve">zmhop2a-2 </w:t>
      </w:r>
      <w:r>
        <w:rPr>
          <w:rFonts w:ascii="Times New Roman" w:hAnsi="Times New Roman" w:cs="Times New Roman"/>
        </w:rPr>
        <w:t>at the flowering stage. Scale bars</w:t>
      </w:r>
      <w:r>
        <w:rPr>
          <w:rFonts w:hint="eastAsia" w:ascii="Times New Roman" w:hAnsi="Times New Roman" w:cs="Times New Roman"/>
          <w:lang w:val="en-US" w:eastAsia="zh-CN"/>
        </w:rPr>
        <w:t xml:space="preserve"> </w:t>
      </w:r>
      <w:r>
        <w:rPr>
          <w:rFonts w:ascii="Times New Roman" w:hAnsi="Times New Roman" w:cs="Times New Roman"/>
        </w:rPr>
        <w:t>=</w:t>
      </w:r>
      <w:r>
        <w:rPr>
          <w:rFonts w:hint="eastAsia" w:ascii="Times New Roman" w:hAnsi="Times New Roman" w:cs="Times New Roman"/>
          <w:lang w:val="en-US" w:eastAsia="zh-CN"/>
        </w:rPr>
        <w:t xml:space="preserve"> </w:t>
      </w:r>
      <w:r>
        <w:rPr>
          <w:rFonts w:ascii="Times New Roman" w:hAnsi="Times New Roman" w:cs="Times New Roman"/>
        </w:rPr>
        <w:t xml:space="preserve">5 cm. (B) Mature ears of </w:t>
      </w:r>
      <w:r>
        <w:rPr>
          <w:rFonts w:ascii="Times New Roman" w:hAnsi="Times New Roman" w:cs="Times New Roman"/>
          <w:i/>
          <w:iCs/>
        </w:rPr>
        <w:t xml:space="preserve">zmhop2a-2 </w:t>
      </w:r>
      <w:r>
        <w:rPr>
          <w:rFonts w:ascii="Times New Roman" w:hAnsi="Times New Roman" w:cs="Times New Roman"/>
        </w:rPr>
        <w:t xml:space="preserve">pollinated with wild-type pollen grains. Scale bars = 5 cm. (C,D) Mature pollen grains from wild-type and </w:t>
      </w:r>
      <w:r>
        <w:rPr>
          <w:rFonts w:ascii="Times New Roman" w:hAnsi="Times New Roman" w:cs="Times New Roman"/>
          <w:i/>
          <w:iCs/>
        </w:rPr>
        <w:t>zmhop2a-2</w:t>
      </w:r>
      <w:r>
        <w:rPr>
          <w:rFonts w:ascii="Times New Roman" w:hAnsi="Times New Roman" w:cs="Times New Roman"/>
        </w:rPr>
        <w:t xml:space="preserve"> stained with Alexander solution. Scale bars = 100 μm.</w:t>
      </w:r>
    </w:p>
    <w:p w14:paraId="66C4FA68">
      <w:pPr>
        <w:rPr>
          <w:rFonts w:ascii="Times New Roman" w:hAnsi="Times New Roman" w:cs="Times New Roman"/>
        </w:rPr>
      </w:pPr>
    </w:p>
    <w:p w14:paraId="50F0B9A4">
      <w:pPr>
        <w:rPr>
          <w:rFonts w:ascii="Times New Roman" w:hAnsi="Times New Roman" w:cs="Times New Roman"/>
        </w:rPr>
      </w:pPr>
    </w:p>
    <w:p w14:paraId="50A8097E">
      <w:pPr>
        <w:rPr>
          <w:rFonts w:ascii="Times New Roman" w:hAnsi="Times New Roman" w:cs="Times New Roman"/>
        </w:rPr>
      </w:pPr>
    </w:p>
    <w:p w14:paraId="47403ED7">
      <w:pPr>
        <w:rPr>
          <w:rFonts w:ascii="Times New Roman" w:hAnsi="Times New Roman" w:cs="Times New Roman"/>
        </w:rPr>
      </w:pPr>
    </w:p>
    <w:p w14:paraId="4F328F38">
      <w:pPr>
        <w:rPr>
          <w:rFonts w:ascii="Times New Roman" w:hAnsi="Times New Roman" w:cs="Times New Roman"/>
        </w:rPr>
      </w:pPr>
    </w:p>
    <w:p w14:paraId="4DD717A4">
      <w:pPr>
        <w:rPr>
          <w:rFonts w:ascii="Times New Roman" w:hAnsi="Times New Roman" w:cs="Times New Roman"/>
        </w:rPr>
      </w:pPr>
    </w:p>
    <w:p w14:paraId="1874C5E8">
      <w:pPr>
        <w:rPr>
          <w:rFonts w:ascii="Times New Roman" w:hAnsi="Times New Roman" w:cs="Times New Roman"/>
        </w:rPr>
      </w:pPr>
    </w:p>
    <w:p w14:paraId="6FAF986A">
      <w:pPr>
        <w:rPr>
          <w:rFonts w:ascii="Times New Roman" w:hAnsi="Times New Roman" w:cs="Times New Roman"/>
        </w:rPr>
      </w:pPr>
    </w:p>
    <w:p w14:paraId="7A654891">
      <w:pPr>
        <w:jc w:val="center"/>
        <w:rPr>
          <w:rFonts w:ascii="Times New Roman" w:hAnsi="Times New Roman" w:cs="Times New Roman"/>
        </w:rPr>
      </w:pPr>
      <w:r>
        <w:rPr>
          <w:rFonts w:ascii="Times New Roman" w:hAnsi="Times New Roman" w:cs="Times New Roman"/>
        </w:rPr>
        <w:drawing>
          <wp:inline distT="0" distB="0" distL="0" distR="0">
            <wp:extent cx="3505200" cy="3347085"/>
            <wp:effectExtent l="0" t="0" r="0" b="0"/>
            <wp:docPr id="115345706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457067" name="图片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505200" cy="3347085"/>
                    </a:xfrm>
                    <a:prstGeom prst="rect">
                      <a:avLst/>
                    </a:prstGeom>
                    <a:noFill/>
                  </pic:spPr>
                </pic:pic>
              </a:graphicData>
            </a:graphic>
          </wp:inline>
        </w:drawing>
      </w:r>
    </w:p>
    <w:p w14:paraId="19029924">
      <w:pPr>
        <w:rPr>
          <w:rFonts w:ascii="Times New Roman" w:hAnsi="Times New Roman" w:cs="Times New Roman"/>
        </w:rPr>
      </w:pPr>
    </w:p>
    <w:p w14:paraId="0EE6EB29">
      <w:pPr>
        <w:rPr>
          <w:rFonts w:ascii="Times New Roman" w:hAnsi="Times New Roman" w:cs="Times New Roman"/>
        </w:rPr>
      </w:pPr>
      <w:r>
        <w:rPr>
          <w:rFonts w:ascii="Times New Roman" w:hAnsi="Times New Roman" w:cs="Times New Roman"/>
          <w:b/>
          <w:bCs/>
        </w:rPr>
        <w:t xml:space="preserve">Fig. S4. Meiotic chromosome behaviors in </w:t>
      </w:r>
      <w:r>
        <w:rPr>
          <w:rFonts w:ascii="Times New Roman" w:hAnsi="Times New Roman" w:cs="Times New Roman"/>
          <w:b/>
          <w:bCs/>
          <w:i/>
          <w:iCs/>
        </w:rPr>
        <w:t xml:space="preserve">zmhop2a-2 </w:t>
      </w:r>
      <w:r>
        <w:rPr>
          <w:rFonts w:ascii="Times New Roman" w:hAnsi="Times New Roman" w:cs="Times New Roman"/>
          <w:b/>
          <w:bCs/>
        </w:rPr>
        <w:t xml:space="preserve">male meiocytes. </w:t>
      </w:r>
    </w:p>
    <w:p w14:paraId="2BE319DF">
      <w:pPr>
        <w:rPr>
          <w:rFonts w:ascii="Times New Roman" w:hAnsi="Times New Roman" w:cs="Times New Roman"/>
        </w:rPr>
      </w:pPr>
      <w:r>
        <w:rPr>
          <w:rFonts w:ascii="Times New Roman" w:hAnsi="Times New Roman" w:cs="Times New Roman"/>
        </w:rPr>
        <w:t xml:space="preserve">(A) to (H) The wild-type. (I) to (P) </w:t>
      </w:r>
      <w:r>
        <w:rPr>
          <w:rFonts w:ascii="Times New Roman" w:hAnsi="Times New Roman" w:cs="Times New Roman"/>
          <w:i/>
          <w:iCs/>
        </w:rPr>
        <w:t>in zmhop2a-2</w:t>
      </w:r>
      <w:r>
        <w:rPr>
          <w:rFonts w:ascii="Times New Roman" w:hAnsi="Times New Roman" w:cs="Times New Roman"/>
        </w:rPr>
        <w:t>. (A, I) Leptotene. (B, J) Zygotene. (C, K) Pachytene. (D, L) Diakinesis. (E, M) Metaphase I.  (F, N) Anaphase I. (G, O) Dyads. (H, P) Tetrads. Meiotic Chromosomes Stained with DAPI. Scale bar =</w:t>
      </w:r>
      <w:r>
        <w:rPr>
          <w:rFonts w:hint="eastAsia" w:ascii="Times New Roman" w:hAnsi="Times New Roman" w:cs="Times New Roman"/>
          <w:lang w:val="en-US" w:eastAsia="zh-CN"/>
        </w:rPr>
        <w:t xml:space="preserve"> </w:t>
      </w:r>
      <w:r>
        <w:rPr>
          <w:rFonts w:ascii="Times New Roman" w:hAnsi="Times New Roman" w:cs="Times New Roman"/>
        </w:rPr>
        <w:t xml:space="preserve">10 </w:t>
      </w:r>
      <w:r>
        <w:rPr>
          <w:rFonts w:ascii="Times New Roman" w:hAnsi="Times New Roman" w:cs="Times New Roman"/>
          <w:lang w:val="el-GR"/>
        </w:rPr>
        <w:t>μ</w:t>
      </w:r>
      <w:r>
        <w:rPr>
          <w:rFonts w:ascii="Times New Roman" w:hAnsi="Times New Roman" w:cs="Times New Roman"/>
        </w:rPr>
        <w:t>m.</w:t>
      </w:r>
    </w:p>
    <w:p w14:paraId="1A4E861E">
      <w:pPr>
        <w:jc w:val="center"/>
        <w:rPr>
          <w:rFonts w:ascii="Times New Roman" w:hAnsi="Times New Roman" w:cs="Times New Roman"/>
        </w:rPr>
      </w:pPr>
      <w:r>
        <w:rPr>
          <w:rFonts w:ascii="Times New Roman" w:hAnsi="Times New Roman" w:cs="Times New Roman"/>
        </w:rPr>
        <w:drawing>
          <wp:inline distT="0" distB="0" distL="0" distR="0">
            <wp:extent cx="3760470" cy="3980815"/>
            <wp:effectExtent l="0" t="0" r="0" b="0"/>
            <wp:docPr id="86010765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07652" name="图片 5"/>
                    <pic:cNvPicPr>
                      <a:picLocks noChangeAspect="1" noChangeArrowheads="1"/>
                    </pic:cNvPicPr>
                  </pic:nvPicPr>
                  <pic:blipFill>
                    <a:blip r:embed="rId8">
                      <a:extLst>
                        <a:ext uri="{28A0092B-C50C-407E-A947-70E740481C1C}">
                          <a14:useLocalDpi xmlns:a14="http://schemas.microsoft.com/office/drawing/2010/main" val="0"/>
                        </a:ext>
                      </a:extLst>
                    </a:blip>
                    <a:srcRect r="11614"/>
                    <a:stretch>
                      <a:fillRect/>
                    </a:stretch>
                  </pic:blipFill>
                  <pic:spPr>
                    <a:xfrm>
                      <a:off x="0" y="0"/>
                      <a:ext cx="3760967" cy="3980815"/>
                    </a:xfrm>
                    <a:prstGeom prst="rect">
                      <a:avLst/>
                    </a:prstGeom>
                    <a:noFill/>
                    <a:ln>
                      <a:noFill/>
                    </a:ln>
                  </pic:spPr>
                </pic:pic>
              </a:graphicData>
            </a:graphic>
          </wp:inline>
        </w:drawing>
      </w:r>
    </w:p>
    <w:p w14:paraId="3782E2AD">
      <w:pPr>
        <w:rPr>
          <w:rFonts w:ascii="Times New Roman" w:hAnsi="Times New Roman" w:cs="Times New Roman"/>
        </w:rPr>
      </w:pPr>
      <w:r>
        <w:rPr>
          <w:rFonts w:ascii="Times New Roman" w:hAnsi="Times New Roman" w:cs="Times New Roman"/>
          <w:b/>
          <w:bCs/>
        </w:rPr>
        <w:t>Fig. S5 Statistical analysis of meiotic chromosome behavior and chiasma frequency.</w:t>
      </w:r>
    </w:p>
    <w:p w14:paraId="333ECE7B">
      <w:pPr>
        <w:rPr>
          <w:rFonts w:ascii="Times New Roman" w:hAnsi="Times New Roman" w:cs="Times New Roman"/>
        </w:rPr>
      </w:pPr>
      <w:r>
        <w:rPr>
          <w:rFonts w:ascii="Times New Roman" w:hAnsi="Times New Roman" w:cs="Times New Roman"/>
        </w:rPr>
        <w:t xml:space="preserve">(A) Wild-type diakinesis. (B–D) </w:t>
      </w:r>
      <w:r>
        <w:rPr>
          <w:rFonts w:ascii="Times New Roman" w:hAnsi="Times New Roman" w:cs="Times New Roman"/>
          <w:i/>
          <w:iCs/>
        </w:rPr>
        <w:t>zmhop2a-1</w:t>
      </w:r>
      <w:r>
        <w:rPr>
          <w:rFonts w:ascii="Times New Roman" w:hAnsi="Times New Roman" w:cs="Times New Roman"/>
        </w:rPr>
        <w:t xml:space="preserve"> diakinesis. (E) Wild-type metaphase I. (F–H) </w:t>
      </w:r>
      <w:r>
        <w:rPr>
          <w:rFonts w:ascii="Times New Roman" w:hAnsi="Times New Roman" w:cs="Times New Roman"/>
          <w:i/>
          <w:iCs/>
        </w:rPr>
        <w:t>zmhop2a-1</w:t>
      </w:r>
      <w:r>
        <w:rPr>
          <w:rFonts w:ascii="Times New Roman" w:hAnsi="Times New Roman" w:cs="Times New Roman"/>
        </w:rPr>
        <w:t xml:space="preserve"> metaphase I. Red arrows indicate abnormal chromosome associations. (I) Quantification of chiasma frequency in the wild type and </w:t>
      </w:r>
      <w:r>
        <w:rPr>
          <w:rFonts w:ascii="Times New Roman" w:hAnsi="Times New Roman" w:cs="Times New Roman"/>
          <w:i/>
          <w:iCs/>
        </w:rPr>
        <w:t>zmhop2a-1</w:t>
      </w:r>
      <w:r>
        <w:rPr>
          <w:rFonts w:ascii="Times New Roman" w:hAnsi="Times New Roman" w:cs="Times New Roman"/>
        </w:rPr>
        <w:t>. Horizontal lines indicate the means. ****, P &lt; 0.0001 (two-tailed Student’s t-test). The mean chiasma number was 16.44 (</w:t>
      </w:r>
      <w:r>
        <w:rPr>
          <w:rFonts w:ascii="Times New Roman" w:hAnsi="Times New Roman" w:cs="Times New Roman"/>
          <w:i/>
          <w:iCs/>
        </w:rPr>
        <w:t>n</w:t>
      </w:r>
      <w:r>
        <w:rPr>
          <w:rFonts w:ascii="Times New Roman" w:hAnsi="Times New Roman" w:cs="Times New Roman"/>
        </w:rPr>
        <w:t xml:space="preserve"> = 25) in the wild type and 6.55 (</w:t>
      </w:r>
      <w:r>
        <w:rPr>
          <w:rFonts w:ascii="Times New Roman" w:hAnsi="Times New Roman" w:cs="Times New Roman"/>
          <w:i/>
          <w:iCs/>
        </w:rPr>
        <w:t>n</w:t>
      </w:r>
      <w:r>
        <w:rPr>
          <w:rFonts w:ascii="Times New Roman" w:hAnsi="Times New Roman" w:cs="Times New Roman"/>
        </w:rPr>
        <w:t xml:space="preserve"> = 53) in </w:t>
      </w:r>
      <w:r>
        <w:rPr>
          <w:rFonts w:ascii="Times New Roman" w:hAnsi="Times New Roman" w:cs="Times New Roman"/>
          <w:i/>
          <w:iCs/>
        </w:rPr>
        <w:t>zmhop2a-1</w:t>
      </w:r>
      <w:r>
        <w:rPr>
          <w:rFonts w:ascii="Times New Roman" w:hAnsi="Times New Roman" w:cs="Times New Roman"/>
        </w:rPr>
        <w:t>. (J) Quantification of four types of chromosome behavior at metaphase I in zmhop2a-1. Scale bar = 10 μm.</w:t>
      </w:r>
    </w:p>
    <w:p w14:paraId="1A94BAF1">
      <w:pPr>
        <w:rPr>
          <w:rFonts w:ascii="Times New Roman" w:hAnsi="Times New Roman" w:cs="Times New Roman"/>
        </w:rPr>
      </w:pPr>
    </w:p>
    <w:p w14:paraId="3109A5A0">
      <w:pPr>
        <w:jc w:val="center"/>
        <w:rPr>
          <w:rFonts w:ascii="Times New Roman" w:hAnsi="Times New Roman" w:cs="Times New Roman"/>
        </w:rPr>
      </w:pPr>
      <w:r>
        <w:rPr>
          <w:rFonts w:ascii="Times New Roman" w:hAnsi="Times New Roman" w:cs="Times New Roman"/>
        </w:rPr>
        <w:drawing>
          <wp:inline distT="0" distB="0" distL="0" distR="0">
            <wp:extent cx="3705225" cy="5257165"/>
            <wp:effectExtent l="0" t="0" r="0" b="0"/>
            <wp:docPr id="2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4"/>
                    <pic:cNvPicPr>
                      <a:picLocks noChangeAspect="1"/>
                    </pic:cNvPicPr>
                  </pic:nvPicPr>
                  <pic:blipFill>
                    <a:blip r:embed="rId9"/>
                    <a:srcRect b="65039"/>
                    <a:stretch>
                      <a:fillRect/>
                    </a:stretch>
                  </pic:blipFill>
                  <pic:spPr>
                    <a:xfrm>
                      <a:off x="0" y="0"/>
                      <a:ext cx="3710314" cy="5264662"/>
                    </a:xfrm>
                    <a:prstGeom prst="rect">
                      <a:avLst/>
                    </a:prstGeom>
                  </pic:spPr>
                </pic:pic>
              </a:graphicData>
            </a:graphic>
          </wp:inline>
        </w:drawing>
      </w:r>
    </w:p>
    <w:p w14:paraId="7DAE63BD">
      <w:pPr>
        <w:rPr>
          <w:rFonts w:ascii="Times New Roman" w:hAnsi="Times New Roman" w:cs="Times New Roman"/>
        </w:rPr>
      </w:pPr>
      <w:r>
        <w:rPr>
          <w:rFonts w:ascii="Times New Roman" w:hAnsi="Times New Roman" w:cs="Times New Roman"/>
          <w:b/>
          <w:bCs/>
        </w:rPr>
        <w:t xml:space="preserve">Fig.S6 Statistical analysis of abnormal chromosome behavior at the dyad and tetrad stages in wild type and </w:t>
      </w:r>
      <w:r>
        <w:rPr>
          <w:rFonts w:ascii="Times New Roman" w:hAnsi="Times New Roman" w:cs="Times New Roman"/>
          <w:b/>
          <w:bCs/>
          <w:i/>
          <w:iCs/>
        </w:rPr>
        <w:t>zmhop2a-1</w:t>
      </w:r>
      <w:r>
        <w:rPr>
          <w:rFonts w:ascii="Times New Roman" w:hAnsi="Times New Roman" w:cs="Times New Roman"/>
          <w:b/>
          <w:bCs/>
        </w:rPr>
        <w:t>.</w:t>
      </w:r>
    </w:p>
    <w:p w14:paraId="26354CC9">
      <w:pPr>
        <w:rPr>
          <w:rFonts w:ascii="Times New Roman" w:hAnsi="Times New Roman" w:cs="Times New Roman"/>
        </w:rPr>
      </w:pPr>
      <w:r>
        <w:rPr>
          <w:rFonts w:ascii="Times New Roman" w:hAnsi="Times New Roman" w:cs="Times New Roman"/>
        </w:rPr>
        <w:t xml:space="preserve">(A) Dyad in wild type. (B–E) Representative dyads in </w:t>
      </w:r>
      <w:r>
        <w:rPr>
          <w:rFonts w:ascii="Times New Roman" w:hAnsi="Times New Roman" w:cs="Times New Roman"/>
          <w:i/>
          <w:iCs/>
        </w:rPr>
        <w:t>zmhop2a-1</w:t>
      </w:r>
      <w:r>
        <w:rPr>
          <w:rFonts w:ascii="Times New Roman" w:hAnsi="Times New Roman" w:cs="Times New Roman"/>
        </w:rPr>
        <w:t xml:space="preserve">. (F) Tetrad in wild type. (G–I) Representative tetrads in </w:t>
      </w:r>
      <w:r>
        <w:rPr>
          <w:rFonts w:ascii="Times New Roman" w:hAnsi="Times New Roman" w:cs="Times New Roman"/>
          <w:i/>
          <w:iCs/>
        </w:rPr>
        <w:t>zmhop2a-1</w:t>
      </w:r>
      <w:r>
        <w:rPr>
          <w:rFonts w:ascii="Times New Roman" w:hAnsi="Times New Roman" w:cs="Times New Roman"/>
        </w:rPr>
        <w:t>. (J) Quantification of four types of dyad-stage chromosome behavior in zmhop2a-1. (K) Quantification of three types of tetrad-stage chromosome behavior in</w:t>
      </w:r>
      <w:r>
        <w:rPr>
          <w:rFonts w:ascii="Times New Roman" w:hAnsi="Times New Roman" w:cs="Times New Roman"/>
          <w:i/>
          <w:iCs/>
        </w:rPr>
        <w:t xml:space="preserve"> zmhop2a-1</w:t>
      </w:r>
      <w:r>
        <w:rPr>
          <w:rFonts w:ascii="Times New Roman" w:hAnsi="Times New Roman" w:cs="Times New Roman"/>
        </w:rPr>
        <w:t>.</w:t>
      </w:r>
    </w:p>
    <w:p w14:paraId="2628ED5B">
      <w:pPr>
        <w:rPr>
          <w:rFonts w:ascii="Times New Roman" w:hAnsi="Times New Roman" w:cs="Times New Roman"/>
        </w:rPr>
      </w:pPr>
    </w:p>
    <w:p w14:paraId="6176F40E">
      <w:pPr>
        <w:rPr>
          <w:rFonts w:ascii="Times New Roman" w:hAnsi="Times New Roman" w:cs="Times New Roman"/>
        </w:rPr>
      </w:pPr>
    </w:p>
    <w:p w14:paraId="0CF409AF">
      <w:pPr>
        <w:rPr>
          <w:rFonts w:ascii="Times New Roman" w:hAnsi="Times New Roman" w:cs="Times New Roman"/>
        </w:rPr>
      </w:pPr>
    </w:p>
    <w:p w14:paraId="5021C60B">
      <w:pPr>
        <w:rPr>
          <w:rFonts w:ascii="Times New Roman" w:hAnsi="Times New Roman" w:cs="Times New Roman"/>
        </w:rPr>
      </w:pPr>
    </w:p>
    <w:p w14:paraId="2CB51D1E">
      <w:pPr>
        <w:jc w:val="center"/>
        <w:rPr>
          <w:rFonts w:ascii="Times New Roman" w:hAnsi="Times New Roman" w:cs="Times New Roman"/>
        </w:rPr>
      </w:pPr>
      <w:r>
        <w:rPr>
          <w:rFonts w:ascii="Times New Roman" w:hAnsi="Times New Roman" w:cs="Times New Roman"/>
        </w:rPr>
        <w:drawing>
          <wp:inline distT="0" distB="0" distL="0" distR="0">
            <wp:extent cx="4389755" cy="3225165"/>
            <wp:effectExtent l="0" t="0" r="0" b="0"/>
            <wp:docPr id="172609439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094395" name="图片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389755" cy="3225165"/>
                    </a:xfrm>
                    <a:prstGeom prst="rect">
                      <a:avLst/>
                    </a:prstGeom>
                    <a:noFill/>
                  </pic:spPr>
                </pic:pic>
              </a:graphicData>
            </a:graphic>
          </wp:inline>
        </w:drawing>
      </w:r>
    </w:p>
    <w:p w14:paraId="21DBA19B">
      <w:pPr>
        <w:rPr>
          <w:rFonts w:ascii="Times New Roman" w:hAnsi="Times New Roman" w:cs="Times New Roman"/>
        </w:rPr>
      </w:pPr>
      <w:r>
        <w:rPr>
          <w:rFonts w:ascii="Times New Roman" w:hAnsi="Times New Roman" w:cs="Times New Roman"/>
          <w:b/>
          <w:bCs/>
        </w:rPr>
        <w:t xml:space="preserve">Fig. S7. Immunolocalization of ASY1 in wild-type and </w:t>
      </w:r>
      <w:r>
        <w:rPr>
          <w:rFonts w:ascii="Times New Roman" w:hAnsi="Times New Roman" w:cs="Times New Roman"/>
          <w:b/>
          <w:bCs/>
          <w:i/>
          <w:iCs/>
        </w:rPr>
        <w:t>zmhop2a-1</w:t>
      </w:r>
      <w:r>
        <w:rPr>
          <w:rFonts w:ascii="Times New Roman" w:hAnsi="Times New Roman" w:cs="Times New Roman"/>
          <w:b/>
          <w:bCs/>
        </w:rPr>
        <w:t xml:space="preserve"> meiocytes during meiosis.</w:t>
      </w:r>
    </w:p>
    <w:p w14:paraId="01D36E16">
      <w:pPr>
        <w:rPr>
          <w:rFonts w:ascii="Times New Roman" w:hAnsi="Times New Roman" w:cs="Times New Roman"/>
        </w:rPr>
      </w:pPr>
      <w:r>
        <w:rPr>
          <w:rFonts w:ascii="Times New Roman" w:hAnsi="Times New Roman" w:cs="Times New Roman"/>
        </w:rPr>
        <w:t xml:space="preserve">Wild-type (A–D) and </w:t>
      </w:r>
      <w:r>
        <w:rPr>
          <w:rFonts w:ascii="Times New Roman" w:hAnsi="Times New Roman" w:cs="Times New Roman"/>
          <w:i/>
          <w:iCs/>
        </w:rPr>
        <w:t>zmhop2a-1</w:t>
      </w:r>
      <w:r>
        <w:rPr>
          <w:rFonts w:ascii="Times New Roman" w:hAnsi="Times New Roman" w:cs="Times New Roman"/>
        </w:rPr>
        <w:t xml:space="preserve"> (E–H) meiocytes at zygotene (A, E), pachytene (B, F), diplotene (C, G), and diakinesis (D, H). From left to right, images show DAPI-stained chromosomes (blue), ASY1 signals (green), and merged images. Scale bar = 10 </w:t>
      </w:r>
      <w:r>
        <w:rPr>
          <w:rFonts w:ascii="Times New Roman" w:hAnsi="Times New Roman" w:cs="Times New Roman"/>
          <w:lang w:val="el-GR"/>
        </w:rPr>
        <w:t>μ</w:t>
      </w:r>
      <w:r>
        <w:rPr>
          <w:rFonts w:ascii="Times New Roman" w:hAnsi="Times New Roman" w:cs="Times New Roman"/>
        </w:rPr>
        <w:t>m.</w:t>
      </w:r>
    </w:p>
    <w:p w14:paraId="771761D9">
      <w:pPr>
        <w:rPr>
          <w:rFonts w:ascii="Times New Roman" w:hAnsi="Times New Roman" w:cs="Times New Roman"/>
        </w:rPr>
      </w:pPr>
    </w:p>
    <w:p w14:paraId="1422284E">
      <w:pPr>
        <w:jc w:val="center"/>
        <w:rPr>
          <w:rFonts w:ascii="Times New Roman" w:hAnsi="Times New Roman" w:cs="Times New Roman"/>
        </w:rPr>
      </w:pPr>
      <w:r>
        <w:rPr>
          <w:rFonts w:ascii="Times New Roman" w:hAnsi="Times New Roman" w:cs="Times New Roman"/>
        </w:rPr>
        <w:drawing>
          <wp:inline distT="0" distB="0" distL="0" distR="0">
            <wp:extent cx="5163820" cy="2603500"/>
            <wp:effectExtent l="0" t="0" r="0" b="0"/>
            <wp:docPr id="99541707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417071" name="图片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3820" cy="2603500"/>
                    </a:xfrm>
                    <a:prstGeom prst="rect">
                      <a:avLst/>
                    </a:prstGeom>
                    <a:noFill/>
                  </pic:spPr>
                </pic:pic>
              </a:graphicData>
            </a:graphic>
          </wp:inline>
        </w:drawing>
      </w:r>
    </w:p>
    <w:p w14:paraId="21AE8E05">
      <w:pPr>
        <w:rPr>
          <w:rFonts w:ascii="Times New Roman" w:hAnsi="Times New Roman" w:cs="Times New Roman"/>
        </w:rPr>
      </w:pPr>
      <w:r>
        <w:rPr>
          <w:rFonts w:ascii="Times New Roman" w:hAnsi="Times New Roman" w:cs="Times New Roman"/>
          <w:b/>
          <w:bCs/>
        </w:rPr>
        <w:t>Fig. S8. ZmHOP2a is dynamically localized during maize meiosis.</w:t>
      </w:r>
    </w:p>
    <w:p w14:paraId="408B0B2A">
      <w:pPr>
        <w:rPr>
          <w:rFonts w:ascii="Times New Roman" w:hAnsi="Times New Roman" w:cs="Times New Roman"/>
        </w:rPr>
      </w:pPr>
      <w:r>
        <w:rPr>
          <w:rFonts w:ascii="Times New Roman" w:hAnsi="Times New Roman" w:cs="Times New Roman"/>
        </w:rPr>
        <w:t xml:space="preserve">Immunolocalization of ZmHOP2a in wild-type pollen mother cells (PMCs) at leptotene (A), zygotene (B), pachytene (C), dyad (D), and tetrad (E), and in </w:t>
      </w:r>
      <w:r>
        <w:rPr>
          <w:rFonts w:ascii="Times New Roman" w:hAnsi="Times New Roman" w:cs="Times New Roman"/>
          <w:i/>
          <w:iCs/>
        </w:rPr>
        <w:t>zmhop2a-1</w:t>
      </w:r>
      <w:r>
        <w:rPr>
          <w:rFonts w:ascii="Times New Roman" w:hAnsi="Times New Roman" w:cs="Times New Roman"/>
        </w:rPr>
        <w:t xml:space="preserve"> PMCs (F). In wild-type meiocytes, ZmHOP2a is detected as punctate chromosome-associated foci during meiotic progression. Chromosomes were stained with DAPI (blue), and ZmHOP2a signals are shown in magenta. Images were acquired using a Nikon wide-field microscope. Scale bars = 10 </w:t>
      </w:r>
      <w:r>
        <w:rPr>
          <w:rFonts w:ascii="Times New Roman" w:hAnsi="Times New Roman" w:cs="Times New Roman"/>
          <w:lang w:val="el-GR"/>
        </w:rPr>
        <w:t>μ</w:t>
      </w:r>
      <w:r>
        <w:rPr>
          <w:rFonts w:ascii="Times New Roman" w:hAnsi="Times New Roman" w:cs="Times New Roman"/>
        </w:rPr>
        <w:t>m.</w:t>
      </w:r>
    </w:p>
    <w:p w14:paraId="08D6CD0C">
      <w:pPr>
        <w:rPr>
          <w:rFonts w:ascii="Times New Roman" w:hAnsi="Times New Roman" w:cs="Times New Roman"/>
        </w:rPr>
      </w:pPr>
    </w:p>
    <w:p w14:paraId="0DAA2E2B">
      <w:pPr>
        <w:rPr>
          <w:rFonts w:ascii="Times New Roman" w:hAnsi="Times New Roman" w:cs="Times New Roman"/>
        </w:rPr>
      </w:pPr>
    </w:p>
    <w:p w14:paraId="7C55DA60">
      <w:pPr>
        <w:jc w:val="center"/>
        <w:rPr>
          <w:rFonts w:ascii="Times New Roman" w:hAnsi="Times New Roman" w:cs="Times New Roman"/>
        </w:rPr>
      </w:pPr>
      <w:r>
        <w:rPr>
          <w:rFonts w:ascii="Times New Roman" w:hAnsi="Times New Roman" w:cs="Times New Roman"/>
        </w:rPr>
        <w:drawing>
          <wp:inline distT="0" distB="0" distL="0" distR="0">
            <wp:extent cx="2633980" cy="2590800"/>
            <wp:effectExtent l="0" t="0" r="0" b="0"/>
            <wp:docPr id="196115079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150793" name="图片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2633980" cy="2590800"/>
                    </a:xfrm>
                    <a:prstGeom prst="rect">
                      <a:avLst/>
                    </a:prstGeom>
                    <a:noFill/>
                  </pic:spPr>
                </pic:pic>
              </a:graphicData>
            </a:graphic>
          </wp:inline>
        </w:drawing>
      </w:r>
    </w:p>
    <w:p w14:paraId="1DF09908">
      <w:pPr>
        <w:rPr>
          <w:rFonts w:ascii="Times New Roman" w:hAnsi="Times New Roman" w:cs="Times New Roman"/>
        </w:rPr>
      </w:pPr>
      <w:r>
        <w:rPr>
          <w:rFonts w:ascii="Times New Roman" w:hAnsi="Times New Roman" w:cs="Times New Roman"/>
          <w:b/>
          <w:bCs/>
        </w:rPr>
        <w:t>Fig. S9. Quantitative analysis of the spatial relationships among ASY1, ZYP1, and ZmHOP2a.</w:t>
      </w:r>
    </w:p>
    <w:p w14:paraId="322B82CD">
      <w:pPr>
        <w:rPr>
          <w:rFonts w:ascii="Times New Roman" w:hAnsi="Times New Roman" w:cs="Times New Roman"/>
        </w:rPr>
      </w:pPr>
      <w:r>
        <w:rPr>
          <w:rFonts w:ascii="Times New Roman" w:hAnsi="Times New Roman" w:cs="Times New Roman"/>
        </w:rPr>
        <w:t>(A) Pearson’s correlation coefficient (Pearson’s r) between ZmHOP2a and ASY1 signals, and quantification of the fluorescence peak distances for ZmHOP2a and ASY1. (B) Quantification of the fluorescence peak distances for ZmHOP2a and ZYP1.</w:t>
      </w:r>
    </w:p>
    <w:p w14:paraId="216B919C">
      <w:pPr>
        <w:rPr>
          <w:rFonts w:ascii="Times New Roman" w:hAnsi="Times New Roman" w:cs="Times New Roman"/>
        </w:rPr>
      </w:pPr>
    </w:p>
    <w:p w14:paraId="2DAC86AB">
      <w:pPr>
        <w:jc w:val="center"/>
        <w:rPr>
          <w:rFonts w:ascii="Times New Roman" w:hAnsi="Times New Roman" w:cs="Times New Roman"/>
        </w:rPr>
      </w:pPr>
      <w:r>
        <w:rPr>
          <w:rFonts w:ascii="Times New Roman" w:hAnsi="Times New Roman" w:cs="Times New Roman"/>
        </w:rPr>
        <w:drawing>
          <wp:inline distT="0" distB="0" distL="0" distR="0">
            <wp:extent cx="3584575" cy="2036445"/>
            <wp:effectExtent l="0" t="0" r="0" b="0"/>
            <wp:docPr id="151720110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201105" name="图片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584575" cy="2036445"/>
                    </a:xfrm>
                    <a:prstGeom prst="rect">
                      <a:avLst/>
                    </a:prstGeom>
                    <a:noFill/>
                  </pic:spPr>
                </pic:pic>
              </a:graphicData>
            </a:graphic>
          </wp:inline>
        </w:drawing>
      </w:r>
    </w:p>
    <w:p w14:paraId="64A53D11">
      <w:pPr>
        <w:rPr>
          <w:rFonts w:ascii="Times New Roman" w:hAnsi="Times New Roman" w:cs="Times New Roman"/>
          <w:b/>
          <w:bCs/>
        </w:rPr>
      </w:pPr>
      <w:bookmarkStart w:id="1" w:name="OLE_LINK1"/>
      <w:r>
        <w:rPr>
          <w:rFonts w:ascii="Times New Roman" w:hAnsi="Times New Roman" w:cs="Times New Roman"/>
          <w:b/>
          <w:bCs/>
        </w:rPr>
        <w:t>Fig. S10. ZmHOP2a interacts with known meiotic homologous recombination proteins.</w:t>
      </w:r>
    </w:p>
    <w:p w14:paraId="3224A33F">
      <w:pPr>
        <w:rPr>
          <w:rFonts w:ascii="Times New Roman" w:hAnsi="Times New Roman" w:cs="Times New Roman"/>
        </w:rPr>
      </w:pPr>
      <w:r>
        <w:rPr>
          <w:rFonts w:ascii="Times New Roman" w:hAnsi="Times New Roman" w:cs="Times New Roman"/>
        </w:rPr>
        <w:t>Yeast two-hybrid assays were performed to test the interactions between ZmHOP2a and known meiotic homologous recombination proteins. AD indicates pGADT7, BD indicates pGBKT7, and EV indicates empty vector.</w:t>
      </w:r>
    </w:p>
    <w:p w14:paraId="18118AC8">
      <w:pPr>
        <w:jc w:val="center"/>
        <w:rPr>
          <w:rFonts w:ascii="Times New Roman" w:hAnsi="Times New Roman" w:cs="Times New Roman"/>
          <w:b/>
          <w:bCs/>
        </w:rPr>
      </w:pPr>
      <w:r>
        <w:rPr>
          <w:rFonts w:ascii="Times New Roman" w:hAnsi="Times New Roman" w:cs="Times New Roman"/>
          <w:b/>
          <w:bCs/>
        </w:rPr>
        <w:drawing>
          <wp:inline distT="0" distB="0" distL="0" distR="0">
            <wp:extent cx="2932430" cy="1676400"/>
            <wp:effectExtent l="0" t="0" r="0" b="0"/>
            <wp:docPr id="70139148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391485" name="图片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2932430" cy="1676400"/>
                    </a:xfrm>
                    <a:prstGeom prst="rect">
                      <a:avLst/>
                    </a:prstGeom>
                    <a:noFill/>
                  </pic:spPr>
                </pic:pic>
              </a:graphicData>
            </a:graphic>
          </wp:inline>
        </w:drawing>
      </w:r>
    </w:p>
    <w:p w14:paraId="6A1632DD">
      <w:pPr>
        <w:rPr>
          <w:rFonts w:ascii="Times New Roman" w:hAnsi="Times New Roman" w:cs="Times New Roman"/>
          <w:b/>
          <w:bCs/>
        </w:rPr>
      </w:pPr>
      <w:r>
        <w:rPr>
          <w:rFonts w:ascii="Times New Roman" w:hAnsi="Times New Roman" w:cs="Times New Roman"/>
          <w:b/>
          <w:bCs/>
        </w:rPr>
        <w:t xml:space="preserve">Fig. S11. Localization of ZmHOP2a in </w:t>
      </w:r>
      <w:r>
        <w:rPr>
          <w:rFonts w:ascii="Times New Roman" w:hAnsi="Times New Roman" w:cs="Times New Roman"/>
          <w:b/>
          <w:bCs/>
          <w:i/>
          <w:iCs/>
        </w:rPr>
        <w:t>zmasy1</w:t>
      </w:r>
      <w:r>
        <w:rPr>
          <w:rFonts w:ascii="Times New Roman" w:hAnsi="Times New Roman" w:cs="Times New Roman"/>
          <w:b/>
          <w:bCs/>
        </w:rPr>
        <w:t xml:space="preserve"> mutants.</w:t>
      </w:r>
    </w:p>
    <w:p w14:paraId="70AA2A83">
      <w:pPr>
        <w:rPr>
          <w:rFonts w:ascii="Times New Roman" w:hAnsi="Times New Roman" w:cs="Times New Roman"/>
        </w:rPr>
      </w:pPr>
      <w:r>
        <w:rPr>
          <w:rFonts w:ascii="Times New Roman" w:hAnsi="Times New Roman" w:cs="Times New Roman"/>
        </w:rPr>
        <w:t xml:space="preserve">Immunolocalization of ZmHOP2a at zygotene in wild-type (A) and </w:t>
      </w:r>
      <w:r>
        <w:rPr>
          <w:rFonts w:ascii="Times New Roman" w:hAnsi="Times New Roman" w:cs="Times New Roman"/>
          <w:i/>
          <w:iCs/>
        </w:rPr>
        <w:t xml:space="preserve">zmasy1 </w:t>
      </w:r>
      <w:r>
        <w:rPr>
          <w:rFonts w:ascii="Times New Roman" w:hAnsi="Times New Roman" w:cs="Times New Roman"/>
        </w:rPr>
        <w:t xml:space="preserve">mutant (B) meiocytes. Chromosomes were stained with DAPI (blue), and ZmHOP2a signals are shown in magenta. Scale bar = 10 </w:t>
      </w:r>
      <w:r>
        <w:rPr>
          <w:rFonts w:ascii="Times New Roman" w:hAnsi="Times New Roman" w:cs="Times New Roman"/>
          <w:lang w:val="el-GR"/>
        </w:rPr>
        <w:t>μ</w:t>
      </w:r>
      <w:r>
        <w:rPr>
          <w:rFonts w:ascii="Times New Roman" w:hAnsi="Times New Roman" w:cs="Times New Roman"/>
        </w:rPr>
        <w:t>m.</w:t>
      </w:r>
    </w:p>
    <w:p w14:paraId="109E3A03">
      <w:pPr>
        <w:rPr>
          <w:rFonts w:ascii="Times New Roman" w:hAnsi="Times New Roman" w:cs="Times New Roman"/>
          <w:b/>
          <w:bCs/>
        </w:rPr>
      </w:pPr>
    </w:p>
    <w:p w14:paraId="0738D1BA">
      <w:pPr>
        <w:jc w:val="center"/>
        <w:rPr>
          <w:rFonts w:ascii="Times New Roman" w:hAnsi="Times New Roman" w:cs="Times New Roman"/>
          <w:b/>
          <w:bCs/>
        </w:rPr>
      </w:pPr>
      <w:r>
        <w:rPr>
          <w:rFonts w:ascii="Times New Roman" w:hAnsi="Times New Roman" w:cs="Times New Roman"/>
          <w:b/>
          <w:bCs/>
        </w:rPr>
        <w:drawing>
          <wp:inline distT="0" distB="0" distL="0" distR="0">
            <wp:extent cx="4377055" cy="3206750"/>
            <wp:effectExtent l="0" t="0" r="0" b="0"/>
            <wp:docPr id="188962837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628378" name="图片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377055" cy="3206750"/>
                    </a:xfrm>
                    <a:prstGeom prst="rect">
                      <a:avLst/>
                    </a:prstGeom>
                    <a:noFill/>
                  </pic:spPr>
                </pic:pic>
              </a:graphicData>
            </a:graphic>
          </wp:inline>
        </w:drawing>
      </w:r>
    </w:p>
    <w:p w14:paraId="5CCD2490">
      <w:pPr>
        <w:rPr>
          <w:rFonts w:ascii="Times New Roman" w:hAnsi="Times New Roman" w:cs="Times New Roman"/>
          <w:b/>
          <w:bCs/>
        </w:rPr>
      </w:pPr>
      <w:r>
        <w:rPr>
          <w:rFonts w:ascii="Times New Roman" w:hAnsi="Times New Roman" w:cs="Times New Roman"/>
          <w:b/>
          <w:bCs/>
        </w:rPr>
        <w:t xml:space="preserve">Fig. S12. Meiotic chromosome behaviors in  </w:t>
      </w:r>
      <w:r>
        <w:rPr>
          <w:rFonts w:ascii="Times New Roman" w:hAnsi="Times New Roman" w:cs="Times New Roman"/>
          <w:b/>
          <w:bCs/>
          <w:i/>
          <w:iCs/>
        </w:rPr>
        <w:t xml:space="preserve">zmhop2a </w:t>
      </w:r>
      <w:r>
        <w:rPr>
          <w:rFonts w:ascii="Times New Roman" w:hAnsi="Times New Roman" w:cs="Times New Roman"/>
          <w:b/>
          <w:bCs/>
        </w:rPr>
        <w:t>and</w:t>
      </w:r>
      <w:r>
        <w:rPr>
          <w:rFonts w:ascii="Times New Roman" w:hAnsi="Times New Roman" w:cs="Times New Roman"/>
          <w:b/>
          <w:bCs/>
          <w:i/>
          <w:iCs/>
        </w:rPr>
        <w:t xml:space="preserve"> zmasy1/zmhop2a-1 </w:t>
      </w:r>
      <w:r>
        <w:rPr>
          <w:rFonts w:ascii="Times New Roman" w:hAnsi="Times New Roman" w:cs="Times New Roman"/>
          <w:b/>
          <w:bCs/>
        </w:rPr>
        <w:t xml:space="preserve">male meiocytes. </w:t>
      </w:r>
    </w:p>
    <w:p w14:paraId="71D94309">
      <w:pPr>
        <w:rPr>
          <w:rFonts w:ascii="Times New Roman" w:hAnsi="Times New Roman" w:cs="Times New Roman"/>
        </w:rPr>
      </w:pPr>
      <w:r>
        <w:rPr>
          <w:rFonts w:hint="eastAsia" w:ascii="Times New Roman" w:hAnsi="Times New Roman" w:cs="Times New Roman"/>
        </w:rPr>
        <w:t xml:space="preserve">(A to D) Wild type. (E to H) </w:t>
      </w:r>
      <w:r>
        <w:rPr>
          <w:rFonts w:hint="eastAsia" w:ascii="Times New Roman" w:hAnsi="Times New Roman" w:cs="Times New Roman"/>
          <w:i/>
          <w:iCs/>
        </w:rPr>
        <w:t>zmhop2a-1</w:t>
      </w:r>
      <w:r>
        <w:rPr>
          <w:rFonts w:hint="eastAsia" w:ascii="Times New Roman" w:hAnsi="Times New Roman" w:cs="Times New Roman"/>
        </w:rPr>
        <w:t xml:space="preserve">. (I to L) </w:t>
      </w:r>
      <w:r>
        <w:rPr>
          <w:rFonts w:hint="eastAsia" w:ascii="Times New Roman" w:hAnsi="Times New Roman" w:cs="Times New Roman"/>
          <w:i/>
          <w:iCs/>
        </w:rPr>
        <w:t>zmasy1 zmhop2a-1</w:t>
      </w:r>
      <w:r>
        <w:rPr>
          <w:rFonts w:hint="eastAsia" w:ascii="Times New Roman" w:hAnsi="Times New Roman" w:cs="Times New Roman"/>
        </w:rPr>
        <w:t xml:space="preserve">. (A, E, I) </w:t>
      </w:r>
      <w:bookmarkStart w:id="2" w:name="OLE_LINK2"/>
      <w:r>
        <w:rPr>
          <w:rFonts w:hint="eastAsia" w:ascii="Times New Roman" w:hAnsi="Times New Roman" w:cs="Times New Roman"/>
        </w:rPr>
        <w:t>Leptotene</w:t>
      </w:r>
      <w:bookmarkEnd w:id="2"/>
      <w:r>
        <w:rPr>
          <w:rFonts w:hint="eastAsia" w:ascii="Times New Roman" w:hAnsi="Times New Roman" w:cs="Times New Roman"/>
        </w:rPr>
        <w:t xml:space="preserve">. (B, F, J) Diakinesis. (C, G, K) Metaphase I. (D, H,  L) </w:t>
      </w:r>
      <w:r>
        <w:rPr>
          <w:rFonts w:ascii="Times New Roman" w:hAnsi="Times New Roman" w:cs="Times New Roman"/>
        </w:rPr>
        <w:t>Anaphase</w:t>
      </w:r>
      <w:r>
        <w:rPr>
          <w:rFonts w:hint="eastAsia" w:ascii="Times New Roman" w:hAnsi="Times New Roman" w:cs="Times New Roman"/>
        </w:rPr>
        <w:t xml:space="preserve"> I. Meiotic chromosomes were stained with DAPI. Scale bar = 10 μm.</w:t>
      </w:r>
    </w:p>
    <w:p w14:paraId="228271C6">
      <w:pPr>
        <w:jc w:val="center"/>
        <w:rPr>
          <w:rFonts w:ascii="Times New Roman" w:hAnsi="Times New Roman" w:cs="Times New Roman"/>
          <w:b/>
          <w:bCs/>
        </w:rPr>
      </w:pPr>
      <w:r>
        <w:rPr>
          <w:rFonts w:ascii="Times New Roman" w:hAnsi="Times New Roman" w:cs="Times New Roman"/>
          <w:b/>
          <w:bCs/>
        </w:rPr>
        <w:drawing>
          <wp:inline distT="0" distB="0" distL="0" distR="0">
            <wp:extent cx="4206875" cy="3176270"/>
            <wp:effectExtent l="0" t="0" r="0" b="0"/>
            <wp:docPr id="8452477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24778" name="图片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206875" cy="3176270"/>
                    </a:xfrm>
                    <a:prstGeom prst="rect">
                      <a:avLst/>
                    </a:prstGeom>
                    <a:noFill/>
                  </pic:spPr>
                </pic:pic>
              </a:graphicData>
            </a:graphic>
          </wp:inline>
        </w:drawing>
      </w:r>
    </w:p>
    <w:bookmarkEnd w:id="1"/>
    <w:p w14:paraId="66E4F1AE">
      <w:pPr>
        <w:rPr>
          <w:rFonts w:ascii="Times New Roman" w:hAnsi="Times New Roman" w:cs="Times New Roman"/>
        </w:rPr>
      </w:pPr>
      <w:r>
        <w:rPr>
          <w:rFonts w:ascii="Times New Roman" w:hAnsi="Times New Roman" w:cs="Times New Roman"/>
          <w:b/>
          <w:bCs/>
        </w:rPr>
        <w:t>Fig. S13. Immunolocalization of ASY1, ZYP1, and ZmHOP2a during synaptonemal complex formation.</w:t>
      </w:r>
    </w:p>
    <w:p w14:paraId="781884D6">
      <w:pPr>
        <w:rPr>
          <w:rFonts w:ascii="Times New Roman" w:hAnsi="Times New Roman" w:cs="Times New Roman"/>
        </w:rPr>
      </w:pPr>
      <w:r>
        <w:rPr>
          <w:rFonts w:ascii="Times New Roman" w:hAnsi="Times New Roman" w:cs="Times New Roman"/>
          <w:b/>
          <w:bCs/>
        </w:rPr>
        <w:t xml:space="preserve"> </w:t>
      </w:r>
      <w:r>
        <w:rPr>
          <w:rFonts w:ascii="Times New Roman" w:hAnsi="Times New Roman" w:cs="Times New Roman"/>
        </w:rPr>
        <w:t xml:space="preserve">(A–C) Immunolocalization of ASY1, ZYP1, and ZmHOP2a in wild-type meiocytes at different stages of early pachytene. ZmHOP2a signals were detected using a rabbit-derived antibody (magenta), while ASY1 and ZYP1 were detected using mouse-derived and rat-derived antibodies (green), respectively. (A) onset of ZYP1 loading; (B) partial ZYP1 loading; (C) complete ZYP1 loading. Scale bar = 10 </w:t>
      </w:r>
      <w:r>
        <w:rPr>
          <w:rFonts w:ascii="Times New Roman" w:hAnsi="Times New Roman" w:cs="Times New Roman"/>
          <w:lang w:val="el-GR"/>
        </w:rPr>
        <w:t>μ</w:t>
      </w:r>
      <w:r>
        <w:rPr>
          <w:rFonts w:ascii="Times New Roman" w:hAnsi="Times New Roman" w:cs="Times New Roman"/>
        </w:rPr>
        <w:t>m.</w:t>
      </w:r>
    </w:p>
    <w:p w14:paraId="23058159">
      <w:pPr>
        <w:rPr>
          <w:rFonts w:ascii="Times New Roman" w:hAnsi="Times New Roman" w:cs="Times New Roman"/>
        </w:rPr>
      </w:pPr>
    </w:p>
    <w:p w14:paraId="2252302C">
      <w:pPr>
        <w:rPr>
          <w:rFonts w:ascii="Times New Roman" w:hAnsi="Times New Roman" w:cs="Times New Roman"/>
        </w:rPr>
      </w:pPr>
    </w:p>
    <w:p w14:paraId="7840E67D">
      <w:pPr>
        <w:rPr>
          <w:rFonts w:ascii="Times New Roman" w:hAnsi="Times New Roman" w:cs="Times New Roman"/>
        </w:rPr>
      </w:pPr>
    </w:p>
    <w:p w14:paraId="1AAE5818">
      <w:pPr>
        <w:rPr>
          <w:rFonts w:ascii="Times New Roman" w:hAnsi="Times New Roman" w:cs="Times New Roman"/>
        </w:rPr>
      </w:pPr>
    </w:p>
    <w:p w14:paraId="2CA1E6A4">
      <w:pPr>
        <w:rPr>
          <w:rFonts w:ascii="Times New Roman" w:hAnsi="Times New Roman" w:cs="Times New Roman"/>
          <w:b/>
          <w:bCs/>
        </w:rPr>
      </w:pPr>
      <w:r>
        <w:rPr>
          <w:rFonts w:ascii="Times New Roman" w:hAnsi="Times New Roman" w:cs="Times New Roman"/>
          <w:b/>
          <w:bCs/>
        </w:rPr>
        <w:t>Table S1. Raw data for distance measurement statistics of ASY1 and ZmHOP2a.</w:t>
      </w:r>
    </w:p>
    <w:tbl>
      <w:tblPr>
        <w:tblStyle w:val="15"/>
        <w:tblW w:w="6380" w:type="dxa"/>
        <w:tblInd w:w="113" w:type="dxa"/>
        <w:tblLayout w:type="autofit"/>
        <w:tblCellMar>
          <w:top w:w="0" w:type="dxa"/>
          <w:left w:w="108" w:type="dxa"/>
          <w:bottom w:w="0" w:type="dxa"/>
          <w:right w:w="108" w:type="dxa"/>
        </w:tblCellMar>
      </w:tblPr>
      <w:tblGrid>
        <w:gridCol w:w="3080"/>
        <w:gridCol w:w="3300"/>
      </w:tblGrid>
      <w:tr w14:paraId="3ED5A6D5">
        <w:trPr>
          <w:trHeight w:val="310" w:hRule="atLeast"/>
        </w:trPr>
        <w:tc>
          <w:tcPr>
            <w:tcW w:w="3080" w:type="dxa"/>
            <w:tcBorders>
              <w:top w:val="single" w:color="auto" w:sz="4" w:space="0"/>
              <w:left w:val="single" w:color="auto" w:sz="4" w:space="0"/>
              <w:bottom w:val="single" w:color="auto" w:sz="4" w:space="0"/>
              <w:right w:val="single" w:color="auto" w:sz="4" w:space="0"/>
            </w:tcBorders>
            <w:noWrap/>
            <w:vAlign w:val="center"/>
          </w:tcPr>
          <w:p w14:paraId="3D7EFBE3">
            <w:pPr>
              <w:widowControl/>
              <w:jc w:val="center"/>
              <w:rPr>
                <w:rFonts w:ascii="Times New Roman" w:hAnsi="Times New Roman" w:eastAsia="等线" w:cs="Times New Roman"/>
                <w:color w:val="000000"/>
                <w:kern w:val="0"/>
                <w:szCs w:val="21"/>
                <w14:ligatures w14:val="none"/>
              </w:rPr>
            </w:pPr>
            <w:r>
              <w:rPr>
                <w:rFonts w:ascii="Times New Roman" w:hAnsi="Times New Roman" w:eastAsia="等线" w:cs="Times New Roman"/>
                <w:color w:val="000000"/>
                <w:kern w:val="0"/>
                <w:szCs w:val="21"/>
                <w14:ligatures w14:val="none"/>
              </w:rPr>
              <w:t>ASY1 Relative Intensity</w:t>
            </w:r>
          </w:p>
        </w:tc>
        <w:tc>
          <w:tcPr>
            <w:tcW w:w="3300" w:type="dxa"/>
            <w:tcBorders>
              <w:top w:val="single" w:color="auto" w:sz="4" w:space="0"/>
              <w:left w:val="nil"/>
              <w:bottom w:val="single" w:color="auto" w:sz="4" w:space="0"/>
              <w:right w:val="single" w:color="auto" w:sz="4" w:space="0"/>
            </w:tcBorders>
            <w:noWrap/>
            <w:vAlign w:val="center"/>
          </w:tcPr>
          <w:p w14:paraId="4B9218FE">
            <w:pPr>
              <w:widowControl/>
              <w:jc w:val="center"/>
              <w:rPr>
                <w:rFonts w:ascii="Times New Roman" w:hAnsi="Times New Roman" w:eastAsia="等线" w:cs="Times New Roman"/>
                <w:color w:val="000000"/>
                <w:kern w:val="0"/>
                <w:szCs w:val="21"/>
                <w14:ligatures w14:val="none"/>
              </w:rPr>
            </w:pPr>
            <w:r>
              <w:rPr>
                <w:rFonts w:ascii="Times New Roman" w:hAnsi="Times New Roman" w:eastAsia="等线" w:cs="Times New Roman"/>
                <w:color w:val="000000"/>
                <w:kern w:val="0"/>
                <w:szCs w:val="21"/>
                <w14:ligatures w14:val="none"/>
              </w:rPr>
              <w:t>HOP2a Relative Intensity</w:t>
            </w:r>
          </w:p>
        </w:tc>
      </w:tr>
      <w:tr w14:paraId="40AECAF1">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256E1C10">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1.0000</w:t>
            </w:r>
          </w:p>
        </w:tc>
        <w:tc>
          <w:tcPr>
            <w:tcW w:w="3300" w:type="dxa"/>
            <w:tcBorders>
              <w:top w:val="nil"/>
              <w:left w:val="nil"/>
              <w:bottom w:val="single" w:color="auto" w:sz="4" w:space="0"/>
              <w:right w:val="single" w:color="auto" w:sz="4" w:space="0"/>
            </w:tcBorders>
            <w:noWrap/>
            <w:vAlign w:val="bottom"/>
          </w:tcPr>
          <w:p w14:paraId="0C374DC2">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2.0554</w:t>
            </w:r>
          </w:p>
        </w:tc>
      </w:tr>
      <w:tr w14:paraId="0193B6D0">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0CAC53A0">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1.0000</w:t>
            </w:r>
          </w:p>
        </w:tc>
        <w:tc>
          <w:tcPr>
            <w:tcW w:w="3300" w:type="dxa"/>
            <w:tcBorders>
              <w:top w:val="nil"/>
              <w:left w:val="nil"/>
              <w:bottom w:val="single" w:color="auto" w:sz="4" w:space="0"/>
              <w:right w:val="single" w:color="auto" w:sz="4" w:space="0"/>
            </w:tcBorders>
            <w:noWrap/>
            <w:vAlign w:val="bottom"/>
          </w:tcPr>
          <w:p w14:paraId="4A10CCF5">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2.8858</w:t>
            </w:r>
          </w:p>
        </w:tc>
      </w:tr>
      <w:tr w14:paraId="09C6124B">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1AD8FAF1">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1.4187</w:t>
            </w:r>
          </w:p>
        </w:tc>
        <w:tc>
          <w:tcPr>
            <w:tcW w:w="3300" w:type="dxa"/>
            <w:tcBorders>
              <w:top w:val="nil"/>
              <w:left w:val="nil"/>
              <w:bottom w:val="single" w:color="auto" w:sz="4" w:space="0"/>
              <w:right w:val="single" w:color="auto" w:sz="4" w:space="0"/>
            </w:tcBorders>
            <w:noWrap/>
            <w:vAlign w:val="bottom"/>
          </w:tcPr>
          <w:p w14:paraId="111FBDEE">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3.6471</w:t>
            </w:r>
          </w:p>
        </w:tc>
      </w:tr>
      <w:tr w14:paraId="67F05501">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0EB87345">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1.7716</w:t>
            </w:r>
          </w:p>
        </w:tc>
        <w:tc>
          <w:tcPr>
            <w:tcW w:w="3300" w:type="dxa"/>
            <w:tcBorders>
              <w:top w:val="nil"/>
              <w:left w:val="nil"/>
              <w:bottom w:val="single" w:color="auto" w:sz="4" w:space="0"/>
              <w:right w:val="single" w:color="auto" w:sz="4" w:space="0"/>
            </w:tcBorders>
            <w:noWrap/>
            <w:vAlign w:val="bottom"/>
          </w:tcPr>
          <w:p w14:paraId="552AD9BF">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4.2076</w:t>
            </w:r>
          </w:p>
        </w:tc>
      </w:tr>
      <w:tr w14:paraId="00213824">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09F9FD01">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2.2976</w:t>
            </w:r>
          </w:p>
        </w:tc>
        <w:tc>
          <w:tcPr>
            <w:tcW w:w="3300" w:type="dxa"/>
            <w:tcBorders>
              <w:top w:val="nil"/>
              <w:left w:val="nil"/>
              <w:bottom w:val="single" w:color="auto" w:sz="4" w:space="0"/>
              <w:right w:val="single" w:color="auto" w:sz="4" w:space="0"/>
            </w:tcBorders>
            <w:noWrap/>
            <w:vAlign w:val="bottom"/>
          </w:tcPr>
          <w:p w14:paraId="566BC995">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2.3010</w:t>
            </w:r>
          </w:p>
        </w:tc>
      </w:tr>
      <w:tr w14:paraId="4C9EA6CD">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15737CD8">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6.4083</w:t>
            </w:r>
          </w:p>
        </w:tc>
        <w:tc>
          <w:tcPr>
            <w:tcW w:w="3300" w:type="dxa"/>
            <w:tcBorders>
              <w:top w:val="nil"/>
              <w:left w:val="nil"/>
              <w:bottom w:val="single" w:color="auto" w:sz="4" w:space="0"/>
              <w:right w:val="single" w:color="auto" w:sz="4" w:space="0"/>
            </w:tcBorders>
            <w:noWrap/>
            <w:vAlign w:val="bottom"/>
          </w:tcPr>
          <w:p w14:paraId="0A89340E">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6.9931</w:t>
            </w:r>
          </w:p>
        </w:tc>
      </w:tr>
      <w:tr w14:paraId="4854180B">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7D71EED3">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12.2076</w:t>
            </w:r>
          </w:p>
        </w:tc>
        <w:tc>
          <w:tcPr>
            <w:tcW w:w="3300" w:type="dxa"/>
            <w:tcBorders>
              <w:top w:val="nil"/>
              <w:left w:val="nil"/>
              <w:bottom w:val="single" w:color="auto" w:sz="4" w:space="0"/>
              <w:right w:val="single" w:color="auto" w:sz="4" w:space="0"/>
            </w:tcBorders>
            <w:noWrap/>
            <w:vAlign w:val="bottom"/>
          </w:tcPr>
          <w:p w14:paraId="16E41DB3">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19.5190</w:t>
            </w:r>
          </w:p>
        </w:tc>
      </w:tr>
      <w:tr w14:paraId="373D083C">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5D2B4ACA">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19.8893</w:t>
            </w:r>
          </w:p>
        </w:tc>
        <w:tc>
          <w:tcPr>
            <w:tcW w:w="3300" w:type="dxa"/>
            <w:tcBorders>
              <w:top w:val="nil"/>
              <w:left w:val="nil"/>
              <w:bottom w:val="single" w:color="auto" w:sz="4" w:space="0"/>
              <w:right w:val="single" w:color="auto" w:sz="4" w:space="0"/>
            </w:tcBorders>
            <w:noWrap/>
            <w:vAlign w:val="bottom"/>
          </w:tcPr>
          <w:p w14:paraId="60E11DB1">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38.9516</w:t>
            </w:r>
          </w:p>
        </w:tc>
      </w:tr>
      <w:tr w14:paraId="31E3ED74">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3B71C615">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29.9377</w:t>
            </w:r>
          </w:p>
        </w:tc>
        <w:tc>
          <w:tcPr>
            <w:tcW w:w="3300" w:type="dxa"/>
            <w:tcBorders>
              <w:top w:val="nil"/>
              <w:left w:val="nil"/>
              <w:bottom w:val="single" w:color="auto" w:sz="4" w:space="0"/>
              <w:right w:val="single" w:color="auto" w:sz="4" w:space="0"/>
            </w:tcBorders>
            <w:noWrap/>
            <w:vAlign w:val="bottom"/>
          </w:tcPr>
          <w:p w14:paraId="16C8D6C4">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51.9066</w:t>
            </w:r>
          </w:p>
        </w:tc>
      </w:tr>
      <w:tr w14:paraId="648A8CDC">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1019433A">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39.5433</w:t>
            </w:r>
          </w:p>
        </w:tc>
        <w:tc>
          <w:tcPr>
            <w:tcW w:w="3300" w:type="dxa"/>
            <w:tcBorders>
              <w:top w:val="nil"/>
              <w:left w:val="nil"/>
              <w:bottom w:val="single" w:color="auto" w:sz="4" w:space="0"/>
              <w:right w:val="single" w:color="auto" w:sz="4" w:space="0"/>
            </w:tcBorders>
            <w:noWrap/>
            <w:vAlign w:val="bottom"/>
          </w:tcPr>
          <w:p w14:paraId="3434B182">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34.6263</w:t>
            </w:r>
          </w:p>
        </w:tc>
      </w:tr>
      <w:tr w14:paraId="5626048C">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324ABC73">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41.7682</w:t>
            </w:r>
          </w:p>
        </w:tc>
        <w:tc>
          <w:tcPr>
            <w:tcW w:w="3300" w:type="dxa"/>
            <w:tcBorders>
              <w:top w:val="nil"/>
              <w:left w:val="nil"/>
              <w:bottom w:val="single" w:color="auto" w:sz="4" w:space="0"/>
              <w:right w:val="single" w:color="auto" w:sz="4" w:space="0"/>
            </w:tcBorders>
            <w:noWrap/>
            <w:vAlign w:val="bottom"/>
          </w:tcPr>
          <w:p w14:paraId="782C4A29">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19.5571</w:t>
            </w:r>
          </w:p>
        </w:tc>
      </w:tr>
      <w:tr w14:paraId="3E35AA16">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0B89603B">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35.0000</w:t>
            </w:r>
          </w:p>
        </w:tc>
        <w:tc>
          <w:tcPr>
            <w:tcW w:w="3300" w:type="dxa"/>
            <w:tcBorders>
              <w:top w:val="nil"/>
              <w:left w:val="nil"/>
              <w:bottom w:val="single" w:color="auto" w:sz="4" w:space="0"/>
              <w:right w:val="single" w:color="auto" w:sz="4" w:space="0"/>
            </w:tcBorders>
            <w:noWrap/>
            <w:vAlign w:val="bottom"/>
          </w:tcPr>
          <w:p w14:paraId="303D6418">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12.0000</w:t>
            </w:r>
          </w:p>
        </w:tc>
      </w:tr>
      <w:tr w14:paraId="06EFC758">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2BCADEC4">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24.4948</w:t>
            </w:r>
          </w:p>
        </w:tc>
        <w:tc>
          <w:tcPr>
            <w:tcW w:w="3300" w:type="dxa"/>
            <w:tcBorders>
              <w:top w:val="nil"/>
              <w:left w:val="nil"/>
              <w:bottom w:val="single" w:color="auto" w:sz="4" w:space="0"/>
              <w:right w:val="single" w:color="auto" w:sz="4" w:space="0"/>
            </w:tcBorders>
            <w:noWrap/>
            <w:vAlign w:val="bottom"/>
          </w:tcPr>
          <w:p w14:paraId="20D0D7B4">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7.1419</w:t>
            </w:r>
          </w:p>
        </w:tc>
      </w:tr>
      <w:tr w14:paraId="59E56184">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37BF423A">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19.0381</w:t>
            </w:r>
          </w:p>
        </w:tc>
        <w:tc>
          <w:tcPr>
            <w:tcW w:w="3300" w:type="dxa"/>
            <w:tcBorders>
              <w:top w:val="nil"/>
              <w:left w:val="nil"/>
              <w:bottom w:val="single" w:color="auto" w:sz="4" w:space="0"/>
              <w:right w:val="single" w:color="auto" w:sz="4" w:space="0"/>
            </w:tcBorders>
            <w:noWrap/>
            <w:vAlign w:val="bottom"/>
          </w:tcPr>
          <w:p w14:paraId="3F5C7AF2">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7.3322</w:t>
            </w:r>
          </w:p>
        </w:tc>
      </w:tr>
      <w:tr w14:paraId="0C66ABD9">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4FDAE95B">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25.1557</w:t>
            </w:r>
          </w:p>
        </w:tc>
        <w:tc>
          <w:tcPr>
            <w:tcW w:w="3300" w:type="dxa"/>
            <w:tcBorders>
              <w:top w:val="nil"/>
              <w:left w:val="nil"/>
              <w:bottom w:val="single" w:color="auto" w:sz="4" w:space="0"/>
              <w:right w:val="single" w:color="auto" w:sz="4" w:space="0"/>
            </w:tcBorders>
            <w:noWrap/>
            <w:vAlign w:val="bottom"/>
          </w:tcPr>
          <w:p w14:paraId="1C37312F">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12.7924</w:t>
            </w:r>
          </w:p>
        </w:tc>
      </w:tr>
      <w:tr w14:paraId="5FE624BF">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59DB5A27">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37.1592</w:t>
            </w:r>
          </w:p>
        </w:tc>
        <w:tc>
          <w:tcPr>
            <w:tcW w:w="3300" w:type="dxa"/>
            <w:tcBorders>
              <w:top w:val="nil"/>
              <w:left w:val="nil"/>
              <w:bottom w:val="single" w:color="auto" w:sz="4" w:space="0"/>
              <w:right w:val="single" w:color="auto" w:sz="4" w:space="0"/>
            </w:tcBorders>
            <w:noWrap/>
            <w:vAlign w:val="bottom"/>
          </w:tcPr>
          <w:p w14:paraId="4F1E7E75">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24.7093</w:t>
            </w:r>
          </w:p>
        </w:tc>
      </w:tr>
      <w:tr w14:paraId="4769BB96">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1B1C8FDA">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38.3945</w:t>
            </w:r>
          </w:p>
        </w:tc>
        <w:tc>
          <w:tcPr>
            <w:tcW w:w="3300" w:type="dxa"/>
            <w:tcBorders>
              <w:top w:val="nil"/>
              <w:left w:val="nil"/>
              <w:bottom w:val="single" w:color="auto" w:sz="4" w:space="0"/>
              <w:right w:val="single" w:color="auto" w:sz="4" w:space="0"/>
            </w:tcBorders>
            <w:noWrap/>
            <w:vAlign w:val="bottom"/>
          </w:tcPr>
          <w:p w14:paraId="31C75738">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43.5087</w:t>
            </w:r>
          </w:p>
        </w:tc>
      </w:tr>
      <w:tr w14:paraId="0BE8716E">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3E4E44D5">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33.9965</w:t>
            </w:r>
          </w:p>
        </w:tc>
        <w:tc>
          <w:tcPr>
            <w:tcW w:w="3300" w:type="dxa"/>
            <w:tcBorders>
              <w:top w:val="nil"/>
              <w:left w:val="nil"/>
              <w:bottom w:val="single" w:color="auto" w:sz="4" w:space="0"/>
              <w:right w:val="single" w:color="auto" w:sz="4" w:space="0"/>
            </w:tcBorders>
            <w:noWrap/>
            <w:vAlign w:val="bottom"/>
          </w:tcPr>
          <w:p w14:paraId="5BB362F6">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61.4464</w:t>
            </w:r>
          </w:p>
        </w:tc>
      </w:tr>
      <w:tr w14:paraId="0605F0E7">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6F543850">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27.6505</w:t>
            </w:r>
          </w:p>
        </w:tc>
        <w:tc>
          <w:tcPr>
            <w:tcW w:w="3300" w:type="dxa"/>
            <w:tcBorders>
              <w:top w:val="nil"/>
              <w:left w:val="nil"/>
              <w:bottom w:val="single" w:color="auto" w:sz="4" w:space="0"/>
              <w:right w:val="single" w:color="auto" w:sz="4" w:space="0"/>
            </w:tcBorders>
            <w:noWrap/>
            <w:vAlign w:val="bottom"/>
          </w:tcPr>
          <w:p w14:paraId="0D014D7A">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53.1419</w:t>
            </w:r>
          </w:p>
        </w:tc>
      </w:tr>
      <w:tr w14:paraId="442E190A">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2CF78E82">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15.0865</w:t>
            </w:r>
          </w:p>
        </w:tc>
        <w:tc>
          <w:tcPr>
            <w:tcW w:w="3300" w:type="dxa"/>
            <w:tcBorders>
              <w:top w:val="nil"/>
              <w:left w:val="nil"/>
              <w:bottom w:val="single" w:color="auto" w:sz="4" w:space="0"/>
              <w:right w:val="single" w:color="auto" w:sz="4" w:space="0"/>
            </w:tcBorders>
            <w:noWrap/>
            <w:vAlign w:val="bottom"/>
          </w:tcPr>
          <w:p w14:paraId="3022DABC">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26.0035</w:t>
            </w:r>
          </w:p>
        </w:tc>
      </w:tr>
      <w:tr w14:paraId="5712A822">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37837E0F">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7.1765</w:t>
            </w:r>
          </w:p>
        </w:tc>
        <w:tc>
          <w:tcPr>
            <w:tcW w:w="3300" w:type="dxa"/>
            <w:tcBorders>
              <w:top w:val="nil"/>
              <w:left w:val="nil"/>
              <w:bottom w:val="single" w:color="auto" w:sz="4" w:space="0"/>
              <w:right w:val="single" w:color="auto" w:sz="4" w:space="0"/>
            </w:tcBorders>
            <w:noWrap/>
            <w:vAlign w:val="bottom"/>
          </w:tcPr>
          <w:p w14:paraId="4A87CEBB">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9.6228</w:t>
            </w:r>
          </w:p>
        </w:tc>
      </w:tr>
      <w:tr w14:paraId="697E7390">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01C91625">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1.8858</w:t>
            </w:r>
          </w:p>
        </w:tc>
        <w:tc>
          <w:tcPr>
            <w:tcW w:w="3300" w:type="dxa"/>
            <w:tcBorders>
              <w:top w:val="nil"/>
              <w:left w:val="nil"/>
              <w:bottom w:val="single" w:color="auto" w:sz="4" w:space="0"/>
              <w:right w:val="single" w:color="auto" w:sz="4" w:space="0"/>
            </w:tcBorders>
            <w:noWrap/>
            <w:vAlign w:val="bottom"/>
          </w:tcPr>
          <w:p w14:paraId="1A632B3D">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2.8824</w:t>
            </w:r>
          </w:p>
        </w:tc>
      </w:tr>
      <w:tr w14:paraId="55E608E7">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33245931">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1.0554</w:t>
            </w:r>
          </w:p>
        </w:tc>
        <w:tc>
          <w:tcPr>
            <w:tcW w:w="3300" w:type="dxa"/>
            <w:tcBorders>
              <w:top w:val="nil"/>
              <w:left w:val="nil"/>
              <w:bottom w:val="single" w:color="auto" w:sz="4" w:space="0"/>
              <w:right w:val="single" w:color="auto" w:sz="4" w:space="0"/>
            </w:tcBorders>
            <w:noWrap/>
            <w:vAlign w:val="bottom"/>
          </w:tcPr>
          <w:p w14:paraId="147E8CA3">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1.4706</w:t>
            </w:r>
          </w:p>
        </w:tc>
      </w:tr>
      <w:tr w14:paraId="5C8F841B">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74F06EE4">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0.7509</w:t>
            </w:r>
          </w:p>
        </w:tc>
        <w:tc>
          <w:tcPr>
            <w:tcW w:w="3300" w:type="dxa"/>
            <w:tcBorders>
              <w:top w:val="nil"/>
              <w:left w:val="nil"/>
              <w:bottom w:val="single" w:color="auto" w:sz="4" w:space="0"/>
              <w:right w:val="single" w:color="auto" w:sz="4" w:space="0"/>
            </w:tcBorders>
            <w:noWrap/>
            <w:vAlign w:val="bottom"/>
          </w:tcPr>
          <w:p w14:paraId="46DB0D06">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1.2491</w:t>
            </w:r>
          </w:p>
        </w:tc>
      </w:tr>
      <w:tr w14:paraId="1EC3DEB6">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08CBF35A">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1.3218</w:t>
            </w:r>
          </w:p>
        </w:tc>
        <w:tc>
          <w:tcPr>
            <w:tcW w:w="3300" w:type="dxa"/>
            <w:tcBorders>
              <w:top w:val="nil"/>
              <w:left w:val="nil"/>
              <w:bottom w:val="single" w:color="auto" w:sz="4" w:space="0"/>
              <w:right w:val="single" w:color="auto" w:sz="4" w:space="0"/>
            </w:tcBorders>
            <w:noWrap/>
            <w:vAlign w:val="bottom"/>
          </w:tcPr>
          <w:p w14:paraId="13437A9F">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1.0000</w:t>
            </w:r>
          </w:p>
        </w:tc>
      </w:tr>
      <w:tr w14:paraId="4BC20098">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5B43A164">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1.9862</w:t>
            </w:r>
          </w:p>
        </w:tc>
        <w:tc>
          <w:tcPr>
            <w:tcW w:w="3300" w:type="dxa"/>
            <w:tcBorders>
              <w:top w:val="nil"/>
              <w:left w:val="nil"/>
              <w:bottom w:val="single" w:color="auto" w:sz="4" w:space="0"/>
              <w:right w:val="single" w:color="auto" w:sz="4" w:space="0"/>
            </w:tcBorders>
            <w:noWrap/>
            <w:vAlign w:val="bottom"/>
          </w:tcPr>
          <w:p w14:paraId="4C9358C9">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1.0000</w:t>
            </w:r>
          </w:p>
        </w:tc>
      </w:tr>
      <w:tr w14:paraId="5F109A8D">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6C9D9E6F">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2.2422</w:t>
            </w:r>
          </w:p>
        </w:tc>
        <w:tc>
          <w:tcPr>
            <w:tcW w:w="3300" w:type="dxa"/>
            <w:tcBorders>
              <w:top w:val="nil"/>
              <w:left w:val="nil"/>
              <w:bottom w:val="single" w:color="auto" w:sz="4" w:space="0"/>
              <w:right w:val="single" w:color="auto" w:sz="4" w:space="0"/>
            </w:tcBorders>
            <w:noWrap/>
            <w:vAlign w:val="bottom"/>
          </w:tcPr>
          <w:p w14:paraId="75D3F2A5">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0.7578</w:t>
            </w:r>
          </w:p>
        </w:tc>
      </w:tr>
      <w:tr w14:paraId="005AA843">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1B0601BF">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1.7059</w:t>
            </w:r>
          </w:p>
        </w:tc>
        <w:tc>
          <w:tcPr>
            <w:tcW w:w="3300" w:type="dxa"/>
            <w:tcBorders>
              <w:top w:val="nil"/>
              <w:left w:val="nil"/>
              <w:bottom w:val="single" w:color="auto" w:sz="4" w:space="0"/>
              <w:right w:val="single" w:color="auto" w:sz="4" w:space="0"/>
            </w:tcBorders>
            <w:noWrap/>
            <w:vAlign w:val="bottom"/>
          </w:tcPr>
          <w:p w14:paraId="507DACCA">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1.0865</w:t>
            </w:r>
          </w:p>
        </w:tc>
      </w:tr>
      <w:tr w14:paraId="7B105D61">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30F5D4E1">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1.0000</w:t>
            </w:r>
          </w:p>
        </w:tc>
        <w:tc>
          <w:tcPr>
            <w:tcW w:w="3300" w:type="dxa"/>
            <w:tcBorders>
              <w:top w:val="nil"/>
              <w:left w:val="nil"/>
              <w:bottom w:val="single" w:color="auto" w:sz="4" w:space="0"/>
              <w:right w:val="single" w:color="auto" w:sz="4" w:space="0"/>
            </w:tcBorders>
            <w:noWrap/>
            <w:vAlign w:val="bottom"/>
          </w:tcPr>
          <w:p w14:paraId="61F47A9A">
            <w:pPr>
              <w:widowControl/>
              <w:jc w:val="center"/>
              <w:rPr>
                <w:rFonts w:ascii="Times New Roman" w:hAnsi="Times New Roman" w:eastAsia="等线" w:cs="Times New Roman"/>
                <w:kern w:val="0"/>
                <w:szCs w:val="21"/>
                <w14:ligatures w14:val="none"/>
              </w:rPr>
            </w:pPr>
            <w:r>
              <w:rPr>
                <w:rFonts w:ascii="Times New Roman" w:hAnsi="Times New Roman" w:eastAsia="等线" w:cs="Times New Roman"/>
                <w:kern w:val="0"/>
                <w:szCs w:val="21"/>
                <w14:ligatures w14:val="none"/>
              </w:rPr>
              <w:t>2.0000</w:t>
            </w:r>
          </w:p>
        </w:tc>
      </w:tr>
    </w:tbl>
    <w:p w14:paraId="6BB4ADA9">
      <w:pPr>
        <w:rPr>
          <w:rFonts w:hint="eastAsia" w:ascii="Times New Roman" w:hAnsi="Times New Roman" w:cs="Times New Roman"/>
        </w:rPr>
      </w:pPr>
    </w:p>
    <w:p w14:paraId="794C6E7F">
      <w:pPr>
        <w:rPr>
          <w:rFonts w:ascii="Times New Roman" w:hAnsi="Times New Roman" w:cs="Times New Roman"/>
          <w:b/>
          <w:bCs/>
        </w:rPr>
      </w:pPr>
      <w:bookmarkStart w:id="3" w:name="_GoBack"/>
      <w:r>
        <w:rPr>
          <w:rFonts w:ascii="Times New Roman" w:hAnsi="Times New Roman" w:cs="Times New Roman"/>
          <w:b/>
          <w:bCs/>
        </w:rPr>
        <w:t>Table S</w:t>
      </w:r>
      <w:r>
        <w:rPr>
          <w:rFonts w:hint="eastAsia" w:ascii="Times New Roman" w:hAnsi="Times New Roman" w:cs="Times New Roman"/>
          <w:b/>
          <w:bCs/>
        </w:rPr>
        <w:t>2</w:t>
      </w:r>
      <w:r>
        <w:rPr>
          <w:rFonts w:ascii="Times New Roman" w:hAnsi="Times New Roman" w:cs="Times New Roman"/>
          <w:b/>
          <w:bCs/>
        </w:rPr>
        <w:t xml:space="preserve">. Raw data for distance measurement statistics of </w:t>
      </w:r>
      <w:r>
        <w:rPr>
          <w:rFonts w:hint="eastAsia" w:ascii="Times New Roman" w:hAnsi="Times New Roman" w:cs="Times New Roman"/>
          <w:b/>
          <w:bCs/>
        </w:rPr>
        <w:t>ZYP1</w:t>
      </w:r>
      <w:r>
        <w:rPr>
          <w:rFonts w:ascii="Times New Roman" w:hAnsi="Times New Roman" w:cs="Times New Roman"/>
          <w:b/>
          <w:bCs/>
        </w:rPr>
        <w:t xml:space="preserve"> and ZmHOP2a.</w:t>
      </w:r>
    </w:p>
    <w:bookmarkEnd w:id="3"/>
    <w:tbl>
      <w:tblPr>
        <w:tblStyle w:val="15"/>
        <w:tblW w:w="6380" w:type="dxa"/>
        <w:tblInd w:w="113" w:type="dxa"/>
        <w:tblLayout w:type="autofit"/>
        <w:tblCellMar>
          <w:top w:w="0" w:type="dxa"/>
          <w:left w:w="108" w:type="dxa"/>
          <w:bottom w:w="0" w:type="dxa"/>
          <w:right w:w="108" w:type="dxa"/>
        </w:tblCellMar>
      </w:tblPr>
      <w:tblGrid>
        <w:gridCol w:w="3080"/>
        <w:gridCol w:w="3300"/>
      </w:tblGrid>
      <w:tr w14:paraId="68360B65">
        <w:tblPrEx>
          <w:tblCellMar>
            <w:top w:w="0" w:type="dxa"/>
            <w:left w:w="108" w:type="dxa"/>
            <w:bottom w:w="0" w:type="dxa"/>
            <w:right w:w="108" w:type="dxa"/>
          </w:tblCellMar>
        </w:tblPrEx>
        <w:trPr>
          <w:trHeight w:val="310" w:hRule="atLeast"/>
        </w:trPr>
        <w:tc>
          <w:tcPr>
            <w:tcW w:w="3080" w:type="dxa"/>
            <w:tcBorders>
              <w:top w:val="single" w:color="auto" w:sz="4" w:space="0"/>
              <w:left w:val="single" w:color="auto" w:sz="4" w:space="0"/>
              <w:bottom w:val="single" w:color="auto" w:sz="4" w:space="0"/>
              <w:right w:val="single" w:color="auto" w:sz="4" w:space="0"/>
            </w:tcBorders>
            <w:noWrap/>
            <w:vAlign w:val="center"/>
          </w:tcPr>
          <w:p w14:paraId="738E1565">
            <w:pPr>
              <w:widowControl/>
              <w:jc w:val="center"/>
              <w:rPr>
                <w:rFonts w:ascii="Times New Roman" w:hAnsi="Times New Roman" w:eastAsia="等线" w:cs="Times New Roman"/>
                <w:color w:val="000000"/>
                <w:kern w:val="0"/>
                <w:sz w:val="24"/>
                <w:szCs w:val="24"/>
                <w14:ligatures w14:val="none"/>
              </w:rPr>
            </w:pPr>
            <w:r>
              <w:rPr>
                <w:rFonts w:ascii="Times New Roman" w:hAnsi="Times New Roman" w:eastAsia="等线" w:cs="Times New Roman"/>
                <w:color w:val="000000"/>
                <w:kern w:val="0"/>
                <w:sz w:val="24"/>
                <w:szCs w:val="24"/>
                <w14:ligatures w14:val="none"/>
              </w:rPr>
              <w:t>ZYP1 Relative Intensity</w:t>
            </w:r>
          </w:p>
        </w:tc>
        <w:tc>
          <w:tcPr>
            <w:tcW w:w="3300" w:type="dxa"/>
            <w:tcBorders>
              <w:top w:val="single" w:color="auto" w:sz="4" w:space="0"/>
              <w:left w:val="nil"/>
              <w:bottom w:val="single" w:color="auto" w:sz="4" w:space="0"/>
              <w:right w:val="single" w:color="auto" w:sz="4" w:space="0"/>
            </w:tcBorders>
            <w:noWrap/>
            <w:vAlign w:val="center"/>
          </w:tcPr>
          <w:p w14:paraId="2CD7A733">
            <w:pPr>
              <w:widowControl/>
              <w:jc w:val="center"/>
              <w:rPr>
                <w:rFonts w:ascii="Times New Roman" w:hAnsi="Times New Roman" w:eastAsia="等线" w:cs="Times New Roman"/>
                <w:color w:val="000000"/>
                <w:kern w:val="0"/>
                <w:sz w:val="24"/>
                <w:szCs w:val="24"/>
                <w14:ligatures w14:val="none"/>
              </w:rPr>
            </w:pPr>
            <w:r>
              <w:rPr>
                <w:rFonts w:ascii="Times New Roman" w:hAnsi="Times New Roman" w:eastAsia="等线" w:cs="Times New Roman"/>
                <w:color w:val="000000"/>
                <w:kern w:val="0"/>
                <w:sz w:val="24"/>
                <w:szCs w:val="24"/>
                <w14:ligatures w14:val="none"/>
              </w:rPr>
              <w:t>HOP2a Relative Intensity</w:t>
            </w:r>
          </w:p>
        </w:tc>
      </w:tr>
      <w:tr w14:paraId="08CA2968">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7C60008C">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20.4167</w:t>
            </w:r>
          </w:p>
        </w:tc>
        <w:tc>
          <w:tcPr>
            <w:tcW w:w="3300" w:type="dxa"/>
            <w:tcBorders>
              <w:top w:val="nil"/>
              <w:left w:val="nil"/>
              <w:bottom w:val="single" w:color="auto" w:sz="4" w:space="0"/>
              <w:right w:val="single" w:color="auto" w:sz="4" w:space="0"/>
            </w:tcBorders>
            <w:noWrap/>
            <w:vAlign w:val="bottom"/>
          </w:tcPr>
          <w:p w14:paraId="0A01F96B">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53.9167</w:t>
            </w:r>
          </w:p>
        </w:tc>
      </w:tr>
      <w:tr w14:paraId="736F84D8">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4EA342B6">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17.3667</w:t>
            </w:r>
          </w:p>
        </w:tc>
        <w:tc>
          <w:tcPr>
            <w:tcW w:w="3300" w:type="dxa"/>
            <w:tcBorders>
              <w:top w:val="nil"/>
              <w:left w:val="nil"/>
              <w:bottom w:val="single" w:color="auto" w:sz="4" w:space="0"/>
              <w:right w:val="single" w:color="auto" w:sz="4" w:space="0"/>
            </w:tcBorders>
            <w:noWrap/>
            <w:vAlign w:val="bottom"/>
          </w:tcPr>
          <w:p w14:paraId="68432857">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64.2839</w:t>
            </w:r>
          </w:p>
        </w:tc>
      </w:tr>
      <w:tr w14:paraId="6852796F">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18483A3F">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15.2578</w:t>
            </w:r>
          </w:p>
        </w:tc>
        <w:tc>
          <w:tcPr>
            <w:tcW w:w="3300" w:type="dxa"/>
            <w:tcBorders>
              <w:top w:val="nil"/>
              <w:left w:val="nil"/>
              <w:bottom w:val="single" w:color="auto" w:sz="4" w:space="0"/>
              <w:right w:val="single" w:color="auto" w:sz="4" w:space="0"/>
            </w:tcBorders>
            <w:noWrap/>
            <w:vAlign w:val="bottom"/>
          </w:tcPr>
          <w:p w14:paraId="25EF4C65">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68.7356</w:t>
            </w:r>
          </w:p>
        </w:tc>
      </w:tr>
      <w:tr w14:paraId="2656721C">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3F0980C0">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15.8883</w:t>
            </w:r>
          </w:p>
        </w:tc>
        <w:tc>
          <w:tcPr>
            <w:tcW w:w="3300" w:type="dxa"/>
            <w:tcBorders>
              <w:top w:val="nil"/>
              <w:left w:val="nil"/>
              <w:bottom w:val="single" w:color="auto" w:sz="4" w:space="0"/>
              <w:right w:val="single" w:color="auto" w:sz="4" w:space="0"/>
            </w:tcBorders>
            <w:noWrap/>
            <w:vAlign w:val="bottom"/>
          </w:tcPr>
          <w:p w14:paraId="6A9D0F07">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67.8683</w:t>
            </w:r>
          </w:p>
        </w:tc>
      </w:tr>
      <w:tr w14:paraId="0FD6ED6E">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5D646B98">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21.3589</w:t>
            </w:r>
          </w:p>
        </w:tc>
        <w:tc>
          <w:tcPr>
            <w:tcW w:w="3300" w:type="dxa"/>
            <w:tcBorders>
              <w:top w:val="nil"/>
              <w:left w:val="nil"/>
              <w:bottom w:val="single" w:color="auto" w:sz="4" w:space="0"/>
              <w:right w:val="single" w:color="auto" w:sz="4" w:space="0"/>
            </w:tcBorders>
            <w:noWrap/>
            <w:vAlign w:val="bottom"/>
          </w:tcPr>
          <w:p w14:paraId="708094BC">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66.5978</w:t>
            </w:r>
          </w:p>
        </w:tc>
      </w:tr>
      <w:tr w14:paraId="2017E992">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435F55A0">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38.5694</w:t>
            </w:r>
          </w:p>
        </w:tc>
        <w:tc>
          <w:tcPr>
            <w:tcW w:w="3300" w:type="dxa"/>
            <w:tcBorders>
              <w:top w:val="nil"/>
              <w:left w:val="nil"/>
              <w:bottom w:val="single" w:color="auto" w:sz="4" w:space="0"/>
              <w:right w:val="single" w:color="auto" w:sz="4" w:space="0"/>
            </w:tcBorders>
            <w:noWrap/>
            <w:vAlign w:val="bottom"/>
          </w:tcPr>
          <w:p w14:paraId="3B64AB99">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65.8333</w:t>
            </w:r>
          </w:p>
        </w:tc>
      </w:tr>
      <w:tr w14:paraId="2832443A">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50684979">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62.8067</w:t>
            </w:r>
          </w:p>
        </w:tc>
        <w:tc>
          <w:tcPr>
            <w:tcW w:w="3300" w:type="dxa"/>
            <w:tcBorders>
              <w:top w:val="nil"/>
              <w:left w:val="nil"/>
              <w:bottom w:val="single" w:color="auto" w:sz="4" w:space="0"/>
              <w:right w:val="single" w:color="auto" w:sz="4" w:space="0"/>
            </w:tcBorders>
            <w:noWrap/>
            <w:vAlign w:val="bottom"/>
          </w:tcPr>
          <w:p w14:paraId="4BD79314">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65.4333</w:t>
            </w:r>
          </w:p>
        </w:tc>
      </w:tr>
      <w:tr w14:paraId="30E3CF48">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2B70365E">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74.4183</w:t>
            </w:r>
          </w:p>
        </w:tc>
        <w:tc>
          <w:tcPr>
            <w:tcW w:w="3300" w:type="dxa"/>
            <w:tcBorders>
              <w:top w:val="nil"/>
              <w:left w:val="nil"/>
              <w:bottom w:val="single" w:color="auto" w:sz="4" w:space="0"/>
              <w:right w:val="single" w:color="auto" w:sz="4" w:space="0"/>
            </w:tcBorders>
            <w:noWrap/>
            <w:vAlign w:val="bottom"/>
          </w:tcPr>
          <w:p w14:paraId="0AE29110">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69.5967</w:t>
            </w:r>
          </w:p>
        </w:tc>
      </w:tr>
      <w:tr w14:paraId="304D8361">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2E93C709">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66.9922</w:t>
            </w:r>
          </w:p>
        </w:tc>
        <w:tc>
          <w:tcPr>
            <w:tcW w:w="3300" w:type="dxa"/>
            <w:tcBorders>
              <w:top w:val="nil"/>
              <w:left w:val="nil"/>
              <w:bottom w:val="single" w:color="auto" w:sz="4" w:space="0"/>
              <w:right w:val="single" w:color="auto" w:sz="4" w:space="0"/>
            </w:tcBorders>
            <w:noWrap/>
            <w:vAlign w:val="bottom"/>
          </w:tcPr>
          <w:p w14:paraId="764781DA">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76.2211</w:t>
            </w:r>
          </w:p>
        </w:tc>
      </w:tr>
      <w:tr w14:paraId="31599802">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28B5EB65">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54.5083</w:t>
            </w:r>
          </w:p>
        </w:tc>
        <w:tc>
          <w:tcPr>
            <w:tcW w:w="3300" w:type="dxa"/>
            <w:tcBorders>
              <w:top w:val="nil"/>
              <w:left w:val="nil"/>
              <w:bottom w:val="single" w:color="auto" w:sz="4" w:space="0"/>
              <w:right w:val="single" w:color="auto" w:sz="4" w:space="0"/>
            </w:tcBorders>
            <w:noWrap/>
            <w:vAlign w:val="bottom"/>
          </w:tcPr>
          <w:p w14:paraId="66143C49">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77.0817</w:t>
            </w:r>
          </w:p>
        </w:tc>
      </w:tr>
      <w:tr w14:paraId="50C7EFDB">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5529563F">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54.5556</w:t>
            </w:r>
          </w:p>
        </w:tc>
        <w:tc>
          <w:tcPr>
            <w:tcW w:w="3300" w:type="dxa"/>
            <w:tcBorders>
              <w:top w:val="nil"/>
              <w:left w:val="nil"/>
              <w:bottom w:val="single" w:color="auto" w:sz="4" w:space="0"/>
              <w:right w:val="single" w:color="auto" w:sz="4" w:space="0"/>
            </w:tcBorders>
            <w:noWrap/>
            <w:vAlign w:val="bottom"/>
          </w:tcPr>
          <w:p w14:paraId="2DDEA0B4">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70.0556</w:t>
            </w:r>
          </w:p>
        </w:tc>
      </w:tr>
      <w:tr w14:paraId="4951FAA1">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214995ED">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63.6483</w:t>
            </w:r>
          </w:p>
        </w:tc>
        <w:tc>
          <w:tcPr>
            <w:tcW w:w="3300" w:type="dxa"/>
            <w:tcBorders>
              <w:top w:val="nil"/>
              <w:left w:val="nil"/>
              <w:bottom w:val="single" w:color="auto" w:sz="4" w:space="0"/>
              <w:right w:val="single" w:color="auto" w:sz="4" w:space="0"/>
            </w:tcBorders>
            <w:noWrap/>
            <w:vAlign w:val="bottom"/>
          </w:tcPr>
          <w:p w14:paraId="1F09781F">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63.5194</w:t>
            </w:r>
          </w:p>
        </w:tc>
      </w:tr>
      <w:tr w14:paraId="43FAF20F">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6908C342">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64.7433</w:t>
            </w:r>
          </w:p>
        </w:tc>
        <w:tc>
          <w:tcPr>
            <w:tcW w:w="3300" w:type="dxa"/>
            <w:tcBorders>
              <w:top w:val="nil"/>
              <w:left w:val="nil"/>
              <w:bottom w:val="single" w:color="auto" w:sz="4" w:space="0"/>
              <w:right w:val="single" w:color="auto" w:sz="4" w:space="0"/>
            </w:tcBorders>
            <w:noWrap/>
            <w:vAlign w:val="bottom"/>
          </w:tcPr>
          <w:p w14:paraId="1037B3D7">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62.4067</w:t>
            </w:r>
          </w:p>
        </w:tc>
      </w:tr>
      <w:tr w14:paraId="0D512F18">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0D24F0B6">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53.8956</w:t>
            </w:r>
          </w:p>
        </w:tc>
        <w:tc>
          <w:tcPr>
            <w:tcW w:w="3300" w:type="dxa"/>
            <w:tcBorders>
              <w:top w:val="nil"/>
              <w:left w:val="nil"/>
              <w:bottom w:val="single" w:color="auto" w:sz="4" w:space="0"/>
              <w:right w:val="single" w:color="auto" w:sz="4" w:space="0"/>
            </w:tcBorders>
            <w:noWrap/>
            <w:vAlign w:val="bottom"/>
          </w:tcPr>
          <w:p w14:paraId="5D331FA0">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62.6211</w:t>
            </w:r>
          </w:p>
        </w:tc>
      </w:tr>
      <w:tr w14:paraId="1A4587CB">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7E8869C2">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36.6622</w:t>
            </w:r>
          </w:p>
        </w:tc>
        <w:tc>
          <w:tcPr>
            <w:tcW w:w="3300" w:type="dxa"/>
            <w:tcBorders>
              <w:top w:val="nil"/>
              <w:left w:val="nil"/>
              <w:bottom w:val="single" w:color="auto" w:sz="4" w:space="0"/>
              <w:right w:val="single" w:color="auto" w:sz="4" w:space="0"/>
            </w:tcBorders>
            <w:noWrap/>
            <w:vAlign w:val="bottom"/>
          </w:tcPr>
          <w:p w14:paraId="524E209A">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62.3622</w:t>
            </w:r>
          </w:p>
        </w:tc>
      </w:tr>
      <w:tr w14:paraId="711FF860">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78773409">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22.3333</w:t>
            </w:r>
          </w:p>
        </w:tc>
        <w:tc>
          <w:tcPr>
            <w:tcW w:w="3300" w:type="dxa"/>
            <w:tcBorders>
              <w:top w:val="nil"/>
              <w:left w:val="nil"/>
              <w:bottom w:val="single" w:color="auto" w:sz="4" w:space="0"/>
              <w:right w:val="single" w:color="auto" w:sz="4" w:space="0"/>
            </w:tcBorders>
            <w:noWrap/>
            <w:vAlign w:val="bottom"/>
          </w:tcPr>
          <w:p w14:paraId="10142D71">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63.5417</w:t>
            </w:r>
          </w:p>
        </w:tc>
      </w:tr>
      <w:tr w14:paraId="220E74CC">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72888125">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14.3178</w:t>
            </w:r>
          </w:p>
        </w:tc>
        <w:tc>
          <w:tcPr>
            <w:tcW w:w="3300" w:type="dxa"/>
            <w:tcBorders>
              <w:top w:val="nil"/>
              <w:left w:val="nil"/>
              <w:bottom w:val="single" w:color="auto" w:sz="4" w:space="0"/>
              <w:right w:val="single" w:color="auto" w:sz="4" w:space="0"/>
            </w:tcBorders>
            <w:noWrap/>
            <w:vAlign w:val="bottom"/>
          </w:tcPr>
          <w:p w14:paraId="79CF5575">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62.1589</w:t>
            </w:r>
          </w:p>
        </w:tc>
      </w:tr>
      <w:tr w14:paraId="359E7C09">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1FA3835D">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10.0656</w:t>
            </w:r>
          </w:p>
        </w:tc>
        <w:tc>
          <w:tcPr>
            <w:tcW w:w="3300" w:type="dxa"/>
            <w:tcBorders>
              <w:top w:val="nil"/>
              <w:left w:val="nil"/>
              <w:bottom w:val="single" w:color="auto" w:sz="4" w:space="0"/>
              <w:right w:val="single" w:color="auto" w:sz="4" w:space="0"/>
            </w:tcBorders>
            <w:noWrap/>
            <w:vAlign w:val="bottom"/>
          </w:tcPr>
          <w:p w14:paraId="5EF344AD">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54.0172</w:t>
            </w:r>
          </w:p>
        </w:tc>
      </w:tr>
      <w:tr w14:paraId="4C8CC4B0">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1C094149">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10.2800</w:t>
            </w:r>
          </w:p>
        </w:tc>
        <w:tc>
          <w:tcPr>
            <w:tcW w:w="3300" w:type="dxa"/>
            <w:tcBorders>
              <w:top w:val="nil"/>
              <w:left w:val="nil"/>
              <w:bottom w:val="single" w:color="auto" w:sz="4" w:space="0"/>
              <w:right w:val="single" w:color="auto" w:sz="4" w:space="0"/>
            </w:tcBorders>
            <w:noWrap/>
            <w:vAlign w:val="bottom"/>
          </w:tcPr>
          <w:p w14:paraId="2A1A4318">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47.2200</w:t>
            </w:r>
          </w:p>
        </w:tc>
      </w:tr>
      <w:tr w14:paraId="50E18636">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4F626D07">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13.7172</w:t>
            </w:r>
          </w:p>
        </w:tc>
        <w:tc>
          <w:tcPr>
            <w:tcW w:w="3300" w:type="dxa"/>
            <w:tcBorders>
              <w:top w:val="nil"/>
              <w:left w:val="nil"/>
              <w:bottom w:val="single" w:color="auto" w:sz="4" w:space="0"/>
              <w:right w:val="single" w:color="auto" w:sz="4" w:space="0"/>
            </w:tcBorders>
            <w:noWrap/>
            <w:vAlign w:val="bottom"/>
          </w:tcPr>
          <w:p w14:paraId="0DFD7E43">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47.6178</w:t>
            </w:r>
          </w:p>
        </w:tc>
      </w:tr>
      <w:tr w14:paraId="745D1D3E">
        <w:tblPrEx>
          <w:tblCellMar>
            <w:top w:w="0" w:type="dxa"/>
            <w:left w:w="108" w:type="dxa"/>
            <w:bottom w:w="0" w:type="dxa"/>
            <w:right w:w="108" w:type="dxa"/>
          </w:tblCellMar>
        </w:tblPrEx>
        <w:trPr>
          <w:trHeight w:val="310" w:hRule="atLeast"/>
        </w:trPr>
        <w:tc>
          <w:tcPr>
            <w:tcW w:w="3080" w:type="dxa"/>
            <w:tcBorders>
              <w:top w:val="nil"/>
              <w:left w:val="single" w:color="auto" w:sz="4" w:space="0"/>
              <w:bottom w:val="single" w:color="auto" w:sz="4" w:space="0"/>
              <w:right w:val="single" w:color="auto" w:sz="4" w:space="0"/>
            </w:tcBorders>
            <w:noWrap/>
            <w:vAlign w:val="bottom"/>
          </w:tcPr>
          <w:p w14:paraId="76E6B675">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17.1667</w:t>
            </w:r>
          </w:p>
        </w:tc>
        <w:tc>
          <w:tcPr>
            <w:tcW w:w="3300" w:type="dxa"/>
            <w:tcBorders>
              <w:top w:val="nil"/>
              <w:left w:val="nil"/>
              <w:bottom w:val="single" w:color="auto" w:sz="4" w:space="0"/>
              <w:right w:val="single" w:color="auto" w:sz="4" w:space="0"/>
            </w:tcBorders>
            <w:noWrap/>
            <w:vAlign w:val="bottom"/>
          </w:tcPr>
          <w:p w14:paraId="0BF2957A">
            <w:pPr>
              <w:widowControl/>
              <w:jc w:val="center"/>
              <w:rPr>
                <w:rFonts w:ascii="Times New Roman" w:hAnsi="Times New Roman" w:eastAsia="等线" w:cs="Times New Roman"/>
                <w:kern w:val="0"/>
                <w:sz w:val="24"/>
                <w:szCs w:val="24"/>
                <w14:ligatures w14:val="none"/>
              </w:rPr>
            </w:pPr>
            <w:r>
              <w:rPr>
                <w:rFonts w:ascii="Times New Roman" w:hAnsi="Times New Roman" w:eastAsia="等线" w:cs="Times New Roman"/>
                <w:kern w:val="0"/>
                <w:sz w:val="24"/>
                <w:szCs w:val="24"/>
                <w14:ligatures w14:val="none"/>
              </w:rPr>
              <w:t>57.3333</w:t>
            </w:r>
          </w:p>
        </w:tc>
      </w:tr>
    </w:tbl>
    <w:p w14:paraId="536E3FDE">
      <w:pPr>
        <w:rPr>
          <w:rFonts w:ascii="Times New Roman" w:hAnsi="Times New Roman" w:cs="Times New Roman"/>
        </w:rPr>
      </w:pPr>
    </w:p>
    <w:p w14:paraId="65DB70CC">
      <w:pPr>
        <w:jc w:val="center"/>
        <w:rPr>
          <w:rFonts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Unicode MS">
    <w:panose1 w:val="020B0604020202020204"/>
    <w:charset w:val="86"/>
    <w:family w:val="swiss"/>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characterSpacingControl w:val="doNotCompress"/>
  <w:compat>
    <w:useFELayout/>
    <w:compatSetting w:name="compatibilityMode" w:uri="http://schemas.microsoft.com/office/word" w:val="12"/>
  </w:compat>
  <w:rsids>
    <w:rsidRoot w:val="00A07E98"/>
    <w:rsid w:val="00085FEB"/>
    <w:rsid w:val="000F6863"/>
    <w:rsid w:val="00110DA4"/>
    <w:rsid w:val="00140104"/>
    <w:rsid w:val="002C2FC8"/>
    <w:rsid w:val="00350F3B"/>
    <w:rsid w:val="00497EA8"/>
    <w:rsid w:val="004A6A84"/>
    <w:rsid w:val="004B6FDB"/>
    <w:rsid w:val="004E4FB5"/>
    <w:rsid w:val="00512D34"/>
    <w:rsid w:val="006507BF"/>
    <w:rsid w:val="00665D99"/>
    <w:rsid w:val="006D12DB"/>
    <w:rsid w:val="0074361F"/>
    <w:rsid w:val="00787F3F"/>
    <w:rsid w:val="007B6693"/>
    <w:rsid w:val="0080622E"/>
    <w:rsid w:val="00827978"/>
    <w:rsid w:val="00827C91"/>
    <w:rsid w:val="00957DD9"/>
    <w:rsid w:val="009760BB"/>
    <w:rsid w:val="009A7251"/>
    <w:rsid w:val="00A07E98"/>
    <w:rsid w:val="00A179CF"/>
    <w:rsid w:val="00AF73D8"/>
    <w:rsid w:val="00B076D9"/>
    <w:rsid w:val="00B17BBF"/>
    <w:rsid w:val="00B36AB9"/>
    <w:rsid w:val="00B85201"/>
    <w:rsid w:val="00BD4267"/>
    <w:rsid w:val="00D06044"/>
    <w:rsid w:val="00D934D6"/>
    <w:rsid w:val="00E11ABA"/>
    <w:rsid w:val="00E21DBD"/>
    <w:rsid w:val="00E264F8"/>
    <w:rsid w:val="00E95E00"/>
    <w:rsid w:val="00EE5B4D"/>
    <w:rsid w:val="00F06AB2"/>
    <w:rsid w:val="00F95AD5"/>
    <w:rsid w:val="00F966DE"/>
    <w:rsid w:val="00FC0FB8"/>
    <w:rsid w:val="00FE0CDD"/>
    <w:rsid w:val="0E357BC0"/>
    <w:rsid w:val="5CBF11B4"/>
    <w:rsid w:val="6D6B42D5"/>
    <w:rsid w:val="74354492"/>
    <w:rsid w:val="78792E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19"/>
    <w:qFormat/>
    <w:uiPriority w:val="9"/>
    <w:pPr>
      <w:keepNext/>
      <w:keepLines/>
      <w:spacing w:before="480" w:after="80"/>
      <w:outlineLvl w:val="0"/>
    </w:pPr>
    <w:rPr>
      <w:rFonts w:asciiTheme="majorHAnsi" w:hAnsiTheme="majorHAnsi" w:eastAsiaTheme="majorEastAsia" w:cstheme="majorBidi"/>
      <w:color w:val="2F5496" w:themeColor="accent1" w:themeShade="BF"/>
      <w:sz w:val="48"/>
      <w:szCs w:val="48"/>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2F5496" w:themeColor="accent1" w:themeShade="BF"/>
      <w:sz w:val="40"/>
      <w:szCs w:val="40"/>
    </w:rPr>
  </w:style>
  <w:style w:type="paragraph" w:styleId="4">
    <w:name w:val="heading 3"/>
    <w:basedOn w:val="1"/>
    <w:next w:val="1"/>
    <w:link w:val="21"/>
    <w:semiHidden/>
    <w:unhideWhenUsed/>
    <w:qFormat/>
    <w:uiPriority w:val="9"/>
    <w:pPr>
      <w:keepNext/>
      <w:keepLines/>
      <w:spacing w:before="160" w:after="80"/>
      <w:outlineLvl w:val="2"/>
    </w:pPr>
    <w:rPr>
      <w:rFonts w:asciiTheme="majorHAnsi" w:hAnsiTheme="majorHAnsi" w:eastAsiaTheme="majorEastAsia" w:cstheme="majorBidi"/>
      <w:color w:val="2F5496" w:themeColor="accent1" w:themeShade="BF"/>
      <w:sz w:val="32"/>
      <w:szCs w:val="32"/>
    </w:rPr>
  </w:style>
  <w:style w:type="paragraph" w:styleId="5">
    <w:name w:val="heading 4"/>
    <w:basedOn w:val="1"/>
    <w:next w:val="1"/>
    <w:link w:val="22"/>
    <w:semiHidden/>
    <w:unhideWhenUsed/>
    <w:qFormat/>
    <w:uiPriority w:val="9"/>
    <w:pPr>
      <w:keepNext/>
      <w:keepLines/>
      <w:spacing w:before="80" w:after="40"/>
      <w:outlineLvl w:val="3"/>
    </w:pPr>
    <w:rPr>
      <w:rFonts w:cstheme="majorBidi"/>
      <w:color w:val="2F5496" w:themeColor="accent1" w:themeShade="BF"/>
      <w:sz w:val="28"/>
      <w:szCs w:val="28"/>
    </w:rPr>
  </w:style>
  <w:style w:type="paragraph" w:styleId="6">
    <w:name w:val="heading 5"/>
    <w:basedOn w:val="1"/>
    <w:next w:val="1"/>
    <w:link w:val="23"/>
    <w:semiHidden/>
    <w:unhideWhenUsed/>
    <w:qFormat/>
    <w:uiPriority w:val="9"/>
    <w:pPr>
      <w:keepNext/>
      <w:keepLines/>
      <w:spacing w:before="80" w:after="40"/>
      <w:outlineLvl w:val="4"/>
    </w:pPr>
    <w:rPr>
      <w:rFonts w:cstheme="majorBidi"/>
      <w:color w:val="2F5496" w:themeColor="accent1" w:themeShade="BF"/>
      <w:sz w:val="24"/>
      <w:szCs w:val="24"/>
    </w:rPr>
  </w:style>
  <w:style w:type="paragraph" w:styleId="7">
    <w:name w:val="heading 6"/>
    <w:basedOn w:val="1"/>
    <w:next w:val="1"/>
    <w:link w:val="24"/>
    <w:semiHidden/>
    <w:unhideWhenUsed/>
    <w:qFormat/>
    <w:uiPriority w:val="9"/>
    <w:pPr>
      <w:keepNext/>
      <w:keepLines/>
      <w:spacing w:before="40"/>
      <w:outlineLvl w:val="5"/>
    </w:pPr>
    <w:rPr>
      <w:rFonts w:cstheme="majorBidi"/>
      <w:b/>
      <w:bCs/>
      <w:color w:val="2F5496" w:themeColor="accent1" w:themeShade="BF"/>
    </w:rPr>
  </w:style>
  <w:style w:type="paragraph" w:styleId="8">
    <w:name w:val="heading 7"/>
    <w:basedOn w:val="1"/>
    <w:next w:val="1"/>
    <w:link w:val="25"/>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26"/>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27"/>
    <w:semiHidden/>
    <w:unhideWhenUsed/>
    <w:qFormat/>
    <w:uiPriority w:val="9"/>
    <w:pPr>
      <w:keepNext/>
      <w:keepLines/>
      <w:outlineLvl w:val="8"/>
    </w:pPr>
    <w:rPr>
      <w:rFonts w:eastAsiaTheme="majorEastAsia" w:cstheme="majorBidi"/>
      <w:color w:val="585858" w:themeColor="text1" w:themeTint="A6"/>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46"/>
    <w:unhideWhenUsed/>
    <w:qFormat/>
    <w:uiPriority w:val="99"/>
    <w:pPr>
      <w:tabs>
        <w:tab w:val="center" w:pos="4153"/>
        <w:tab w:val="right" w:pos="8306"/>
      </w:tabs>
      <w:snapToGrid w:val="0"/>
      <w:jc w:val="left"/>
    </w:pPr>
    <w:rPr>
      <w:sz w:val="18"/>
      <w:szCs w:val="18"/>
    </w:rPr>
  </w:style>
  <w:style w:type="paragraph" w:styleId="12">
    <w:name w:val="header"/>
    <w:basedOn w:val="1"/>
    <w:link w:val="45"/>
    <w:unhideWhenUsed/>
    <w:qFormat/>
    <w:uiPriority w:val="99"/>
    <w:pPr>
      <w:tabs>
        <w:tab w:val="center" w:pos="4153"/>
        <w:tab w:val="right" w:pos="8306"/>
      </w:tabs>
      <w:snapToGrid w:val="0"/>
      <w:jc w:val="center"/>
    </w:pPr>
    <w:rPr>
      <w:sz w:val="18"/>
      <w:szCs w:val="18"/>
    </w:rPr>
  </w:style>
  <w:style w:type="paragraph" w:styleId="13">
    <w:name w:val="Subtitle"/>
    <w:basedOn w:val="1"/>
    <w:next w:val="1"/>
    <w:link w:val="29"/>
    <w:qFormat/>
    <w:uiPriority w:val="11"/>
    <w:pPr>
      <w:spacing w:after="160"/>
      <w:jc w:val="center"/>
    </w:pPr>
    <w:rPr>
      <w:rFonts w:asciiTheme="majorHAnsi" w:hAnsiTheme="majorHAnsi" w:eastAsiaTheme="majorEastAsia" w:cstheme="majorBidi"/>
      <w:color w:val="585858" w:themeColor="text1" w:themeTint="A6"/>
      <w:spacing w:val="15"/>
      <w:sz w:val="28"/>
      <w:szCs w:val="28"/>
    </w:rPr>
  </w:style>
  <w:style w:type="paragraph" w:styleId="14">
    <w:name w:val="Title"/>
    <w:basedOn w:val="1"/>
    <w:next w:val="1"/>
    <w:link w:val="28"/>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17">
    <w:name w:val="FollowedHyperlink"/>
    <w:basedOn w:val="16"/>
    <w:semiHidden/>
    <w:unhideWhenUsed/>
    <w:qFormat/>
    <w:uiPriority w:val="99"/>
    <w:rPr>
      <w:color w:val="954F72"/>
      <w:u w:val="single"/>
    </w:rPr>
  </w:style>
  <w:style w:type="character" w:styleId="18">
    <w:name w:val="Hyperlink"/>
    <w:basedOn w:val="16"/>
    <w:semiHidden/>
    <w:unhideWhenUsed/>
    <w:qFormat/>
    <w:uiPriority w:val="99"/>
    <w:rPr>
      <w:color w:val="0563C1"/>
      <w:u w:val="single"/>
    </w:rPr>
  </w:style>
  <w:style w:type="character" w:customStyle="1" w:styleId="19">
    <w:name w:val="标题 1 字符"/>
    <w:basedOn w:val="16"/>
    <w:link w:val="2"/>
    <w:qFormat/>
    <w:uiPriority w:val="9"/>
    <w:rPr>
      <w:rFonts w:asciiTheme="majorHAnsi" w:hAnsiTheme="majorHAnsi" w:eastAsiaTheme="majorEastAsia" w:cstheme="majorBidi"/>
      <w:color w:val="2F5496" w:themeColor="accent1" w:themeShade="BF"/>
      <w:sz w:val="48"/>
      <w:szCs w:val="48"/>
    </w:rPr>
  </w:style>
  <w:style w:type="character" w:customStyle="1" w:styleId="20">
    <w:name w:val="标题 2 字符"/>
    <w:basedOn w:val="16"/>
    <w:link w:val="3"/>
    <w:semiHidden/>
    <w:qFormat/>
    <w:uiPriority w:val="9"/>
    <w:rPr>
      <w:rFonts w:asciiTheme="majorHAnsi" w:hAnsiTheme="majorHAnsi" w:eastAsiaTheme="majorEastAsia" w:cstheme="majorBidi"/>
      <w:color w:val="2F5496" w:themeColor="accent1" w:themeShade="BF"/>
      <w:sz w:val="40"/>
      <w:szCs w:val="40"/>
    </w:rPr>
  </w:style>
  <w:style w:type="character" w:customStyle="1" w:styleId="21">
    <w:name w:val="标题 3 字符"/>
    <w:basedOn w:val="16"/>
    <w:link w:val="4"/>
    <w:semiHidden/>
    <w:qFormat/>
    <w:uiPriority w:val="9"/>
    <w:rPr>
      <w:rFonts w:asciiTheme="majorHAnsi" w:hAnsiTheme="majorHAnsi" w:eastAsiaTheme="majorEastAsia" w:cstheme="majorBidi"/>
      <w:color w:val="2F5496" w:themeColor="accent1" w:themeShade="BF"/>
      <w:sz w:val="32"/>
      <w:szCs w:val="32"/>
    </w:rPr>
  </w:style>
  <w:style w:type="character" w:customStyle="1" w:styleId="22">
    <w:name w:val="标题 4 字符"/>
    <w:basedOn w:val="16"/>
    <w:link w:val="5"/>
    <w:semiHidden/>
    <w:qFormat/>
    <w:uiPriority w:val="9"/>
    <w:rPr>
      <w:rFonts w:cstheme="majorBidi"/>
      <w:color w:val="2F5496" w:themeColor="accent1" w:themeShade="BF"/>
      <w:sz w:val="28"/>
      <w:szCs w:val="28"/>
    </w:rPr>
  </w:style>
  <w:style w:type="character" w:customStyle="1" w:styleId="23">
    <w:name w:val="标题 5 字符"/>
    <w:basedOn w:val="16"/>
    <w:link w:val="6"/>
    <w:semiHidden/>
    <w:qFormat/>
    <w:uiPriority w:val="9"/>
    <w:rPr>
      <w:rFonts w:cstheme="majorBidi"/>
      <w:color w:val="2F5496" w:themeColor="accent1" w:themeShade="BF"/>
      <w:sz w:val="24"/>
      <w:szCs w:val="24"/>
    </w:rPr>
  </w:style>
  <w:style w:type="character" w:customStyle="1" w:styleId="24">
    <w:name w:val="标题 6 字符"/>
    <w:basedOn w:val="16"/>
    <w:link w:val="7"/>
    <w:semiHidden/>
    <w:qFormat/>
    <w:uiPriority w:val="9"/>
    <w:rPr>
      <w:rFonts w:cstheme="majorBidi"/>
      <w:b/>
      <w:bCs/>
      <w:color w:val="2F5496" w:themeColor="accent1" w:themeShade="BF"/>
    </w:rPr>
  </w:style>
  <w:style w:type="character" w:customStyle="1" w:styleId="25">
    <w:name w:val="标题 7 字符"/>
    <w:basedOn w:val="16"/>
    <w:link w:val="8"/>
    <w:semiHidden/>
    <w:qFormat/>
    <w:uiPriority w:val="9"/>
    <w:rPr>
      <w:rFonts w:cstheme="majorBidi"/>
      <w:b/>
      <w:bCs/>
      <w:color w:val="585858" w:themeColor="text1" w:themeTint="A6"/>
    </w:rPr>
  </w:style>
  <w:style w:type="character" w:customStyle="1" w:styleId="26">
    <w:name w:val="标题 8 字符"/>
    <w:basedOn w:val="16"/>
    <w:link w:val="9"/>
    <w:semiHidden/>
    <w:qFormat/>
    <w:uiPriority w:val="9"/>
    <w:rPr>
      <w:rFonts w:cstheme="majorBidi"/>
      <w:color w:val="585858" w:themeColor="text1" w:themeTint="A6"/>
    </w:rPr>
  </w:style>
  <w:style w:type="character" w:customStyle="1" w:styleId="27">
    <w:name w:val="标题 9 字符"/>
    <w:basedOn w:val="16"/>
    <w:link w:val="10"/>
    <w:semiHidden/>
    <w:qFormat/>
    <w:uiPriority w:val="9"/>
    <w:rPr>
      <w:rFonts w:eastAsiaTheme="majorEastAsia" w:cstheme="majorBidi"/>
      <w:color w:val="585858" w:themeColor="text1" w:themeTint="A6"/>
    </w:rPr>
  </w:style>
  <w:style w:type="character" w:customStyle="1" w:styleId="28">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9">
    <w:name w:val="副标题 字符"/>
    <w:basedOn w:val="16"/>
    <w:link w:val="13"/>
    <w:qFormat/>
    <w:uiPriority w:val="11"/>
    <w:rPr>
      <w:rFonts w:asciiTheme="majorHAnsi" w:hAnsiTheme="majorHAnsi" w:eastAsiaTheme="majorEastAsia" w:cstheme="majorBidi"/>
      <w:color w:val="585858" w:themeColor="text1" w:themeTint="A6"/>
      <w:spacing w:val="15"/>
      <w:sz w:val="28"/>
      <w:szCs w:val="28"/>
    </w:rPr>
  </w:style>
  <w:style w:type="paragraph" w:styleId="30">
    <w:name w:val="Quote"/>
    <w:basedOn w:val="1"/>
    <w:next w:val="1"/>
    <w:link w:val="31"/>
    <w:qFormat/>
    <w:uiPriority w:val="29"/>
    <w:pPr>
      <w:spacing w:before="160" w:after="160"/>
      <w:jc w:val="center"/>
    </w:pPr>
    <w:rPr>
      <w:i/>
      <w:iCs/>
      <w:color w:val="3F3F3F" w:themeColor="text1" w:themeTint="BF"/>
    </w:rPr>
  </w:style>
  <w:style w:type="character" w:customStyle="1" w:styleId="31">
    <w:name w:val="引用 字符"/>
    <w:basedOn w:val="16"/>
    <w:link w:val="30"/>
    <w:qFormat/>
    <w:uiPriority w:val="29"/>
    <w:rPr>
      <w:i/>
      <w:iCs/>
      <w:color w:val="3F3F3F" w:themeColor="text1" w:themeTint="BF"/>
    </w:rPr>
  </w:style>
  <w:style w:type="paragraph" w:styleId="32">
    <w:name w:val="List Paragraph"/>
    <w:basedOn w:val="1"/>
    <w:qFormat/>
    <w:uiPriority w:val="34"/>
    <w:pPr>
      <w:ind w:left="720"/>
      <w:contextualSpacing/>
    </w:pPr>
  </w:style>
  <w:style w:type="character" w:customStyle="1" w:styleId="33">
    <w:name w:val="明显强调1"/>
    <w:basedOn w:val="16"/>
    <w:qFormat/>
    <w:uiPriority w:val="21"/>
    <w:rPr>
      <w:i/>
      <w:iCs/>
      <w:color w:val="2F5496" w:themeColor="accent1" w:themeShade="BF"/>
    </w:rPr>
  </w:style>
  <w:style w:type="paragraph" w:styleId="34">
    <w:name w:val="Intense Quote"/>
    <w:basedOn w:val="1"/>
    <w:next w:val="1"/>
    <w:link w:val="35"/>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customStyle="1" w:styleId="35">
    <w:name w:val="明显引用 字符"/>
    <w:basedOn w:val="16"/>
    <w:link w:val="34"/>
    <w:qFormat/>
    <w:uiPriority w:val="30"/>
    <w:rPr>
      <w:i/>
      <w:iCs/>
      <w:color w:val="2F5496" w:themeColor="accent1" w:themeShade="BF"/>
    </w:rPr>
  </w:style>
  <w:style w:type="character" w:customStyle="1" w:styleId="36">
    <w:name w:val="明显参考1"/>
    <w:basedOn w:val="16"/>
    <w:qFormat/>
    <w:uiPriority w:val="32"/>
    <w:rPr>
      <w:b/>
      <w:bCs/>
      <w:smallCaps/>
      <w:color w:val="2F5496" w:themeColor="accent1" w:themeShade="BF"/>
      <w:spacing w:val="5"/>
    </w:rPr>
  </w:style>
  <w:style w:type="paragraph" w:customStyle="1" w:styleId="37">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8">
    <w:name w:val="xl65"/>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39">
    <w:name w:val="xl66"/>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pPr>
    <w:rPr>
      <w:rFonts w:ascii="Arial" w:hAnsi="Arial" w:eastAsia="宋体" w:cs="Arial"/>
      <w:color w:val="000000"/>
      <w:kern w:val="0"/>
      <w:sz w:val="18"/>
      <w:szCs w:val="18"/>
    </w:rPr>
  </w:style>
  <w:style w:type="paragraph" w:customStyle="1" w:styleId="40">
    <w:name w:val="xl67"/>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pPr>
    <w:rPr>
      <w:rFonts w:ascii="Arial" w:hAnsi="Arial" w:eastAsia="宋体" w:cs="Arial"/>
      <w:color w:val="000000"/>
      <w:kern w:val="0"/>
      <w:sz w:val="18"/>
      <w:szCs w:val="18"/>
    </w:rPr>
  </w:style>
  <w:style w:type="paragraph" w:customStyle="1" w:styleId="41">
    <w:name w:val="xl68"/>
    <w:basedOn w:val="1"/>
    <w:qFormat/>
    <w:uiPriority w:val="0"/>
    <w:pPr>
      <w:widowControl/>
      <w:pBdr>
        <w:top w:val="single" w:color="auto" w:sz="8" w:space="0"/>
        <w:left w:val="single" w:color="auto" w:sz="4" w:space="0"/>
        <w:bottom w:val="single" w:color="auto" w:sz="8" w:space="0"/>
        <w:right w:val="single" w:color="auto" w:sz="8" w:space="0"/>
      </w:pBdr>
      <w:spacing w:before="100" w:beforeAutospacing="1" w:after="100" w:afterAutospacing="1"/>
      <w:jc w:val="center"/>
    </w:pPr>
    <w:rPr>
      <w:rFonts w:ascii="Arial" w:hAnsi="Arial" w:eastAsia="宋体" w:cs="Arial"/>
      <w:color w:val="000000"/>
      <w:kern w:val="0"/>
      <w:sz w:val="18"/>
      <w:szCs w:val="18"/>
    </w:rPr>
  </w:style>
  <w:style w:type="paragraph" w:customStyle="1" w:styleId="42">
    <w:name w:val="xl69"/>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pPr>
    <w:rPr>
      <w:rFonts w:ascii="Arial" w:hAnsi="Arial" w:eastAsia="宋体" w:cs="Arial"/>
      <w:color w:val="000000"/>
      <w:kern w:val="0"/>
      <w:sz w:val="18"/>
      <w:szCs w:val="18"/>
    </w:rPr>
  </w:style>
  <w:style w:type="paragraph" w:customStyle="1" w:styleId="43">
    <w:name w:val="xl70"/>
    <w:basedOn w:val="1"/>
    <w:qFormat/>
    <w:uiPriority w:val="0"/>
    <w:pPr>
      <w:widowControl/>
      <w:spacing w:before="100" w:beforeAutospacing="1" w:after="100" w:afterAutospacing="1"/>
      <w:jc w:val="center"/>
    </w:pPr>
    <w:rPr>
      <w:rFonts w:ascii="宋体" w:hAnsi="宋体" w:eastAsia="宋体" w:cs="宋体"/>
      <w:kern w:val="0"/>
      <w:sz w:val="24"/>
      <w:szCs w:val="24"/>
    </w:rPr>
  </w:style>
  <w:style w:type="paragraph" w:customStyle="1" w:styleId="44">
    <w:name w:val="Revision"/>
    <w:hidden/>
    <w:unhideWhenUsed/>
    <w:qFormat/>
    <w:uiPriority w:val="99"/>
    <w:rPr>
      <w:rFonts w:asciiTheme="minorHAnsi" w:hAnsiTheme="minorHAnsi" w:eastAsiaTheme="minorEastAsia" w:cstheme="minorBidi"/>
      <w:kern w:val="2"/>
      <w:sz w:val="21"/>
      <w:szCs w:val="22"/>
      <w:lang w:val="en-US" w:eastAsia="zh-CN" w:bidi="ar-SA"/>
      <w14:ligatures w14:val="standardContextual"/>
    </w:rPr>
  </w:style>
  <w:style w:type="character" w:customStyle="1" w:styleId="45">
    <w:name w:val="页眉 字符"/>
    <w:basedOn w:val="16"/>
    <w:link w:val="12"/>
    <w:qFormat/>
    <w:uiPriority w:val="99"/>
    <w:rPr>
      <w:kern w:val="2"/>
      <w:sz w:val="18"/>
      <w:szCs w:val="18"/>
      <w14:ligatures w14:val="standardContextual"/>
    </w:rPr>
  </w:style>
  <w:style w:type="character" w:customStyle="1" w:styleId="46">
    <w:name w:val="页脚 字符"/>
    <w:basedOn w:val="16"/>
    <w:link w:val="11"/>
    <w:qFormat/>
    <w:uiPriority w:val="99"/>
    <w:rPr>
      <w:kern w:val="2"/>
      <w:sz w:val="18"/>
      <w:szCs w:val="18"/>
      <w14:ligatures w14:val="standardContextual"/>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173</Words>
  <Characters>1088</Characters>
  <Lines>49</Lines>
  <Paragraphs>14</Paragraphs>
  <TotalTime>86</TotalTime>
  <ScaleCrop>false</ScaleCrop>
  <LinksUpToDate>false</LinksUpToDate>
  <CharactersWithSpaces>1255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2026-07-15T08:16:00Z</dcterms:created>
  <dc:creator>婧含 刘</dc:creator>
  <cp:lastModifiedBy>Linna</cp:lastModifiedBy>
  <dcterms:modified xsi:type="dcterms:W3CDTF">2026-10-15T00:09:45Z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eyJoZGlkIjoiNWEwZjk2YWVkOGNlMTk3YWY2MDQ2OGM2ZGRmNzMwMWYiLCJ1c2VySWQiOiIxNjIyNTA5NjUxIn0=</vt:lpwstr>
  </property>
  <property fmtid="{D5CDD505-2E9C-101B-9397-08002B2CF9AE}" pid="3" name="KSOProductBuildVer">
    <vt:lpwstr>2052-12.1.0.28505</vt:lpwstr>
  </property>
  <property fmtid="{D5CDD505-2E9C-101B-9397-08002B2CF9AE}" pid="4" name="ICV">
    <vt:lpwstr>A87F9751A50E435EA634CE76E5E10473_12</vt:lpwstr>
  </property>
</Properties>
</file>