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6B655C">
      <w:pPr>
        <w:spacing w:before="156" w:beforeLines="50" w:after="156" w:afterLines="50"/>
        <w:rPr>
          <w:rFonts w:ascii="Times New Roman" w:hAnsi="Times New Roman" w:eastAsia="楷体" w:cs="Times New Roman"/>
          <w:b/>
          <w:bCs/>
          <w:sz w:val="24"/>
          <w:szCs w:val="24"/>
        </w:rPr>
      </w:pPr>
      <w:r>
        <w:rPr>
          <w:rFonts w:hint="eastAsia" w:ascii="Times New Roman" w:hAnsi="Times New Roman" w:eastAsia="楷体" w:cs="Times New Roman"/>
          <w:b/>
          <w:bCs/>
          <w:sz w:val="24"/>
          <w:szCs w:val="24"/>
        </w:rPr>
        <w:t>Identification of Intronic GT/AG Gain Variants Affecting Splicing in an EMS-Mutagenized Maize Population</w:t>
      </w:r>
    </w:p>
    <w:p w14:paraId="20D1BFAF">
      <w:pPr>
        <w:spacing w:before="156" w:beforeLines="50" w:after="156" w:afterLines="50"/>
        <w:rPr>
          <w:rFonts w:ascii="Times New Roman" w:hAnsi="Times New Roman" w:cs="Times New Roman"/>
        </w:rPr>
      </w:pPr>
      <w:r>
        <w:rPr>
          <w:rFonts w:hint="eastAsia" w:ascii="Times New Roman" w:hAnsi="Times New Roman" w:cs="Times New Roman"/>
        </w:rPr>
        <w:t xml:space="preserve">Bao </w:t>
      </w:r>
      <w:r>
        <w:rPr>
          <w:rFonts w:ascii="Times New Roman" w:hAnsi="Times New Roman" w:cs="Times New Roman"/>
        </w:rPr>
        <w:t>Yu</w:t>
      </w:r>
      <w:r>
        <w:rPr>
          <w:rFonts w:hint="eastAsia" w:ascii="Times New Roman" w:hAnsi="Times New Roman" w:cs="Times New Roman"/>
          <w:vertAlign w:val="superscript"/>
        </w:rPr>
        <w:t>1#</w:t>
      </w:r>
      <w:r>
        <w:rPr>
          <w:rFonts w:ascii="Times New Roman" w:hAnsi="Times New Roman" w:cs="Times New Roman"/>
        </w:rPr>
        <w:t xml:space="preserve">, </w:t>
      </w:r>
      <w:r>
        <w:rPr>
          <w:rFonts w:hint="eastAsia" w:ascii="Times New Roman" w:hAnsi="Times New Roman" w:cs="Times New Roman"/>
        </w:rPr>
        <w:t xml:space="preserve">Xia </w:t>
      </w:r>
      <w:r>
        <w:rPr>
          <w:rFonts w:ascii="Times New Roman" w:hAnsi="Times New Roman" w:cs="Times New Roman"/>
        </w:rPr>
        <w:t>Fan</w:t>
      </w:r>
      <w:r>
        <w:rPr>
          <w:rFonts w:hint="eastAsia" w:ascii="Times New Roman" w:hAnsi="Times New Roman" w:cs="Times New Roman"/>
          <w:vertAlign w:val="superscript"/>
        </w:rPr>
        <w:t>2#</w:t>
      </w:r>
      <w:r>
        <w:rPr>
          <w:rFonts w:ascii="Times New Roman" w:hAnsi="Times New Roman" w:cs="Times New Roman"/>
        </w:rPr>
        <w:t xml:space="preserve">, </w:t>
      </w:r>
      <w:r>
        <w:rPr>
          <w:rFonts w:hint="eastAsia" w:ascii="Times New Roman" w:hAnsi="Times New Roman" w:cs="Times New Roman"/>
        </w:rPr>
        <w:t xml:space="preserve">Qin </w:t>
      </w:r>
      <w:r>
        <w:rPr>
          <w:rFonts w:ascii="Times New Roman" w:hAnsi="Times New Roman" w:cs="Times New Roman"/>
        </w:rPr>
        <w:t>Li</w:t>
      </w:r>
      <w:r>
        <w:rPr>
          <w:rFonts w:hint="eastAsia" w:ascii="Times New Roman" w:hAnsi="Times New Roman" w:cs="Times New Roman"/>
          <w:vertAlign w:val="superscript"/>
        </w:rPr>
        <w:t>1#</w:t>
      </w:r>
      <w:r>
        <w:rPr>
          <w:rFonts w:ascii="Times New Roman" w:hAnsi="Times New Roman" w:cs="Times New Roman"/>
        </w:rPr>
        <w:t xml:space="preserve">, </w:t>
      </w:r>
      <w:r>
        <w:rPr>
          <w:rFonts w:hint="eastAsia" w:ascii="Times New Roman" w:hAnsi="Times New Roman" w:cs="Times New Roman"/>
        </w:rPr>
        <w:t xml:space="preserve">Xie </w:t>
      </w:r>
      <w:r>
        <w:rPr>
          <w:rFonts w:ascii="Times New Roman" w:hAnsi="Times New Roman" w:cs="Times New Roman"/>
        </w:rPr>
        <w:t>Fugui</w:t>
      </w:r>
      <w:r>
        <w:rPr>
          <w:rFonts w:hint="eastAsia" w:ascii="Times New Roman" w:hAnsi="Times New Roman" w:cs="Times New Roman"/>
          <w:vertAlign w:val="superscript"/>
        </w:rPr>
        <w:t>1</w:t>
      </w:r>
      <w:r>
        <w:rPr>
          <w:rFonts w:ascii="Times New Roman" w:hAnsi="Times New Roman" w:cs="Times New Roman"/>
        </w:rPr>
        <w:t xml:space="preserve">, </w:t>
      </w:r>
      <w:r>
        <w:rPr>
          <w:rFonts w:hint="eastAsia" w:ascii="Times New Roman" w:hAnsi="Times New Roman" w:cs="Times New Roman"/>
        </w:rPr>
        <w:t xml:space="preserve">Guo </w:t>
      </w:r>
      <w:r>
        <w:rPr>
          <w:rFonts w:ascii="Times New Roman" w:hAnsi="Times New Roman" w:cs="Times New Roman"/>
        </w:rPr>
        <w:t>Xiaolong</w:t>
      </w:r>
      <w:r>
        <w:rPr>
          <w:rFonts w:hint="eastAsia" w:ascii="Times New Roman" w:hAnsi="Times New Roman" w:cs="Times New Roman"/>
          <w:vertAlign w:val="superscript"/>
        </w:rPr>
        <w:t>1</w:t>
      </w:r>
      <w:r>
        <w:rPr>
          <w:rFonts w:ascii="Times New Roman" w:hAnsi="Times New Roman" w:cs="Times New Roman"/>
        </w:rPr>
        <w:t>,</w:t>
      </w:r>
      <w:r>
        <w:rPr>
          <w:rFonts w:hint="eastAsia" w:ascii="Times New Roman" w:hAnsi="Times New Roman" w:cs="Times New Roman"/>
          <w:highlight w:val="none"/>
          <w:lang w:val="en-US" w:eastAsia="zh-CN"/>
        </w:rPr>
        <w:t xml:space="preserve"> Yin Can</w:t>
      </w:r>
      <w:r>
        <w:rPr>
          <w:rFonts w:hint="eastAsia" w:ascii="Times New Roman" w:hAnsi="Times New Roman" w:cs="Times New Roman"/>
          <w:highlight w:val="none"/>
          <w:vertAlign w:val="superscript"/>
          <w:lang w:val="en-US" w:eastAsia="zh-CN"/>
        </w:rPr>
        <w:t>2</w:t>
      </w:r>
      <w:r>
        <w:rPr>
          <w:rFonts w:ascii="Times New Roman" w:hAnsi="Times New Roman" w:cs="Times New Roman"/>
        </w:rPr>
        <w:t xml:space="preserve"> </w:t>
      </w:r>
      <w:r>
        <w:rPr>
          <w:rFonts w:hint="eastAsia" w:ascii="Times New Roman" w:hAnsi="Times New Roman" w:cs="Times New Roman"/>
        </w:rPr>
        <w:t xml:space="preserve">Wang </w:t>
      </w:r>
      <w:r>
        <w:rPr>
          <w:rFonts w:ascii="Times New Roman" w:hAnsi="Times New Roman" w:cs="Times New Roman"/>
        </w:rPr>
        <w:t>Xiangfeng</w:t>
      </w:r>
      <w:r>
        <w:rPr>
          <w:rFonts w:hint="eastAsia" w:ascii="Times New Roman" w:hAnsi="Times New Roman" w:cs="Times New Roman"/>
          <w:vertAlign w:val="superscript"/>
        </w:rPr>
        <w:t>2</w:t>
      </w:r>
      <w:r>
        <w:rPr>
          <w:rFonts w:ascii="Times New Roman" w:hAnsi="Times New Roman" w:cs="Times New Roman"/>
        </w:rPr>
        <w:t xml:space="preserve">, </w:t>
      </w:r>
      <w:r>
        <w:rPr>
          <w:rFonts w:hint="eastAsia" w:ascii="Times New Roman" w:hAnsi="Times New Roman" w:cs="Times New Roman"/>
        </w:rPr>
        <w:t xml:space="preserve">Lu </w:t>
      </w:r>
      <w:r>
        <w:rPr>
          <w:rFonts w:ascii="Times New Roman" w:hAnsi="Times New Roman" w:cs="Times New Roman"/>
        </w:rPr>
        <w:t>Xiaoduo</w:t>
      </w:r>
      <w:r>
        <w:rPr>
          <w:rFonts w:hint="eastAsia" w:ascii="Times New Roman" w:hAnsi="Times New Roman" w:cs="Times New Roman"/>
          <w:vertAlign w:val="superscript"/>
        </w:rPr>
        <w:t>1</w:t>
      </w:r>
    </w:p>
    <w:p w14:paraId="0561B1A5">
      <w:pPr>
        <w:spacing w:before="156" w:beforeLines="50" w:after="156" w:afterLines="50"/>
        <w:jc w:val="left"/>
        <w:rPr>
          <w:rFonts w:ascii="Times New Roman" w:hAnsi="Times New Roman" w:eastAsia="宋体" w:cs="Times New Roman"/>
          <w:bCs/>
          <w:szCs w:val="21"/>
        </w:rPr>
      </w:pPr>
      <w:r>
        <w:rPr>
          <w:rFonts w:ascii="Times New Roman" w:hAnsi="Times New Roman" w:eastAsia="宋体" w:cs="Times New Roman"/>
          <w:bCs/>
          <w:szCs w:val="21"/>
          <w:vertAlign w:val="superscript"/>
        </w:rPr>
        <w:t>1</w:t>
      </w:r>
      <w:r>
        <w:rPr>
          <w:rFonts w:hint="eastAsia" w:ascii="Times New Roman" w:hAnsi="Times New Roman" w:eastAsia="宋体" w:cs="Times New Roman"/>
          <w:bCs/>
          <w:szCs w:val="21"/>
          <w:vertAlign w:val="superscript"/>
        </w:rPr>
        <w:t xml:space="preserve"> </w:t>
      </w:r>
      <w:r>
        <w:rPr>
          <w:rFonts w:ascii="Times New Roman" w:hAnsi="Times New Roman" w:eastAsia="宋体" w:cs="Times New Roman"/>
          <w:bCs/>
          <w:szCs w:val="21"/>
        </w:rPr>
        <w:t xml:space="preserve">Institute of Molecular Breeding for Maize, Qilu Normal University, </w:t>
      </w:r>
      <w:r>
        <w:rPr>
          <w:rFonts w:hint="eastAsia" w:ascii="Times New Roman" w:hAnsi="Times New Roman" w:eastAsia="宋体" w:cs="Times New Roman"/>
          <w:bCs/>
          <w:szCs w:val="21"/>
        </w:rPr>
        <w:t>Jinan 250</w:t>
      </w:r>
      <w:r>
        <w:rPr>
          <w:rFonts w:ascii="Times New Roman" w:hAnsi="Times New Roman" w:eastAsia="宋体" w:cs="Times New Roman"/>
          <w:bCs/>
          <w:szCs w:val="21"/>
        </w:rPr>
        <w:t>200,</w:t>
      </w:r>
      <w:r>
        <w:rPr>
          <w:rFonts w:hint="eastAsia" w:ascii="Times New Roman" w:hAnsi="Times New Roman" w:eastAsia="宋体" w:cs="Times New Roman"/>
          <w:bCs/>
          <w:szCs w:val="21"/>
        </w:rPr>
        <w:t xml:space="preserve"> China</w:t>
      </w:r>
    </w:p>
    <w:p w14:paraId="62BECA1A">
      <w:pPr>
        <w:spacing w:before="156" w:beforeLines="50" w:after="156" w:afterLines="50"/>
        <w:rPr>
          <w:rFonts w:hint="eastAsia"/>
        </w:rPr>
      </w:pPr>
      <w:r>
        <w:rPr>
          <w:rFonts w:hint="eastAsia" w:ascii="Times New Roman" w:hAnsi="Times New Roman" w:eastAsia="宋体" w:cs="Times New Roman"/>
          <w:bCs/>
          <w:szCs w:val="21"/>
          <w:vertAlign w:val="superscript"/>
        </w:rPr>
        <w:t xml:space="preserve">2 </w:t>
      </w:r>
      <w:bookmarkStart w:id="0" w:name="OLE_LINK6"/>
      <w:r>
        <w:rPr>
          <w:rFonts w:ascii="Times New Roman" w:hAnsi="Times New Roman" w:cs="Times New Roman"/>
          <w:szCs w:val="21"/>
        </w:rPr>
        <w:t>State Key Laboratory of Maize Bio-breeding</w:t>
      </w:r>
      <w:r>
        <w:rPr>
          <w:rFonts w:hint="eastAsia" w:ascii="Times New Roman" w:hAnsi="Times New Roman" w:cs="Times New Roman"/>
          <w:szCs w:val="21"/>
        </w:rPr>
        <w:t xml:space="preserve"> /</w:t>
      </w:r>
      <w:r>
        <w:rPr>
          <w:rFonts w:ascii="Times New Roman" w:hAnsi="Times New Roman" w:cs="Times New Roman"/>
          <w:szCs w:val="21"/>
        </w:rPr>
        <w:t xml:space="preserve"> Frontiers Science Center for Molecular Design Breeding</w:t>
      </w:r>
      <w:r>
        <w:rPr>
          <w:rFonts w:hint="eastAsia" w:ascii="Times New Roman" w:hAnsi="Times New Roman" w:eastAsia="宋体" w:cs="Times New Roman"/>
          <w:bCs/>
          <w:szCs w:val="21"/>
        </w:rPr>
        <w:t>, China Agricultural University,</w:t>
      </w:r>
      <w:r>
        <w:rPr>
          <w:rFonts w:ascii="Times New Roman" w:hAnsi="Times New Roman" w:eastAsia="宋体" w:cs="Times New Roman"/>
          <w:bCs/>
          <w:szCs w:val="21"/>
        </w:rPr>
        <w:t xml:space="preserve"> </w:t>
      </w:r>
      <w:r>
        <w:rPr>
          <w:rFonts w:hint="eastAsia" w:ascii="Times New Roman" w:hAnsi="Times New Roman" w:eastAsia="宋体" w:cs="Times New Roman"/>
          <w:bCs/>
          <w:szCs w:val="21"/>
        </w:rPr>
        <w:t>Beijing 100094, China</w:t>
      </w:r>
      <w:bookmarkEnd w:id="0"/>
    </w:p>
    <w:p w14:paraId="4841DBA4">
      <w:pPr>
        <w:spacing w:before="156" w:beforeLines="50" w:after="156" w:afterLines="50"/>
        <w:jc w:val="left"/>
        <w:rPr>
          <w:rFonts w:ascii="Times New Roman" w:hAnsi="Times New Roman" w:eastAsia="宋体" w:cs="Times New Roman"/>
          <w:bCs/>
          <w:szCs w:val="21"/>
        </w:rPr>
      </w:pPr>
      <w:r>
        <w:rPr>
          <w:rFonts w:hint="eastAsia" w:ascii="Times New Roman" w:hAnsi="Times New Roman" w:eastAsia="宋体" w:cs="Times New Roman"/>
          <w:bCs/>
          <w:szCs w:val="21"/>
          <w:vertAlign w:val="superscript"/>
          <w:lang w:bidi="ar"/>
        </w:rPr>
        <w:t>#</w:t>
      </w:r>
      <w:r>
        <w:rPr>
          <w:rFonts w:ascii="Times New Roman" w:hAnsi="Times New Roman" w:eastAsia="宋体" w:cs="Times New Roman"/>
          <w:bCs/>
          <w:szCs w:val="21"/>
          <w:vertAlign w:val="superscript"/>
        </w:rPr>
        <w:t xml:space="preserve"> </w:t>
      </w:r>
      <w:r>
        <w:rPr>
          <w:rFonts w:ascii="Times New Roman" w:hAnsi="Times New Roman" w:eastAsia="宋体" w:cs="Times New Roman"/>
          <w:bCs/>
          <w:szCs w:val="21"/>
        </w:rPr>
        <w:t>These authors contributed equally to this article.</w:t>
      </w:r>
    </w:p>
    <w:p w14:paraId="6331DFFD">
      <w:pPr>
        <w:spacing w:before="156" w:beforeLines="50" w:after="156" w:afterLines="50"/>
        <w:jc w:val="left"/>
        <w:rPr>
          <w:rFonts w:ascii="Times New Roman" w:hAnsi="Times New Roman" w:eastAsia="宋体" w:cs="Times New Roman"/>
          <w:bCs/>
          <w:szCs w:val="21"/>
        </w:rPr>
      </w:pPr>
      <w:r>
        <w:rPr>
          <w:rFonts w:ascii="Times New Roman" w:hAnsi="Times New Roman"/>
        </w:rPr>
        <w:t>Corresponding author.</w:t>
      </w:r>
      <w:r>
        <w:rPr>
          <w:rFonts w:hint="eastAsia" w:ascii="Times New Roman" w:hAnsi="Times New Roman"/>
          <w:i/>
          <w:iCs/>
        </w:rPr>
        <w:t xml:space="preserve"> </w:t>
      </w:r>
      <w:r>
        <w:rPr>
          <w:rFonts w:ascii="Times New Roman" w:hAnsi="Times New Roman"/>
          <w:i w:val="0"/>
          <w:iCs w:val="0"/>
        </w:rPr>
        <w:t>Lu Xiaoduo</w:t>
      </w:r>
      <w:r>
        <w:rPr>
          <w:rFonts w:ascii="Times New Roman" w:hAnsi="Times New Roman" w:eastAsia="宋体" w:cs="Times New Roman"/>
          <w:bCs/>
          <w:szCs w:val="21"/>
        </w:rPr>
        <w:t xml:space="preserve"> </w:t>
      </w:r>
      <w:r>
        <w:rPr>
          <w:rFonts w:hint="eastAsia" w:ascii="Times New Roman" w:hAnsi="Times New Roman" w:eastAsia="宋体" w:cs="Times New Roman"/>
          <w:bCs/>
          <w:szCs w:val="21"/>
        </w:rPr>
        <w:t>(</w:t>
      </w:r>
      <w:r>
        <w:fldChar w:fldCharType="begin"/>
      </w:r>
      <w:r>
        <w:instrText xml:space="preserve"> HYPERLINK "mailto:lu.xiaoduo@163.com" </w:instrText>
      </w:r>
      <w:r>
        <w:fldChar w:fldCharType="separate"/>
      </w:r>
      <w:r>
        <w:rPr>
          <w:rStyle w:val="15"/>
          <w:rFonts w:ascii="Times New Roman" w:hAnsi="Times New Roman" w:eastAsia="宋体" w:cs="Times New Roman"/>
          <w:bCs/>
          <w:szCs w:val="21"/>
        </w:rPr>
        <w:t>lu.xiaoduo@163.com</w:t>
      </w:r>
      <w:r>
        <w:rPr>
          <w:rStyle w:val="15"/>
          <w:rFonts w:ascii="Times New Roman" w:hAnsi="Times New Roman" w:eastAsia="宋体" w:cs="Times New Roman"/>
          <w:bCs/>
          <w:szCs w:val="21"/>
        </w:rPr>
        <w:fldChar w:fldCharType="end"/>
      </w:r>
      <w:r>
        <w:rPr>
          <w:rStyle w:val="15"/>
          <w:rFonts w:hint="eastAsia" w:ascii="Times New Roman" w:hAnsi="Times New Roman" w:eastAsia="宋体" w:cs="Times New Roman"/>
          <w:bCs/>
          <w:szCs w:val="21"/>
        </w:rPr>
        <w:t>)</w:t>
      </w:r>
      <w:r>
        <w:rPr>
          <w:rFonts w:hint="eastAsia" w:ascii="Times New Roman" w:hAnsi="Times New Roman" w:eastAsia="宋体" w:cs="Times New Roman"/>
          <w:bCs/>
          <w:szCs w:val="21"/>
        </w:rPr>
        <w:t>; Wang Xiangfeng (</w:t>
      </w:r>
      <w:r>
        <w:fldChar w:fldCharType="begin"/>
      </w:r>
      <w:r>
        <w:instrText xml:space="preserve"> HYPERLINK "mailto:xwang@cau.edu.cn" </w:instrText>
      </w:r>
      <w:r>
        <w:fldChar w:fldCharType="separate"/>
      </w:r>
      <w:r>
        <w:rPr>
          <w:rStyle w:val="15"/>
          <w:rFonts w:hint="eastAsia" w:ascii="Times New Roman" w:hAnsi="Times New Roman" w:eastAsia="宋体" w:cs="Times New Roman"/>
          <w:bCs/>
          <w:szCs w:val="21"/>
        </w:rPr>
        <w:t>xwang@cau.edu.cn</w:t>
      </w:r>
      <w:r>
        <w:rPr>
          <w:rStyle w:val="15"/>
          <w:rFonts w:hint="eastAsia" w:ascii="Times New Roman" w:hAnsi="Times New Roman" w:eastAsia="宋体" w:cs="Times New Roman"/>
          <w:bCs/>
          <w:szCs w:val="21"/>
        </w:rPr>
        <w:fldChar w:fldCharType="end"/>
      </w:r>
      <w:r>
        <w:rPr>
          <w:rStyle w:val="15"/>
          <w:rFonts w:hint="eastAsia" w:ascii="Times New Roman" w:hAnsi="Times New Roman" w:eastAsia="宋体" w:cs="Times New Roman"/>
          <w:bCs/>
          <w:szCs w:val="21"/>
        </w:rPr>
        <w:t>)</w:t>
      </w:r>
      <w:r>
        <w:rPr>
          <w:rFonts w:hint="eastAsia" w:ascii="Times New Roman" w:hAnsi="Times New Roman" w:eastAsia="宋体" w:cs="Times New Roman"/>
          <w:bCs/>
          <w:szCs w:val="21"/>
        </w:rPr>
        <w:t xml:space="preserve"> </w:t>
      </w:r>
    </w:p>
    <w:p w14:paraId="50ABDACD">
      <w:pPr>
        <w:rPr>
          <w:rFonts w:hint="eastAsia"/>
        </w:rPr>
      </w:pPr>
      <w:bookmarkStart w:id="1" w:name="_GoBack"/>
      <w:bookmarkEnd w:id="1"/>
      <w:r>
        <w:rPr>
          <w:rFonts w:hint="eastAsia"/>
        </w:rPr>
        <w:br w:type="page"/>
      </w:r>
    </w:p>
    <w:p w14:paraId="61417DD9">
      <w:r>
        <w:drawing>
          <wp:inline distT="0" distB="0" distL="0" distR="0">
            <wp:extent cx="5274310" cy="2713990"/>
            <wp:effectExtent l="0" t="0" r="2540" b="0"/>
            <wp:docPr id="181448674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86748" name="图片 3"/>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74310" cy="2713990"/>
                    </a:xfrm>
                    <a:prstGeom prst="rect">
                      <a:avLst/>
                    </a:prstGeom>
                  </pic:spPr>
                </pic:pic>
              </a:graphicData>
            </a:graphic>
          </wp:inline>
        </w:drawing>
      </w:r>
    </w:p>
    <w:p w14:paraId="3954714D">
      <w:pPr>
        <w:rPr>
          <w:rFonts w:ascii="Times New Roman" w:hAnsi="Times New Roman" w:cs="Times New Roman"/>
        </w:rPr>
      </w:pPr>
      <w:r>
        <w:rPr>
          <w:rFonts w:ascii="Times New Roman" w:hAnsi="Times New Roman" w:cs="Times New Roman"/>
          <w:b/>
          <w:bCs/>
        </w:rPr>
        <w:t>Fig</w:t>
      </w:r>
      <w:r>
        <w:rPr>
          <w:rFonts w:hint="eastAsia" w:ascii="Times New Roman" w:hAnsi="Times New Roman" w:cs="Times New Roman"/>
          <w:b/>
          <w:bCs/>
          <w:lang w:val="en-US" w:eastAsia="zh-CN"/>
        </w:rPr>
        <w:t>.</w:t>
      </w:r>
      <w:r>
        <w:rPr>
          <w:rFonts w:ascii="Times New Roman" w:hAnsi="Times New Roman" w:cs="Times New Roman"/>
          <w:b/>
          <w:bCs/>
        </w:rPr>
        <w:t xml:space="preserve"> S</w:t>
      </w:r>
      <w:r>
        <w:rPr>
          <w:rFonts w:hint="eastAsia" w:ascii="Times New Roman" w:hAnsi="Times New Roman" w:cs="Times New Roman"/>
          <w:b/>
          <w:bCs/>
        </w:rPr>
        <w:t>1</w:t>
      </w:r>
      <w:r>
        <w:rPr>
          <w:rFonts w:ascii="Times New Roman" w:hAnsi="Times New Roman" w:cs="Times New Roman"/>
          <w:b/>
          <w:bCs/>
        </w:rPr>
        <w:t>. Cross-model consistency analysis of PlantCaduceus predictions.</w:t>
      </w:r>
    </w:p>
    <w:p w14:paraId="778B5B01">
      <w:pPr>
        <w:rPr>
          <w:rFonts w:ascii="Times New Roman" w:hAnsi="Times New Roman" w:cs="Times New Roman"/>
        </w:rPr>
      </w:pPr>
      <w:r>
        <w:rPr>
          <w:rFonts w:ascii="Times New Roman" w:hAnsi="Times New Roman" w:cs="Times New Roman"/>
          <w:b/>
          <w:bCs/>
        </w:rPr>
        <w:t>(A)</w:t>
      </w:r>
      <w:r>
        <w:rPr>
          <w:rFonts w:ascii="Times New Roman" w:hAnsi="Times New Roman" w:cs="Times New Roman"/>
        </w:rPr>
        <w:t> Pairwise scatter plots and histograms showing the distribution of zero-shot scores across the four PlantCaduceus models (l20, l24, l28, l32). Pearson correlation coefficients range from 0.82 to 0.92, indicating high consistency among models in evaluating variant deleteriousness potential, supporting the use of averaging for initial filtering.</w:t>
      </w:r>
    </w:p>
    <w:p w14:paraId="382F32DE">
      <w:pPr>
        <w:rPr>
          <w:rFonts w:ascii="Times New Roman" w:hAnsi="Times New Roman" w:cs="Times New Roman"/>
        </w:rPr>
      </w:pPr>
      <w:r>
        <w:rPr>
          <w:rFonts w:ascii="Times New Roman" w:hAnsi="Times New Roman" w:cs="Times New Roman"/>
          <w:b/>
          <w:bCs/>
        </w:rPr>
        <w:t>(B)</w:t>
      </w:r>
      <w:r>
        <w:rPr>
          <w:rFonts w:ascii="Times New Roman" w:hAnsi="Times New Roman" w:cs="Times New Roman"/>
        </w:rPr>
        <w:t> Pairwise scatter plots and histograms showing the distribution of ΔSplice probability across the four models. Pearson correlation coefficients range from 0.5</w:t>
      </w:r>
      <w:r>
        <w:rPr>
          <w:rFonts w:hint="eastAsia" w:ascii="Times New Roman" w:hAnsi="Times New Roman" w:cs="Times New Roman"/>
        </w:rPr>
        <w:t>2</w:t>
      </w:r>
      <w:r>
        <w:rPr>
          <w:rFonts w:ascii="Times New Roman" w:hAnsi="Times New Roman" w:cs="Times New Roman"/>
        </w:rPr>
        <w:t xml:space="preserve"> to 0.60, indicating moderate agreement and notable variability among models, suggesting that ensemble averaging is a prudent approach to reduce model-specific variability.</w:t>
      </w:r>
    </w:p>
    <w:p w14:paraId="1D67919B">
      <w:pPr>
        <w:rPr>
          <w:rFonts w:ascii="Times New Roman" w:hAnsi="Times New Roman" w:cs="Times New Roman"/>
        </w:rPr>
      </w:pPr>
    </w:p>
    <w:p w14:paraId="7F3B8BB3"/>
    <w:p w14:paraId="7266B15E">
      <w:pPr>
        <w:rPr>
          <w:rFonts w:hint="eastAsia"/>
        </w:rPr>
      </w:pPr>
      <w:r>
        <w:rPr>
          <w:rFonts w:hint="eastAsia"/>
        </w:rPr>
        <w:br w:type="page"/>
      </w:r>
    </w:p>
    <w:p w14:paraId="1BE83B86">
      <w:r>
        <w:drawing>
          <wp:inline distT="0" distB="0" distL="0" distR="0">
            <wp:extent cx="5274310" cy="2543810"/>
            <wp:effectExtent l="0" t="0" r="2540" b="8890"/>
            <wp:docPr id="196478580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85802" name="图片 4"/>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74310" cy="2543810"/>
                    </a:xfrm>
                    <a:prstGeom prst="rect">
                      <a:avLst/>
                    </a:prstGeom>
                  </pic:spPr>
                </pic:pic>
              </a:graphicData>
            </a:graphic>
          </wp:inline>
        </w:drawing>
      </w:r>
    </w:p>
    <w:p w14:paraId="3DE98F73">
      <w:pPr>
        <w:rPr>
          <w:rFonts w:ascii="Times New Roman" w:hAnsi="Times New Roman" w:cs="Times New Roman"/>
        </w:rPr>
      </w:pPr>
      <w:r>
        <w:rPr>
          <w:rFonts w:ascii="Times New Roman" w:hAnsi="Times New Roman" w:cs="Times New Roman"/>
          <w:b/>
          <w:bCs/>
        </w:rPr>
        <w:t>Fig</w:t>
      </w:r>
      <w:r>
        <w:rPr>
          <w:rFonts w:hint="eastAsia" w:ascii="Times New Roman" w:hAnsi="Times New Roman" w:cs="Times New Roman"/>
          <w:b/>
          <w:bCs/>
          <w:lang w:val="en-US" w:eastAsia="zh-CN"/>
        </w:rPr>
        <w:t>.</w:t>
      </w:r>
      <w:r>
        <w:rPr>
          <w:rFonts w:ascii="Times New Roman" w:hAnsi="Times New Roman" w:cs="Times New Roman"/>
          <w:b/>
          <w:bCs/>
        </w:rPr>
        <w:t xml:space="preserve"> S</w:t>
      </w:r>
      <w:r>
        <w:rPr>
          <w:rFonts w:hint="eastAsia" w:ascii="Times New Roman" w:hAnsi="Times New Roman" w:cs="Times New Roman"/>
          <w:b/>
          <w:bCs/>
        </w:rPr>
        <w:t>2</w:t>
      </w:r>
      <w:r>
        <w:rPr>
          <w:rFonts w:ascii="Times New Roman" w:hAnsi="Times New Roman" w:cs="Times New Roman"/>
          <w:b/>
          <w:bCs/>
        </w:rPr>
        <w:t>. Distance-grouped comparison of ΔSplice probability for AG and GT gain variants.</w:t>
      </w:r>
    </w:p>
    <w:p w14:paraId="4430F86F">
      <w:pPr>
        <w:rPr>
          <w:rFonts w:ascii="Times New Roman" w:hAnsi="Times New Roman" w:cs="Times New Roman"/>
        </w:rPr>
      </w:pPr>
      <w:r>
        <w:rPr>
          <w:rFonts w:ascii="Times New Roman" w:hAnsi="Times New Roman" w:cs="Times New Roman"/>
          <w:b/>
          <w:bCs/>
        </w:rPr>
        <w:t>(A)</w:t>
      </w:r>
      <w:r>
        <w:rPr>
          <w:rFonts w:ascii="Times New Roman" w:hAnsi="Times New Roman" w:cs="Times New Roman"/>
        </w:rPr>
        <w:t> Boxplot showing ΔSplice probability of AG gain variants grouped by distance from the canonical AG (≤50 bp and &gt;50 bp). Statistical significance was assessed using Mann-Whitney U test.</w:t>
      </w:r>
    </w:p>
    <w:p w14:paraId="25B78302">
      <w:pPr>
        <w:rPr>
          <w:rFonts w:ascii="Times New Roman" w:hAnsi="Times New Roman" w:cs="Times New Roman"/>
        </w:rPr>
      </w:pPr>
      <w:r>
        <w:rPr>
          <w:rFonts w:ascii="Times New Roman" w:hAnsi="Times New Roman" w:cs="Times New Roman"/>
          <w:b/>
          <w:bCs/>
        </w:rPr>
        <w:t>(B)</w:t>
      </w:r>
      <w:r>
        <w:rPr>
          <w:rFonts w:ascii="Times New Roman" w:hAnsi="Times New Roman" w:cs="Times New Roman"/>
        </w:rPr>
        <w:t xml:space="preserve"> Boxplot showing ΔSplice probability of GT gain variants grouped by distance from the canonical GT (&lt;10 bp, 10–1000 bp, and &gt;1000 bp). Statistical significance was assessed using Mann-Whitney U test with Bonferroni correction. </w:t>
      </w:r>
    </w:p>
    <w:p w14:paraId="0A9E01D9">
      <w:pPr>
        <w:rPr>
          <w:rFonts w:hint="eastAsia"/>
        </w:rPr>
      </w:pPr>
    </w:p>
    <w:p w14:paraId="660E80F3">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楷体">
    <w:altName w:val="汉仪楷体KW"/>
    <w:panose1 w:val="02010609060101010101"/>
    <w:charset w:val="86"/>
    <w:family w:val="modern"/>
    <w:pitch w:val="default"/>
    <w:sig w:usb0="00000000" w:usb1="00000000" w:usb2="00000016" w:usb3="00000000" w:csb0="00040001" w:csb1="00000000"/>
  </w:font>
  <w:font w:name="汉仪中等线KW">
    <w:panose1 w:val="01010104010101010101"/>
    <w:charset w:val="86"/>
    <w:family w:val="auto"/>
    <w:pitch w:val="default"/>
    <w:sig w:usb0="800002BF" w:usb1="004F7CFA" w:usb2="00000000" w:usb3="00000000" w:csb0="00040001" w:csb1="00000000"/>
  </w:font>
  <w:font w:name="汉仪楷体KW">
    <w:panose1 w:val="00020600040101010101"/>
    <w:charset w:val="86"/>
    <w:family w:val="auto"/>
    <w:pitch w:val="default"/>
    <w:sig w:usb0="A00002BF" w:usb1="18EF7CFA" w:usb2="00000016" w:usb3="00000000" w:csb0="00040000" w:csb1="00000000"/>
  </w:font>
  <w:font w:name="汉仪书宋二KW">
    <w:panose1 w:val="00020600040101010101"/>
    <w:charset w:val="86"/>
    <w:family w:val="auto"/>
    <w:pitch w:val="default"/>
    <w:sig w:usb0="A00002BF" w:usb1="18EF7CFA" w:usb2="00000016" w:usb3="00000000" w:csb0="00040000" w:csb1="00000000"/>
  </w:font>
  <w:font w:name="等线 Light">
    <w:altName w:val="汉仪中等线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711"/>
    <w:rsid w:val="00053A83"/>
    <w:rsid w:val="001C449E"/>
    <w:rsid w:val="002C764A"/>
    <w:rsid w:val="004556D4"/>
    <w:rsid w:val="004A7711"/>
    <w:rsid w:val="00956516"/>
    <w:rsid w:val="00CF3B05"/>
    <w:rsid w:val="1D7A7348"/>
    <w:rsid w:val="EFFE24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8"/>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19"/>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0"/>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1"/>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2"/>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4"/>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4">
    <w:name w:val="Default Paragraph Font"/>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11">
    <w:name w:val="Subtitle"/>
    <w:basedOn w:val="1"/>
    <w:next w:val="1"/>
    <w:link w:val="26"/>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5"/>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15">
    <w:name w:val="Hyperlink"/>
    <w:basedOn w:val="14"/>
    <w:unhideWhenUsed/>
    <w:qFormat/>
    <w:uiPriority w:val="99"/>
    <w:rPr>
      <w:color w:val="467886" w:themeColor="hyperlink"/>
      <w:u w:val="single"/>
      <w14:textFill>
        <w14:solidFill>
          <w14:schemeClr w14:val="hlink"/>
        </w14:solidFill>
      </w14:textFill>
    </w:rPr>
  </w:style>
  <w:style w:type="character" w:customStyle="1" w:styleId="16">
    <w:name w:val="标题 1 字符"/>
    <w:basedOn w:val="14"/>
    <w:link w:val="2"/>
    <w:qFormat/>
    <w:uiPriority w:val="9"/>
    <w:rPr>
      <w:rFonts w:asciiTheme="majorHAnsi" w:hAnsiTheme="majorHAnsi" w:eastAsiaTheme="majorEastAsia" w:cstheme="majorBidi"/>
      <w:color w:val="104862" w:themeColor="accent1" w:themeShade="BF"/>
      <w:sz w:val="48"/>
      <w:szCs w:val="48"/>
    </w:rPr>
  </w:style>
  <w:style w:type="character" w:customStyle="1" w:styleId="17">
    <w:name w:val="标题 2 字符"/>
    <w:basedOn w:val="14"/>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8">
    <w:name w:val="标题 3 字符"/>
    <w:basedOn w:val="14"/>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19">
    <w:name w:val="标题 4 字符"/>
    <w:basedOn w:val="14"/>
    <w:link w:val="5"/>
    <w:semiHidden/>
    <w:qFormat/>
    <w:uiPriority w:val="9"/>
    <w:rPr>
      <w:rFonts w:cstheme="majorBidi"/>
      <w:color w:val="104862" w:themeColor="accent1" w:themeShade="BF"/>
      <w:sz w:val="28"/>
      <w:szCs w:val="28"/>
    </w:rPr>
  </w:style>
  <w:style w:type="character" w:customStyle="1" w:styleId="20">
    <w:name w:val="标题 5 字符"/>
    <w:basedOn w:val="14"/>
    <w:link w:val="6"/>
    <w:semiHidden/>
    <w:qFormat/>
    <w:uiPriority w:val="9"/>
    <w:rPr>
      <w:rFonts w:cstheme="majorBidi"/>
      <w:color w:val="104862" w:themeColor="accent1" w:themeShade="BF"/>
      <w:sz w:val="24"/>
      <w:szCs w:val="24"/>
    </w:rPr>
  </w:style>
  <w:style w:type="character" w:customStyle="1" w:styleId="21">
    <w:name w:val="标题 6 字符"/>
    <w:basedOn w:val="14"/>
    <w:link w:val="7"/>
    <w:semiHidden/>
    <w:qFormat/>
    <w:uiPriority w:val="9"/>
    <w:rPr>
      <w:rFonts w:cstheme="majorBidi"/>
      <w:b/>
      <w:bCs/>
      <w:color w:val="104862" w:themeColor="accent1" w:themeShade="BF"/>
    </w:rPr>
  </w:style>
  <w:style w:type="character" w:customStyle="1" w:styleId="22">
    <w:name w:val="标题 7 字符"/>
    <w:basedOn w:val="14"/>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3">
    <w:name w:val="标题 8 字符"/>
    <w:basedOn w:val="14"/>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4">
    <w:name w:val="标题 9 字符"/>
    <w:basedOn w:val="14"/>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标题 字符"/>
    <w:basedOn w:val="14"/>
    <w:link w:val="12"/>
    <w:qFormat/>
    <w:uiPriority w:val="10"/>
    <w:rPr>
      <w:rFonts w:asciiTheme="majorHAnsi" w:hAnsiTheme="majorHAnsi" w:eastAsiaTheme="majorEastAsia" w:cstheme="majorBidi"/>
      <w:spacing w:val="-10"/>
      <w:kern w:val="28"/>
      <w:sz w:val="56"/>
      <w:szCs w:val="56"/>
    </w:rPr>
  </w:style>
  <w:style w:type="character" w:customStyle="1" w:styleId="26">
    <w:name w:val="副标题 字符"/>
    <w:basedOn w:val="14"/>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引用 字符"/>
    <w:basedOn w:val="14"/>
    <w:link w:val="27"/>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4"/>
    <w:qFormat/>
    <w:uiPriority w:val="21"/>
    <w:rPr>
      <w:i/>
      <w:iCs/>
      <w:color w:val="104862" w:themeColor="accent1" w:themeShade="BF"/>
    </w:rPr>
  </w:style>
  <w:style w:type="paragraph" w:styleId="31">
    <w:name w:val="Intense Quote"/>
    <w:basedOn w:val="1"/>
    <w:next w:val="1"/>
    <w:link w:val="3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2">
    <w:name w:val="明显引用 字符"/>
    <w:basedOn w:val="14"/>
    <w:link w:val="31"/>
    <w:qFormat/>
    <w:uiPriority w:val="30"/>
    <w:rPr>
      <w:i/>
      <w:iCs/>
      <w:color w:val="104862" w:themeColor="accent1" w:themeShade="BF"/>
    </w:rPr>
  </w:style>
  <w:style w:type="character" w:customStyle="1" w:styleId="33">
    <w:name w:val="Intense Reference"/>
    <w:basedOn w:val="14"/>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252</Words>
  <Characters>1599</Characters>
  <Lines>13</Lines>
  <Paragraphs>3</Paragraphs>
  <TotalTime>0</TotalTime>
  <ScaleCrop>false</ScaleCrop>
  <LinksUpToDate>false</LinksUpToDate>
  <CharactersWithSpaces>1840</CharactersWithSpaces>
  <Application>WPS Office_12.1.25869.25869_F1E327BC-269C-435d-A152-05C5408002CA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2026-03-26T22:02:00Z</dcterms:created>
  <dc:creator>宇 鲍</dc:creator>
  <cp:lastModifiedBy>Linna</cp:lastModifiedBy>
  <dcterms:modified xsi:type="dcterms:W3CDTF">2026-05-07T18:02:25Z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eyJoZGlkIjoiNWEwZjk2YWVkOGNlMTk3YWY2MDQ2OGM2ZGRmNzMwMWYiLCJ1c2VySWQiOiIxNjIyNTA5NjUxIn0=</vt:lpwstr>
  </property>
  <property fmtid="{D5CDD505-2E9C-101B-9397-08002B2CF9AE}" pid="3" name="KSOProductBuildVer">
    <vt:lpwstr>2052-12.1.25869.25869</vt:lpwstr>
  </property>
  <property fmtid="{D5CDD505-2E9C-101B-9397-08002B2CF9AE}" pid="4" name="ICV">
    <vt:lpwstr>1BAA5F8982FC4F74AD40F43CFAE3F8A9_12</vt:lpwstr>
  </property>
</Properties>
</file>