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DA146D">
      <w:pPr>
        <w:jc w:val="left"/>
        <w:rPr>
          <w:rFonts w:eastAsia="宋体" w:cs="Times New Roman"/>
          <w:bCs/>
          <w:sz w:val="24"/>
          <w:lang w:bidi="ar"/>
        </w:rPr>
      </w:pPr>
      <w:bookmarkStart w:id="40" w:name="_GoBack"/>
      <w:bookmarkEnd w:id="40"/>
      <w:r>
        <w:rPr>
          <w:sz w:val="24"/>
        </w:rPr>
        <w:t>Supplementary material</w:t>
      </w:r>
      <w:r>
        <w:rPr>
          <w:rFonts w:eastAsia="宋体" w:cs="Times New Roman"/>
          <w:bCs/>
          <w:sz w:val="24"/>
          <w:lang w:bidi="ar"/>
        </w:rPr>
        <w:t xml:space="preserve"> for</w:t>
      </w:r>
    </w:p>
    <w:p w14:paraId="584E6ECA">
      <w:pPr>
        <w:jc w:val="left"/>
        <w:rPr>
          <w:rFonts w:eastAsia="宋体" w:cs="Times New Roman"/>
          <w:bCs/>
          <w:sz w:val="24"/>
          <w:lang w:bidi="ar"/>
        </w:rPr>
      </w:pPr>
    </w:p>
    <w:p w14:paraId="53FD2960">
      <w:pPr>
        <w:jc w:val="center"/>
        <w:rPr>
          <w:rFonts w:eastAsia="宋体" w:cs="Times New Roman"/>
          <w:b/>
          <w:bCs/>
          <w:sz w:val="24"/>
        </w:rPr>
      </w:pPr>
      <w:r>
        <w:rPr>
          <w:rFonts w:eastAsia="宋体" w:cs="Times New Roman"/>
          <w:b/>
          <w:bCs/>
          <w:sz w:val="24"/>
          <w:lang w:bidi="ar"/>
        </w:rPr>
        <w:t>Cryo-EM structure of the human MON1A-CCZ1-RAB7A complex provides insights into nucleotide exchange mechanism</w:t>
      </w:r>
    </w:p>
    <w:p w14:paraId="32293A97">
      <w:pPr>
        <w:pStyle w:val="18"/>
        <w:autoSpaceDE w:val="0"/>
        <w:spacing w:line="360" w:lineRule="auto"/>
        <w:jc w:val="both"/>
        <w:rPr>
          <w:iCs/>
          <w:sz w:val="24"/>
          <w:szCs w:val="24"/>
          <w:vertAlign w:val="superscript"/>
        </w:rPr>
      </w:pPr>
      <w:r>
        <w:rPr>
          <w:sz w:val="24"/>
          <w:szCs w:val="24"/>
        </w:rPr>
        <w:t>Xinna Li</w:t>
      </w:r>
      <w:r>
        <w:rPr>
          <w:sz w:val="24"/>
          <w:szCs w:val="24"/>
          <w:vertAlign w:val="superscript"/>
        </w:rPr>
        <w:t>1,</w:t>
      </w:r>
      <w:r>
        <w:rPr>
          <w:rFonts w:hint="eastAsia"/>
          <w:sz w:val="24"/>
          <w:szCs w:val="24"/>
          <w:vertAlign w:val="superscript"/>
        </w:rPr>
        <w:t>‡</w:t>
      </w:r>
      <w:r>
        <w:rPr>
          <w:sz w:val="24"/>
          <w:szCs w:val="24"/>
        </w:rPr>
        <w:t>, Dan Li</w:t>
      </w:r>
      <w:r>
        <w:rPr>
          <w:sz w:val="24"/>
          <w:szCs w:val="24"/>
          <w:vertAlign w:val="superscript"/>
        </w:rPr>
        <w:t>2,</w:t>
      </w:r>
      <w:r>
        <w:rPr>
          <w:rFonts w:hint="eastAsia"/>
          <w:sz w:val="24"/>
          <w:szCs w:val="24"/>
          <w:vertAlign w:val="superscript"/>
        </w:rPr>
        <w:t>‡</w:t>
      </w:r>
      <w:r>
        <w:rPr>
          <w:sz w:val="24"/>
          <w:szCs w:val="24"/>
        </w:rPr>
        <w:t>, Dan Tang</w:t>
      </w:r>
      <w:r>
        <w:rPr>
          <w:iCs/>
          <w:sz w:val="24"/>
          <w:szCs w:val="24"/>
          <w:vertAlign w:val="superscript"/>
        </w:rPr>
        <w:t>1,</w:t>
      </w:r>
      <w:r>
        <w:rPr>
          <w:rFonts w:hint="eastAsia"/>
          <w:sz w:val="24"/>
          <w:szCs w:val="24"/>
          <w:vertAlign w:val="superscript"/>
        </w:rPr>
        <w:t>‡</w:t>
      </w:r>
      <w:r>
        <w:rPr>
          <w:sz w:val="24"/>
          <w:szCs w:val="24"/>
        </w:rPr>
        <w:t>, Xiaofang Huang</w:t>
      </w:r>
      <w:r>
        <w:rPr>
          <w:iCs/>
          <w:sz w:val="24"/>
          <w:szCs w:val="24"/>
          <w:vertAlign w:val="superscript"/>
        </w:rPr>
        <w:t>1</w:t>
      </w:r>
      <w:r>
        <w:rPr>
          <w:sz w:val="24"/>
          <w:szCs w:val="24"/>
        </w:rPr>
        <w:t>, Hui Bao</w:t>
      </w:r>
      <w:r>
        <w:rPr>
          <w:iCs/>
          <w:sz w:val="24"/>
          <w:szCs w:val="24"/>
          <w:vertAlign w:val="superscript"/>
        </w:rPr>
        <w:t>1</w:t>
      </w:r>
      <w:r>
        <w:rPr>
          <w:sz w:val="24"/>
          <w:szCs w:val="24"/>
        </w:rPr>
        <w:t>, Jiawei Wang</w:t>
      </w:r>
      <w:r>
        <w:rPr>
          <w:iCs/>
          <w:sz w:val="24"/>
          <w:szCs w:val="24"/>
          <w:vertAlign w:val="superscript"/>
        </w:rPr>
        <w:t>2,*</w:t>
      </w:r>
      <w:r>
        <w:rPr>
          <w:iCs/>
          <w:sz w:val="24"/>
          <w:szCs w:val="24"/>
        </w:rPr>
        <w:t>,</w:t>
      </w:r>
      <w:r>
        <w:rPr>
          <w:sz w:val="24"/>
          <w:szCs w:val="24"/>
        </w:rPr>
        <w:t xml:space="preserve"> Shiqian Qi</w:t>
      </w:r>
      <w:r>
        <w:rPr>
          <w:iCs/>
          <w:sz w:val="24"/>
          <w:szCs w:val="24"/>
          <w:vertAlign w:val="superscript"/>
        </w:rPr>
        <w:t>1,*</w:t>
      </w:r>
    </w:p>
    <w:p w14:paraId="72B99037">
      <w:pPr>
        <w:widowControl/>
        <w:spacing w:before="240"/>
        <w:rPr>
          <w:iCs/>
          <w:vertAlign w:val="superscript"/>
        </w:rPr>
      </w:pPr>
      <w:r>
        <w:rPr>
          <w:rFonts w:eastAsia="宋体" w:cs="Times New Roman"/>
          <w:iCs/>
          <w:kern w:val="0"/>
          <w:sz w:val="24"/>
          <w:szCs w:val="24"/>
          <w:vertAlign w:val="superscript"/>
        </w:rPr>
        <w:t>1</w:t>
      </w:r>
      <w:bookmarkStart w:id="0" w:name="OLE_LINK361"/>
      <w:bookmarkStart w:id="1" w:name="OLE_LINK360"/>
      <w:r>
        <w:rPr>
          <w:rFonts w:eastAsia="宋体" w:cs="Times New Roman"/>
          <w:iCs/>
          <w:color w:val="333333"/>
          <w:kern w:val="0"/>
          <w:sz w:val="24"/>
          <w:szCs w:val="24"/>
          <w:shd w:val="clear" w:color="auto" w:fill="FFFFFF"/>
        </w:rPr>
        <w:t>Department of Urology, Institute of Urology, State Key Laboratory of Biotherapy, West China Hospital, College of Life Sciences, Sichuan University, and</w:t>
      </w:r>
      <w:r>
        <w:rPr>
          <w:rFonts w:hint="eastAsia" w:eastAsia="宋体" w:cs="Times New Roman"/>
          <w:iCs/>
          <w:color w:val="333333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eastAsia="宋体" w:cs="Times New Roman"/>
          <w:iCs/>
          <w:color w:val="333333"/>
          <w:kern w:val="0"/>
          <w:sz w:val="24"/>
          <w:szCs w:val="24"/>
          <w:shd w:val="clear" w:color="auto" w:fill="FFFFFF"/>
        </w:rPr>
        <w:t>National Collaborative Innovation Center, Chengdu, Sichuan 610041, China</w:t>
      </w:r>
      <w:bookmarkEnd w:id="0"/>
      <w:bookmarkEnd w:id="1"/>
    </w:p>
    <w:p w14:paraId="53DE7442">
      <w:pPr>
        <w:spacing w:line="360" w:lineRule="auto"/>
        <w:rPr>
          <w:iCs/>
          <w:color w:val="333333"/>
          <w:shd w:val="clear" w:color="auto" w:fill="FFFFFF"/>
        </w:rPr>
      </w:pPr>
      <w:r>
        <w:rPr>
          <w:rFonts w:eastAsia="宋体" w:cs="Times New Roman"/>
          <w:iCs/>
          <w:kern w:val="0"/>
          <w:sz w:val="24"/>
          <w:szCs w:val="24"/>
          <w:vertAlign w:val="superscript"/>
        </w:rPr>
        <w:t>2</w:t>
      </w:r>
      <w:r>
        <w:rPr>
          <w:rFonts w:eastAsia="宋体" w:cs="Times New Roman"/>
          <w:iCs/>
          <w:color w:val="333333"/>
          <w:kern w:val="0"/>
          <w:sz w:val="24"/>
          <w:szCs w:val="24"/>
          <w:shd w:val="clear" w:color="auto" w:fill="FFFFFF"/>
        </w:rPr>
        <w:t>State Key Laboratory of Membrane Biology,</w:t>
      </w:r>
      <w:bookmarkStart w:id="2" w:name="OLE_LINK95"/>
      <w:bookmarkStart w:id="3" w:name="OLE_LINK92"/>
      <w:r>
        <w:rPr>
          <w:rFonts w:eastAsia="宋体" w:cs="Times New Roman"/>
          <w:iCs/>
          <w:color w:val="333333"/>
          <w:kern w:val="0"/>
          <w:sz w:val="24"/>
          <w:szCs w:val="24"/>
          <w:shd w:val="clear" w:color="auto" w:fill="FFFFFF"/>
        </w:rPr>
        <w:t xml:space="preserve"> Beijing Frontier Research Center for Biological Structure</w:t>
      </w:r>
      <w:bookmarkEnd w:id="2"/>
      <w:bookmarkEnd w:id="3"/>
      <w:r>
        <w:rPr>
          <w:rFonts w:eastAsia="宋体" w:cs="Times New Roman"/>
          <w:iCs/>
          <w:color w:val="333333"/>
          <w:kern w:val="0"/>
          <w:sz w:val="24"/>
          <w:szCs w:val="24"/>
          <w:shd w:val="clear" w:color="auto" w:fill="FFFFFF"/>
        </w:rPr>
        <w:t>, School of Life Sciences, Tsinghua University, Beijing 100084, China</w:t>
      </w:r>
    </w:p>
    <w:p w14:paraId="181EDF92">
      <w:pPr>
        <w:widowControl/>
        <w:spacing w:line="240" w:lineRule="auto"/>
        <w:jc w:val="left"/>
        <w:rPr>
          <w:iCs/>
          <w:color w:val="333333"/>
          <w:shd w:val="clear" w:color="auto" w:fill="FFFFFF"/>
        </w:rPr>
      </w:pPr>
      <w:r>
        <w:rPr>
          <w:iCs/>
          <w:color w:val="333333"/>
          <w:shd w:val="clear" w:color="auto" w:fill="FFFFFF"/>
        </w:rPr>
        <w:br w:type="page"/>
      </w:r>
    </w:p>
    <w:p w14:paraId="2A0294DF">
      <w:pPr>
        <w:spacing w:line="240" w:lineRule="auto"/>
        <w:rPr>
          <w:b/>
          <w:bCs/>
          <w:sz w:val="24"/>
          <w:szCs w:val="32"/>
          <w:lang w:val="en-GB"/>
        </w:rPr>
      </w:pPr>
      <w:r>
        <w:rPr>
          <w:b/>
          <w:bCs/>
          <w:sz w:val="24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192405</wp:posOffset>
            </wp:positionV>
            <wp:extent cx="6003925" cy="5396230"/>
            <wp:effectExtent l="0" t="0" r="3175" b="1270"/>
            <wp:wrapTopAndBottom/>
            <wp:docPr id="8718735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873564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837"/>
                    <a:stretch>
                      <a:fillRect/>
                    </a:stretch>
                  </pic:blipFill>
                  <pic:spPr>
                    <a:xfrm>
                      <a:off x="0" y="0"/>
                      <a:ext cx="6003925" cy="53962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35430D">
      <w:pPr>
        <w:rPr>
          <w:b/>
          <w:bCs/>
          <w:sz w:val="24"/>
          <w:szCs w:val="32"/>
          <w:lang w:val="en-GB"/>
        </w:rPr>
      </w:pPr>
      <w:bookmarkStart w:id="4" w:name="OLE_LINK323"/>
      <w:bookmarkStart w:id="5" w:name="OLE_LINK322"/>
    </w:p>
    <w:p w14:paraId="78623AA7">
      <w:pPr>
        <w:rPr>
          <w:sz w:val="24"/>
          <w:szCs w:val="32"/>
        </w:rPr>
      </w:pPr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 xml:space="preserve">Figure </w:t>
      </w:r>
      <w:bookmarkEnd w:id="4"/>
      <w:bookmarkEnd w:id="5"/>
      <w:r>
        <w:rPr>
          <w:b/>
          <w:bCs/>
          <w:sz w:val="24"/>
          <w:szCs w:val="32"/>
          <w:lang w:val="en-GB"/>
        </w:rPr>
        <w:t>S1</w:t>
      </w:r>
      <w:r>
        <w:rPr>
          <w:rFonts w:eastAsia="宋体"/>
          <w:b/>
          <w:bCs/>
          <w:sz w:val="24"/>
          <w:szCs w:val="32"/>
        </w:rPr>
        <w:t xml:space="preserve"> </w:t>
      </w:r>
      <w:r>
        <w:rPr>
          <w:rFonts w:eastAsia="宋体"/>
          <w:sz w:val="24"/>
          <w:szCs w:val="32"/>
        </w:rPr>
        <w:t>Structural analysis of MON1 and interaction analysis between the MON1A-CCZ1 complex and RAB7A.</w:t>
      </w:r>
      <w:r>
        <w:rPr>
          <w:sz w:val="24"/>
          <w:szCs w:val="32"/>
        </w:rPr>
        <w:t xml:space="preserve"> </w:t>
      </w:r>
      <w:bookmarkStart w:id="6" w:name="OLE_LINK309"/>
      <w:bookmarkStart w:id="7" w:name="OLE_LINK308"/>
      <w:r>
        <w:rPr>
          <w:sz w:val="24"/>
          <w:szCs w:val="32"/>
        </w:rPr>
        <w:t>(a</w:t>
      </w:r>
      <w:r>
        <w:rPr>
          <w:rFonts w:hint="eastAsia"/>
          <w:sz w:val="24"/>
          <w:szCs w:val="32"/>
        </w:rPr>
        <w:t>)</w:t>
      </w:r>
      <w:bookmarkEnd w:id="6"/>
      <w:bookmarkEnd w:id="7"/>
      <w:r>
        <w:rPr>
          <w:sz w:val="24"/>
          <w:szCs w:val="32"/>
        </w:rPr>
        <w:t xml:space="preserve"> Structural comparison between HsMON1A and HsMON1B (residues 101</w:t>
      </w:r>
      <w:r>
        <w:rPr>
          <w:rFonts w:eastAsia="宋体" w:cs="Times New Roman"/>
        </w:rPr>
        <w:t>−</w:t>
      </w:r>
      <w:r>
        <w:rPr>
          <w:sz w:val="24"/>
          <w:szCs w:val="32"/>
        </w:rPr>
        <w:t>547),</w:t>
      </w:r>
      <w:r>
        <w:t xml:space="preserve"> </w:t>
      </w:r>
      <w:r>
        <w:rPr>
          <w:sz w:val="24"/>
          <w:szCs w:val="32"/>
        </w:rPr>
        <w:t xml:space="preserve">with the predicted structure of HsMON1B generated using AlphaFold 3. </w:t>
      </w:r>
      <w:r>
        <w:rPr>
          <w:rFonts w:hint="eastAsia"/>
          <w:sz w:val="24"/>
          <w:szCs w:val="32"/>
        </w:rPr>
        <w:t>(b)</w:t>
      </w:r>
      <w:r>
        <w:rPr>
          <w:sz w:val="24"/>
          <w:szCs w:val="32"/>
        </w:rPr>
        <w:t xml:space="preserve"> Sequence alignment of </w:t>
      </w:r>
      <w:r>
        <w:rPr>
          <w:rFonts w:hint="eastAsia"/>
          <w:sz w:val="24"/>
          <w:szCs w:val="32"/>
        </w:rPr>
        <w:t>M</w:t>
      </w:r>
      <w:r>
        <w:rPr>
          <w:sz w:val="24"/>
          <w:szCs w:val="32"/>
        </w:rPr>
        <w:t xml:space="preserve">ON1A and MON1B in </w:t>
      </w:r>
      <w:r>
        <w:rPr>
          <w:i/>
          <w:iCs/>
          <w:sz w:val="24"/>
          <w:szCs w:val="32"/>
        </w:rPr>
        <w:t xml:space="preserve">Homo sapiens </w:t>
      </w:r>
      <w:r>
        <w:rPr>
          <w:sz w:val="24"/>
          <w:szCs w:val="32"/>
        </w:rPr>
        <w:t xml:space="preserve">(Hs). </w:t>
      </w:r>
      <w:r>
        <w:rPr>
          <w:rFonts w:hint="eastAsia"/>
          <w:sz w:val="24"/>
          <w:szCs w:val="32"/>
        </w:rPr>
        <w:t>(c)</w:t>
      </w:r>
      <w:r>
        <w:rPr>
          <w:sz w:val="24"/>
          <w:szCs w:val="32"/>
        </w:rPr>
        <w:t xml:space="preserve"> The output of IUPred2 and ANCHOR2 predictions for HsMON1A, with IUPred2 scores in red and ANCHOR2 scores in blue. </w:t>
      </w:r>
      <w:r>
        <w:rPr>
          <w:rFonts w:hint="eastAsia"/>
          <w:sz w:val="24"/>
          <w:szCs w:val="32"/>
        </w:rPr>
        <w:t>(d) Pull-down assay using Strep-tagged MON1A-CCZ1 to capture different forms of untagged RAB7A, including RAB7A wild-type (RAB7A</w:t>
      </w:r>
      <w:r>
        <w:rPr>
          <w:rFonts w:hint="eastAsia"/>
          <w:sz w:val="24"/>
          <w:szCs w:val="32"/>
          <w:vertAlign w:val="superscript"/>
        </w:rPr>
        <w:t>WT</w:t>
      </w:r>
      <w:r>
        <w:rPr>
          <w:rFonts w:hint="eastAsia"/>
          <w:sz w:val="24"/>
          <w:szCs w:val="32"/>
        </w:rPr>
        <w:t>), active form (RAB7A</w:t>
      </w:r>
      <w:r>
        <w:rPr>
          <w:rFonts w:hint="eastAsia"/>
          <w:sz w:val="24"/>
          <w:szCs w:val="32"/>
          <w:vertAlign w:val="superscript"/>
        </w:rPr>
        <w:t>Q67L</w:t>
      </w:r>
      <w:r>
        <w:rPr>
          <w:rFonts w:hint="eastAsia"/>
          <w:sz w:val="24"/>
          <w:szCs w:val="32"/>
        </w:rPr>
        <w:t>), and inactive form (RAB7A</w:t>
      </w:r>
      <w:r>
        <w:rPr>
          <w:rFonts w:hint="eastAsia"/>
          <w:sz w:val="24"/>
          <w:szCs w:val="32"/>
          <w:vertAlign w:val="superscript"/>
        </w:rPr>
        <w:t>T22N</w:t>
      </w:r>
      <w:r>
        <w:rPr>
          <w:rFonts w:hint="eastAsia"/>
          <w:sz w:val="24"/>
          <w:szCs w:val="32"/>
        </w:rPr>
        <w:t xml:space="preserve">). </w:t>
      </w:r>
    </w:p>
    <w:p w14:paraId="6B7113B3"/>
    <w:p w14:paraId="6C0D9D9B"/>
    <w:p w14:paraId="61642C95"/>
    <w:p w14:paraId="60B7BD91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5918200" cy="8178800"/>
            <wp:effectExtent l="0" t="0" r="0" b="0"/>
            <wp:wrapTopAndBottom/>
            <wp:docPr id="150590809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908098" name="图片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8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84C4B">
      <w:pPr>
        <w:spacing w:line="240" w:lineRule="auto"/>
        <w:rPr>
          <w:b/>
          <w:bCs/>
          <w:sz w:val="24"/>
          <w:szCs w:val="32"/>
          <w:lang w:val="en-GB"/>
        </w:rPr>
      </w:pPr>
      <w:r>
        <w:rPr>
          <w:b/>
          <w:bCs/>
          <w:sz w:val="24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5854700" cy="6529070"/>
            <wp:effectExtent l="0" t="0" r="0" b="0"/>
            <wp:wrapTopAndBottom/>
            <wp:docPr id="31152957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29576" name="图片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47"/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65290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281E58">
      <w:pPr>
        <w:rPr>
          <w:sz w:val="24"/>
          <w:szCs w:val="32"/>
        </w:rPr>
      </w:pPr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 xml:space="preserve">Figure S2 </w:t>
      </w:r>
      <w:r>
        <w:rPr>
          <w:sz w:val="24"/>
          <w:szCs w:val="32"/>
          <w:lang w:val="en-GB"/>
        </w:rPr>
        <w:t>A multiple sequence alignment of MON1.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rFonts w:hint="eastAsia"/>
          <w:sz w:val="24"/>
          <w:szCs w:val="32"/>
        </w:rPr>
        <w:t>(a)</w:t>
      </w:r>
      <w:r>
        <w:t xml:space="preserve"> </w:t>
      </w:r>
      <w:r>
        <w:rPr>
          <w:sz w:val="24"/>
          <w:szCs w:val="32"/>
          <w:lang w:val="en-GB"/>
        </w:rPr>
        <w:t xml:space="preserve">Multiple sequence alignment </w:t>
      </w:r>
      <w:r>
        <w:rPr>
          <w:sz w:val="24"/>
          <w:szCs w:val="32"/>
        </w:rPr>
        <w:t xml:space="preserve">of </w:t>
      </w:r>
      <w:r>
        <w:rPr>
          <w:sz w:val="24"/>
          <w:szCs w:val="32"/>
          <w:lang w:val="en-GB"/>
        </w:rPr>
        <w:t xml:space="preserve">MON1 proteins from </w:t>
      </w:r>
      <w:r>
        <w:rPr>
          <w:sz w:val="24"/>
          <w:szCs w:val="32"/>
        </w:rPr>
        <w:t xml:space="preserve">Hs, </w:t>
      </w:r>
      <w:r>
        <w:rPr>
          <w:i/>
          <w:iCs/>
          <w:sz w:val="24"/>
          <w:szCs w:val="32"/>
        </w:rPr>
        <w:t xml:space="preserve">Chaetomium thermophilu </w:t>
      </w:r>
      <w:r>
        <w:rPr>
          <w:sz w:val="24"/>
          <w:szCs w:val="32"/>
          <w:lang w:val="en-GB"/>
        </w:rPr>
        <w:t>(Ct)</w:t>
      </w:r>
      <w:r>
        <w:rPr>
          <w:sz w:val="24"/>
          <w:szCs w:val="32"/>
        </w:rPr>
        <w:t xml:space="preserve">, </w:t>
      </w:r>
      <w:r>
        <w:rPr>
          <w:i/>
          <w:iCs/>
          <w:sz w:val="24"/>
          <w:szCs w:val="32"/>
        </w:rPr>
        <w:t>Drosophila melanogaster</w:t>
      </w:r>
      <w:r>
        <w:rPr>
          <w:sz w:val="24"/>
          <w:szCs w:val="32"/>
        </w:rPr>
        <w:t xml:space="preserve"> (Dm), </w:t>
      </w:r>
      <w:r>
        <w:rPr>
          <w:i/>
          <w:iCs/>
          <w:sz w:val="24"/>
          <w:szCs w:val="32"/>
        </w:rPr>
        <w:t>Mus musculus</w:t>
      </w:r>
      <w:r>
        <w:rPr>
          <w:sz w:val="24"/>
          <w:szCs w:val="32"/>
        </w:rPr>
        <w:t xml:space="preserve"> (Mm), and </w:t>
      </w:r>
      <w:r>
        <w:rPr>
          <w:i/>
          <w:iCs/>
          <w:sz w:val="24"/>
          <w:szCs w:val="32"/>
        </w:rPr>
        <w:t xml:space="preserve">Saccharomyces cerevisiae </w:t>
      </w:r>
      <w:r>
        <w:rPr>
          <w:sz w:val="24"/>
          <w:szCs w:val="32"/>
        </w:rPr>
        <w:t xml:space="preserve">(Sc), </w:t>
      </w:r>
      <w:r>
        <w:rPr>
          <w:sz w:val="24"/>
          <w:szCs w:val="32"/>
          <w:lang w:val="en-GB"/>
        </w:rPr>
        <w:t>generated with ClustalW and visualized with ESPript. Similar and conserved positions are marked by red font or boxes, respectively. Secondary structure elements observed in the cryo-EM structure of Hs</w:t>
      </w:r>
      <w:r>
        <w:rPr>
          <w:sz w:val="24"/>
          <w:szCs w:val="32"/>
        </w:rPr>
        <w:t>MCR7</w:t>
      </w:r>
      <w:r>
        <w:rPr>
          <w:sz w:val="24"/>
          <w:szCs w:val="32"/>
          <w:vertAlign w:val="superscript"/>
        </w:rPr>
        <w:t>N125I</w:t>
      </w:r>
      <w:r>
        <w:rPr>
          <w:rFonts w:hint="eastAsia"/>
          <w:sz w:val="24"/>
          <w:szCs w:val="32"/>
        </w:rPr>
        <w:t xml:space="preserve"> </w:t>
      </w:r>
      <w:r>
        <w:rPr>
          <w:sz w:val="24"/>
          <w:szCs w:val="32"/>
          <w:lang w:val="en-GB"/>
        </w:rPr>
        <w:t>are labeled above the alignment.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rFonts w:hint="eastAsia"/>
          <w:sz w:val="24"/>
          <w:szCs w:val="32"/>
        </w:rPr>
        <w:t>(</w:t>
      </w:r>
      <w:r>
        <w:rPr>
          <w:sz w:val="24"/>
          <w:szCs w:val="32"/>
        </w:rPr>
        <w:t>b</w:t>
      </w:r>
      <w:r>
        <w:rPr>
          <w:rFonts w:hint="eastAsia"/>
          <w:sz w:val="24"/>
          <w:szCs w:val="32"/>
        </w:rPr>
        <w:t>)</w:t>
      </w:r>
      <w:r>
        <w:rPr>
          <w:sz w:val="24"/>
          <w:szCs w:val="32"/>
          <w:lang w:val="en-GB"/>
        </w:rPr>
        <w:t xml:space="preserve"> </w:t>
      </w:r>
      <w:r>
        <w:rPr>
          <w:sz w:val="24"/>
          <w:szCs w:val="32"/>
        </w:rPr>
        <w:t>S</w:t>
      </w:r>
      <w:r>
        <w:rPr>
          <w:rFonts w:hint="eastAsia"/>
          <w:sz w:val="24"/>
          <w:szCs w:val="32"/>
        </w:rPr>
        <w:t>equence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a</w:t>
      </w:r>
      <w:r>
        <w:rPr>
          <w:sz w:val="24"/>
          <w:szCs w:val="32"/>
        </w:rPr>
        <w:t>lignment of MON1 proteins from Hs, Sc, Ct, Dm, and Mm.</w:t>
      </w:r>
    </w:p>
    <w:p w14:paraId="37E02716"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370205</wp:posOffset>
            </wp:positionV>
            <wp:extent cx="6047740" cy="5897245"/>
            <wp:effectExtent l="0" t="0" r="0" b="0"/>
            <wp:wrapTopAndBottom/>
            <wp:docPr id="6623248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324816" name="图片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5897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4712D6">
      <w:pPr>
        <w:spacing w:line="240" w:lineRule="auto"/>
        <w:rPr>
          <w:b/>
          <w:bCs/>
          <w:sz w:val="24"/>
          <w:szCs w:val="32"/>
          <w:lang w:val="en-GB"/>
        </w:rPr>
      </w:pPr>
    </w:p>
    <w:p w14:paraId="4B68A081">
      <w:pPr>
        <w:rPr>
          <w:sz w:val="24"/>
          <w:szCs w:val="32"/>
          <w:lang w:val="en-GB"/>
        </w:rPr>
      </w:pPr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 xml:space="preserve">Figure S3 </w:t>
      </w:r>
      <w:r>
        <w:rPr>
          <w:sz w:val="24"/>
          <w:szCs w:val="32"/>
          <w:lang w:val="en-GB"/>
        </w:rPr>
        <w:t xml:space="preserve">Flow chart for cryo-EM data processing and structure determination of the </w:t>
      </w:r>
      <w:r>
        <w:rPr>
          <w:rFonts w:hint="eastAsia"/>
          <w:sz w:val="24"/>
          <w:szCs w:val="32"/>
          <w:lang w:val="en-GB"/>
        </w:rPr>
        <w:t>human</w:t>
      </w:r>
      <w:r>
        <w:rPr>
          <w:sz w:val="24"/>
          <w:szCs w:val="32"/>
          <w:lang w:val="en-GB"/>
        </w:rPr>
        <w:t xml:space="preserve"> MON1A-CCZ1-RAB7A</w:t>
      </w:r>
      <w:r>
        <w:rPr>
          <w:sz w:val="24"/>
          <w:szCs w:val="32"/>
          <w:vertAlign w:val="superscript"/>
          <w:lang w:val="en-GB"/>
        </w:rPr>
        <w:t xml:space="preserve">N125I </w:t>
      </w:r>
      <w:r>
        <w:rPr>
          <w:sz w:val="24"/>
          <w:szCs w:val="32"/>
          <w:lang w:val="en-GB"/>
        </w:rPr>
        <w:t>complex.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  <w:lang w:val="en-GB"/>
        </w:rPr>
        <w:t xml:space="preserve">(a) Representative cryo-EM micrograph of </w:t>
      </w:r>
      <w:r>
        <w:rPr>
          <w:sz w:val="24"/>
          <w:szCs w:val="32"/>
        </w:rPr>
        <w:t>H</w:t>
      </w:r>
      <w:r>
        <w:rPr>
          <w:rFonts w:hint="eastAsia"/>
          <w:sz w:val="24"/>
          <w:szCs w:val="32"/>
        </w:rPr>
        <w:t>s</w:t>
      </w:r>
      <w:r>
        <w:rPr>
          <w:rFonts w:hint="eastAsia"/>
          <w:sz w:val="24"/>
          <w:szCs w:val="32"/>
          <w:lang w:val="en-GB"/>
        </w:rPr>
        <w:t>M</w:t>
      </w:r>
      <w:r>
        <w:rPr>
          <w:sz w:val="24"/>
          <w:szCs w:val="32"/>
          <w:lang w:val="en-GB"/>
        </w:rPr>
        <w:t>CR7</w:t>
      </w:r>
      <w:r>
        <w:rPr>
          <w:sz w:val="24"/>
          <w:szCs w:val="32"/>
          <w:vertAlign w:val="superscript"/>
          <w:lang w:val="en-GB"/>
        </w:rPr>
        <w:t xml:space="preserve"> N125I</w:t>
      </w:r>
      <w:r>
        <w:rPr>
          <w:sz w:val="24"/>
          <w:szCs w:val="32"/>
          <w:lang w:val="en-GB"/>
        </w:rPr>
        <w:t xml:space="preserve"> and corresponding 2D class averages. (b)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  <w:lang w:val="en-GB"/>
        </w:rPr>
        <w:t xml:space="preserve">Workflow of classification, 3D </w:t>
      </w:r>
      <w:r>
        <w:rPr>
          <w:rFonts w:hint="eastAsia"/>
          <w:sz w:val="24"/>
          <w:szCs w:val="32"/>
          <w:lang w:val="en-GB"/>
        </w:rPr>
        <w:t>v</w:t>
      </w:r>
      <w:r>
        <w:rPr>
          <w:sz w:val="24"/>
          <w:szCs w:val="32"/>
          <w:lang w:val="en-GB"/>
        </w:rPr>
        <w:t>ariability, and refinement. (c)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</w:rPr>
        <w:t>Top and side views of the final EM map are surface-rendered and color-coded by estimated local resolution.</w:t>
      </w:r>
      <w:r>
        <w:rPr>
          <w:b/>
          <w:bCs/>
          <w:sz w:val="24"/>
          <w:szCs w:val="32"/>
        </w:rPr>
        <w:t xml:space="preserve"> </w:t>
      </w:r>
      <w:r>
        <w:rPr>
          <w:sz w:val="24"/>
          <w:szCs w:val="32"/>
          <w:lang w:val="en-GB"/>
        </w:rPr>
        <w:t>(d)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  <w:lang w:val="en-GB"/>
        </w:rPr>
        <w:t>Resolution estimation based on the FSC 0.143 criterion and orientation distribution map calculated using CryoSPARC. Please refer to the “Cryo-EM data processing” in the Methods for further details.</w:t>
      </w:r>
    </w:p>
    <w:p w14:paraId="77695224"/>
    <w:p w14:paraId="5ACC4840"/>
    <w:p w14:paraId="1BD46A28"/>
    <w:p w14:paraId="13369B6F"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74930</wp:posOffset>
            </wp:positionV>
            <wp:extent cx="6047740" cy="3562985"/>
            <wp:effectExtent l="0" t="0" r="0" b="5715"/>
            <wp:wrapTopAndBottom/>
            <wp:docPr id="72418170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181708" name="图片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F964C6">
      <w:pPr>
        <w:rPr>
          <w:sz w:val="24"/>
          <w:szCs w:val="32"/>
        </w:rPr>
      </w:pPr>
      <w:r>
        <w:rPr>
          <w:b/>
          <w:bCs/>
          <w:sz w:val="24"/>
          <w:szCs w:val="32"/>
        </w:rPr>
        <w:t xml:space="preserve">Supplementary Figure S4 </w:t>
      </w:r>
      <w:r>
        <w:rPr>
          <w:sz w:val="24"/>
          <w:szCs w:val="32"/>
        </w:rPr>
        <w:t xml:space="preserve">Cryo-EM </w:t>
      </w:r>
      <w:r>
        <w:rPr>
          <w:sz w:val="24"/>
          <w:szCs w:val="32"/>
          <w:lang w:val="en-GB"/>
        </w:rPr>
        <w:t>map of the key residues mediating the interactions between the HsMC1 complex and RAB7A.</w:t>
      </w:r>
      <w:r>
        <w:rPr>
          <w:sz w:val="24"/>
          <w:szCs w:val="32"/>
        </w:rPr>
        <w:t xml:space="preserve"> </w:t>
      </w:r>
      <w:bookmarkStart w:id="8" w:name="OLE_LINK298"/>
      <w:bookmarkStart w:id="9" w:name="OLE_LINK299"/>
      <w:r>
        <w:rPr>
          <w:sz w:val="24"/>
          <w:szCs w:val="32"/>
        </w:rPr>
        <w:t>Cryo-EM density map highlights key residues at the interface between MON1A (</w:t>
      </w:r>
      <w:r>
        <w:rPr>
          <w:rFonts w:hint="eastAsia"/>
          <w:sz w:val="24"/>
          <w:szCs w:val="32"/>
        </w:rPr>
        <w:t>a</w:t>
      </w:r>
      <w:r>
        <w:rPr>
          <w:sz w:val="24"/>
          <w:szCs w:val="32"/>
        </w:rPr>
        <w:t>), CCZ1 (</w:t>
      </w:r>
      <w:r>
        <w:rPr>
          <w:rFonts w:hint="eastAsia"/>
          <w:sz w:val="24"/>
          <w:szCs w:val="32"/>
        </w:rPr>
        <w:t>b</w:t>
      </w:r>
      <w:r>
        <w:rPr>
          <w:sz w:val="24"/>
          <w:szCs w:val="32"/>
        </w:rPr>
        <w:t>), and RAB7A</w:t>
      </w:r>
      <w:r>
        <w:rPr>
          <w:b/>
          <w:bCs/>
          <w:sz w:val="24"/>
          <w:szCs w:val="32"/>
        </w:rPr>
        <w:t xml:space="preserve"> </w:t>
      </w:r>
      <w:r>
        <w:rPr>
          <w:sz w:val="24"/>
          <w:szCs w:val="32"/>
        </w:rPr>
        <w:t>(</w:t>
      </w:r>
      <w:r>
        <w:rPr>
          <w:rFonts w:hint="eastAsia"/>
          <w:sz w:val="24"/>
          <w:szCs w:val="32"/>
        </w:rPr>
        <w:t>c</w:t>
      </w:r>
      <w:r>
        <w:rPr>
          <w:sz w:val="24"/>
          <w:szCs w:val="32"/>
        </w:rPr>
        <w:t xml:space="preserve">), including critical structural elements of HsRAB7A such as the P-loop,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Ⅰ</w:t>
      </w:r>
      <w:r>
        <w:rPr>
          <w:sz w:val="24"/>
          <w:szCs w:val="32"/>
        </w:rPr>
        <w:t xml:space="preserve">, and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Ⅱ</w:t>
      </w:r>
      <w:r>
        <w:rPr>
          <w:sz w:val="24"/>
          <w:szCs w:val="32"/>
        </w:rPr>
        <w:t>.</w:t>
      </w:r>
    </w:p>
    <w:bookmarkEnd w:id="8"/>
    <w:bookmarkEnd w:id="9"/>
    <w:p w14:paraId="569BBECB"/>
    <w:p w14:paraId="2FF35ACC"/>
    <w:p w14:paraId="25EF10EA"/>
    <w:p w14:paraId="5F689B73"/>
    <w:p w14:paraId="4B207EB1"/>
    <w:p w14:paraId="38A92611"/>
    <w:p w14:paraId="4C2624E1"/>
    <w:p w14:paraId="6E61A93F"/>
    <w:p w14:paraId="33A6CA1A"/>
    <w:p w14:paraId="20A416CC"/>
    <w:p w14:paraId="520B514C"/>
    <w:p w14:paraId="173AAB80"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292735</wp:posOffset>
            </wp:positionV>
            <wp:extent cx="6115685" cy="7752080"/>
            <wp:effectExtent l="0" t="0" r="0" b="0"/>
            <wp:wrapTopAndBottom/>
            <wp:docPr id="9723646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364611" name="图片 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775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D20DA4"/>
    <w:p w14:paraId="556212A3"/>
    <w:p w14:paraId="2E71CAB0"/>
    <w:p w14:paraId="5E7982C0"/>
    <w:p w14:paraId="7699DE28"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149225</wp:posOffset>
            </wp:positionH>
            <wp:positionV relativeFrom="paragraph">
              <wp:posOffset>231775</wp:posOffset>
            </wp:positionV>
            <wp:extent cx="5854700" cy="3975100"/>
            <wp:effectExtent l="0" t="0" r="0" b="0"/>
            <wp:wrapTopAndBottom/>
            <wp:docPr id="92760153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601532" name="图片 10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861E3">
      <w:pPr>
        <w:spacing w:line="240" w:lineRule="auto"/>
        <w:rPr>
          <w:b/>
          <w:bCs/>
          <w:sz w:val="24"/>
          <w:szCs w:val="32"/>
          <w:lang w:val="en-GB"/>
        </w:rPr>
      </w:pPr>
    </w:p>
    <w:p w14:paraId="1BB51AD7">
      <w:pPr>
        <w:rPr>
          <w:i/>
          <w:iCs/>
          <w:sz w:val="24"/>
          <w:szCs w:val="32"/>
        </w:rPr>
      </w:pPr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 xml:space="preserve">Figure S5 </w:t>
      </w:r>
      <w:r>
        <w:rPr>
          <w:sz w:val="24"/>
          <w:szCs w:val="32"/>
          <w:lang w:val="en-GB"/>
        </w:rPr>
        <w:t>Multiple sequence alignment of CCZ1.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</w:rPr>
        <w:t>(</w:t>
      </w:r>
      <w:r>
        <w:rPr>
          <w:rFonts w:hint="eastAsia"/>
          <w:sz w:val="24"/>
          <w:szCs w:val="32"/>
        </w:rPr>
        <w:t>a</w:t>
      </w:r>
      <w:r>
        <w:rPr>
          <w:sz w:val="24"/>
          <w:szCs w:val="32"/>
        </w:rPr>
        <w:t xml:space="preserve">) </w:t>
      </w:r>
      <w:bookmarkStart w:id="10" w:name="OLE_LINK168"/>
      <w:bookmarkStart w:id="11" w:name="OLE_LINK169"/>
      <w:r>
        <w:rPr>
          <w:sz w:val="24"/>
          <w:szCs w:val="32"/>
          <w:lang w:val="en-GB"/>
        </w:rPr>
        <w:t xml:space="preserve">Multiple sequence alignment of CCZ1 proteins from </w:t>
      </w:r>
      <w:r>
        <w:rPr>
          <w:sz w:val="24"/>
          <w:szCs w:val="32"/>
        </w:rPr>
        <w:t xml:space="preserve">Hs, </w:t>
      </w:r>
      <w:r>
        <w:rPr>
          <w:sz w:val="24"/>
          <w:szCs w:val="32"/>
          <w:lang w:val="en-GB"/>
        </w:rPr>
        <w:t>Ct</w:t>
      </w:r>
      <w:r>
        <w:rPr>
          <w:sz w:val="24"/>
          <w:szCs w:val="32"/>
        </w:rPr>
        <w:t>, Dm, Mm, and Sc</w:t>
      </w:r>
      <w:r>
        <w:rPr>
          <w:sz w:val="24"/>
          <w:szCs w:val="32"/>
          <w:lang w:val="en-GB"/>
        </w:rPr>
        <w:t>, generated with ClustalW and visualized with ESPript. Similar and conserved positions are marked by red font or boxes, respectively. Secondary structure elements observed in the cryo-EM structure of Hs</w:t>
      </w:r>
      <w:r>
        <w:rPr>
          <w:sz w:val="24"/>
          <w:szCs w:val="32"/>
        </w:rPr>
        <w:t>MCR7</w:t>
      </w:r>
      <w:r>
        <w:rPr>
          <w:sz w:val="24"/>
          <w:szCs w:val="32"/>
          <w:vertAlign w:val="superscript"/>
        </w:rPr>
        <w:t>N125I</w:t>
      </w:r>
      <w:r>
        <w:rPr>
          <w:sz w:val="24"/>
          <w:szCs w:val="32"/>
        </w:rPr>
        <w:t xml:space="preserve"> </w:t>
      </w:r>
      <w:r>
        <w:rPr>
          <w:sz w:val="24"/>
          <w:szCs w:val="32"/>
          <w:lang w:val="en-GB"/>
        </w:rPr>
        <w:t>are labeled above the alignment.</w:t>
      </w:r>
      <w:bookmarkEnd w:id="10"/>
      <w:bookmarkEnd w:id="11"/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</w:rPr>
        <w:t>(</w:t>
      </w:r>
      <w:r>
        <w:rPr>
          <w:rFonts w:hint="eastAsia"/>
          <w:sz w:val="24"/>
          <w:szCs w:val="32"/>
        </w:rPr>
        <w:t>b</w:t>
      </w:r>
      <w:r>
        <w:rPr>
          <w:sz w:val="24"/>
          <w:szCs w:val="32"/>
        </w:rPr>
        <w:t>) S</w:t>
      </w:r>
      <w:r>
        <w:rPr>
          <w:rFonts w:hint="eastAsia"/>
          <w:sz w:val="24"/>
          <w:szCs w:val="32"/>
        </w:rPr>
        <w:t>equence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a</w:t>
      </w:r>
      <w:r>
        <w:rPr>
          <w:sz w:val="24"/>
          <w:szCs w:val="32"/>
        </w:rPr>
        <w:t>lignment of CCZ1 proteins from Hs, Sc, Ct, Dm, and Mm.</w:t>
      </w:r>
    </w:p>
    <w:p w14:paraId="0DD36FCB"/>
    <w:p w14:paraId="03746F61"/>
    <w:p w14:paraId="24E18B4C"/>
    <w:p w14:paraId="7BA998C7"/>
    <w:p w14:paraId="34571702"/>
    <w:p w14:paraId="0C1A8637"/>
    <w:p w14:paraId="709BA154"/>
    <w:p w14:paraId="61A50255"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236220</wp:posOffset>
            </wp:positionV>
            <wp:extent cx="5842000" cy="4876800"/>
            <wp:effectExtent l="0" t="0" r="0" b="0"/>
            <wp:wrapTopAndBottom/>
            <wp:docPr id="71882576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825761" name="图片 1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0545E7"/>
    <w:p w14:paraId="0548F61C">
      <w:pPr>
        <w:rPr>
          <w:i/>
          <w:iCs/>
          <w:sz w:val="24"/>
          <w:szCs w:val="32"/>
        </w:rPr>
      </w:pPr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>Figure S6</w:t>
      </w:r>
      <w:r>
        <w:rPr>
          <w:sz w:val="24"/>
          <w:szCs w:val="32"/>
          <w:lang w:val="en-GB"/>
        </w:rPr>
        <w:t xml:space="preserve"> Multiple sequence alignment of RAB7A/Ypt7. (a)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  <w:lang w:val="en-GB"/>
        </w:rPr>
        <w:t>Multiple sequence alignment of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  <w:lang w:val="en-GB"/>
        </w:rPr>
        <w:t xml:space="preserve">RAB7A/Ypt7 proteins from </w:t>
      </w:r>
      <w:r>
        <w:rPr>
          <w:sz w:val="24"/>
          <w:szCs w:val="32"/>
        </w:rPr>
        <w:t xml:space="preserve">Hs, </w:t>
      </w:r>
      <w:r>
        <w:rPr>
          <w:sz w:val="24"/>
          <w:szCs w:val="32"/>
          <w:lang w:val="en-GB"/>
        </w:rPr>
        <w:t>Ct</w:t>
      </w:r>
      <w:r>
        <w:rPr>
          <w:sz w:val="24"/>
          <w:szCs w:val="32"/>
        </w:rPr>
        <w:t xml:space="preserve">, Dm, Mm, and Sc, </w:t>
      </w:r>
      <w:r>
        <w:rPr>
          <w:sz w:val="24"/>
          <w:szCs w:val="32"/>
          <w:lang w:val="en-GB"/>
        </w:rPr>
        <w:t xml:space="preserve">generated with ClustalW and visualized with ESPript. Similar and conserved positions are marked by red font or boxes, respectively. Secondary structure elements observed in the cryo-EM structure of </w:t>
      </w:r>
      <w:r>
        <w:rPr>
          <w:rFonts w:eastAsia="宋体" w:cs="Times New Roman"/>
          <w:spacing w:val="10"/>
          <w:kern w:val="0"/>
          <w:sz w:val="24"/>
          <w:szCs w:val="24"/>
        </w:rPr>
        <w:t>HsMCR7</w:t>
      </w:r>
      <w:r>
        <w:rPr>
          <w:rFonts w:eastAsia="宋体" w:cs="Times New Roman"/>
          <w:spacing w:val="10"/>
          <w:kern w:val="0"/>
          <w:sz w:val="24"/>
          <w:szCs w:val="24"/>
          <w:vertAlign w:val="superscript"/>
        </w:rPr>
        <w:t>N125I</w:t>
      </w:r>
      <w:r>
        <w:rPr>
          <w:sz w:val="24"/>
          <w:szCs w:val="32"/>
        </w:rPr>
        <w:t xml:space="preserve"> </w:t>
      </w:r>
      <w:r>
        <w:rPr>
          <w:sz w:val="24"/>
          <w:szCs w:val="32"/>
          <w:lang w:val="en-GB"/>
        </w:rPr>
        <w:t>are labeled above the alignment.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rFonts w:hint="eastAsia"/>
          <w:sz w:val="24"/>
          <w:szCs w:val="32"/>
          <w:lang w:val="en-GB"/>
        </w:rPr>
        <w:t>(</w:t>
      </w:r>
      <w:r>
        <w:rPr>
          <w:sz w:val="24"/>
          <w:szCs w:val="32"/>
          <w:lang w:val="en-GB"/>
        </w:rPr>
        <w:t xml:space="preserve">b) </w:t>
      </w:r>
      <w:r>
        <w:rPr>
          <w:sz w:val="24"/>
          <w:szCs w:val="32"/>
        </w:rPr>
        <w:t>Sequence alignment of RAB7/Ypt7 proteins from Hs, Sc, Ct, Dm, and Mm.</w:t>
      </w:r>
    </w:p>
    <w:p w14:paraId="5B164D9D">
      <w:pPr>
        <w:rPr>
          <w:b/>
          <w:bCs/>
          <w:sz w:val="24"/>
          <w:szCs w:val="32"/>
          <w:lang w:val="en-GB"/>
        </w:rPr>
      </w:pPr>
    </w:p>
    <w:p w14:paraId="01AC57C8">
      <w:pPr>
        <w:rPr>
          <w:b/>
          <w:bCs/>
          <w:sz w:val="24"/>
          <w:szCs w:val="32"/>
          <w:lang w:val="en-GB"/>
        </w:rPr>
      </w:pPr>
    </w:p>
    <w:p w14:paraId="4BB03BAB">
      <w:pPr>
        <w:rPr>
          <w:lang w:val="en-GB"/>
        </w:rPr>
      </w:pPr>
    </w:p>
    <w:p w14:paraId="36530E9D">
      <w:pPr>
        <w:rPr>
          <w:lang w:val="en-GB"/>
        </w:rPr>
      </w:pPr>
    </w:p>
    <w:p w14:paraId="6407CDEA">
      <w:pPr>
        <w:rPr>
          <w:lang w:val="en-GB"/>
        </w:rPr>
      </w:pPr>
    </w:p>
    <w:p w14:paraId="42EDE8D0">
      <w:pPr>
        <w:pStyle w:val="15"/>
        <w:spacing w:line="240" w:lineRule="auto"/>
        <w:ind w:firstLine="0" w:firstLineChars="0"/>
        <w:rPr>
          <w:b/>
          <w:bCs/>
          <w:sz w:val="24"/>
          <w:szCs w:val="32"/>
        </w:rPr>
      </w:pPr>
    </w:p>
    <w:p w14:paraId="587A8364">
      <w:pPr>
        <w:pStyle w:val="15"/>
        <w:spacing w:line="240" w:lineRule="auto"/>
        <w:ind w:firstLine="0" w:firstLineChars="0"/>
        <w:rPr>
          <w:b/>
          <w:bCs/>
          <w:sz w:val="24"/>
          <w:szCs w:val="32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5875655" cy="6448425"/>
            <wp:effectExtent l="0" t="0" r="0" b="0"/>
            <wp:wrapTopAndBottom/>
            <wp:docPr id="146478523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785239" name="图片 1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538"/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64484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0DB88A">
      <w:pPr>
        <w:rPr>
          <w:sz w:val="24"/>
          <w:szCs w:val="32"/>
        </w:rPr>
      </w:pPr>
      <w:bookmarkStart w:id="12" w:name="OLE_LINK391"/>
      <w:bookmarkStart w:id="13" w:name="OLE_LINK390"/>
      <w:r>
        <w:rPr>
          <w:b/>
          <w:bCs/>
          <w:sz w:val="24"/>
          <w:szCs w:val="32"/>
        </w:rPr>
        <w:t xml:space="preserve">Supplementary </w:t>
      </w:r>
      <w:bookmarkEnd w:id="12"/>
      <w:bookmarkEnd w:id="13"/>
      <w:r>
        <w:rPr>
          <w:b/>
          <w:bCs/>
          <w:sz w:val="24"/>
          <w:szCs w:val="32"/>
        </w:rPr>
        <w:t>Figure S7</w:t>
      </w:r>
      <w:bookmarkStart w:id="14" w:name="OLE_LINK311"/>
      <w:bookmarkStart w:id="15" w:name="OLE_LINK310"/>
      <w:r>
        <w:rPr>
          <w:b/>
          <w:bCs/>
          <w:sz w:val="24"/>
          <w:szCs w:val="32"/>
        </w:rPr>
        <w:t xml:space="preserve"> </w:t>
      </w:r>
      <w:r>
        <w:rPr>
          <w:rFonts w:cs="Times New Roman" w:eastAsiaTheme="minorEastAsia"/>
          <w:color w:val="000000"/>
          <w:kern w:val="0"/>
          <w:sz w:val="24"/>
          <w:szCs w:val="24"/>
          <w14:ligatures w14:val="standardContextual"/>
        </w:rPr>
        <w:t>GEF assay and quantitative analysis of MON1A-CCZ1/RAB7A mutants</w:t>
      </w:r>
      <w:r>
        <w:rPr>
          <w:sz w:val="24"/>
          <w:szCs w:val="32"/>
        </w:rPr>
        <w:t>.</w:t>
      </w:r>
      <w:bookmarkStart w:id="16" w:name="OLE_LINK312"/>
      <w:bookmarkStart w:id="17" w:name="OLE_LINK313"/>
      <w:r>
        <w:rPr>
          <w:sz w:val="24"/>
          <w:szCs w:val="32"/>
        </w:rPr>
        <w:t xml:space="preserve"> (a and b) </w:t>
      </w:r>
      <w:bookmarkStart w:id="18" w:name="OLE_LINK314"/>
      <w:bookmarkStart w:id="19" w:name="OLE_LINK315"/>
      <w:r>
        <w:rPr>
          <w:sz w:val="24"/>
          <w:szCs w:val="32"/>
        </w:rPr>
        <w:t>MANT-GDP release monitored</w:t>
      </w:r>
      <w:bookmarkEnd w:id="18"/>
      <w:bookmarkEnd w:id="19"/>
      <w:r>
        <w:rPr>
          <w:sz w:val="24"/>
          <w:szCs w:val="32"/>
        </w:rPr>
        <w:t xml:space="preserve"> in the presence of RAB7A-WT and the </w:t>
      </w:r>
      <w:bookmarkStart w:id="20" w:name="OLE_LINK320"/>
      <w:bookmarkStart w:id="21" w:name="OLE_LINK321"/>
      <w:r>
        <w:rPr>
          <w:rFonts w:hint="eastAsia"/>
          <w:sz w:val="24"/>
          <w:szCs w:val="32"/>
        </w:rPr>
        <w:t>H</w:t>
      </w:r>
      <w:r>
        <w:rPr>
          <w:sz w:val="24"/>
          <w:szCs w:val="32"/>
        </w:rPr>
        <w:t>sMC1</w:t>
      </w:r>
      <w:bookmarkEnd w:id="20"/>
      <w:bookmarkEnd w:id="21"/>
      <w:r>
        <w:rPr>
          <w:sz w:val="24"/>
          <w:szCs w:val="32"/>
        </w:rPr>
        <w:t xml:space="preserve"> triple mutants</w:t>
      </w:r>
      <w:bookmarkEnd w:id="16"/>
      <w:bookmarkEnd w:id="17"/>
      <w:r>
        <w:rPr>
          <w:sz w:val="24"/>
          <w:szCs w:val="32"/>
        </w:rPr>
        <w:t xml:space="preserve">: </w:t>
      </w:r>
      <w:r>
        <w:rPr>
          <w:rFonts w:hint="eastAsia"/>
          <w:sz w:val="24"/>
          <w:szCs w:val="32"/>
          <w:lang w:val="en-GB"/>
        </w:rPr>
        <w:t>(</w:t>
      </w:r>
      <w:r>
        <w:rPr>
          <w:sz w:val="24"/>
          <w:szCs w:val="32"/>
          <w:lang w:val="en-GB"/>
        </w:rPr>
        <w:t>a)</w:t>
      </w:r>
      <w:r>
        <w:rPr>
          <w:b/>
          <w:bCs/>
          <w:sz w:val="24"/>
          <w:szCs w:val="32"/>
        </w:rPr>
        <w:t xml:space="preserve"> </w:t>
      </w:r>
      <w:r>
        <w:rPr>
          <w:sz w:val="24"/>
          <w:szCs w:val="32"/>
        </w:rPr>
        <w:t xml:space="preserve">CCZ1 (E38R/E41R/R60E) and </w:t>
      </w:r>
      <w:r>
        <w:rPr>
          <w:sz w:val="24"/>
          <w:szCs w:val="32"/>
          <w:lang w:val="en-GB"/>
        </w:rPr>
        <w:t>(b)</w:t>
      </w:r>
      <w:r>
        <w:rPr>
          <w:b/>
          <w:bCs/>
          <w:sz w:val="24"/>
          <w:szCs w:val="32"/>
          <w:lang w:val="en-GB"/>
        </w:rPr>
        <w:t xml:space="preserve"> </w:t>
      </w:r>
      <w:r>
        <w:rPr>
          <w:sz w:val="24"/>
          <w:szCs w:val="32"/>
        </w:rPr>
        <w:t>MON1A (E260R/E290R/Q357L).</w:t>
      </w:r>
      <w:r>
        <w:t xml:space="preserve"> </w:t>
      </w:r>
      <w:r>
        <w:rPr>
          <w:sz w:val="24"/>
          <w:szCs w:val="32"/>
        </w:rPr>
        <w:t xml:space="preserve">Left: real-time fluorescence curves; right: quantification of endpoint fluorescence values. </w:t>
      </w:r>
      <w:r>
        <w:rPr>
          <w:sz w:val="24"/>
          <w:szCs w:val="32"/>
          <w:lang w:val="en-GB"/>
        </w:rPr>
        <w:t>(c)</w:t>
      </w:r>
      <w:r>
        <w:rPr>
          <w:sz w:val="24"/>
          <w:szCs w:val="32"/>
        </w:rPr>
        <w:t xml:space="preserve"> Quantitative analysis of RAB7A-WT </w:t>
      </w:r>
      <w:bookmarkStart w:id="22" w:name="OLE_LINK316"/>
      <w:bookmarkStart w:id="23" w:name="OLE_LINK317"/>
      <w:r>
        <w:rPr>
          <w:sz w:val="24"/>
          <w:szCs w:val="32"/>
        </w:rPr>
        <w:t xml:space="preserve">nucleotide exchange </w:t>
      </w:r>
      <w:bookmarkEnd w:id="22"/>
      <w:bookmarkEnd w:id="23"/>
      <w:r>
        <w:rPr>
          <w:sz w:val="24"/>
          <w:szCs w:val="32"/>
        </w:rPr>
        <w:t>with increasing concentrations of 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 xml:space="preserve">MC1-WT. (d and e) Quantitative analysis of RAB7A-WT </w:t>
      </w:r>
      <w:bookmarkStart w:id="24" w:name="OLE_LINK319"/>
      <w:bookmarkStart w:id="25" w:name="OLE_LINK318"/>
      <w:r>
        <w:rPr>
          <w:sz w:val="24"/>
          <w:szCs w:val="32"/>
        </w:rPr>
        <w:t xml:space="preserve">nucleotide exchange </w:t>
      </w:r>
      <w:bookmarkEnd w:id="24"/>
      <w:bookmarkEnd w:id="25"/>
      <w:r>
        <w:rPr>
          <w:sz w:val="24"/>
          <w:szCs w:val="32"/>
        </w:rPr>
        <w:t>with different 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MC1 mutant</w:t>
      </w:r>
      <w:r>
        <w:rPr>
          <w:sz w:val="24"/>
          <w:szCs w:val="32"/>
          <w:lang w:val="en-GB"/>
        </w:rPr>
        <w:t xml:space="preserve">s bearing single-point mutations in </w:t>
      </w:r>
      <w:r>
        <w:rPr>
          <w:sz w:val="24"/>
          <w:szCs w:val="32"/>
        </w:rPr>
        <w:t>(d) CCZ1 (E38A, E41A, and R60E) and (e) MON1A (E260R, E290R, and Q357L). (f)</w:t>
      </w:r>
      <w:r>
        <w:rPr>
          <w:b/>
          <w:bCs/>
          <w:sz w:val="24"/>
          <w:szCs w:val="32"/>
        </w:rPr>
        <w:t xml:space="preserve"> </w:t>
      </w:r>
      <w:r>
        <w:rPr>
          <w:sz w:val="24"/>
          <w:szCs w:val="32"/>
        </w:rPr>
        <w:t xml:space="preserve">Quantitative analysis of RAB7A-mutants (S17A, R69A, and R79A) nucleotide exchange with increasing concentrations of </w:t>
      </w:r>
      <w:r>
        <w:rPr>
          <w:rFonts w:hint="eastAsia"/>
          <w:sz w:val="24"/>
          <w:szCs w:val="32"/>
        </w:rPr>
        <w:t>the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H</w:t>
      </w:r>
      <w:r>
        <w:rPr>
          <w:sz w:val="24"/>
          <w:szCs w:val="32"/>
        </w:rPr>
        <w:t xml:space="preserve">sMC1-WT </w:t>
      </w:r>
      <w:r>
        <w:rPr>
          <w:rFonts w:hint="eastAsia"/>
          <w:sz w:val="24"/>
          <w:szCs w:val="32"/>
        </w:rPr>
        <w:t>complex.</w:t>
      </w:r>
      <w:r>
        <w:rPr>
          <w:sz w:val="24"/>
          <w:szCs w:val="32"/>
        </w:rPr>
        <w:t xml:space="preserve"> All quantitative data represent mean ± SD from three independent experiments and correspond to fluorescence values at 7200 s.</w:t>
      </w:r>
    </w:p>
    <w:bookmarkEnd w:id="14"/>
    <w:bookmarkEnd w:id="15"/>
    <w:p w14:paraId="0E4CF90C"/>
    <w:p w14:paraId="31160168"/>
    <w:p w14:paraId="5BB4E3E4"/>
    <w:p w14:paraId="6338D535"/>
    <w:p w14:paraId="5426D245"/>
    <w:p w14:paraId="514319C8"/>
    <w:p w14:paraId="56AC9A63"/>
    <w:p w14:paraId="39FB0937"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172720</wp:posOffset>
            </wp:positionV>
            <wp:extent cx="6047740" cy="6884670"/>
            <wp:effectExtent l="0" t="0" r="0" b="0"/>
            <wp:wrapTopAndBottom/>
            <wp:docPr id="15091144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11449" name="图片 1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2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68846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1B4929">
      <w:pPr>
        <w:rPr>
          <w:sz w:val="24"/>
          <w:szCs w:val="32"/>
        </w:rPr>
      </w:pPr>
      <w:bookmarkStart w:id="26" w:name="OLE_LINK21"/>
      <w:bookmarkStart w:id="27" w:name="OLE_LINK20"/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 xml:space="preserve">Figure S8 </w:t>
      </w:r>
      <w:r>
        <w:rPr>
          <w:sz w:val="24"/>
          <w:szCs w:val="32"/>
        </w:rPr>
        <w:t xml:space="preserve">Comparison of different conformations of RAB7A/Ypt7. </w:t>
      </w:r>
      <w:bookmarkEnd w:id="26"/>
      <w:bookmarkEnd w:id="27"/>
      <w:r>
        <w:rPr>
          <w:sz w:val="24"/>
          <w:szCs w:val="32"/>
        </w:rPr>
        <w:t>(a</w:t>
      </w:r>
      <w:r>
        <w:rPr>
          <w:rFonts w:eastAsia="宋体" w:cs="Times New Roman"/>
        </w:rPr>
        <w:t>−</w:t>
      </w:r>
      <w:r>
        <w:rPr>
          <w:sz w:val="24"/>
          <w:szCs w:val="32"/>
        </w:rPr>
        <w:t>c) Cartoon representation showing the structure of nucleotide-free-H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 (colored in light pink) (a), GTP-bound-H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 (PDB: 1T91, colored in blue) (</w:t>
      </w:r>
      <w:r>
        <w:rPr>
          <w:rFonts w:hint="eastAsia"/>
          <w:sz w:val="24"/>
          <w:szCs w:val="32"/>
        </w:rPr>
        <w:t>b</w:t>
      </w:r>
      <w:r>
        <w:rPr>
          <w:sz w:val="24"/>
          <w:szCs w:val="32"/>
        </w:rPr>
        <w:t>) and GDP-bound-H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 in the ORP1L-RAB7A-Q67L complex (PDB:8ZQ3, colored in green) (</w:t>
      </w:r>
      <w:r>
        <w:rPr>
          <w:rFonts w:hint="eastAsia"/>
          <w:sz w:val="24"/>
          <w:szCs w:val="32"/>
        </w:rPr>
        <w:t>c</w:t>
      </w:r>
      <w:r>
        <w:rPr>
          <w:sz w:val="24"/>
          <w:szCs w:val="32"/>
        </w:rPr>
        <w:t>). The location of the proposed Mg</w:t>
      </w:r>
      <w:r>
        <w:rPr>
          <w:sz w:val="24"/>
          <w:szCs w:val="32"/>
          <w:vertAlign w:val="superscript"/>
        </w:rPr>
        <w:t>2+</w:t>
      </w:r>
      <w:r>
        <w:rPr>
          <w:sz w:val="24"/>
          <w:szCs w:val="32"/>
        </w:rPr>
        <w:t xml:space="preserve"> is indicated by a red dashed line.</w:t>
      </w:r>
      <w:bookmarkStart w:id="28" w:name="OLE_LINK27"/>
      <w:bookmarkStart w:id="29" w:name="OLE_LINK26"/>
      <w:r>
        <w:rPr>
          <w:sz w:val="24"/>
          <w:szCs w:val="32"/>
        </w:rPr>
        <w:t xml:space="preserve"> The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Ⅰ</w:t>
      </w:r>
      <w:r>
        <w:rPr>
          <w:sz w:val="24"/>
          <w:szCs w:val="32"/>
        </w:rPr>
        <w:t xml:space="preserve">,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Ⅱ</w:t>
      </w:r>
      <w:r>
        <w:rPr>
          <w:sz w:val="24"/>
          <w:szCs w:val="32"/>
        </w:rPr>
        <w:t>, and P-loop regions are colored hot pink, yellow-orange, and pale yellow, respectively. Residues F33, Y37, K38, and I41 are displayed as sticks and labeled.</w:t>
      </w:r>
      <w:bookmarkEnd w:id="28"/>
      <w:bookmarkEnd w:id="29"/>
      <w:r>
        <w:rPr>
          <w:sz w:val="24"/>
          <w:szCs w:val="32"/>
        </w:rPr>
        <w:t xml:space="preserve"> (</w:t>
      </w:r>
      <w:r>
        <w:rPr>
          <w:rFonts w:hint="eastAsia"/>
          <w:sz w:val="24"/>
          <w:szCs w:val="32"/>
        </w:rPr>
        <w:t>d</w:t>
      </w:r>
      <w:r>
        <w:rPr>
          <w:sz w:val="24"/>
          <w:szCs w:val="32"/>
        </w:rPr>
        <w:t xml:space="preserve">) Interaction of R69, L73, and R79 from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Ⅱ</w:t>
      </w:r>
      <w:r>
        <w:rPr>
          <w:sz w:val="24"/>
          <w:szCs w:val="32"/>
        </w:rPr>
        <w:t xml:space="preserve"> of HsRAB7A with hydrophobic pockets on </w:t>
      </w:r>
      <w:r>
        <w:rPr>
          <w:rFonts w:hint="eastAsia"/>
          <w:sz w:val="24"/>
          <w:szCs w:val="32"/>
        </w:rPr>
        <w:t>the</w:t>
      </w:r>
      <w:r>
        <w:rPr>
          <w:sz w:val="24"/>
          <w:szCs w:val="32"/>
        </w:rPr>
        <w:t xml:space="preserve"> HsMC1 </w:t>
      </w:r>
      <w:r>
        <w:rPr>
          <w:rFonts w:hint="eastAsia"/>
          <w:sz w:val="24"/>
          <w:szCs w:val="32"/>
        </w:rPr>
        <w:t>complex</w:t>
      </w:r>
      <w:r>
        <w:rPr>
          <w:sz w:val="24"/>
          <w:szCs w:val="32"/>
        </w:rPr>
        <w:t xml:space="preserve">. The surface of </w:t>
      </w:r>
      <w:r>
        <w:rPr>
          <w:rFonts w:hint="eastAsia"/>
          <w:sz w:val="24"/>
          <w:szCs w:val="32"/>
        </w:rPr>
        <w:t>the</w:t>
      </w:r>
      <w:r>
        <w:rPr>
          <w:sz w:val="24"/>
          <w:szCs w:val="32"/>
        </w:rPr>
        <w:t xml:space="preserve"> HsMC1 </w:t>
      </w:r>
      <w:r>
        <w:rPr>
          <w:rFonts w:hint="eastAsia"/>
          <w:sz w:val="24"/>
          <w:szCs w:val="32"/>
        </w:rPr>
        <w:t>complex</w:t>
      </w:r>
      <w:r>
        <w:rPr>
          <w:sz w:val="24"/>
          <w:szCs w:val="32"/>
        </w:rPr>
        <w:t xml:space="preserve"> is colored according to hydrophobicity from green (hydrophilic) to yellow (hydrophobic). (</w:t>
      </w:r>
      <w:r>
        <w:rPr>
          <w:rFonts w:hint="eastAsia"/>
          <w:sz w:val="24"/>
          <w:szCs w:val="32"/>
        </w:rPr>
        <w:t>e</w:t>
      </w:r>
      <w:r>
        <w:rPr>
          <w:sz w:val="24"/>
          <w:szCs w:val="32"/>
        </w:rPr>
        <w:t xml:space="preserve">) </w:t>
      </w:r>
      <w:bookmarkStart w:id="30" w:name="OLE_LINK23"/>
      <w:bookmarkStart w:id="31" w:name="OLE_LINK22"/>
      <w:r>
        <w:rPr>
          <w:sz w:val="24"/>
          <w:szCs w:val="32"/>
        </w:rPr>
        <w:t>Superposition of GTP-bound 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 and GDP-bound-H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RAB7A, with the S17 residue in the P-loop indicated</w:t>
      </w:r>
      <w:bookmarkEnd w:id="30"/>
      <w:bookmarkEnd w:id="31"/>
      <w:r>
        <w:rPr>
          <w:sz w:val="24"/>
          <w:szCs w:val="32"/>
        </w:rPr>
        <w:t>. (</w:t>
      </w:r>
      <w:r>
        <w:rPr>
          <w:rFonts w:hint="eastAsia"/>
          <w:sz w:val="24"/>
          <w:szCs w:val="32"/>
        </w:rPr>
        <w:t>f</w:t>
      </w:r>
      <w:r>
        <w:rPr>
          <w:sz w:val="24"/>
          <w:szCs w:val="32"/>
        </w:rPr>
        <w:t>) Superposition of empty form of HsRAB7A and CtYpt7 (colored in grey), with key residues (F33, A35, N35, Y37, K38, and I41) labeled and shown as sticks. (</w:t>
      </w:r>
      <w:r>
        <w:rPr>
          <w:rFonts w:hint="eastAsia"/>
          <w:sz w:val="24"/>
          <w:szCs w:val="32"/>
        </w:rPr>
        <w:t>g</w:t>
      </w:r>
      <w:r>
        <w:rPr>
          <w:sz w:val="24"/>
          <w:szCs w:val="32"/>
        </w:rPr>
        <w:t xml:space="preserve">) Schematic diagram of interactions formed between GNP and the ScYpt7 (PDB: 1KY2) and between GDP and ScYpt7 (PDB: 1KY3). </w:t>
      </w:r>
    </w:p>
    <w:p w14:paraId="5CD26B01">
      <w:pPr>
        <w:spacing w:line="240" w:lineRule="auto"/>
        <w:rPr>
          <w:sz w:val="24"/>
          <w:szCs w:val="32"/>
        </w:rPr>
      </w:pPr>
    </w:p>
    <w:p w14:paraId="2C8B4C9D">
      <w:pPr>
        <w:spacing w:line="240" w:lineRule="auto"/>
        <w:rPr>
          <w:sz w:val="24"/>
          <w:szCs w:val="32"/>
        </w:rPr>
      </w:pPr>
    </w:p>
    <w:p w14:paraId="5DBC019D">
      <w:pPr>
        <w:spacing w:line="240" w:lineRule="auto"/>
        <w:rPr>
          <w:sz w:val="24"/>
          <w:szCs w:val="32"/>
        </w:rPr>
      </w:pPr>
    </w:p>
    <w:p w14:paraId="01F38C91">
      <w:pPr>
        <w:spacing w:line="240" w:lineRule="auto"/>
        <w:rPr>
          <w:sz w:val="24"/>
          <w:szCs w:val="32"/>
        </w:rPr>
      </w:pPr>
    </w:p>
    <w:p w14:paraId="5FE4B02A">
      <w:pPr>
        <w:spacing w:line="240" w:lineRule="auto"/>
        <w:rPr>
          <w:sz w:val="24"/>
          <w:szCs w:val="32"/>
        </w:rPr>
      </w:pPr>
    </w:p>
    <w:p w14:paraId="3C70CA2E">
      <w:pPr>
        <w:spacing w:line="240" w:lineRule="auto"/>
        <w:rPr>
          <w:sz w:val="24"/>
          <w:szCs w:val="32"/>
        </w:rPr>
      </w:pPr>
    </w:p>
    <w:p w14:paraId="4FDF0B22">
      <w:pPr>
        <w:spacing w:line="240" w:lineRule="auto"/>
        <w:rPr>
          <w:sz w:val="24"/>
          <w:szCs w:val="32"/>
        </w:rPr>
      </w:pPr>
    </w:p>
    <w:p w14:paraId="33E2D285">
      <w:pPr>
        <w:spacing w:line="240" w:lineRule="auto"/>
        <w:rPr>
          <w:sz w:val="24"/>
          <w:szCs w:val="32"/>
        </w:rPr>
      </w:pPr>
    </w:p>
    <w:p w14:paraId="26C13D69">
      <w:pPr>
        <w:spacing w:line="240" w:lineRule="auto"/>
        <w:rPr>
          <w:sz w:val="24"/>
          <w:szCs w:val="32"/>
        </w:rPr>
      </w:pPr>
    </w:p>
    <w:p w14:paraId="0CF58D89">
      <w:pPr>
        <w:spacing w:line="240" w:lineRule="auto"/>
        <w:rPr>
          <w:sz w:val="24"/>
          <w:szCs w:val="32"/>
        </w:rPr>
      </w:pPr>
    </w:p>
    <w:p w14:paraId="0A1E787C">
      <w:pPr>
        <w:spacing w:line="240" w:lineRule="auto"/>
        <w:rPr>
          <w:sz w:val="24"/>
          <w:szCs w:val="32"/>
        </w:rPr>
      </w:pPr>
    </w:p>
    <w:p w14:paraId="1287284B">
      <w:pPr>
        <w:spacing w:line="240" w:lineRule="auto"/>
        <w:rPr>
          <w:sz w:val="24"/>
          <w:szCs w:val="32"/>
        </w:rPr>
      </w:pPr>
    </w:p>
    <w:p w14:paraId="30939B2D">
      <w:pPr>
        <w:spacing w:line="240" w:lineRule="auto"/>
        <w:rPr>
          <w:sz w:val="24"/>
          <w:szCs w:val="32"/>
        </w:rPr>
      </w:pPr>
    </w:p>
    <w:p w14:paraId="1C244D77">
      <w:pPr>
        <w:spacing w:line="240" w:lineRule="auto"/>
        <w:rPr>
          <w:sz w:val="24"/>
          <w:szCs w:val="32"/>
        </w:rPr>
      </w:pPr>
    </w:p>
    <w:p w14:paraId="5860D08D">
      <w:pPr>
        <w:spacing w:line="240" w:lineRule="auto"/>
        <w:rPr>
          <w:sz w:val="24"/>
          <w:szCs w:val="32"/>
        </w:rPr>
      </w:pPr>
    </w:p>
    <w:p w14:paraId="554665A1">
      <w:pPr>
        <w:spacing w:line="240" w:lineRule="auto"/>
        <w:rPr>
          <w:sz w:val="24"/>
          <w:szCs w:val="32"/>
        </w:rPr>
      </w:pPr>
    </w:p>
    <w:p w14:paraId="3B721316">
      <w:pPr>
        <w:spacing w:line="240" w:lineRule="auto"/>
        <w:rPr>
          <w:sz w:val="24"/>
          <w:szCs w:val="32"/>
        </w:rPr>
      </w:pPr>
    </w:p>
    <w:p w14:paraId="56F3BAED">
      <w:pPr>
        <w:widowControl/>
        <w:spacing w:line="240" w:lineRule="auto"/>
        <w:jc w:val="left"/>
        <w:rPr>
          <w:sz w:val="24"/>
          <w:szCs w:val="32"/>
        </w:rPr>
      </w:pPr>
      <w:r>
        <w:rPr>
          <w:sz w:val="24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337820</wp:posOffset>
            </wp:positionV>
            <wp:extent cx="5905500" cy="2826385"/>
            <wp:effectExtent l="0" t="0" r="0" b="0"/>
            <wp:wrapTopAndBottom/>
            <wp:docPr id="68183634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836345" name="图片 1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316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28263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71735">
      <w:pPr>
        <w:spacing w:line="240" w:lineRule="auto"/>
        <w:rPr>
          <w:sz w:val="24"/>
          <w:szCs w:val="32"/>
        </w:rPr>
      </w:pPr>
    </w:p>
    <w:p w14:paraId="17DEB297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 xml:space="preserve">Supplementary </w:t>
      </w:r>
      <w:r>
        <w:rPr>
          <w:b/>
          <w:bCs/>
          <w:sz w:val="24"/>
          <w:szCs w:val="32"/>
          <w:lang w:val="en-GB"/>
        </w:rPr>
        <w:t xml:space="preserve">Figure S9 </w:t>
      </w:r>
      <w:r>
        <w:rPr>
          <w:sz w:val="24"/>
          <w:szCs w:val="32"/>
          <w:lang w:val="en-GB"/>
        </w:rPr>
        <w:t>Comparison of</w:t>
      </w:r>
      <w:r>
        <w:rPr>
          <w:sz w:val="24"/>
          <w:szCs w:val="32"/>
        </w:rPr>
        <w:t xml:space="preserve"> the structures of </w:t>
      </w:r>
      <w:bookmarkStart w:id="32" w:name="OLE_LINK25"/>
      <w:bookmarkStart w:id="33" w:name="OLE_LINK24"/>
      <w:r>
        <w:rPr>
          <w:sz w:val="24"/>
          <w:szCs w:val="32"/>
        </w:rPr>
        <w:t>human MON1A-CCZ1-RAB7A</w:t>
      </w:r>
      <w:bookmarkEnd w:id="32"/>
      <w:bookmarkEnd w:id="33"/>
      <w:r>
        <w:rPr>
          <w:sz w:val="24"/>
          <w:szCs w:val="32"/>
          <w:vertAlign w:val="superscript"/>
        </w:rPr>
        <w:t xml:space="preserve"> N125I</w:t>
      </w:r>
      <w:r>
        <w:rPr>
          <w:sz w:val="24"/>
          <w:szCs w:val="32"/>
        </w:rPr>
        <w:t xml:space="preserve"> and MON1A-CCZ1-RAB7A</w:t>
      </w:r>
      <w:r>
        <w:rPr>
          <w:sz w:val="24"/>
          <w:szCs w:val="32"/>
          <w:vertAlign w:val="superscript"/>
        </w:rPr>
        <w:t>T22N</w:t>
      </w:r>
      <w:r>
        <w:rPr>
          <w:sz w:val="24"/>
          <w:szCs w:val="32"/>
        </w:rPr>
        <w:t>-RMC1 complexes.</w:t>
      </w:r>
      <w:r>
        <w:rPr>
          <w:b/>
          <w:bCs/>
          <w:sz w:val="24"/>
          <w:szCs w:val="32"/>
        </w:rPr>
        <w:t xml:space="preserve"> </w:t>
      </w:r>
      <w:r>
        <w:rPr>
          <w:sz w:val="24"/>
          <w:szCs w:val="32"/>
        </w:rPr>
        <w:t>(</w:t>
      </w:r>
      <w:r>
        <w:rPr>
          <w:rFonts w:hint="eastAsia"/>
          <w:sz w:val="24"/>
          <w:szCs w:val="32"/>
        </w:rPr>
        <w:t>a</w:t>
      </w:r>
      <w:r>
        <w:rPr>
          <w:sz w:val="24"/>
          <w:szCs w:val="32"/>
        </w:rPr>
        <w:t>) Superposition of human MON1A-CCZ1-RAB7A</w:t>
      </w:r>
      <w:bookmarkStart w:id="34" w:name="OLE_LINK30"/>
      <w:bookmarkStart w:id="35" w:name="OLE_LINK31"/>
      <w:r>
        <w:rPr>
          <w:sz w:val="24"/>
          <w:szCs w:val="32"/>
          <w:vertAlign w:val="superscript"/>
        </w:rPr>
        <w:t>N125I</w:t>
      </w:r>
      <w:bookmarkEnd w:id="34"/>
      <w:bookmarkEnd w:id="35"/>
      <w:r>
        <w:rPr>
          <w:sz w:val="24"/>
          <w:szCs w:val="32"/>
        </w:rPr>
        <w:t xml:space="preserve"> and MON1A-CCZ1-RAB7A</w:t>
      </w:r>
      <w:r>
        <w:rPr>
          <w:sz w:val="24"/>
          <w:szCs w:val="32"/>
          <w:vertAlign w:val="superscript"/>
        </w:rPr>
        <w:t>T22N</w:t>
      </w:r>
      <w:r>
        <w:rPr>
          <w:sz w:val="24"/>
          <w:szCs w:val="32"/>
        </w:rPr>
        <w:t xml:space="preserve">-RMC1 (PDB: 9LOD). </w:t>
      </w:r>
      <w:bookmarkStart w:id="36" w:name="OLE_LINK36"/>
      <w:bookmarkStart w:id="37" w:name="OLE_LINK37"/>
      <w:r>
        <w:rPr>
          <w:sz w:val="24"/>
          <w:szCs w:val="32"/>
        </w:rPr>
        <w:t xml:space="preserve">The MON1A, CCZ1, </w:t>
      </w:r>
      <w:r>
        <w:rPr>
          <w:rFonts w:hint="eastAsia"/>
          <w:sz w:val="24"/>
          <w:szCs w:val="32"/>
        </w:rPr>
        <w:t>and</w:t>
      </w:r>
      <w:r>
        <w:rPr>
          <w:sz w:val="24"/>
          <w:szCs w:val="32"/>
        </w:rPr>
        <w:t xml:space="preserve"> RAB7A </w:t>
      </w:r>
      <w:bookmarkEnd w:id="36"/>
      <w:bookmarkEnd w:id="37"/>
      <w:r>
        <w:rPr>
          <w:rFonts w:hint="eastAsia"/>
          <w:sz w:val="24"/>
          <w:szCs w:val="32"/>
        </w:rPr>
        <w:t>of</w:t>
      </w:r>
      <w:r>
        <w:rPr>
          <w:sz w:val="24"/>
          <w:szCs w:val="32"/>
        </w:rPr>
        <w:t xml:space="preserve"> human MON1A-CCZ1-RAB7A</w:t>
      </w:r>
      <w:r>
        <w:rPr>
          <w:sz w:val="24"/>
          <w:szCs w:val="32"/>
          <w:vertAlign w:val="superscript"/>
        </w:rPr>
        <w:t>N125I</w:t>
      </w:r>
      <w:r>
        <w:rPr>
          <w:sz w:val="24"/>
          <w:szCs w:val="32"/>
        </w:rPr>
        <w:t xml:space="preserve"> are colored in light blue, pale green, and light pink, respectively</w:t>
      </w:r>
      <w:r>
        <w:rPr>
          <w:rFonts w:hint="eastAsia" w:eastAsiaTheme="minorEastAsia"/>
          <w:sz w:val="24"/>
          <w:szCs w:val="32"/>
        </w:rPr>
        <w:t>.</w:t>
      </w:r>
      <w:r>
        <w:rPr>
          <w:sz w:val="24"/>
          <w:szCs w:val="32"/>
        </w:rPr>
        <w:t xml:space="preserve"> The MON1A-CCZ1- RAB7A</w:t>
      </w:r>
      <w:r>
        <w:rPr>
          <w:sz w:val="24"/>
          <w:szCs w:val="32"/>
          <w:vertAlign w:val="superscript"/>
        </w:rPr>
        <w:t>T22N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and</w:t>
      </w:r>
      <w:r>
        <w:rPr>
          <w:sz w:val="24"/>
          <w:szCs w:val="32"/>
        </w:rPr>
        <w:t xml:space="preserve"> RMC1 are colored in marine blue and cyan, respectively. (</w:t>
      </w:r>
      <w:r>
        <w:rPr>
          <w:rFonts w:hint="eastAsia"/>
          <w:sz w:val="24"/>
          <w:szCs w:val="32"/>
        </w:rPr>
        <w:t>b</w:t>
      </w:r>
      <w:r>
        <w:rPr>
          <w:sz w:val="24"/>
          <w:szCs w:val="32"/>
        </w:rPr>
        <w:t xml:space="preserve">) Superposition of </w:t>
      </w:r>
      <w:r>
        <w:rPr>
          <w:rFonts w:hint="eastAsia"/>
          <w:sz w:val="24"/>
          <w:szCs w:val="32"/>
        </w:rPr>
        <w:t>human</w:t>
      </w:r>
      <w:r>
        <w:rPr>
          <w:sz w:val="24"/>
          <w:szCs w:val="32"/>
        </w:rPr>
        <w:t xml:space="preserve"> </w:t>
      </w:r>
      <w:bookmarkStart w:id="38" w:name="OLE_LINK32"/>
      <w:bookmarkStart w:id="39" w:name="OLE_LINK33"/>
      <w:r>
        <w:rPr>
          <w:sz w:val="24"/>
          <w:szCs w:val="32"/>
        </w:rPr>
        <w:t>RAB7A</w:t>
      </w:r>
      <w:bookmarkEnd w:id="38"/>
      <w:bookmarkEnd w:id="39"/>
      <w:r>
        <w:rPr>
          <w:sz w:val="24"/>
          <w:szCs w:val="32"/>
          <w:vertAlign w:val="superscript"/>
        </w:rPr>
        <w:t>N125I</w:t>
      </w:r>
      <w:r>
        <w:rPr>
          <w:sz w:val="24"/>
          <w:szCs w:val="32"/>
        </w:rPr>
        <w:t xml:space="preserve"> and RAB7A</w:t>
      </w:r>
      <w:r>
        <w:rPr>
          <w:sz w:val="24"/>
          <w:szCs w:val="32"/>
          <w:vertAlign w:val="superscript"/>
        </w:rPr>
        <w:t>T22N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from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their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complexes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in</w:t>
      </w:r>
      <w:r>
        <w:rPr>
          <w:sz w:val="24"/>
          <w:szCs w:val="32"/>
        </w:rPr>
        <w:t xml:space="preserve"> Supplementary F</w:t>
      </w:r>
      <w:r>
        <w:rPr>
          <w:rFonts w:hint="eastAsia"/>
          <w:sz w:val="24"/>
          <w:szCs w:val="32"/>
        </w:rPr>
        <w:t>ig</w:t>
      </w:r>
      <w:r>
        <w:rPr>
          <w:sz w:val="24"/>
          <w:szCs w:val="32"/>
        </w:rPr>
        <w:t>ure S9</w:t>
      </w:r>
      <w:r>
        <w:rPr>
          <w:rFonts w:hint="eastAsia"/>
          <w:sz w:val="24"/>
          <w:szCs w:val="32"/>
        </w:rPr>
        <w:t>a</w:t>
      </w:r>
      <w:r>
        <w:rPr>
          <w:sz w:val="24"/>
          <w:szCs w:val="32"/>
        </w:rPr>
        <w:t xml:space="preserve">, </w:t>
      </w:r>
      <w:r>
        <w:rPr>
          <w:rFonts w:hint="eastAsia"/>
          <w:sz w:val="24"/>
          <w:szCs w:val="32"/>
        </w:rPr>
        <w:t>respectively.</w:t>
      </w:r>
      <w:r>
        <w:rPr>
          <w:sz w:val="24"/>
          <w:szCs w:val="32"/>
        </w:rPr>
        <w:t xml:space="preserve"> The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Ⅰ</w:t>
      </w:r>
      <w:r>
        <w:rPr>
          <w:sz w:val="24"/>
          <w:szCs w:val="32"/>
        </w:rPr>
        <w:t xml:space="preserve">,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Ⅱ</w:t>
      </w:r>
      <w:r>
        <w:rPr>
          <w:sz w:val="24"/>
          <w:szCs w:val="32"/>
        </w:rPr>
        <w:t xml:space="preserve">, and P-loop regions </w:t>
      </w:r>
      <w:r>
        <w:rPr>
          <w:rFonts w:hint="eastAsia"/>
          <w:sz w:val="24"/>
          <w:szCs w:val="32"/>
        </w:rPr>
        <w:t>of</w:t>
      </w:r>
      <w:r>
        <w:rPr>
          <w:sz w:val="24"/>
          <w:szCs w:val="32"/>
        </w:rPr>
        <w:t xml:space="preserve"> 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</w:t>
      </w:r>
      <w:r>
        <w:rPr>
          <w:sz w:val="24"/>
          <w:szCs w:val="32"/>
          <w:vertAlign w:val="superscript"/>
        </w:rPr>
        <w:t>N125I</w:t>
      </w:r>
      <w:r>
        <w:rPr>
          <w:sz w:val="24"/>
          <w:szCs w:val="32"/>
        </w:rPr>
        <w:t xml:space="preserve"> are colored hot pink, </w:t>
      </w:r>
      <w:r>
        <w:rPr>
          <w:rFonts w:hint="eastAsia"/>
          <w:sz w:val="24"/>
          <w:szCs w:val="32"/>
        </w:rPr>
        <w:t>olive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orange</w:t>
      </w:r>
      <w:r>
        <w:rPr>
          <w:sz w:val="24"/>
          <w:szCs w:val="32"/>
        </w:rPr>
        <w:t xml:space="preserve">, and </w:t>
      </w:r>
      <w:r>
        <w:rPr>
          <w:rFonts w:hint="eastAsia"/>
          <w:sz w:val="24"/>
          <w:szCs w:val="32"/>
        </w:rPr>
        <w:t>yellow</w:t>
      </w:r>
      <w:r>
        <w:rPr>
          <w:sz w:val="24"/>
          <w:szCs w:val="32"/>
        </w:rPr>
        <w:t xml:space="preserve">, respectively. The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Ⅰ</w:t>
      </w:r>
      <w:r>
        <w:rPr>
          <w:sz w:val="24"/>
          <w:szCs w:val="32"/>
        </w:rPr>
        <w:t xml:space="preserve">, Switch </w:t>
      </w:r>
      <w:r>
        <w:rPr>
          <w:rFonts w:eastAsia="微软雅黑" w:cs="Times New Roman"/>
          <w:color w:val="333333"/>
          <w:kern w:val="0"/>
          <w:sz w:val="24"/>
          <w:szCs w:val="24"/>
        </w:rPr>
        <w:t>Ⅱ</w:t>
      </w:r>
      <w:r>
        <w:rPr>
          <w:sz w:val="24"/>
          <w:szCs w:val="32"/>
        </w:rPr>
        <w:t xml:space="preserve">, and P-loop regions </w:t>
      </w:r>
      <w:r>
        <w:rPr>
          <w:rFonts w:hint="eastAsia"/>
          <w:sz w:val="24"/>
          <w:szCs w:val="32"/>
        </w:rPr>
        <w:t>of</w:t>
      </w:r>
      <w:r>
        <w:rPr>
          <w:sz w:val="24"/>
          <w:szCs w:val="32"/>
        </w:rPr>
        <w:t xml:space="preserve"> H</w:t>
      </w:r>
      <w:r>
        <w:rPr>
          <w:rFonts w:hint="eastAsia"/>
          <w:sz w:val="24"/>
          <w:szCs w:val="32"/>
        </w:rPr>
        <w:t>s</w:t>
      </w:r>
      <w:r>
        <w:rPr>
          <w:sz w:val="24"/>
          <w:szCs w:val="32"/>
        </w:rPr>
        <w:t>RAB7A</w:t>
      </w:r>
      <w:r>
        <w:rPr>
          <w:sz w:val="24"/>
          <w:szCs w:val="32"/>
          <w:vertAlign w:val="superscript"/>
        </w:rPr>
        <w:t>T22N</w:t>
      </w:r>
      <w:r>
        <w:rPr>
          <w:sz w:val="24"/>
          <w:szCs w:val="32"/>
        </w:rPr>
        <w:t xml:space="preserve"> are colored </w:t>
      </w:r>
      <w:r>
        <w:rPr>
          <w:rFonts w:hint="eastAsia"/>
          <w:sz w:val="24"/>
          <w:szCs w:val="32"/>
        </w:rPr>
        <w:t>smudge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green</w:t>
      </w:r>
      <w:r>
        <w:rPr>
          <w:sz w:val="24"/>
          <w:szCs w:val="32"/>
        </w:rPr>
        <w:t xml:space="preserve">, </w:t>
      </w:r>
      <w:r>
        <w:rPr>
          <w:rFonts w:hint="eastAsia"/>
          <w:sz w:val="24"/>
          <w:szCs w:val="32"/>
        </w:rPr>
        <w:t>orange</w:t>
      </w:r>
      <w:r>
        <w:rPr>
          <w:sz w:val="24"/>
          <w:szCs w:val="32"/>
        </w:rPr>
        <w:t xml:space="preserve">, </w:t>
      </w:r>
      <w:r>
        <w:rPr>
          <w:rFonts w:hint="eastAsia"/>
          <w:sz w:val="24"/>
          <w:szCs w:val="32"/>
        </w:rPr>
        <w:t>and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palecyan</w:t>
      </w:r>
      <w:r>
        <w:rPr>
          <w:sz w:val="24"/>
          <w:szCs w:val="32"/>
        </w:rPr>
        <w:t xml:space="preserve">, respectively. Residues T22, S17, F33, Y37, I41, </w:t>
      </w:r>
      <w:r>
        <w:rPr>
          <w:rFonts w:hint="eastAsia"/>
          <w:sz w:val="24"/>
          <w:szCs w:val="32"/>
        </w:rPr>
        <w:t>and</w:t>
      </w:r>
      <w:r>
        <w:rPr>
          <w:sz w:val="24"/>
          <w:szCs w:val="32"/>
        </w:rPr>
        <w:t xml:space="preserve"> N22 are displayed as sticks and labeled.</w:t>
      </w:r>
    </w:p>
    <w:p w14:paraId="01705009">
      <w:pPr>
        <w:spacing w:line="240" w:lineRule="auto"/>
        <w:rPr>
          <w:sz w:val="24"/>
          <w:szCs w:val="32"/>
        </w:rPr>
      </w:pPr>
    </w:p>
    <w:p w14:paraId="436FA45C">
      <w:pPr>
        <w:spacing w:line="240" w:lineRule="auto"/>
        <w:rPr>
          <w:sz w:val="24"/>
          <w:szCs w:val="32"/>
        </w:rPr>
      </w:pPr>
    </w:p>
    <w:p w14:paraId="215EA646">
      <w:pPr>
        <w:spacing w:line="240" w:lineRule="auto"/>
        <w:rPr>
          <w:sz w:val="24"/>
          <w:szCs w:val="32"/>
        </w:rPr>
      </w:pPr>
    </w:p>
    <w:p w14:paraId="556BAFFB">
      <w:pPr>
        <w:spacing w:line="240" w:lineRule="auto"/>
        <w:rPr>
          <w:sz w:val="24"/>
          <w:szCs w:val="32"/>
        </w:rPr>
      </w:pPr>
    </w:p>
    <w:p w14:paraId="1F787B13">
      <w:pPr>
        <w:spacing w:line="240" w:lineRule="auto"/>
        <w:rPr>
          <w:sz w:val="24"/>
          <w:szCs w:val="32"/>
        </w:rPr>
      </w:pPr>
    </w:p>
    <w:p w14:paraId="2E5DADFA">
      <w:pPr>
        <w:spacing w:line="240" w:lineRule="auto"/>
        <w:rPr>
          <w:sz w:val="24"/>
          <w:szCs w:val="32"/>
        </w:rPr>
      </w:pPr>
    </w:p>
    <w:p w14:paraId="1656D84C">
      <w:pPr>
        <w:spacing w:line="240" w:lineRule="auto"/>
        <w:rPr>
          <w:sz w:val="24"/>
          <w:szCs w:val="32"/>
        </w:rPr>
      </w:pPr>
    </w:p>
    <w:p w14:paraId="54C29D98">
      <w:pPr>
        <w:spacing w:line="240" w:lineRule="auto"/>
        <w:rPr>
          <w:sz w:val="24"/>
          <w:szCs w:val="32"/>
        </w:rPr>
      </w:pPr>
    </w:p>
    <w:p w14:paraId="22CFE2C1">
      <w:pPr>
        <w:spacing w:line="240" w:lineRule="auto"/>
        <w:rPr>
          <w:sz w:val="24"/>
          <w:szCs w:val="32"/>
        </w:rPr>
      </w:pPr>
    </w:p>
    <w:p w14:paraId="189A71BB">
      <w:pPr>
        <w:spacing w:line="240" w:lineRule="auto"/>
        <w:rPr>
          <w:sz w:val="24"/>
          <w:szCs w:val="32"/>
        </w:rPr>
      </w:pPr>
    </w:p>
    <w:p w14:paraId="2BC827E7">
      <w:pPr>
        <w:spacing w:line="240" w:lineRule="auto"/>
        <w:rPr>
          <w:sz w:val="24"/>
          <w:szCs w:val="32"/>
        </w:rPr>
      </w:pPr>
    </w:p>
    <w:p w14:paraId="41D362E1">
      <w:pPr>
        <w:spacing w:line="240" w:lineRule="auto"/>
        <w:rPr>
          <w:sz w:val="24"/>
          <w:szCs w:val="32"/>
        </w:rPr>
      </w:pPr>
    </w:p>
    <w:p w14:paraId="3DFFFFCE">
      <w:pPr>
        <w:spacing w:line="240" w:lineRule="auto"/>
        <w:rPr>
          <w:sz w:val="24"/>
          <w:szCs w:val="32"/>
        </w:rPr>
      </w:pPr>
    </w:p>
    <w:p w14:paraId="3C15278A">
      <w:pPr>
        <w:spacing w:line="240" w:lineRule="auto"/>
        <w:rPr>
          <w:sz w:val="24"/>
          <w:szCs w:val="32"/>
        </w:rPr>
      </w:pPr>
    </w:p>
    <w:p w14:paraId="76513D52">
      <w:pPr>
        <w:widowControl/>
        <w:spacing w:line="240" w:lineRule="auto"/>
        <w:jc w:val="left"/>
        <w:rPr>
          <w:sz w:val="24"/>
          <w:szCs w:val="32"/>
        </w:rPr>
      </w:pPr>
    </w:p>
    <w:p w14:paraId="1F4040E5">
      <w:pPr>
        <w:jc w:val="left"/>
        <w:rPr>
          <w:b/>
          <w:bCs/>
          <w:sz w:val="24"/>
          <w:szCs w:val="32"/>
          <w:lang w:val="en-GB"/>
        </w:rPr>
      </w:pPr>
      <w:r>
        <w:rPr>
          <w:b/>
          <w:bCs/>
          <w:sz w:val="24"/>
          <w:szCs w:val="32"/>
          <w:lang w:val="en-GB"/>
        </w:rPr>
        <w:t>Supplementary Table S1</w:t>
      </w:r>
      <w:r>
        <w:rPr>
          <w:sz w:val="24"/>
          <w:szCs w:val="32"/>
        </w:rPr>
        <w:t xml:space="preserve"> </w:t>
      </w:r>
      <w:r>
        <w:rPr>
          <w:b w:val="0"/>
          <w:bCs/>
          <w:sz w:val="24"/>
          <w:szCs w:val="32"/>
          <w:lang w:val="en-GB"/>
        </w:rPr>
        <w:t>Cryo-EM data collection, refinement, and validation statistics.</w:t>
      </w:r>
    </w:p>
    <w:p w14:paraId="1840BE0E">
      <w:pPr>
        <w:jc w:val="center"/>
        <w:rPr>
          <w:sz w:val="24"/>
          <w:szCs w:val="32"/>
        </w:rPr>
      </w:pPr>
    </w:p>
    <w:tbl>
      <w:tblPr>
        <w:tblStyle w:val="14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6"/>
        <w:gridCol w:w="425"/>
        <w:gridCol w:w="3544"/>
      </w:tblGrid>
      <w:tr w14:paraId="72A78E1E">
        <w:trPr>
          <w:jc w:val="center"/>
        </w:trPr>
        <w:tc>
          <w:tcPr>
            <w:tcW w:w="3686" w:type="dxa"/>
            <w:tcBorders>
              <w:left w:val="nil"/>
              <w:bottom w:val="single" w:color="auto" w:sz="4" w:space="0"/>
            </w:tcBorders>
          </w:tcPr>
          <w:p w14:paraId="06C7E85F">
            <w:pPr>
              <w:spacing w:before="100" w:beforeAutospacing="1" w:after="100" w:afterAutospacing="1" w:line="240" w:lineRule="auto"/>
              <w:ind w:left="360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  <w:t>Dataset</w:t>
            </w:r>
          </w:p>
        </w:tc>
        <w:tc>
          <w:tcPr>
            <w:tcW w:w="3969" w:type="dxa"/>
            <w:gridSpan w:val="2"/>
            <w:tcBorders>
              <w:bottom w:val="single" w:color="auto" w:sz="4" w:space="0"/>
              <w:right w:val="nil"/>
            </w:tcBorders>
          </w:tcPr>
          <w:p w14:paraId="3E2A2A5A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  <w:t>Human MON1A-CCZ1-RAB7A</w:t>
            </w:r>
            <w:r>
              <w:rPr>
                <w:rFonts w:eastAsia="宋体" w:cs="Times New Roman"/>
                <w:b/>
                <w:bCs/>
                <w:kern w:val="0"/>
                <w:sz w:val="24"/>
                <w:szCs w:val="24"/>
                <w:vertAlign w:val="superscript"/>
                <w:lang w:eastAsia="en-US"/>
              </w:rPr>
              <w:t>N125I</w:t>
            </w:r>
          </w:p>
        </w:tc>
      </w:tr>
      <w:tr w14:paraId="3203F6B7">
        <w:trPr>
          <w:gridAfter w:val="2"/>
          <w:wAfter w:w="3969" w:type="dxa"/>
          <w:jc w:val="center"/>
        </w:trPr>
        <w:tc>
          <w:tcPr>
            <w:tcW w:w="3686" w:type="dxa"/>
            <w:tcBorders>
              <w:top w:val="nil"/>
              <w:bottom w:val="nil"/>
            </w:tcBorders>
            <w:vAlign w:val="center"/>
          </w:tcPr>
          <w:p w14:paraId="2104036B">
            <w:pPr>
              <w:spacing w:before="100" w:beforeAutospacing="1" w:after="100" w:afterAutospacing="1" w:line="240" w:lineRule="auto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  <w:t>Data collection and processing</w:t>
            </w:r>
          </w:p>
        </w:tc>
      </w:tr>
      <w:tr w14:paraId="406CC40B">
        <w:trPr>
          <w:jc w:val="center"/>
        </w:trPr>
        <w:tc>
          <w:tcPr>
            <w:tcW w:w="3686" w:type="dxa"/>
            <w:tcBorders>
              <w:top w:val="nil"/>
              <w:bottom w:val="nil"/>
            </w:tcBorders>
            <w:vAlign w:val="center"/>
          </w:tcPr>
          <w:p w14:paraId="5D1C91F6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Magnification</w:t>
            </w:r>
          </w:p>
        </w:tc>
        <w:tc>
          <w:tcPr>
            <w:tcW w:w="3969" w:type="dxa"/>
            <w:gridSpan w:val="2"/>
            <w:tcBorders>
              <w:top w:val="nil"/>
              <w:bottom w:val="nil"/>
            </w:tcBorders>
          </w:tcPr>
          <w:p w14:paraId="2C186F26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 xml:space="preserve">    75,000</w:t>
            </w:r>
          </w:p>
        </w:tc>
      </w:tr>
      <w:tr w14:paraId="516A44D7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27A9BF87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Voltage (kV)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625563D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300</w:t>
            </w:r>
          </w:p>
        </w:tc>
      </w:tr>
      <w:tr w14:paraId="654D5F99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74DFCE69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Electron exposure (e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vertAlign w:val="superscript"/>
                <w:lang w:eastAsia="en-US"/>
              </w:rPr>
              <w:t>−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/</w:t>
            </w:r>
            <w:r>
              <w:rPr>
                <w:rFonts w:hint="default" w:eastAsia="宋体" w:cs="Times New Roman"/>
                <w:bCs/>
                <w:kern w:val="0"/>
                <w:sz w:val="24"/>
                <w:szCs w:val="24"/>
                <w:lang w:eastAsia="en-US"/>
              </w:rPr>
              <w:t>Å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vertAlign w:val="superscript"/>
                <w:lang w:eastAsia="en-US"/>
              </w:rPr>
              <w:t>2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8FE77F9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50</w:t>
            </w:r>
          </w:p>
        </w:tc>
      </w:tr>
      <w:tr w14:paraId="5ACFC6AC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6459701C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Defocus range (</w:t>
            </w:r>
            <w:r>
              <w:rPr>
                <w:rFonts w:hint="default" w:eastAsia="宋体" w:cs="Times New Roman"/>
                <w:bCs/>
                <w:kern w:val="0"/>
                <w:sz w:val="24"/>
                <w:szCs w:val="24"/>
                <w:lang w:eastAsia="en-US"/>
              </w:rPr>
              <w:t>μ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62EC1DB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 xml:space="preserve">−1.5 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sym w:font="Symbol" w:char="F02D"/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 xml:space="preserve"> −2.5</w:t>
            </w:r>
          </w:p>
        </w:tc>
      </w:tr>
      <w:tr w14:paraId="1902A0EE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7005A5B3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Pixel size (Å)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3B2AF7A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1.036</w:t>
            </w:r>
          </w:p>
        </w:tc>
      </w:tr>
      <w:tr w14:paraId="331136A8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14E49A7D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Micrographs (no.)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1076097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6,406</w:t>
            </w:r>
          </w:p>
        </w:tc>
      </w:tr>
      <w:tr w14:paraId="4AB25F8C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366A8E8B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Symmetry imposed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0EB3739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C1</w:t>
            </w:r>
          </w:p>
        </w:tc>
      </w:tr>
      <w:tr w14:paraId="76B27955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38084F88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Final particle images (no.)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1DFEDCC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492,272</w:t>
            </w:r>
          </w:p>
        </w:tc>
      </w:tr>
      <w:tr w14:paraId="189EFCCA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37E5A3FF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Map resolution (</w:t>
            </w:r>
            <w:r>
              <w:rPr>
                <w:rFonts w:hint="default" w:eastAsia="宋体" w:cs="Times New Roman"/>
                <w:bCs/>
                <w:kern w:val="0"/>
                <w:sz w:val="24"/>
                <w:szCs w:val="24"/>
                <w:lang w:eastAsia="en-US"/>
              </w:rPr>
              <w:t>Å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) 0.143 FSC threshold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7FD139AF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2.85</w:t>
            </w:r>
          </w:p>
        </w:tc>
      </w:tr>
      <w:tr w14:paraId="0696F368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2654A1C8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Map sharpening B factor (</w:t>
            </w:r>
            <w:r>
              <w:rPr>
                <w:rFonts w:hint="default" w:eastAsia="宋体" w:cs="Times New Roman"/>
                <w:bCs/>
                <w:kern w:val="0"/>
                <w:sz w:val="24"/>
                <w:szCs w:val="24"/>
                <w:lang w:eastAsia="en-US"/>
              </w:rPr>
              <w:t>Å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vertAlign w:val="superscript"/>
                <w:lang w:eastAsia="en-US"/>
              </w:rPr>
              <w:t>2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7CF4BAD">
            <w:pPr>
              <w:spacing w:before="100" w:beforeAutospacing="1" w:after="100" w:afterAutospacing="1" w:line="240" w:lineRule="auto"/>
              <w:ind w:right="480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 xml:space="preserve">   −130.4</w:t>
            </w:r>
          </w:p>
        </w:tc>
      </w:tr>
      <w:tr w14:paraId="3EE56690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  <w:vAlign w:val="center"/>
          </w:tcPr>
          <w:p w14:paraId="6804A22A">
            <w:pPr>
              <w:spacing w:before="100" w:beforeAutospacing="1" w:after="100" w:afterAutospacing="1" w:line="240" w:lineRule="auto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  <w:t>Refinement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4CE06BE">
            <w:pPr>
              <w:spacing w:before="100" w:beforeAutospacing="1" w:after="100" w:afterAutospacing="1" w:line="240" w:lineRule="auto"/>
              <w:jc w:val="right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</w:tr>
      <w:tr w14:paraId="69DA70BF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019C7D5B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Model composition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6B81B3C5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</w:tr>
      <w:tr w14:paraId="7E6300E2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7C242F11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Chain count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32E9DA8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3</w:t>
            </w:r>
          </w:p>
        </w:tc>
      </w:tr>
      <w:tr w14:paraId="27B11A67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3725C98D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Non-hydrogen atoms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FB1EBD5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8,084</w:t>
            </w:r>
          </w:p>
        </w:tc>
      </w:tr>
      <w:tr w14:paraId="4B09A622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504EBAF5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Protein residues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767252A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993</w:t>
            </w:r>
          </w:p>
        </w:tc>
      </w:tr>
      <w:tr w14:paraId="5D4D275F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4C373327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Ligands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CB23FF9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0</w:t>
            </w:r>
          </w:p>
        </w:tc>
      </w:tr>
      <w:tr w14:paraId="4AB94E8A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73EC4159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B factors (Å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vertAlign w:val="superscript"/>
                <w:lang w:eastAsia="en-US"/>
              </w:rPr>
              <w:t>2</w:t>
            </w: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993EB5E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</w:p>
        </w:tc>
      </w:tr>
      <w:tr w14:paraId="743E8D52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4206D25C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 xml:space="preserve">Proteins 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AC0DF2D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40.90</w:t>
            </w:r>
          </w:p>
        </w:tc>
      </w:tr>
      <w:tr w14:paraId="4B10ADE5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1EC08A09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Nucleotide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B7C4FDD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---</w:t>
            </w:r>
          </w:p>
        </w:tc>
      </w:tr>
      <w:tr w14:paraId="58992ABA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59EC1783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R.m.s deviations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14ED6F4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</w:tr>
      <w:tr w14:paraId="3D1D8416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0709047B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Bond lengths (Å)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FFD8D2A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0.004</w:t>
            </w:r>
          </w:p>
        </w:tc>
      </w:tr>
      <w:tr w14:paraId="3C0170E4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30611530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Bond angles (°)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7769A12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0.591</w:t>
            </w:r>
          </w:p>
        </w:tc>
      </w:tr>
      <w:tr w14:paraId="113B1700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1E54B831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Validation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32AEFB7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</w:tr>
      <w:tr w14:paraId="287513EB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22EE1479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MolProbity score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29425A6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2.24</w:t>
            </w:r>
          </w:p>
        </w:tc>
      </w:tr>
      <w:tr w14:paraId="7741DC76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2E89E435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Clash score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B0483D1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10.02</w:t>
            </w:r>
          </w:p>
        </w:tc>
      </w:tr>
      <w:tr w14:paraId="2D6D7ED9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34B39E84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Poor rotamers (%)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69D50D56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3.84</w:t>
            </w:r>
          </w:p>
        </w:tc>
      </w:tr>
      <w:tr w14:paraId="0EC099BD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5CA8262B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Ramachandran plot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9CD2992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</w:tr>
      <w:tr w14:paraId="60D9725E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0DD69705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Favored (%)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C6C467F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96</w:t>
            </w:r>
          </w:p>
        </w:tc>
      </w:tr>
      <w:tr w14:paraId="0DC8E88E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11056023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Allowed (%)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645C5FB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3.69</w:t>
            </w:r>
          </w:p>
        </w:tc>
      </w:tr>
      <w:tr w14:paraId="251D7EA2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6F8E562A">
            <w:pPr>
              <w:spacing w:before="100" w:beforeAutospacing="1" w:after="100" w:afterAutospacing="1" w:line="240" w:lineRule="auto"/>
              <w:ind w:left="720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Outlier (%)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28C8D82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0.31</w:t>
            </w:r>
          </w:p>
        </w:tc>
      </w:tr>
      <w:tr w14:paraId="6358C03C">
        <w:trPr>
          <w:jc w:val="center"/>
        </w:trPr>
        <w:tc>
          <w:tcPr>
            <w:tcW w:w="4111" w:type="dxa"/>
            <w:gridSpan w:val="2"/>
            <w:tcBorders>
              <w:top w:val="nil"/>
              <w:bottom w:val="nil"/>
            </w:tcBorders>
          </w:tcPr>
          <w:p w14:paraId="778FCE7C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PDB code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62F16FBE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9LOL</w:t>
            </w:r>
          </w:p>
        </w:tc>
      </w:tr>
      <w:tr w14:paraId="2292684B">
        <w:trPr>
          <w:jc w:val="center"/>
        </w:trPr>
        <w:tc>
          <w:tcPr>
            <w:tcW w:w="4111" w:type="dxa"/>
            <w:gridSpan w:val="2"/>
            <w:tcBorders>
              <w:top w:val="nil"/>
            </w:tcBorders>
          </w:tcPr>
          <w:p w14:paraId="5ED3B36F">
            <w:pPr>
              <w:spacing w:before="100" w:beforeAutospacing="1" w:after="100" w:afterAutospacing="1" w:line="240" w:lineRule="auto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EMDB code</w:t>
            </w:r>
          </w:p>
        </w:tc>
        <w:tc>
          <w:tcPr>
            <w:tcW w:w="3544" w:type="dxa"/>
            <w:tcBorders>
              <w:top w:val="nil"/>
            </w:tcBorders>
            <w:vAlign w:val="center"/>
          </w:tcPr>
          <w:p w14:paraId="7A9789E7">
            <w:pPr>
              <w:spacing w:before="100" w:beforeAutospacing="1" w:after="100" w:afterAutospacing="1" w:line="240" w:lineRule="auto"/>
              <w:jc w:val="center"/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宋体" w:cs="Times New Roman"/>
                <w:bCs/>
                <w:kern w:val="0"/>
                <w:sz w:val="24"/>
                <w:szCs w:val="24"/>
                <w:lang w:eastAsia="en-US"/>
              </w:rPr>
              <w:t>EMD-63249</w:t>
            </w:r>
          </w:p>
        </w:tc>
      </w:tr>
    </w:tbl>
    <w:p w14:paraId="560DCDAB"/>
    <w:sectPr>
      <w:footerReference r:id="rId5" w:type="default"/>
      <w:footerReference r:id="rId6" w:type="even"/>
      <w:pgSz w:w="11906" w:h="16838"/>
      <w:pgMar w:top="1191" w:right="1191" w:bottom="1191" w:left="119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儷宋 Pro">
    <w:panose1 w:val="02020300000000000000"/>
    <w:charset w:val="88"/>
    <w:family w:val="roman"/>
    <w:pitch w:val="default"/>
    <w:sig w:usb0="80000001" w:usb1="28091800" w:usb2="00000016" w:usb3="00000000" w:csb0="00100000" w:csb1="00000000"/>
  </w:font>
  <w:font w:name="Times New Roman (正文 CS 字体)">
    <w:altName w:val="Times New Roman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Helvetica">
    <w:panose1 w:val="00000000000000000000"/>
    <w:charset w:val="00"/>
    <w:family w:val="swiss"/>
    <w:pitch w:val="default"/>
    <w:sig w:usb0="E00002FF" w:usb1="5000785B" w:usb2="00000000" w:usb3="00000000" w:csb0="2000019F" w:csb1="4F01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3DB779">
    <w:pPr>
      <w:pStyle w:val="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0"/>
      </w:rPr>
      <w:id w:val="-1"/>
    </w:sdtPr>
    <w:sdtEndPr>
      <w:rPr>
        <w:rStyle w:val="10"/>
      </w:rPr>
    </w:sdtEndPr>
    <w:sdtContent>
      <w:p w14:paraId="7E56CC4A">
        <w:pPr>
          <w:pStyle w:val="5"/>
          <w:framePr w:wrap="auto" w:vAnchor="text" w:hAnchor="margin" w:xAlign="right" w:y="1"/>
          <w:rPr>
            <w:rStyle w:val="10"/>
          </w:rPr>
        </w:pPr>
        <w:r>
          <w:rPr>
            <w:rStyle w:val="10"/>
          </w:rPr>
          <w:fldChar w:fldCharType="begin"/>
        </w:r>
        <w:r>
          <w:rPr>
            <w:rStyle w:val="10"/>
          </w:rPr>
          <w:instrText xml:space="preserve"> PAGE </w:instrText>
        </w:r>
        <w:r>
          <w:rPr>
            <w:rStyle w:val="10"/>
          </w:rPr>
          <w:fldChar w:fldCharType="end"/>
        </w:r>
      </w:p>
    </w:sdtContent>
  </w:sdt>
  <w:p w14:paraId="62E82945">
    <w:pPr>
      <w:pStyle w:val="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F7"/>
    <w:rsid w:val="000204F3"/>
    <w:rsid w:val="00023D16"/>
    <w:rsid w:val="00027404"/>
    <w:rsid w:val="00030381"/>
    <w:rsid w:val="000329C2"/>
    <w:rsid w:val="00040968"/>
    <w:rsid w:val="00041155"/>
    <w:rsid w:val="0004713D"/>
    <w:rsid w:val="00047CCE"/>
    <w:rsid w:val="0005233C"/>
    <w:rsid w:val="000604EB"/>
    <w:rsid w:val="000B3950"/>
    <w:rsid w:val="000B50AB"/>
    <w:rsid w:val="000C685A"/>
    <w:rsid w:val="000D0182"/>
    <w:rsid w:val="000D07E4"/>
    <w:rsid w:val="000D7030"/>
    <w:rsid w:val="00120705"/>
    <w:rsid w:val="00126A63"/>
    <w:rsid w:val="00166249"/>
    <w:rsid w:val="00166261"/>
    <w:rsid w:val="00191D1B"/>
    <w:rsid w:val="00197B06"/>
    <w:rsid w:val="001A719B"/>
    <w:rsid w:val="001C03D7"/>
    <w:rsid w:val="001C070D"/>
    <w:rsid w:val="001D185C"/>
    <w:rsid w:val="001D4161"/>
    <w:rsid w:val="001E5CDB"/>
    <w:rsid w:val="001F5EC8"/>
    <w:rsid w:val="002009D3"/>
    <w:rsid w:val="00211144"/>
    <w:rsid w:val="00221C3B"/>
    <w:rsid w:val="002237D3"/>
    <w:rsid w:val="002304E0"/>
    <w:rsid w:val="00234EB4"/>
    <w:rsid w:val="00252D66"/>
    <w:rsid w:val="00277FC9"/>
    <w:rsid w:val="002A6CEE"/>
    <w:rsid w:val="002B098D"/>
    <w:rsid w:val="002C3703"/>
    <w:rsid w:val="002F52D1"/>
    <w:rsid w:val="002F73B7"/>
    <w:rsid w:val="00330074"/>
    <w:rsid w:val="00330BCA"/>
    <w:rsid w:val="003336B2"/>
    <w:rsid w:val="00335D56"/>
    <w:rsid w:val="003375BA"/>
    <w:rsid w:val="00365ADC"/>
    <w:rsid w:val="00382CD9"/>
    <w:rsid w:val="003C3287"/>
    <w:rsid w:val="003C39B4"/>
    <w:rsid w:val="003D1FD1"/>
    <w:rsid w:val="003D2EEF"/>
    <w:rsid w:val="003D38E5"/>
    <w:rsid w:val="003D6A35"/>
    <w:rsid w:val="003F59EC"/>
    <w:rsid w:val="003F5A72"/>
    <w:rsid w:val="004110A9"/>
    <w:rsid w:val="0042357E"/>
    <w:rsid w:val="00423961"/>
    <w:rsid w:val="0042542E"/>
    <w:rsid w:val="00427140"/>
    <w:rsid w:val="00432BC7"/>
    <w:rsid w:val="004544C6"/>
    <w:rsid w:val="00472CB0"/>
    <w:rsid w:val="00475F07"/>
    <w:rsid w:val="00486FC6"/>
    <w:rsid w:val="004A6C82"/>
    <w:rsid w:val="004C0110"/>
    <w:rsid w:val="004C2AAC"/>
    <w:rsid w:val="004C4533"/>
    <w:rsid w:val="004E1AAB"/>
    <w:rsid w:val="004E448C"/>
    <w:rsid w:val="004F1CCA"/>
    <w:rsid w:val="00507BD7"/>
    <w:rsid w:val="0051625C"/>
    <w:rsid w:val="005209DA"/>
    <w:rsid w:val="00522E7C"/>
    <w:rsid w:val="005301E7"/>
    <w:rsid w:val="0053600F"/>
    <w:rsid w:val="00540451"/>
    <w:rsid w:val="0056786F"/>
    <w:rsid w:val="00595B37"/>
    <w:rsid w:val="005A1928"/>
    <w:rsid w:val="005A67B0"/>
    <w:rsid w:val="005C1BB3"/>
    <w:rsid w:val="005D0038"/>
    <w:rsid w:val="005E1B78"/>
    <w:rsid w:val="005F1B95"/>
    <w:rsid w:val="00614951"/>
    <w:rsid w:val="006455CE"/>
    <w:rsid w:val="006645BF"/>
    <w:rsid w:val="006654A4"/>
    <w:rsid w:val="00691E06"/>
    <w:rsid w:val="006A4A06"/>
    <w:rsid w:val="006B08AD"/>
    <w:rsid w:val="006B3114"/>
    <w:rsid w:val="006C0E8D"/>
    <w:rsid w:val="006C5102"/>
    <w:rsid w:val="006F3101"/>
    <w:rsid w:val="00742D72"/>
    <w:rsid w:val="00743501"/>
    <w:rsid w:val="00743AF7"/>
    <w:rsid w:val="00796366"/>
    <w:rsid w:val="007A4C01"/>
    <w:rsid w:val="007B3E4A"/>
    <w:rsid w:val="007C56D8"/>
    <w:rsid w:val="007D76A9"/>
    <w:rsid w:val="007E04F7"/>
    <w:rsid w:val="007F76F1"/>
    <w:rsid w:val="0082568E"/>
    <w:rsid w:val="0084036E"/>
    <w:rsid w:val="00843003"/>
    <w:rsid w:val="0089276B"/>
    <w:rsid w:val="008953F5"/>
    <w:rsid w:val="008975A8"/>
    <w:rsid w:val="008C07B2"/>
    <w:rsid w:val="008C62F1"/>
    <w:rsid w:val="008D744B"/>
    <w:rsid w:val="008E0029"/>
    <w:rsid w:val="00911319"/>
    <w:rsid w:val="00914AF7"/>
    <w:rsid w:val="00920B71"/>
    <w:rsid w:val="00920DA7"/>
    <w:rsid w:val="0092285E"/>
    <w:rsid w:val="009310EB"/>
    <w:rsid w:val="00934DC8"/>
    <w:rsid w:val="00943B38"/>
    <w:rsid w:val="0095671C"/>
    <w:rsid w:val="0095692B"/>
    <w:rsid w:val="009853D0"/>
    <w:rsid w:val="00994B0B"/>
    <w:rsid w:val="009A055C"/>
    <w:rsid w:val="009B0E7D"/>
    <w:rsid w:val="009B5937"/>
    <w:rsid w:val="009C250C"/>
    <w:rsid w:val="009D648B"/>
    <w:rsid w:val="009D68FB"/>
    <w:rsid w:val="00A061AE"/>
    <w:rsid w:val="00A2372C"/>
    <w:rsid w:val="00A30991"/>
    <w:rsid w:val="00A54B17"/>
    <w:rsid w:val="00A94DF2"/>
    <w:rsid w:val="00AA1FA1"/>
    <w:rsid w:val="00AA5746"/>
    <w:rsid w:val="00AC35FC"/>
    <w:rsid w:val="00AD1D24"/>
    <w:rsid w:val="00AD74C9"/>
    <w:rsid w:val="00AE23AC"/>
    <w:rsid w:val="00B07F8A"/>
    <w:rsid w:val="00B34CA3"/>
    <w:rsid w:val="00B60D6B"/>
    <w:rsid w:val="00B619F2"/>
    <w:rsid w:val="00B655CF"/>
    <w:rsid w:val="00BA33C6"/>
    <w:rsid w:val="00BD4D95"/>
    <w:rsid w:val="00C07EF5"/>
    <w:rsid w:val="00C241E8"/>
    <w:rsid w:val="00C3689A"/>
    <w:rsid w:val="00C5170B"/>
    <w:rsid w:val="00C61E74"/>
    <w:rsid w:val="00C67F0B"/>
    <w:rsid w:val="00C9198D"/>
    <w:rsid w:val="00CA5DBA"/>
    <w:rsid w:val="00CB157B"/>
    <w:rsid w:val="00CC6F29"/>
    <w:rsid w:val="00CD0836"/>
    <w:rsid w:val="00CD633F"/>
    <w:rsid w:val="00CD7D99"/>
    <w:rsid w:val="00D158B3"/>
    <w:rsid w:val="00D2640A"/>
    <w:rsid w:val="00D36BA5"/>
    <w:rsid w:val="00D42735"/>
    <w:rsid w:val="00D53E36"/>
    <w:rsid w:val="00D56803"/>
    <w:rsid w:val="00D72BD0"/>
    <w:rsid w:val="00D83976"/>
    <w:rsid w:val="00D95FAF"/>
    <w:rsid w:val="00DB0F20"/>
    <w:rsid w:val="00DB3AAF"/>
    <w:rsid w:val="00DD1335"/>
    <w:rsid w:val="00DD54D8"/>
    <w:rsid w:val="00DF04F9"/>
    <w:rsid w:val="00E01EFC"/>
    <w:rsid w:val="00E0478F"/>
    <w:rsid w:val="00E32E57"/>
    <w:rsid w:val="00E413A0"/>
    <w:rsid w:val="00E5260C"/>
    <w:rsid w:val="00E5507D"/>
    <w:rsid w:val="00E7189D"/>
    <w:rsid w:val="00E7685B"/>
    <w:rsid w:val="00E81E3D"/>
    <w:rsid w:val="00EA0DFA"/>
    <w:rsid w:val="00EA3CBC"/>
    <w:rsid w:val="00EB23D7"/>
    <w:rsid w:val="00EB7154"/>
    <w:rsid w:val="00EC09AC"/>
    <w:rsid w:val="00EE6633"/>
    <w:rsid w:val="00F02EF0"/>
    <w:rsid w:val="00F109B4"/>
    <w:rsid w:val="00F11393"/>
    <w:rsid w:val="00F156B4"/>
    <w:rsid w:val="00F3695F"/>
    <w:rsid w:val="00F5558C"/>
    <w:rsid w:val="00F5651D"/>
    <w:rsid w:val="00F60CE2"/>
    <w:rsid w:val="00F71796"/>
    <w:rsid w:val="00F86F46"/>
    <w:rsid w:val="00F92673"/>
    <w:rsid w:val="00FC13BC"/>
    <w:rsid w:val="00FC4152"/>
    <w:rsid w:val="00FE41F5"/>
    <w:rsid w:val="00FF5D13"/>
    <w:rsid w:val="1EBFC701"/>
    <w:rsid w:val="3DAE1152"/>
    <w:rsid w:val="7BEE4B2D"/>
    <w:rsid w:val="7E7964CF"/>
    <w:rsid w:val="7F7FCDCD"/>
    <w:rsid w:val="7FDF00EB"/>
    <w:rsid w:val="DFDCB9E2"/>
    <w:rsid w:val="F9FFB7B4"/>
    <w:rsid w:val="FB62DDFF"/>
    <w:rsid w:val="FBF570A1"/>
    <w:rsid w:val="FDF5D7CC"/>
    <w:rsid w:val="FFD970D9"/>
    <w:rsid w:val="FFFCF80F"/>
    <w:rsid w:val="FFFF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儷宋 Pro" w:cs="Times New Roman (正文 CS 字体)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24"/>
      <w:szCs w:val="44"/>
      <w14:ligatures w14:val="standardContextual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1"/>
    <w:semiHidden/>
    <w:unhideWhenUsed/>
    <w:uiPriority w:val="99"/>
    <w:pPr>
      <w:jc w:val="left"/>
    </w:pPr>
  </w:style>
  <w:style w:type="paragraph" w:styleId="4">
    <w:name w:val="Balloon Text"/>
    <w:basedOn w:val="1"/>
    <w:link w:val="24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rPr>
      <w:sz w:val="24"/>
    </w:rPr>
  </w:style>
  <w:style w:type="paragraph" w:styleId="7">
    <w:name w:val="annotation subject"/>
    <w:basedOn w:val="3"/>
    <w:next w:val="3"/>
    <w:link w:val="22"/>
    <w:semiHidden/>
    <w:unhideWhenUsed/>
    <w:uiPriority w:val="99"/>
    <w:rPr>
      <w:b/>
      <w:bCs/>
    </w:rPr>
  </w:style>
  <w:style w:type="character" w:styleId="10">
    <w:name w:val="page number"/>
    <w:basedOn w:val="9"/>
    <w:semiHidden/>
    <w:unhideWhenUsed/>
    <w:uiPriority w:val="99"/>
  </w:style>
  <w:style w:type="character" w:styleId="11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2">
    <w:name w:val="标题 1 Char"/>
    <w:basedOn w:val="9"/>
    <w:link w:val="2"/>
    <w:uiPriority w:val="9"/>
    <w:rPr>
      <w:rFonts w:ascii="Times New Roman" w:hAnsi="Times New Roman" w:eastAsia="儷宋 Pro" w:cs="Times New Roman (正文 CS 字体)"/>
      <w:b/>
      <w:bCs/>
      <w:kern w:val="44"/>
      <w:sz w:val="24"/>
      <w:szCs w:val="44"/>
    </w:rPr>
  </w:style>
  <w:style w:type="character" w:customStyle="1" w:styleId="13">
    <w:name w:val="页脚 Char"/>
    <w:basedOn w:val="9"/>
    <w:link w:val="5"/>
    <w:uiPriority w:val="99"/>
    <w:rPr>
      <w:rFonts w:ascii="Times New Roman" w:hAnsi="Times New Roman" w:eastAsia="儷宋 Pro" w:cs="Times New Roman (正文 CS 字体)"/>
      <w:sz w:val="18"/>
      <w:szCs w:val="18"/>
      <w14:ligatures w14:val="none"/>
    </w:rPr>
  </w:style>
  <w:style w:type="table" w:customStyle="1" w:styleId="14">
    <w:name w:val="Table Grid1"/>
    <w:basedOn w:val="8"/>
    <w:uiPriority w:val="0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Correspondence details"/>
    <w:basedOn w:val="1"/>
    <w:uiPriority w:val="0"/>
    <w:pPr>
      <w:widowControl/>
      <w:spacing w:before="240" w:afterAutospacing="1"/>
      <w:jc w:val="left"/>
    </w:pPr>
    <w:rPr>
      <w:rFonts w:eastAsia="宋体" w:cs="Times New Roman"/>
      <w:kern w:val="0"/>
      <w:sz w:val="24"/>
      <w:szCs w:val="24"/>
    </w:rPr>
  </w:style>
  <w:style w:type="paragraph" w:customStyle="1" w:styleId="17">
    <w:name w:val="Affiliation"/>
    <w:basedOn w:val="1"/>
    <w:uiPriority w:val="0"/>
    <w:pPr>
      <w:widowControl/>
      <w:spacing w:before="240" w:afterAutospacing="1"/>
      <w:jc w:val="left"/>
    </w:pPr>
    <w:rPr>
      <w:rFonts w:eastAsia="宋体" w:cs="Times New Roman"/>
      <w:i/>
      <w:kern w:val="0"/>
      <w:sz w:val="24"/>
      <w:szCs w:val="24"/>
    </w:rPr>
  </w:style>
  <w:style w:type="paragraph" w:customStyle="1" w:styleId="18">
    <w:name w:val="Author names"/>
    <w:basedOn w:val="1"/>
    <w:next w:val="1"/>
    <w:uiPriority w:val="0"/>
    <w:pPr>
      <w:widowControl/>
      <w:spacing w:before="240" w:afterAutospacing="1"/>
      <w:jc w:val="left"/>
    </w:pPr>
    <w:rPr>
      <w:rFonts w:eastAsia="宋体" w:cs="Times New Roman"/>
      <w:kern w:val="0"/>
      <w:sz w:val="28"/>
      <w:szCs w:val="28"/>
    </w:rPr>
  </w:style>
  <w:style w:type="paragraph" w:customStyle="1" w:styleId="19">
    <w:name w:val="p1"/>
    <w:basedOn w:val="1"/>
    <w:uiPriority w:val="0"/>
    <w:pPr>
      <w:jc w:val="left"/>
    </w:pPr>
    <w:rPr>
      <w:rFonts w:ascii="Helvetica" w:hAnsi="Helvetica" w:eastAsia="Helvetica" w:cs="Times New Roman"/>
      <w:kern w:val="0"/>
      <w:sz w:val="12"/>
      <w:szCs w:val="12"/>
    </w:rPr>
  </w:style>
  <w:style w:type="paragraph" w:customStyle="1" w:styleId="20">
    <w:name w:val="修订1"/>
    <w:hidden/>
    <w:unhideWhenUsed/>
    <w:uiPriority w:val="99"/>
    <w:rPr>
      <w:rFonts w:ascii="Times New Roman" w:hAnsi="Times New Roman" w:eastAsia="儷宋 Pro" w:cs="Times New Roman (正文 CS 字体)"/>
      <w:kern w:val="2"/>
      <w:sz w:val="21"/>
      <w:szCs w:val="21"/>
      <w:lang w:val="en-US" w:eastAsia="zh-CN" w:bidi="ar-SA"/>
    </w:rPr>
  </w:style>
  <w:style w:type="character" w:customStyle="1" w:styleId="21">
    <w:name w:val="批注文字 Char"/>
    <w:basedOn w:val="9"/>
    <w:link w:val="3"/>
    <w:semiHidden/>
    <w:uiPriority w:val="99"/>
    <w:rPr>
      <w:rFonts w:ascii="Times New Roman" w:hAnsi="Times New Roman" w:eastAsia="儷宋 Pro" w:cs="Times New Roman (正文 CS 字体)"/>
      <w:kern w:val="2"/>
      <w:sz w:val="21"/>
      <w:szCs w:val="21"/>
    </w:rPr>
  </w:style>
  <w:style w:type="character" w:customStyle="1" w:styleId="22">
    <w:name w:val="批注主题 Char"/>
    <w:basedOn w:val="21"/>
    <w:link w:val="7"/>
    <w:semiHidden/>
    <w:uiPriority w:val="99"/>
    <w:rPr>
      <w:rFonts w:ascii="Times New Roman" w:hAnsi="Times New Roman" w:eastAsia="儷宋 Pro" w:cs="Times New Roman (正文 CS 字体)"/>
      <w:b/>
      <w:bCs/>
      <w:kern w:val="2"/>
      <w:sz w:val="21"/>
      <w:szCs w:val="21"/>
    </w:rPr>
  </w:style>
  <w:style w:type="paragraph" w:customStyle="1" w:styleId="23">
    <w:name w:val="Revision"/>
    <w:hidden/>
    <w:unhideWhenUsed/>
    <w:uiPriority w:val="99"/>
    <w:rPr>
      <w:rFonts w:ascii="Times New Roman" w:hAnsi="Times New Roman" w:eastAsia="儷宋 Pro" w:cs="Times New Roman (正文 CS 字体)"/>
      <w:kern w:val="2"/>
      <w:sz w:val="21"/>
      <w:szCs w:val="21"/>
      <w:lang w:val="en-US" w:eastAsia="zh-CN" w:bidi="ar-SA"/>
    </w:rPr>
  </w:style>
  <w:style w:type="character" w:customStyle="1" w:styleId="24">
    <w:name w:val="批注框文本 Char"/>
    <w:basedOn w:val="9"/>
    <w:link w:val="4"/>
    <w:semiHidden/>
    <w:uiPriority w:val="99"/>
    <w:rPr>
      <w:rFonts w:eastAsia="儷宋 Pro" w:cs="Times New Roman (正文 CS 字体)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1230</Words>
  <Characters>7012</Characters>
  <Lines>58</Lines>
  <Paragraphs>16</Paragraphs>
  <TotalTime>170</TotalTime>
  <ScaleCrop>false</ScaleCrop>
  <LinksUpToDate>false</LinksUpToDate>
  <CharactersWithSpaces>8226</CharactersWithSpaces>
  <Application>WPS Office_7.4.1.8983_F1E327BC-269C-435d-A152-05C5408002CA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2025-04-05T22:14:00Z</dcterms:created>
  <dc:creator>office</dc:creator>
  <cp:lastModifiedBy>zhx</cp:lastModifiedBy>
  <cp:lastPrinted>2025-04-05T22:14:00Z</cp:lastPrinted>
  <dcterms:modified xsi:type="dcterms:W3CDTF">2025-05-19T15:19:16Z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39C14E820F471E7B6F41B467C7E3C5CF_42</vt:lpwstr>
  </property>
</Properties>
</file>