
<file path=[Content_Types].xml><?xml version="1.0" encoding="utf-8"?>
<Types xmlns="http://schemas.openxmlformats.org/package/2006/content-types">
  <Default Extension="tiff" ContentType="image/tiff"/>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0374044">
      <w:pPr>
        <w:spacing w:line="360" w:lineRule="auto"/>
        <w:jc w:val="both"/>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Supplementary Information</w:t>
      </w:r>
    </w:p>
    <w:p w14:paraId="3B2C1832">
      <w:pPr>
        <w:spacing w:line="360" w:lineRule="auto"/>
        <w:jc w:val="both"/>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Methods</w:t>
      </w:r>
    </w:p>
    <w:p w14:paraId="25A8F974">
      <w:pPr>
        <w:spacing w:line="360" w:lineRule="auto"/>
        <w:jc w:val="both"/>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Datasets included in this study </w:t>
      </w:r>
    </w:p>
    <w:p w14:paraId="5E768EF6">
      <w:pPr>
        <w:spacing w:line="360" w:lineRule="auto"/>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The raw sequencing data used in this study include mouse hypothalamus data (GSE217677) from Huang </w:t>
      </w:r>
      <w:r>
        <w:rPr>
          <w:rFonts w:ascii="Arial" w:hAnsi="Arial" w:cs="Arial"/>
          <w:i/>
          <w:iCs/>
          <w:color w:val="000000" w:themeColor="text1"/>
          <w:sz w:val="22"/>
          <w:szCs w:val="22"/>
          <w14:textFill>
            <w14:solidFill>
              <w14:schemeClr w14:val="tx1"/>
            </w14:solidFill>
          </w14:textFill>
        </w:rPr>
        <w:t>et al.</w:t>
      </w:r>
      <w:r>
        <w:rPr>
          <w:rFonts w:ascii="Arial" w:hAnsi="Arial" w:cs="Arial"/>
          <w:color w:val="000000" w:themeColor="text1"/>
          <w:sz w:val="22"/>
          <w:szCs w:val="22"/>
          <w14:textFill>
            <w14:solidFill>
              <w14:schemeClr w14:val="tx1"/>
            </w14:solidFill>
          </w14:textFill>
        </w:rPr>
        <w:t xml:space="preserve"> [18], human white adipose tissue data (GSE225700) from Massier </w:t>
      </w:r>
      <w:r>
        <w:rPr>
          <w:rFonts w:ascii="Arial" w:hAnsi="Arial" w:cs="Arial"/>
          <w:i/>
          <w:iCs/>
          <w:color w:val="000000" w:themeColor="text1"/>
          <w:sz w:val="22"/>
          <w:szCs w:val="22"/>
          <w14:textFill>
            <w14:solidFill>
              <w14:schemeClr w14:val="tx1"/>
            </w14:solidFill>
          </w14:textFill>
        </w:rPr>
        <w:t>et al.</w:t>
      </w:r>
      <w:r>
        <w:rPr>
          <w:rFonts w:ascii="Arial" w:hAnsi="Arial" w:cs="Arial"/>
          <w:color w:val="000000" w:themeColor="text1"/>
          <w:sz w:val="22"/>
          <w:szCs w:val="22"/>
          <w14:textFill>
            <w14:solidFill>
              <w14:schemeClr w14:val="tx1"/>
            </w14:solidFill>
          </w14:textFill>
        </w:rPr>
        <w:t xml:space="preserve"> [6], human liver data (GSE202379) from Gribben </w:t>
      </w:r>
      <w:r>
        <w:rPr>
          <w:rFonts w:ascii="Arial" w:hAnsi="Arial" w:cs="Arial"/>
          <w:i/>
          <w:iCs/>
          <w:color w:val="000000" w:themeColor="text1"/>
          <w:sz w:val="22"/>
          <w:szCs w:val="22"/>
          <w14:textFill>
            <w14:solidFill>
              <w14:schemeClr w14:val="tx1"/>
            </w14:solidFill>
          </w14:textFill>
        </w:rPr>
        <w:t>et al.</w:t>
      </w:r>
      <w:r>
        <w:rPr>
          <w:rFonts w:ascii="Arial" w:hAnsi="Arial" w:cs="Arial"/>
          <w:color w:val="000000" w:themeColor="text1"/>
          <w:sz w:val="22"/>
          <w:szCs w:val="22"/>
          <w14:textFill>
            <w14:solidFill>
              <w14:schemeClr w14:val="tx1"/>
            </w14:solidFill>
          </w14:textFill>
        </w:rPr>
        <w:t xml:space="preserve"> [20], and both human (PRJNA772047) and mouse muscle data (PRJNA771932) from Scripture-Adams </w:t>
      </w:r>
      <w:r>
        <w:rPr>
          <w:rFonts w:ascii="Arial" w:hAnsi="Arial" w:cs="Arial"/>
          <w:i/>
          <w:iCs/>
          <w:color w:val="000000" w:themeColor="text1"/>
          <w:sz w:val="22"/>
          <w:szCs w:val="22"/>
          <w14:textFill>
            <w14:solidFill>
              <w14:schemeClr w14:val="tx1"/>
            </w14:solidFill>
          </w14:textFill>
        </w:rPr>
        <w:t>et al.</w:t>
      </w:r>
      <w:r>
        <w:rPr>
          <w:rFonts w:ascii="Arial" w:hAnsi="Arial" w:cs="Arial"/>
          <w:color w:val="000000" w:themeColor="text1"/>
          <w:sz w:val="22"/>
          <w:szCs w:val="22"/>
          <w14:textFill>
            <w14:solidFill>
              <w14:schemeClr w14:val="tx1"/>
            </w14:solidFill>
          </w14:textFill>
        </w:rPr>
        <w:t xml:space="preserve"> [7].</w:t>
      </w:r>
    </w:p>
    <w:p w14:paraId="05575993">
      <w:pPr>
        <w:spacing w:line="360" w:lineRule="auto"/>
        <w:jc w:val="both"/>
        <w:rPr>
          <w:rFonts w:ascii="Arial" w:hAnsi="Arial" w:cs="Arial"/>
          <w:color w:val="000000" w:themeColor="text1"/>
          <w:sz w:val="22"/>
          <w:szCs w:val="22"/>
          <w:lang w:val="en-US"/>
          <w14:textFill>
            <w14:solidFill>
              <w14:schemeClr w14:val="tx1"/>
            </w14:solidFill>
          </w14:textFill>
        </w:rPr>
      </w:pPr>
    </w:p>
    <w:p w14:paraId="03140697">
      <w:pPr>
        <w:pStyle w:val="12"/>
        <w:spacing w:line="360" w:lineRule="auto"/>
        <w:ind w:firstLine="0"/>
        <w:jc w:val="both"/>
        <w:rPr>
          <w:rFonts w:ascii="Arial" w:hAnsi="Arial" w:eastAsia="Arial" w:cs="Arial"/>
          <w:color w:val="000000" w:themeColor="text1"/>
          <w:sz w:val="22"/>
          <w:szCs w:val="22"/>
          <w14:textFill>
            <w14:solidFill>
              <w14:schemeClr w14:val="tx1"/>
            </w14:solidFill>
          </w14:textFill>
        </w:rPr>
      </w:pPr>
      <w:r>
        <w:rPr>
          <w:rFonts w:ascii="Arial" w:hAnsi="Arial" w:eastAsia="Arial" w:cs="Arial"/>
          <w:b/>
          <w:color w:val="000000" w:themeColor="text1"/>
          <w:sz w:val="22"/>
          <w:szCs w:val="22"/>
          <w14:textFill>
            <w14:solidFill>
              <w14:schemeClr w14:val="tx1"/>
            </w14:solidFill>
          </w14:textFill>
        </w:rPr>
        <w:t>Single-nucleus transcriptomics data preprocessing</w:t>
      </w:r>
    </w:p>
    <w:p w14:paraId="324D8C73">
      <w:pPr>
        <w:spacing w:line="360" w:lineRule="auto"/>
        <w:jc w:val="both"/>
        <w:rPr>
          <w:rFonts w:ascii="Arial" w:hAnsi="Arial"/>
          <w:color w:val="000000" w:themeColor="text1"/>
          <w:sz w:val="22"/>
          <w14:textFill>
            <w14:solidFill>
              <w14:schemeClr w14:val="tx1"/>
            </w14:solidFill>
          </w14:textFill>
        </w:rPr>
      </w:pPr>
      <w:r>
        <w:rPr>
          <w:rFonts w:ascii="Arial" w:hAnsi="Arial"/>
          <w:color w:val="000000" w:themeColor="text1"/>
          <w:sz w:val="22"/>
          <w14:textFill>
            <w14:solidFill>
              <w14:schemeClr w14:val="tx1"/>
            </w14:solidFill>
          </w14:textFill>
        </w:rPr>
        <w:t xml:space="preserve">Raw </w:t>
      </w:r>
      <w:r>
        <w:rPr>
          <w:rFonts w:ascii="Arial" w:hAnsi="Arial" w:cs="Arial"/>
          <w:color w:val="000000" w:themeColor="text1"/>
          <w:sz w:val="22"/>
          <w:szCs w:val="22"/>
          <w14:textFill>
            <w14:solidFill>
              <w14:schemeClr w14:val="tx1"/>
            </w14:solidFill>
          </w14:textFill>
        </w:rPr>
        <w:t xml:space="preserve">snRNA-seq reads in FASTQ format </w:t>
      </w:r>
      <w:r>
        <w:rPr>
          <w:rFonts w:ascii="Arial" w:hAnsi="Arial"/>
          <w:color w:val="000000" w:themeColor="text1"/>
          <w:sz w:val="22"/>
          <w14:textFill>
            <w14:solidFill>
              <w14:schemeClr w14:val="tx1"/>
            </w14:solidFill>
          </w14:textFill>
        </w:rPr>
        <w:t>were downloaded from Gene Expression Omnibus (access code as above) and processed with Cell Ranger (version 7.1.0</w:t>
      </w:r>
      <w:r>
        <w:rPr>
          <w:rFonts w:ascii="Arial" w:hAnsi="Arial" w:cs="Arial"/>
          <w:color w:val="000000" w:themeColor="text1"/>
          <w:sz w:val="22"/>
          <w:szCs w:val="22"/>
          <w14:textFill>
            <w14:solidFill>
              <w14:schemeClr w14:val="tx1"/>
            </w14:solidFill>
          </w14:textFill>
        </w:rPr>
        <w:t>, 10x Genomics</w:t>
      </w:r>
      <w:r>
        <w:rPr>
          <w:rFonts w:ascii="Arial" w:hAnsi="Arial"/>
          <w:color w:val="000000" w:themeColor="text1"/>
          <w:sz w:val="22"/>
          <w14:textFill>
            <w14:solidFill>
              <w14:schemeClr w14:val="tx1"/>
            </w14:solidFill>
          </w14:textFill>
        </w:rPr>
        <w:t xml:space="preserve">) for each sample and </w:t>
      </w:r>
      <w:r>
        <w:rPr>
          <w:rFonts w:ascii="Arial" w:hAnsi="Arial" w:cs="Arial"/>
          <w:color w:val="000000" w:themeColor="text1"/>
          <w:sz w:val="22"/>
          <w:szCs w:val="22"/>
          <w14:textFill>
            <w14:solidFill>
              <w14:schemeClr w14:val="tx1"/>
            </w14:solidFill>
          </w14:textFill>
        </w:rPr>
        <w:t>the reads were aligned</w:t>
      </w:r>
      <w:r>
        <w:rPr>
          <w:rFonts w:ascii="Arial" w:hAnsi="Arial"/>
          <w:color w:val="000000" w:themeColor="text1"/>
          <w:sz w:val="22"/>
          <w14:textFill>
            <w14:solidFill>
              <w14:schemeClr w14:val="tx1"/>
            </w14:solidFill>
          </w14:textFill>
        </w:rPr>
        <w:t xml:space="preserve"> to the GRCh38</w:t>
      </w:r>
      <w:r>
        <w:rPr>
          <w:rFonts w:ascii="Arial" w:hAnsi="Arial" w:cs="Arial"/>
          <w:color w:val="000000" w:themeColor="text1"/>
          <w:sz w:val="22"/>
          <w:szCs w:val="22"/>
          <w14:textFill>
            <w14:solidFill>
              <w14:schemeClr w14:val="tx1"/>
            </w14:solidFill>
          </w14:textFill>
        </w:rPr>
        <w:t>-2020-A</w:t>
      </w:r>
      <w:r>
        <w:rPr>
          <w:rFonts w:ascii="Arial" w:hAnsi="Arial"/>
          <w:color w:val="000000" w:themeColor="text1"/>
          <w:sz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genome</w:t>
      </w:r>
      <w:r>
        <w:rPr>
          <w:rFonts w:ascii="Arial" w:hAnsi="Arial"/>
          <w:color w:val="000000" w:themeColor="text1"/>
          <w:sz w:val="22"/>
          <w14:textFill>
            <w14:solidFill>
              <w14:schemeClr w14:val="tx1"/>
            </w14:solidFill>
          </w14:textFill>
        </w:rPr>
        <w:t xml:space="preserve"> for human samples and mm10-3.0.0 genome for mouse samples </w:t>
      </w:r>
      <w:r>
        <w:rPr>
          <w:rFonts w:ascii="Arial" w:hAnsi="Arial" w:cs="Arial"/>
          <w:color w:val="000000" w:themeColor="text1"/>
          <w:sz w:val="22"/>
          <w:szCs w:val="22"/>
          <w14:textFill>
            <w14:solidFill>
              <w14:schemeClr w14:val="tx1"/>
            </w14:solidFill>
          </w14:textFill>
        </w:rPr>
        <w:t xml:space="preserve">to </w:t>
      </w:r>
      <w:r>
        <w:rPr>
          <w:rFonts w:ascii="Arial" w:hAnsi="Arial"/>
          <w:color w:val="000000" w:themeColor="text1"/>
          <w:sz w:val="22"/>
          <w14:textFill>
            <w14:solidFill>
              <w14:schemeClr w14:val="tx1"/>
            </w14:solidFill>
          </w14:textFill>
        </w:rPr>
        <w:t xml:space="preserve">generate </w:t>
      </w:r>
      <w:bookmarkStart w:id="0" w:name="OLE_LINK5"/>
      <w:bookmarkStart w:id="1" w:name="OLE_LINK4"/>
      <w:r>
        <w:rPr>
          <w:rFonts w:ascii="Arial" w:hAnsi="Arial" w:cs="Arial"/>
          <w:color w:val="000000" w:themeColor="text1"/>
          <w:sz w:val="22"/>
          <w:szCs w:val="22"/>
          <w14:textFill>
            <w14:solidFill>
              <w14:schemeClr w14:val="tx1"/>
            </w14:solidFill>
          </w14:textFill>
        </w:rPr>
        <w:t>unique molecular identifiers (UMIs)</w:t>
      </w:r>
      <w:bookmarkEnd w:id="0"/>
      <w:bookmarkEnd w:id="1"/>
      <w:r>
        <w:rPr>
          <w:rFonts w:ascii="Arial" w:hAnsi="Arial" w:cs="Arial"/>
          <w:color w:val="000000" w:themeColor="text1"/>
          <w:sz w:val="22"/>
          <w:szCs w:val="22"/>
          <w14:textFill>
            <w14:solidFill>
              <w14:schemeClr w14:val="tx1"/>
            </w14:solidFill>
          </w14:textFill>
        </w:rPr>
        <w:t xml:space="preserve"> in the </w:t>
      </w:r>
      <w:r>
        <w:rPr>
          <w:rFonts w:ascii="Arial" w:hAnsi="Arial"/>
          <w:color w:val="000000" w:themeColor="text1"/>
          <w:sz w:val="22"/>
          <w14:textFill>
            <w14:solidFill>
              <w14:schemeClr w14:val="tx1"/>
            </w14:solidFill>
          </w14:textFill>
        </w:rPr>
        <w:t>expression matrices.</w:t>
      </w:r>
    </w:p>
    <w:p w14:paraId="6411D718">
      <w:pPr>
        <w:spacing w:line="360" w:lineRule="auto"/>
        <w:jc w:val="both"/>
        <w:rPr>
          <w:rFonts w:ascii="Arial" w:hAnsi="Arial" w:cs="Arial"/>
          <w:color w:val="000000" w:themeColor="text1"/>
          <w:sz w:val="22"/>
          <w:szCs w:val="22"/>
          <w:lang w:val="en-US"/>
          <w14:textFill>
            <w14:solidFill>
              <w14:schemeClr w14:val="tx1"/>
            </w14:solidFill>
          </w14:textFill>
        </w:rPr>
      </w:pPr>
    </w:p>
    <w:p w14:paraId="1B7590DB">
      <w:pPr>
        <w:spacing w:line="360" w:lineRule="auto"/>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Ambient RNA removal </w:t>
      </w:r>
    </w:p>
    <w:p w14:paraId="04BB68EE">
      <w:pPr>
        <w:spacing w:line="360" w:lineRule="auto"/>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CellBender (version 0.3.0) [11], DecontX (version 1.0.0) [14], and SoupX (version 1.6.2) [15] were employed to mitigate ambient RNA contamination in snRNA-seq data. The ‘raw_feature_bc_matrix’ was used as input for CellBender, which identifies and removes empty droplets. Before estimating contamination scores with SoupX and DecontX, low-quality cells were filtered out based on standard quality control metrics. For contamination estimation using DecontX, threshold values were set at 0.35 for white adipose tissue, while liver tissue, human and mouse muscle tissues, and mouse hypothalamic data were assigned a threshold of 0.4. Preliminary cell clustering was performed before computing contamination scores with the ‘autoEstCont’ function in SoupX to improve the accuracy of ambient RNA contamination estimation by identifying potential contamination sources more effectively.</w:t>
      </w:r>
    </w:p>
    <w:p w14:paraId="7B0E3FF9">
      <w:pPr>
        <w:spacing w:line="360" w:lineRule="auto"/>
        <w:jc w:val="both"/>
        <w:rPr>
          <w:rFonts w:ascii="Arial" w:hAnsi="Arial" w:cs="Arial"/>
          <w:color w:val="000000" w:themeColor="text1"/>
          <w:sz w:val="22"/>
          <w:szCs w:val="22"/>
          <w:lang w:val="en-US"/>
          <w14:textFill>
            <w14:solidFill>
              <w14:schemeClr w14:val="tx1"/>
            </w14:solidFill>
          </w14:textFill>
        </w:rPr>
      </w:pPr>
    </w:p>
    <w:p w14:paraId="280B8051">
      <w:pPr>
        <w:spacing w:line="360" w:lineRule="auto"/>
        <w:jc w:val="both"/>
        <w:rPr>
          <w:rFonts w:ascii="Arial" w:hAnsi="Arial" w:cs="Arial"/>
          <w:b/>
          <w:bCs/>
          <w:color w:val="000000" w:themeColor="text1"/>
          <w:sz w:val="22"/>
          <w:szCs w:val="22"/>
          <w14:textFill>
            <w14:solidFill>
              <w14:schemeClr w14:val="tx1"/>
            </w14:solidFill>
          </w14:textFill>
        </w:rPr>
      </w:pPr>
      <w:r>
        <w:rPr>
          <w:rFonts w:ascii="Arial" w:hAnsi="Arial"/>
          <w:b/>
          <w:color w:val="000000" w:themeColor="text1"/>
          <w:sz w:val="22"/>
          <w14:textFill>
            <w14:solidFill>
              <w14:schemeClr w14:val="tx1"/>
            </w14:solidFill>
          </w14:textFill>
        </w:rPr>
        <w:t xml:space="preserve">Quality control and </w:t>
      </w:r>
      <w:r>
        <w:rPr>
          <w:rFonts w:ascii="Arial" w:hAnsi="Arial" w:cs="Arial"/>
          <w:b/>
          <w:bCs/>
          <w:color w:val="000000" w:themeColor="text1"/>
          <w:sz w:val="22"/>
          <w:szCs w:val="22"/>
          <w14:textFill>
            <w14:solidFill>
              <w14:schemeClr w14:val="tx1"/>
            </w14:solidFill>
          </w14:textFill>
        </w:rPr>
        <w:t>doublet removal</w:t>
      </w:r>
    </w:p>
    <w:p w14:paraId="5C466DAE">
      <w:pPr>
        <w:spacing w:line="360" w:lineRule="auto"/>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lang w:val="en-US"/>
          <w14:textFill>
            <w14:solidFill>
              <w14:schemeClr w14:val="tx1"/>
            </w14:solidFill>
          </w14:textFill>
        </w:rPr>
        <w:t xml:space="preserve">Individual </w:t>
      </w:r>
      <w:r>
        <w:rPr>
          <w:rFonts w:ascii="Arial" w:hAnsi="Arial" w:cs="Arial"/>
          <w:color w:val="000000" w:themeColor="text1"/>
          <w:sz w:val="22"/>
          <w:szCs w:val="22"/>
          <w14:textFill>
            <w14:solidFill>
              <w14:schemeClr w14:val="tx1"/>
            </w14:solidFill>
          </w14:textFill>
        </w:rPr>
        <w:t>samples were analysed using Seurat (version 5.1.0) [17] in R v4.3.1</w:t>
      </w:r>
      <w:r>
        <w:rPr>
          <w:rFonts w:hint="eastAsia" w:ascii="Arial" w:hAnsi="Arial" w:cs="Arial"/>
          <w:color w:val="000000" w:themeColor="text1"/>
          <w:sz w:val="22"/>
          <w:szCs w:val="22"/>
          <w14:textFill>
            <w14:solidFill>
              <w14:schemeClr w14:val="tx1"/>
            </w14:solidFill>
          </w14:textFill>
        </w:rPr>
        <w:t>.</w:t>
      </w:r>
      <w:r>
        <w:rPr>
          <w:rFonts w:ascii="Arial" w:hAnsi="Arial" w:cs="Arial"/>
          <w:color w:val="000000" w:themeColor="text1"/>
          <w:sz w:val="22"/>
          <w:szCs w:val="22"/>
          <w14:textFill>
            <w14:solidFill>
              <w14:schemeClr w14:val="tx1"/>
            </w14:solidFill>
          </w14:textFill>
        </w:rPr>
        <w:t xml:space="preserve"> Quality control filters were applied as follows: genes expressed in </w:t>
      </w:r>
      <w:r>
        <w:rPr>
          <w:rFonts w:ascii="Arial" w:hAnsi="Arial" w:cs="Arial"/>
          <w:color w:val="000000" w:themeColor="text1"/>
          <w:sz w:val="22"/>
          <w:szCs w:val="22"/>
          <w:lang w:val="en-US"/>
          <w14:textFill>
            <w14:solidFill>
              <w14:schemeClr w14:val="tx1"/>
            </w14:solidFill>
          </w14:textFill>
        </w:rPr>
        <w:t>at least</w:t>
      </w:r>
      <w:r>
        <w:rPr>
          <w:rFonts w:ascii="Arial" w:hAnsi="Arial" w:cs="Arial"/>
          <w:color w:val="000000" w:themeColor="text1"/>
          <w:sz w:val="22"/>
          <w:szCs w:val="22"/>
          <w14:textFill>
            <w14:solidFill>
              <w14:schemeClr w14:val="tx1"/>
            </w14:solidFill>
          </w14:textFill>
        </w:rPr>
        <w:t xml:space="preserve"> 3 cells, &gt;</w:t>
      </w:r>
      <w:r>
        <w:rPr>
          <w:rFonts w:ascii="Arial" w:hAnsi="Arial" w:cs="Arial"/>
          <w:color w:val="000000" w:themeColor="text1"/>
          <w:sz w:val="22"/>
          <w:szCs w:val="22"/>
          <w:lang w:val="en-US"/>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200 genes expressed per cell, &gt;</w:t>
      </w:r>
      <w:r>
        <w:rPr>
          <w:rFonts w:ascii="Arial" w:hAnsi="Arial" w:cs="Arial"/>
          <w:color w:val="000000" w:themeColor="text1"/>
          <w:sz w:val="22"/>
          <w:szCs w:val="22"/>
          <w:lang w:val="en-US"/>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500 UMIs per cell, and mitochondrial content &lt;</w:t>
      </w:r>
      <w:r>
        <w:rPr>
          <w:rFonts w:ascii="Arial" w:hAnsi="Arial" w:cs="Arial"/>
          <w:color w:val="000000" w:themeColor="text1"/>
          <w:sz w:val="22"/>
          <w:szCs w:val="22"/>
          <w:lang w:val="en-US"/>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5% for the hypothalamus and adipose tissue, and &lt;</w:t>
      </w:r>
      <w:r>
        <w:rPr>
          <w:rFonts w:ascii="Arial" w:hAnsi="Arial" w:cs="Arial"/>
          <w:color w:val="000000" w:themeColor="text1"/>
          <w:sz w:val="22"/>
          <w:szCs w:val="22"/>
          <w:lang w:val="en-US"/>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10% for muscle and liver samples. All samples were assessed for potential doublets using scDblFinder (version 1.16.0) [21], and nuclei identified as doublets were removed before downstream analyses.</w:t>
      </w:r>
    </w:p>
    <w:p w14:paraId="14EA8647">
      <w:pPr>
        <w:spacing w:line="360" w:lineRule="auto"/>
        <w:jc w:val="both"/>
        <w:rPr>
          <w:rFonts w:ascii="Arial" w:hAnsi="Arial" w:cs="Arial"/>
          <w:color w:val="000000" w:themeColor="text1"/>
          <w:sz w:val="22"/>
          <w:szCs w:val="22"/>
          <w14:textFill>
            <w14:solidFill>
              <w14:schemeClr w14:val="tx1"/>
            </w14:solidFill>
          </w14:textFill>
        </w:rPr>
      </w:pPr>
    </w:p>
    <w:p w14:paraId="042E1203">
      <w:pPr>
        <w:spacing w:line="360" w:lineRule="auto"/>
        <w:jc w:val="both"/>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Normalization, clustering, and annotation </w:t>
      </w:r>
    </w:p>
    <w:p w14:paraId="7675A3C0">
      <w:pPr>
        <w:spacing w:line="360" w:lineRule="auto"/>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Gene expression values were normalized using </w:t>
      </w:r>
      <w:r>
        <w:rPr>
          <w:rFonts w:ascii="Arial" w:hAnsi="Arial" w:cs="Arial"/>
          <w:i/>
          <w:iCs/>
          <w:color w:val="000000" w:themeColor="text1"/>
          <w:sz w:val="22"/>
          <w:szCs w:val="22"/>
          <w14:textFill>
            <w14:solidFill>
              <w14:schemeClr w14:val="tx1"/>
            </w14:solidFill>
          </w14:textFill>
        </w:rPr>
        <w:t>sctransform</w:t>
      </w:r>
      <w:r>
        <w:rPr>
          <w:rFonts w:ascii="Arial" w:hAnsi="Arial" w:cs="Arial"/>
          <w:color w:val="000000" w:themeColor="text1"/>
          <w:sz w:val="22"/>
          <w:szCs w:val="22"/>
          <w14:textFill>
            <w14:solidFill>
              <w14:schemeClr w14:val="tx1"/>
            </w14:solidFill>
          </w14:textFill>
        </w:rPr>
        <w:t xml:space="preserve"> (v2) [9]. Principal component analysis (PCA) was carried out on variable features within the SCT assay, followed by </w:t>
      </w:r>
      <w:r>
        <w:rPr>
          <w:rFonts w:ascii="Arial" w:hAnsi="Arial" w:eastAsia="Arial" w:cs="Arial"/>
          <w:color w:val="000000" w:themeColor="text1"/>
          <w:sz w:val="22"/>
          <w:szCs w:val="22"/>
          <w14:textFill>
            <w14:solidFill>
              <w14:schemeClr w14:val="tx1"/>
            </w14:solidFill>
          </w14:textFill>
        </w:rPr>
        <w:t>Uniform Manifold Approximation and Projection (UMAP) analysis to reduce dimensionality to two dimensions using the ‘RunUMAP’ function with 25 to 40 principal components and a resolution range of 0.6 to 2</w:t>
      </w:r>
      <w:r>
        <w:rPr>
          <w:rFonts w:ascii="Arial" w:hAnsi="Arial" w:cs="Arial"/>
          <w:color w:val="000000" w:themeColor="text1"/>
          <w:sz w:val="22"/>
          <w:szCs w:val="22"/>
          <w14:textFill>
            <w14:solidFill>
              <w14:schemeClr w14:val="tx1"/>
            </w14:solidFill>
          </w14:textFill>
        </w:rPr>
        <w:t>. Cell types were manually annotated based on differentially expressed</w:t>
      </w:r>
      <w:r>
        <w:rPr>
          <w:rFonts w:ascii="Arial" w:hAnsi="Arial"/>
          <w:color w:val="000000" w:themeColor="text1"/>
          <w:sz w:val="22"/>
          <w14:textFill>
            <w14:solidFill>
              <w14:schemeClr w14:val="tx1"/>
            </w14:solidFill>
          </w14:textFill>
        </w:rPr>
        <w:t xml:space="preserve"> genes generated from the ‘FindAllMarkers’ function as well as the canonical marker genes from published </w:t>
      </w:r>
      <w:r>
        <w:rPr>
          <w:rFonts w:ascii="Arial" w:hAnsi="Arial" w:cs="Arial"/>
          <w:color w:val="000000" w:themeColor="text1"/>
          <w:sz w:val="22"/>
          <w:szCs w:val="22"/>
          <w14:textFill>
            <w14:solidFill>
              <w14:schemeClr w14:val="tx1"/>
            </w14:solidFill>
          </w14:textFill>
        </w:rPr>
        <w:t>literature (</w:t>
      </w:r>
      <w:r>
        <w:rPr>
          <w:rFonts w:ascii="Arial" w:hAnsi="Arial" w:cs="Arial"/>
          <w:b w:val="0"/>
          <w:bCs/>
          <w:color w:val="000000" w:themeColor="text1"/>
          <w:sz w:val="22"/>
          <w:szCs w:val="22"/>
          <w:lang w:val="en-US"/>
          <w14:textFill>
            <w14:solidFill>
              <w14:schemeClr w14:val="tx1"/>
            </w14:solidFill>
          </w14:textFill>
        </w:rPr>
        <w:t>Supplementary Table S2</w:t>
      </w:r>
      <w:r>
        <w:rPr>
          <w:rFonts w:ascii="Arial" w:hAnsi="Arial" w:cs="Arial"/>
          <w:color w:val="000000" w:themeColor="text1"/>
          <w:sz w:val="22"/>
          <w:szCs w:val="22"/>
          <w:lang w:val="en-US"/>
          <w14:textFill>
            <w14:solidFill>
              <w14:schemeClr w14:val="tx1"/>
            </w14:solidFill>
          </w14:textFill>
        </w:rPr>
        <w:t>)</w:t>
      </w:r>
      <w:r>
        <w:rPr>
          <w:rFonts w:hint="eastAsia" w:ascii="Arial" w:hAnsi="Arial" w:cs="Arial"/>
          <w:color w:val="000000" w:themeColor="text1"/>
          <w:sz w:val="22"/>
          <w:szCs w:val="22"/>
          <w14:textFill>
            <w14:solidFill>
              <w14:schemeClr w14:val="tx1"/>
            </w14:solidFill>
          </w14:textFill>
        </w:rPr>
        <w:t>.</w:t>
      </w:r>
      <w:r>
        <w:rPr>
          <w:rFonts w:ascii="Arial" w:hAnsi="Arial" w:cs="Arial"/>
          <w:color w:val="000000" w:themeColor="text1"/>
          <w:sz w:val="22"/>
          <w:szCs w:val="22"/>
          <w14:textFill>
            <w14:solidFill>
              <w14:schemeClr w14:val="tx1"/>
            </w14:solidFill>
          </w14:textFill>
        </w:rPr>
        <w:t xml:space="preserve"> </w:t>
      </w:r>
    </w:p>
    <w:p w14:paraId="64FF0412">
      <w:pPr>
        <w:spacing w:line="360" w:lineRule="auto"/>
        <w:jc w:val="both"/>
        <w:rPr>
          <w:rFonts w:ascii="Arial" w:hAnsi="Arial" w:cs="Arial"/>
          <w:color w:val="000000" w:themeColor="text1"/>
          <w:sz w:val="22"/>
          <w:szCs w:val="22"/>
          <w14:textFill>
            <w14:solidFill>
              <w14:schemeClr w14:val="tx1"/>
            </w14:solidFill>
          </w14:textFill>
        </w:rPr>
      </w:pPr>
    </w:p>
    <w:p w14:paraId="513DC6CB">
      <w:pPr>
        <w:spacing w:line="360" w:lineRule="auto"/>
        <w:jc w:val="both"/>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A</w:t>
      </w:r>
      <w:r>
        <w:rPr>
          <w:rFonts w:hint="eastAsia" w:ascii="Arial" w:hAnsi="Arial" w:cs="Arial"/>
          <w:b/>
          <w:bCs/>
          <w:color w:val="000000" w:themeColor="text1"/>
          <w:sz w:val="22"/>
          <w:szCs w:val="22"/>
          <w14:textFill>
            <w14:solidFill>
              <w14:schemeClr w14:val="tx1"/>
            </w14:solidFill>
          </w14:textFill>
        </w:rPr>
        <w:t xml:space="preserve">utomatic annotation </w:t>
      </w:r>
    </w:p>
    <w:p w14:paraId="4A6BBE59">
      <w:pPr>
        <w:spacing w:line="360" w:lineRule="auto"/>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Two independent computational methods, SingleR [16] and Azimuth [17], were employed for cell type annotation across five datasets. In SingleR, the BlueprintEncodeData reference was utilized for the adipose tissue and human muscle datasets, while the HumanPrimaryCellAtlasData was applied to the human liver dataset. For mouse muscle and hypothalamus datasets, MouseRNAseqData served as the reference. For Azimuth, the adiporef reference was used for adipose tissue, whereas the liver reference was applied for liver datasets.</w:t>
      </w:r>
    </w:p>
    <w:p w14:paraId="71DAA461">
      <w:pPr>
        <w:spacing w:line="360" w:lineRule="auto"/>
        <w:jc w:val="both"/>
        <w:rPr>
          <w:rFonts w:ascii="Arial" w:hAnsi="Arial" w:cs="Arial"/>
          <w:color w:val="000000" w:themeColor="text1"/>
          <w:sz w:val="22"/>
          <w:szCs w:val="22"/>
          <w14:textFill>
            <w14:solidFill>
              <w14:schemeClr w14:val="tx1"/>
            </w14:solidFill>
          </w14:textFill>
        </w:rPr>
      </w:pPr>
    </w:p>
    <w:p w14:paraId="5E7BF575">
      <w:pPr>
        <w:spacing w:line="360" w:lineRule="auto"/>
        <w:jc w:val="both"/>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Biological insights</w:t>
      </w:r>
      <w:r>
        <w:rPr>
          <w:rFonts w:hint="eastAsia" w:ascii="Arial" w:hAnsi="Arial" w:cs="Arial"/>
          <w:b/>
          <w:bCs/>
          <w:color w:val="000000" w:themeColor="text1"/>
          <w:sz w:val="22"/>
          <w:szCs w:val="22"/>
          <w14:textFill>
            <w14:solidFill>
              <w14:schemeClr w14:val="tx1"/>
            </w14:solidFill>
          </w14:textFill>
        </w:rPr>
        <w:t xml:space="preserve"> </w:t>
      </w:r>
      <w:r>
        <w:rPr>
          <w:rFonts w:ascii="Arial" w:hAnsi="Arial" w:cs="Arial"/>
          <w:b/>
          <w:bCs/>
          <w:color w:val="000000" w:themeColor="text1"/>
          <w:sz w:val="22"/>
          <w:szCs w:val="22"/>
          <w14:textFill>
            <w14:solidFill>
              <w14:schemeClr w14:val="tx1"/>
            </w14:solidFill>
          </w14:textFill>
        </w:rPr>
        <w:t>assessment</w:t>
      </w:r>
    </w:p>
    <w:p w14:paraId="1438B4C7">
      <w:pPr>
        <w:spacing w:line="360" w:lineRule="auto"/>
        <w:jc w:val="both"/>
        <w:rPr>
          <w:rFonts w:ascii="Arial" w:hAnsi="Arial"/>
          <w:color w:val="000000" w:themeColor="text1"/>
          <w:sz w:val="22"/>
          <w:lang w:val="en-US"/>
          <w14:textFill>
            <w14:solidFill>
              <w14:schemeClr w14:val="tx1"/>
            </w14:solidFill>
          </w14:textFill>
        </w:rPr>
      </w:pPr>
      <w:r>
        <w:rPr>
          <w:rFonts w:ascii="Arial" w:hAnsi="Arial"/>
          <w:color w:val="000000" w:themeColor="text1"/>
          <w:sz w:val="22"/>
          <w:lang w:val="en-US"/>
          <w14:textFill>
            <w14:solidFill>
              <w14:schemeClr w14:val="tx1"/>
            </w14:solidFill>
          </w14:textFill>
        </w:rPr>
        <w:t xml:space="preserve">The scMetabolism [22] </w:t>
      </w:r>
      <w:r>
        <w:rPr>
          <w:rFonts w:hint="eastAsia" w:ascii="Arial" w:hAnsi="Arial"/>
          <w:color w:val="000000" w:themeColor="text1"/>
          <w:sz w:val="22"/>
          <w:lang w:val="en-US"/>
          <w14:textFill>
            <w14:solidFill>
              <w14:schemeClr w14:val="tx1"/>
            </w14:solidFill>
          </w14:textFill>
        </w:rPr>
        <w:t>was</w:t>
      </w:r>
      <w:r>
        <w:rPr>
          <w:rFonts w:ascii="Arial" w:hAnsi="Arial"/>
          <w:color w:val="000000" w:themeColor="text1"/>
          <w:sz w:val="22"/>
          <w:lang w:val="en-US"/>
          <w14:textFill>
            <w14:solidFill>
              <w14:schemeClr w14:val="tx1"/>
            </w14:solidFill>
          </w14:textFill>
        </w:rPr>
        <w:t xml:space="preserve"> applied to illustrate biological insights in adipose tissue data. The metabolic pathway enrichment scores were evaluated by using ‘sc.metabolism.Seurat’ function.</w:t>
      </w:r>
    </w:p>
    <w:p w14:paraId="1A17F277">
      <w:pPr>
        <w:spacing w:line="360" w:lineRule="auto"/>
        <w:jc w:val="both"/>
        <w:rPr>
          <w:rFonts w:ascii="Arial" w:hAnsi="Arial" w:cs="Arial"/>
          <w:color w:val="000000" w:themeColor="text1"/>
          <w:sz w:val="22"/>
          <w:szCs w:val="22"/>
          <w14:textFill>
            <w14:solidFill>
              <w14:schemeClr w14:val="tx1"/>
            </w14:solidFill>
          </w14:textFill>
        </w:rPr>
      </w:pPr>
    </w:p>
    <w:p w14:paraId="23BD807F">
      <w:pPr>
        <w:spacing w:line="360" w:lineRule="auto"/>
        <w:jc w:val="both"/>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 xml:space="preserve">Identification of differentially expressed genes </w:t>
      </w:r>
    </w:p>
    <w:p w14:paraId="37F743A1">
      <w:pPr>
        <w:spacing w:line="360" w:lineRule="auto"/>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Differential gene expression analysis was conducted using normalized counts stored in the data slot of the SCT assay. Prior to analysis, we </w:t>
      </w:r>
      <w:r>
        <w:rPr>
          <w:rFonts w:ascii="Arial" w:hAnsi="Arial" w:cs="Arial"/>
          <w:color w:val="000000" w:themeColor="text1"/>
          <w:sz w:val="22"/>
          <w:szCs w:val="22"/>
          <w:lang w:val="en-US"/>
          <w14:textFill>
            <w14:solidFill>
              <w14:schemeClr w14:val="tx1"/>
            </w14:solidFill>
          </w14:textFill>
        </w:rPr>
        <w:t xml:space="preserve">first </w:t>
      </w:r>
      <w:r>
        <w:rPr>
          <w:rFonts w:ascii="Arial" w:hAnsi="Arial" w:cs="Arial"/>
          <w:color w:val="000000" w:themeColor="text1"/>
          <w:sz w:val="22"/>
          <w:szCs w:val="22"/>
          <w14:textFill>
            <w14:solidFill>
              <w14:schemeClr w14:val="tx1"/>
            </w14:solidFill>
          </w14:textFill>
        </w:rPr>
        <w:t xml:space="preserve">ran the ‘PrepSCTFindMarker’ function to set fixed values, followed by the ‘FindAllMarkers’ function with the Wilcoxon rank-sum test (assay = “RNA”, logfc.threshold = 0.1, min.pct = 0.1, only.pos = TRUE) to identify differentially expressed genes within each cell population, with an adjusted </w:t>
      </w:r>
      <w:r>
        <w:rPr>
          <w:rFonts w:ascii="Arial" w:hAnsi="Arial" w:cs="Arial"/>
          <w:i/>
          <w:iCs/>
          <w:color w:val="000000" w:themeColor="text1"/>
          <w:sz w:val="22"/>
          <w:szCs w:val="22"/>
          <w:lang w:val="en-US"/>
          <w14:textFill>
            <w14:solidFill>
              <w14:schemeClr w14:val="tx1"/>
            </w14:solidFill>
          </w14:textFill>
        </w:rPr>
        <w:t>P</w:t>
      </w:r>
      <w:r>
        <w:rPr>
          <w:rFonts w:ascii="Arial" w:hAnsi="Arial" w:cs="Arial"/>
          <w:color w:val="000000" w:themeColor="text1"/>
          <w:sz w:val="22"/>
          <w:szCs w:val="22"/>
          <w:lang w:val="en-US"/>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value &lt;</w:t>
      </w:r>
      <w:r>
        <w:rPr>
          <w:rFonts w:ascii="Arial" w:hAnsi="Arial" w:cs="Arial"/>
          <w:color w:val="000000" w:themeColor="text1"/>
          <w:sz w:val="22"/>
          <w:szCs w:val="22"/>
          <w:lang w:val="en-US"/>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0.05.</w:t>
      </w:r>
    </w:p>
    <w:p w14:paraId="23EA59DF">
      <w:pPr>
        <w:spacing w:line="360" w:lineRule="auto"/>
        <w:jc w:val="both"/>
        <w:rPr>
          <w:rFonts w:ascii="Arial" w:hAnsi="Arial" w:cs="Arial"/>
          <w:color w:val="000000" w:themeColor="text1"/>
          <w:sz w:val="22"/>
          <w:szCs w:val="22"/>
          <w14:textFill>
            <w14:solidFill>
              <w14:schemeClr w14:val="tx1"/>
            </w14:solidFill>
          </w14:textFill>
        </w:rPr>
      </w:pPr>
    </w:p>
    <w:p w14:paraId="70868671">
      <w:pPr>
        <w:spacing w:line="360" w:lineRule="auto"/>
        <w:jc w:val="both"/>
        <w:rPr>
          <w:rFonts w:ascii="Arial" w:hAnsi="Arial" w:cs="Arial"/>
          <w:b/>
          <w:bCs/>
          <w:color w:val="000000" w:themeColor="text1"/>
          <w:sz w:val="22"/>
          <w:szCs w:val="22"/>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Data integration</w:t>
      </w:r>
    </w:p>
    <w:p w14:paraId="73E0935C">
      <w:pPr>
        <w:spacing w:line="360" w:lineRule="auto"/>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After quality control and preprocessing, mitochondrial genes, ribosomal protein-coding genes, and leukocyte antigen genes were excluded for downstream analyses. Batch effect was corrected using following integration tools: CCA, rPCA, and Harmony [23] implemented via ‘IntegrateLayers’ function in Seurat. We used all genes in scVI and scANVI integration (version 1.1.2) [24] and Seurat objects were converted to Anndata objects using scfetch (version 0.5.0) [</w:t>
      </w:r>
      <w:r>
        <w:rPr>
          <w:rFonts w:hint="eastAsia" w:ascii="Arial" w:hAnsi="Arial" w:cs="Arial"/>
          <w:color w:val="000000" w:themeColor="text1"/>
          <w:sz w:val="22"/>
          <w:szCs w:val="22"/>
          <w14:textFill>
            <w14:solidFill>
              <w14:schemeClr w14:val="tx1"/>
            </w14:solidFill>
          </w14:textFill>
        </w:rPr>
        <w:t>2</w:t>
      </w:r>
      <w:r>
        <w:rPr>
          <w:rFonts w:ascii="Arial" w:hAnsi="Arial" w:cs="Arial"/>
          <w:color w:val="000000" w:themeColor="text1"/>
          <w:sz w:val="22"/>
          <w:szCs w:val="22"/>
          <w14:textFill>
            <w14:solidFill>
              <w14:schemeClr w14:val="tx1"/>
            </w14:solidFill>
          </w14:textFill>
        </w:rPr>
        <w:t>5] in R with reticulate (1.37.0).</w:t>
      </w:r>
    </w:p>
    <w:p w14:paraId="0982296F">
      <w:pPr>
        <w:spacing w:line="360" w:lineRule="auto"/>
        <w:jc w:val="both"/>
        <w:rPr>
          <w:rFonts w:ascii="Arial" w:hAnsi="Arial" w:cs="Arial"/>
          <w:color w:val="000000" w:themeColor="text1"/>
          <w:sz w:val="22"/>
          <w:szCs w:val="22"/>
          <w14:textFill>
            <w14:solidFill>
              <w14:schemeClr w14:val="tx1"/>
            </w14:solidFill>
          </w14:textFill>
        </w:rPr>
      </w:pPr>
    </w:p>
    <w:p w14:paraId="617C4849">
      <w:pPr>
        <w:spacing w:line="360" w:lineRule="auto"/>
        <w:jc w:val="both"/>
        <w:rPr>
          <w:rFonts w:ascii="Arial" w:hAnsi="Arial" w:cs="Arial"/>
          <w:strike/>
          <w:color w:val="000000" w:themeColor="text1"/>
          <w:sz w:val="22"/>
          <w:szCs w:val="22"/>
          <w:lang w:val="en-US"/>
          <w14:textFill>
            <w14:solidFill>
              <w14:schemeClr w14:val="tx1"/>
            </w14:solidFill>
          </w14:textFill>
        </w:rPr>
      </w:pPr>
      <w:r>
        <w:rPr>
          <w:rFonts w:ascii="Arial" w:hAnsi="Arial" w:cs="Arial"/>
          <w:b/>
          <w:bCs/>
          <w:color w:val="000000" w:themeColor="text1"/>
          <w:sz w:val="22"/>
          <w:szCs w:val="22"/>
          <w14:textFill>
            <w14:solidFill>
              <w14:schemeClr w14:val="tx1"/>
            </w14:solidFill>
          </w14:textFill>
        </w:rPr>
        <w:t>Benchmarking evaluation matrices</w:t>
      </w:r>
    </w:p>
    <w:p w14:paraId="77EE04DD">
      <w:pPr>
        <w:spacing w:line="360" w:lineRule="auto"/>
        <w:jc w:val="both"/>
        <w:rPr>
          <w:rFonts w:ascii="Arial" w:hAnsi="Arial" w:cs="Arial"/>
          <w:color w:val="000000" w:themeColor="text1"/>
          <w:sz w:val="22"/>
          <w:szCs w:val="22"/>
          <w:lang w:val="en-US"/>
          <w14:textFill>
            <w14:solidFill>
              <w14:schemeClr w14:val="tx1"/>
            </w14:solidFill>
          </w14:textFill>
        </w:rPr>
      </w:pPr>
      <w:r>
        <w:rPr>
          <w:rFonts w:ascii="Arial" w:hAnsi="Arial" w:cs="Arial"/>
          <w:color w:val="000000" w:themeColor="text1"/>
          <w:sz w:val="22"/>
          <w:szCs w:val="22"/>
          <w:lang w:val="en-US"/>
          <w14:textFill>
            <w14:solidFill>
              <w14:schemeClr w14:val="tx1"/>
            </w14:solidFill>
          </w14:textFill>
        </w:rPr>
        <w:t>The benchmarking matrices</w:t>
      </w:r>
      <w:r>
        <w:rPr>
          <w:color w:val="000000" w:themeColor="text1"/>
          <w:lang w:val="en-US"/>
          <w14:textFill>
            <w14:solidFill>
              <w14:schemeClr w14:val="tx1"/>
            </w14:solidFill>
          </w14:textFill>
        </w:rPr>
        <w:t xml:space="preserve">, </w:t>
      </w:r>
      <w:r>
        <w:rPr>
          <w:rFonts w:ascii="Arial" w:hAnsi="Arial" w:cs="Arial"/>
          <w:color w:val="000000" w:themeColor="text1"/>
          <w:sz w:val="22"/>
          <w:szCs w:val="22"/>
          <w:lang w:val="en-US"/>
          <w14:textFill>
            <w14:solidFill>
              <w14:schemeClr w14:val="tx1"/>
            </w14:solidFill>
          </w14:textFill>
        </w:rPr>
        <w:t>including Adjusted Rand Index (ARI) coefficients, LISI scores, and kBET rates, were used to assess integration quality across different donors. These metrics were calculated by the scib-metrics package (version 0.5.1) [13].</w:t>
      </w:r>
    </w:p>
    <w:p w14:paraId="1556A62A">
      <w:pPr>
        <w:spacing w:line="360" w:lineRule="auto"/>
        <w:jc w:val="both"/>
        <w:rPr>
          <w:rFonts w:ascii="Arial" w:hAnsi="Arial" w:cs="Arial"/>
          <w:color w:val="000000" w:themeColor="text1"/>
          <w:sz w:val="22"/>
          <w:szCs w:val="22"/>
          <w:lang w:val="en-US"/>
          <w14:textFill>
            <w14:solidFill>
              <w14:schemeClr w14:val="tx1"/>
            </w14:solidFill>
          </w14:textFill>
        </w:rPr>
      </w:pPr>
    </w:p>
    <w:p w14:paraId="38315C2B">
      <w:pPr>
        <w:spacing w:line="360" w:lineRule="auto"/>
        <w:jc w:val="both"/>
        <w:rPr>
          <w:rFonts w:ascii="Arial" w:hAnsi="Arial" w:cs="Arial"/>
          <w:color w:val="000000" w:themeColor="text1"/>
          <w:sz w:val="22"/>
          <w:szCs w:val="22"/>
          <w:lang w:val="en-US"/>
          <w14:textFill>
            <w14:solidFill>
              <w14:schemeClr w14:val="tx1"/>
            </w14:solidFill>
          </w14:textFill>
        </w:rPr>
      </w:pPr>
    </w:p>
    <w:p w14:paraId="58A9BF54">
      <w:pPr>
        <w:spacing w:line="360" w:lineRule="auto"/>
        <w:jc w:val="both"/>
        <w:rPr>
          <w:rFonts w:ascii="Arial" w:hAnsi="Arial" w:cs="Arial"/>
          <w:b/>
          <w:bCs/>
          <w:color w:val="000000" w:themeColor="text1"/>
          <w:sz w:val="22"/>
          <w:szCs w:val="22"/>
          <w:lang w:val="en-GB"/>
          <w14:textFill>
            <w14:solidFill>
              <w14:schemeClr w14:val="tx1"/>
            </w14:solidFill>
          </w14:textFill>
        </w:rPr>
      </w:pPr>
      <w:r>
        <w:rPr>
          <w:rFonts w:ascii="Arial" w:hAnsi="Arial" w:cs="Arial"/>
          <w:b/>
          <w:bCs/>
          <w:color w:val="000000" w:themeColor="text1"/>
          <w:sz w:val="22"/>
          <w:szCs w:val="22"/>
          <w:lang w:val="en-GB"/>
          <w14:textFill>
            <w14:solidFill>
              <w14:schemeClr w14:val="tx1"/>
            </w14:solidFill>
          </w14:textFill>
        </w:rPr>
        <w:t>Links for the websites in this study</w:t>
      </w:r>
    </w:p>
    <w:p w14:paraId="16337E8F">
      <w:pPr>
        <w:spacing w:line="360" w:lineRule="auto"/>
        <w:jc w:val="both"/>
        <w:rPr>
          <w:rFonts w:ascii="Arial" w:hAnsi="Arial" w:cs="Arial"/>
          <w:color w:val="000000" w:themeColor="text1"/>
          <w:sz w:val="22"/>
          <w:szCs w:val="22"/>
          <w14:textFill>
            <w14:solidFill>
              <w14:schemeClr w14:val="tx1"/>
            </w14:solidFill>
          </w14:textFill>
        </w:rPr>
      </w:pPr>
      <w:r>
        <w:rPr>
          <w:rFonts w:hint="eastAsia" w:ascii="Arial" w:hAnsi="Arial" w:cs="Arial"/>
          <w:color w:val="000000" w:themeColor="text1"/>
          <w:sz w:val="22"/>
          <w:szCs w:val="22"/>
          <w:lang w:val="en-US"/>
          <w14:textFill>
            <w14:solidFill>
              <w14:schemeClr w14:val="tx1"/>
            </w14:solidFill>
          </w14:textFill>
        </w:rPr>
        <w:t>T</w:t>
      </w:r>
      <w:r>
        <w:rPr>
          <w:rFonts w:ascii="Arial" w:hAnsi="Arial" w:cs="Arial"/>
          <w:color w:val="000000" w:themeColor="text1"/>
          <w:sz w:val="22"/>
          <w:szCs w:val="22"/>
          <w:lang w:val="en-US"/>
          <w14:textFill>
            <w14:solidFill>
              <w14:schemeClr w14:val="tx1"/>
            </w14:solidFill>
          </w14:textFill>
        </w:rPr>
        <w:t xml:space="preserve">he </w:t>
      </w:r>
      <w:r>
        <w:rPr>
          <w:rFonts w:ascii="Arial" w:hAnsi="Arial" w:cs="Arial"/>
          <w:color w:val="000000" w:themeColor="text1"/>
          <w:sz w:val="22"/>
          <w:szCs w:val="22"/>
          <w14:textFill>
            <w14:solidFill>
              <w14:schemeClr w14:val="tx1"/>
            </w14:solidFill>
          </w14:textFill>
        </w:rPr>
        <w:t xml:space="preserve">open-access tutorial website: </w:t>
      </w:r>
    </w:p>
    <w:p w14:paraId="2051BC0D">
      <w:pPr>
        <w:spacing w:line="360" w:lineRule="auto"/>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fldChar w:fldCharType="begin"/>
      </w:r>
      <w:r>
        <w:rPr>
          <w:rFonts w:ascii="Arial" w:hAnsi="Arial" w:cs="Arial"/>
          <w:color w:val="000000" w:themeColor="text1"/>
          <w:sz w:val="22"/>
          <w:szCs w:val="22"/>
          <w14:textFill>
            <w14:solidFill>
              <w14:schemeClr w14:val="tx1"/>
            </w14:solidFill>
          </w14:textFill>
        </w:rPr>
        <w:instrText xml:space="preserve"> HYPERLINK "https://metabomicslab.github.io/snRNAseq-analysis-workflow/" </w:instrText>
      </w:r>
      <w:r>
        <w:rPr>
          <w:rFonts w:ascii="Arial" w:hAnsi="Arial" w:cs="Arial"/>
          <w:color w:val="000000" w:themeColor="text1"/>
          <w:sz w:val="22"/>
          <w:szCs w:val="22"/>
          <w14:textFill>
            <w14:solidFill>
              <w14:schemeClr w14:val="tx1"/>
            </w14:solidFill>
          </w14:textFill>
        </w:rPr>
        <w:fldChar w:fldCharType="separate"/>
      </w:r>
      <w:r>
        <w:rPr>
          <w:rStyle w:val="10"/>
          <w:rFonts w:ascii="Arial" w:hAnsi="Arial" w:cs="Arial"/>
          <w:sz w:val="22"/>
          <w:szCs w:val="22"/>
        </w:rPr>
        <w:t>https://metabomicslab.github.io/snRNAseq-analysis-workflow/</w:t>
      </w:r>
      <w:r>
        <w:rPr>
          <w:rFonts w:ascii="Arial" w:hAnsi="Arial" w:cs="Arial"/>
          <w:color w:val="000000" w:themeColor="text1"/>
          <w:sz w:val="22"/>
          <w:szCs w:val="22"/>
          <w14:textFill>
            <w14:solidFill>
              <w14:schemeClr w14:val="tx1"/>
            </w14:solidFill>
          </w14:textFill>
        </w:rPr>
        <w:fldChar w:fldCharType="end"/>
      </w:r>
    </w:p>
    <w:p w14:paraId="2E9EC7BE">
      <w:pPr>
        <w:spacing w:line="360" w:lineRule="auto"/>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Zenodo: </w:t>
      </w:r>
    </w:p>
    <w:p w14:paraId="388311CE">
      <w:pPr>
        <w:spacing w:line="360" w:lineRule="auto"/>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https://zenodo.org/records/14725531</w:t>
      </w:r>
    </w:p>
    <w:p w14:paraId="64BCB77B">
      <w:pPr>
        <w:pStyle w:val="12"/>
        <w:spacing w:before="0" w:line="360" w:lineRule="auto"/>
        <w:ind w:firstLine="0"/>
        <w:jc w:val="both"/>
        <w:rPr>
          <w:rFonts w:ascii="Arial" w:hAnsi="Arial" w:cs="Arial"/>
          <w:color w:val="000000" w:themeColor="text1"/>
          <w:sz w:val="22"/>
          <w:szCs w:val="22"/>
          <w14:textFill>
            <w14:solidFill>
              <w14:schemeClr w14:val="tx1"/>
            </w14:solidFill>
          </w14:textFill>
        </w:rPr>
      </w:pPr>
      <w:r>
        <w:rPr>
          <w:rFonts w:ascii="Arial" w:hAnsi="Arial" w:cs="Arial"/>
          <w:color w:val="000000" w:themeColor="text1"/>
          <w:sz w:val="22"/>
          <w:szCs w:val="22"/>
          <w14:textFill>
            <w14:solidFill>
              <w14:schemeClr w14:val="tx1"/>
            </w14:solidFill>
          </w14:textFill>
        </w:rPr>
        <w:t xml:space="preserve">GitHub: </w:t>
      </w:r>
    </w:p>
    <w:p w14:paraId="774B44AA">
      <w:pPr>
        <w:rPr>
          <w:color w:val="000000" w:themeColor="text1"/>
          <w14:textFill>
            <w14:solidFill>
              <w14:schemeClr w14:val="tx1"/>
            </w14:solidFill>
          </w14:textFill>
        </w:rPr>
      </w:pPr>
      <w:r>
        <w:rPr>
          <w:rFonts w:ascii="Arial" w:hAnsi="Arial" w:cs="Arial"/>
          <w:color w:val="000000" w:themeColor="text1"/>
          <w:sz w:val="22"/>
          <w:szCs w:val="22"/>
          <w14:textFill>
            <w14:solidFill>
              <w14:schemeClr w14:val="tx1"/>
            </w14:solidFill>
          </w14:textFill>
        </w:rPr>
        <w:fldChar w:fldCharType="begin"/>
      </w:r>
      <w:r>
        <w:rPr>
          <w:rFonts w:ascii="Arial" w:hAnsi="Arial" w:cs="Arial"/>
          <w:color w:val="000000" w:themeColor="text1"/>
          <w:sz w:val="22"/>
          <w:szCs w:val="22"/>
          <w14:textFill>
            <w14:solidFill>
              <w14:schemeClr w14:val="tx1"/>
            </w14:solidFill>
          </w14:textFill>
        </w:rPr>
        <w:instrText xml:space="preserve">HYPERLINK "https://metabomicslab.github.io/snRNAseq-analysis-workflow/"</w:instrText>
      </w:r>
      <w:r>
        <w:rPr>
          <w:rFonts w:ascii="Arial" w:hAnsi="Arial" w:cs="Arial"/>
          <w:color w:val="000000" w:themeColor="text1"/>
          <w:sz w:val="22"/>
          <w:szCs w:val="22"/>
          <w14:textFill>
            <w14:solidFill>
              <w14:schemeClr w14:val="tx1"/>
            </w14:solidFill>
          </w14:textFill>
        </w:rPr>
        <w:fldChar w:fldCharType="separate"/>
      </w:r>
      <w:r>
        <w:rPr>
          <w:rStyle w:val="10"/>
          <w:rFonts w:ascii="Arial" w:hAnsi="Arial" w:cs="Arial"/>
          <w:color w:val="000000" w:themeColor="text1"/>
          <w:sz w:val="22"/>
          <w:szCs w:val="22"/>
          <w14:textFill>
            <w14:solidFill>
              <w14:schemeClr w14:val="tx1"/>
            </w14:solidFill>
          </w14:textFill>
        </w:rPr>
        <w:t>https://metabomicslab.github.io/snRNAseq-analysis-workflow/</w:t>
      </w:r>
      <w:r>
        <w:rPr>
          <w:rFonts w:ascii="Arial" w:hAnsi="Arial" w:cs="Arial"/>
          <w:color w:val="000000" w:themeColor="text1"/>
          <w:sz w:val="22"/>
          <w:szCs w:val="22"/>
          <w14:textFill>
            <w14:solidFill>
              <w14:schemeClr w14:val="tx1"/>
            </w14:solidFill>
          </w14:textFill>
        </w:rPr>
        <w:fldChar w:fldCharType="end"/>
      </w:r>
    </w:p>
    <w:p w14:paraId="4C3F6C5D">
      <w:pPr>
        <w:rPr>
          <w:rFonts w:ascii="Arial" w:hAnsi="Arial" w:cs="Arial"/>
          <w:color w:val="000000" w:themeColor="text1"/>
          <w:sz w:val="22"/>
          <w:szCs w:val="22"/>
          <w:lang w:val="en-US"/>
          <w14:textFill>
            <w14:solidFill>
              <w14:schemeClr w14:val="tx1"/>
            </w14:solidFill>
          </w14:textFill>
        </w:rPr>
      </w:pPr>
      <w:r>
        <w:rPr>
          <w:rFonts w:ascii="Arial" w:hAnsi="Arial" w:cs="Arial"/>
          <w:color w:val="000000" w:themeColor="text1"/>
          <w:sz w:val="22"/>
          <w:szCs w:val="22"/>
          <w:lang w:val="en-US"/>
          <w14:textFill>
            <w14:solidFill>
              <w14:schemeClr w14:val="tx1"/>
            </w14:solidFill>
          </w14:textFill>
        </w:rPr>
        <w:br w:type="page"/>
      </w:r>
    </w:p>
    <w:p w14:paraId="283A7ADB">
      <w:pPr>
        <w:pStyle w:val="14"/>
        <w:spacing w:line="360" w:lineRule="auto"/>
        <w:jc w:val="both"/>
        <w:rPr>
          <w:rFonts w:ascii="Arial" w:hAnsi="Arial" w:eastAsia="Arial" w:cs="Arial"/>
          <w:b/>
          <w:bCs/>
          <w:color w:val="000000" w:themeColor="text1"/>
          <w:sz w:val="22"/>
          <w:szCs w:val="22"/>
          <w14:textFill>
            <w14:solidFill>
              <w14:schemeClr w14:val="tx1"/>
            </w14:solidFill>
          </w14:textFill>
        </w:rPr>
      </w:pPr>
      <w:bookmarkStart w:id="2" w:name="OLE_LINK29"/>
      <w:bookmarkStart w:id="3" w:name="OLE_LINK30"/>
      <w:r>
        <w:rPr>
          <w:rFonts w:ascii="Arial" w:hAnsi="Arial" w:eastAsia="Arial" w:cs="Arial"/>
          <w:b/>
          <w:bCs/>
          <w:color w:val="000000" w:themeColor="text1"/>
          <w:sz w:val="22"/>
          <w:szCs w:val="22"/>
          <w14:textFill>
            <w14:solidFill>
              <w14:schemeClr w14:val="tx1"/>
            </w14:solidFill>
          </w14:textFill>
        </w:rPr>
        <w:t>Supplementary Figure</w:t>
      </w:r>
      <w:bookmarkEnd w:id="2"/>
      <w:bookmarkEnd w:id="3"/>
      <w:r>
        <w:rPr>
          <w:rFonts w:ascii="Arial" w:hAnsi="Arial" w:eastAsia="Arial" w:cs="Arial"/>
          <w:b/>
          <w:bCs/>
          <w:color w:val="000000" w:themeColor="text1"/>
          <w:sz w:val="22"/>
          <w:szCs w:val="22"/>
          <w14:textFill>
            <w14:solidFill>
              <w14:schemeClr w14:val="tx1"/>
            </w14:solidFill>
          </w14:textFill>
        </w:rPr>
        <w:t>s and Tables</w:t>
      </w:r>
    </w:p>
    <w:p w14:paraId="048051FB">
      <w:pPr>
        <w:pStyle w:val="14"/>
        <w:spacing w:line="360" w:lineRule="auto"/>
        <w:jc w:val="both"/>
        <w:rPr>
          <w:rFonts w:ascii="Arial" w:hAnsi="Arial" w:eastAsia="Arial" w:cs="Arial"/>
          <w:b/>
          <w:bCs/>
          <w:color w:val="000000" w:themeColor="text1"/>
          <w:sz w:val="22"/>
          <w:szCs w:val="22"/>
          <w14:textFill>
            <w14:solidFill>
              <w14:schemeClr w14:val="tx1"/>
            </w14:solidFill>
          </w14:textFill>
        </w:rPr>
      </w:pPr>
    </w:p>
    <w:p w14:paraId="7C34421A">
      <w:pPr>
        <w:pStyle w:val="14"/>
        <w:spacing w:line="360" w:lineRule="auto"/>
        <w:jc w:val="both"/>
        <w:rPr>
          <w:rFonts w:ascii="Arial" w:hAnsi="Arial" w:eastAsia="Arial" w:cs="Arial"/>
          <w:b/>
          <w:bCs/>
          <w:color w:val="000000" w:themeColor="text1"/>
          <w:sz w:val="22"/>
          <w:szCs w:val="22"/>
          <w14:textFill>
            <w14:solidFill>
              <w14:schemeClr w14:val="tx1"/>
            </w14:solidFill>
          </w14:textFill>
        </w:rPr>
      </w:pPr>
      <w:r>
        <w:rPr>
          <w:rFonts w:ascii="Times New Roman" w:hAnsi="Times New Roman" w:eastAsia="Times New Roman" w:cs="Times New Roman"/>
          <w:snapToGrid w:val="0"/>
          <w:color w:val="000000"/>
          <w:w w:val="0"/>
          <w:sz w:val="0"/>
          <w:szCs w:val="0"/>
          <w:u w:color="000000"/>
          <w:shd w:val="clear" w:color="000000" w:fill="000000"/>
          <w:lang w:val="zh-CN" w:eastAsia="zh-CN" w:bidi="zh-CN"/>
        </w:rPr>
        <w:t xml:space="preserve"> </w:t>
      </w:r>
      <w:r>
        <w:rPr>
          <w:rFonts w:ascii="Arial" w:hAnsi="Arial" w:eastAsia="Arial" w:cs="Arial"/>
          <w:b/>
          <w:bCs/>
          <w:color w:val="000000" w:themeColor="text1"/>
          <w:sz w:val="22"/>
          <w:szCs w:val="22"/>
          <w14:textFill>
            <w14:solidFill>
              <w14:schemeClr w14:val="tx1"/>
            </w14:solidFill>
          </w14:textFill>
        </w:rPr>
        <w:drawing>
          <wp:inline distT="0" distB="0" distL="0" distR="0">
            <wp:extent cx="5731510" cy="6080125"/>
            <wp:effectExtent l="0" t="0" r="0" b="317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5731510" cy="6080125"/>
                    </a:xfrm>
                    <a:prstGeom prst="rect">
                      <a:avLst/>
                    </a:prstGeom>
                  </pic:spPr>
                </pic:pic>
              </a:graphicData>
            </a:graphic>
          </wp:inline>
        </w:drawing>
      </w:r>
    </w:p>
    <w:p w14:paraId="0BE788EA">
      <w:pPr>
        <w:spacing w:line="360" w:lineRule="auto"/>
        <w:jc w:val="both"/>
        <w:rPr>
          <w:rFonts w:ascii="Arial" w:hAnsi="Arial" w:cs="Arial"/>
          <w:b/>
          <w:bCs/>
          <w:color w:val="000000" w:themeColor="text1"/>
          <w:sz w:val="22"/>
          <w:szCs w:val="22"/>
          <w:lang w:val="en-US"/>
          <w14:textFill>
            <w14:solidFill>
              <w14:schemeClr w14:val="tx1"/>
            </w14:solidFill>
          </w14:textFill>
        </w:rPr>
      </w:pPr>
      <w:bookmarkStart w:id="4" w:name="OLE_LINK15"/>
    </w:p>
    <w:p w14:paraId="50BDF9FF">
      <w:pPr>
        <w:spacing w:line="360" w:lineRule="auto"/>
        <w:jc w:val="both"/>
        <w:rPr>
          <w:rFonts w:ascii="Arial" w:hAnsi="Arial" w:cs="Arial"/>
          <w:b/>
          <w:bCs/>
          <w:color w:val="000000" w:themeColor="text1"/>
          <w:sz w:val="22"/>
          <w:szCs w:val="22"/>
          <w:lang w:val="en-US"/>
          <w14:textFill>
            <w14:solidFill>
              <w14:schemeClr w14:val="tx1"/>
            </w14:solidFill>
          </w14:textFill>
        </w:rPr>
      </w:pPr>
    </w:p>
    <w:p w14:paraId="7FE69585">
      <w:pPr>
        <w:spacing w:line="360" w:lineRule="auto"/>
        <w:jc w:val="both"/>
        <w:rPr>
          <w:rFonts w:ascii="Arial" w:hAnsi="Arial" w:cs="Arial"/>
          <w:b/>
          <w:bCs/>
          <w:color w:val="000000" w:themeColor="text1"/>
          <w:sz w:val="22"/>
          <w:szCs w:val="22"/>
          <w:lang w:val="en-US"/>
          <w14:textFill>
            <w14:solidFill>
              <w14:schemeClr w14:val="tx1"/>
            </w14:solidFill>
          </w14:textFill>
        </w:rPr>
      </w:pPr>
    </w:p>
    <w:p w14:paraId="2D5D28B8">
      <w:pPr>
        <w:spacing w:line="360" w:lineRule="auto"/>
        <w:jc w:val="both"/>
        <w:rPr>
          <w:rFonts w:ascii="Arial" w:hAnsi="Arial" w:cs="Arial"/>
          <w:b/>
          <w:bCs/>
          <w:color w:val="000000" w:themeColor="text1"/>
          <w:sz w:val="22"/>
          <w:szCs w:val="22"/>
          <w:lang w:val="en-US"/>
          <w14:textFill>
            <w14:solidFill>
              <w14:schemeClr w14:val="tx1"/>
            </w14:solidFill>
          </w14:textFill>
        </w:rPr>
      </w:pPr>
    </w:p>
    <w:p w14:paraId="331AEB50">
      <w:pPr>
        <w:spacing w:line="360" w:lineRule="auto"/>
        <w:jc w:val="both"/>
        <w:rPr>
          <w:rFonts w:ascii="Arial" w:hAnsi="Arial" w:cs="Arial"/>
          <w:b/>
          <w:bCs/>
          <w:color w:val="000000" w:themeColor="text1"/>
          <w:sz w:val="22"/>
          <w:szCs w:val="22"/>
          <w:lang w:val="en-US"/>
          <w14:textFill>
            <w14:solidFill>
              <w14:schemeClr w14:val="tx1"/>
            </w14:solidFill>
          </w14:textFill>
        </w:rPr>
      </w:pPr>
    </w:p>
    <w:p w14:paraId="7392BF04">
      <w:pPr>
        <w:spacing w:line="360" w:lineRule="auto"/>
        <w:jc w:val="both"/>
        <w:rPr>
          <w:rFonts w:ascii="Arial" w:hAnsi="Arial" w:cs="Arial"/>
          <w:b/>
          <w:bCs/>
          <w:color w:val="000000" w:themeColor="text1"/>
          <w:sz w:val="22"/>
          <w:szCs w:val="22"/>
          <w:lang w:val="en-US"/>
          <w14:textFill>
            <w14:solidFill>
              <w14:schemeClr w14:val="tx1"/>
            </w14:solidFill>
          </w14:textFill>
        </w:rPr>
      </w:pPr>
    </w:p>
    <w:p w14:paraId="07754853">
      <w:pPr>
        <w:spacing w:line="360" w:lineRule="auto"/>
        <w:jc w:val="both"/>
        <w:rPr>
          <w:rFonts w:ascii="Arial" w:hAnsi="Arial" w:cs="Arial"/>
          <w:b/>
          <w:bCs/>
          <w:color w:val="000000" w:themeColor="text1"/>
          <w:sz w:val="22"/>
          <w:szCs w:val="22"/>
          <w:lang w:val="en-US"/>
          <w14:textFill>
            <w14:solidFill>
              <w14:schemeClr w14:val="tx1"/>
            </w14:solidFill>
          </w14:textFill>
        </w:rPr>
      </w:pPr>
    </w:p>
    <w:p w14:paraId="5557AC72">
      <w:pPr>
        <w:spacing w:line="360" w:lineRule="auto"/>
        <w:jc w:val="both"/>
        <w:rPr>
          <w:rFonts w:ascii="Arial" w:hAnsi="Arial" w:cs="Arial"/>
          <w:b/>
          <w:bCs/>
          <w:color w:val="000000" w:themeColor="text1"/>
          <w:sz w:val="22"/>
          <w:szCs w:val="22"/>
          <w:lang w:val="en-US"/>
          <w14:textFill>
            <w14:solidFill>
              <w14:schemeClr w14:val="tx1"/>
            </w14:solidFill>
          </w14:textFill>
        </w:rPr>
      </w:pPr>
    </w:p>
    <w:p w14:paraId="7A0562F5">
      <w:pPr>
        <w:spacing w:line="360" w:lineRule="auto"/>
        <w:jc w:val="both"/>
        <w:rPr>
          <w:rFonts w:ascii="Arial" w:hAnsi="Arial" w:cs="Arial"/>
          <w:b/>
          <w:bCs/>
          <w:color w:val="000000" w:themeColor="text1"/>
          <w:sz w:val="22"/>
          <w:szCs w:val="22"/>
          <w:lang w:val="en-US"/>
          <w14:textFill>
            <w14:solidFill>
              <w14:schemeClr w14:val="tx1"/>
            </w14:solidFill>
          </w14:textFill>
        </w:rPr>
      </w:pPr>
    </w:p>
    <w:p w14:paraId="10618CBF">
      <w:pPr>
        <w:spacing w:line="360" w:lineRule="auto"/>
        <w:jc w:val="both"/>
        <w:rPr>
          <w:rFonts w:ascii="Arial" w:hAnsi="Arial" w:cs="Arial"/>
          <w:b/>
          <w:bCs/>
          <w:color w:val="000000" w:themeColor="text1"/>
          <w:sz w:val="22"/>
          <w:szCs w:val="22"/>
          <w:lang w:val="en-US"/>
          <w14:textFill>
            <w14:solidFill>
              <w14:schemeClr w14:val="tx1"/>
            </w14:solidFill>
          </w14:textFill>
        </w:rPr>
      </w:pPr>
      <w:r>
        <w:rPr>
          <w:rFonts w:ascii="Arial" w:hAnsi="Arial" w:cs="Arial"/>
          <w:b/>
          <w:bCs/>
          <w:color w:val="000000" w:themeColor="text1"/>
          <w:sz w:val="22"/>
          <w:szCs w:val="22"/>
          <w:lang w:val="en-US"/>
          <w14:textFill>
            <w14:solidFill>
              <w14:schemeClr w14:val="tx1"/>
            </w14:solidFill>
          </w14:textFill>
        </w:rPr>
        <w:t>Supplementary Figure S1</w:t>
      </w:r>
      <w:r>
        <w:rPr>
          <w:rFonts w:ascii="Arial" w:hAnsi="Arial" w:cs="Arial"/>
          <w:b/>
          <w:bCs/>
          <w:color w:val="000000" w:themeColor="text1"/>
          <w:sz w:val="22"/>
          <w:szCs w:val="22"/>
          <w14:textFill>
            <w14:solidFill>
              <w14:schemeClr w14:val="tx1"/>
            </w14:solidFill>
          </w14:textFill>
        </w:rPr>
        <w:t xml:space="preserve"> </w:t>
      </w:r>
      <w:r>
        <w:rPr>
          <w:rFonts w:ascii="Arial" w:hAnsi="Arial" w:cs="Arial"/>
          <w:b w:val="0"/>
          <w:bCs/>
          <w:color w:val="000000" w:themeColor="text1"/>
          <w:sz w:val="22"/>
          <w:szCs w:val="22"/>
          <w14:textFill>
            <w14:solidFill>
              <w14:schemeClr w14:val="tx1"/>
            </w14:solidFill>
          </w14:textFill>
        </w:rPr>
        <w:t>Overview of the datasets included in the study.</w:t>
      </w:r>
      <w:r>
        <w:rPr>
          <w:rFonts w:ascii="Arial" w:hAnsi="Arial" w:cs="Arial"/>
          <w:color w:val="000000" w:themeColor="text1"/>
          <w:sz w:val="22"/>
          <w:szCs w:val="22"/>
          <w14:textFill>
            <w14:solidFill>
              <w14:schemeClr w14:val="tx1"/>
            </w14:solidFill>
          </w14:textFill>
        </w:rPr>
        <w:t xml:space="preserve"> (a) Overview of </w:t>
      </w:r>
      <w:bookmarkStart w:id="5" w:name="OLE_LINK12"/>
      <w:r>
        <w:rPr>
          <w:rFonts w:ascii="Arial" w:hAnsi="Arial" w:cs="Arial"/>
          <w:color w:val="000000" w:themeColor="text1"/>
          <w:sz w:val="22"/>
          <w:szCs w:val="22"/>
          <w14:textFill>
            <w14:solidFill>
              <w14:schemeClr w14:val="tx1"/>
            </w14:solidFill>
          </w14:textFill>
        </w:rPr>
        <w:t>the datasets included in this study</w:t>
      </w:r>
      <w:bookmarkEnd w:id="5"/>
      <w:r>
        <w:rPr>
          <w:rFonts w:ascii="Arial" w:hAnsi="Arial" w:cs="Arial"/>
          <w:color w:val="000000" w:themeColor="text1"/>
          <w:sz w:val="22"/>
          <w:szCs w:val="22"/>
          <w14:textFill>
            <w14:solidFill>
              <w14:schemeClr w14:val="tx1"/>
            </w14:solidFill>
          </w14:textFill>
        </w:rPr>
        <w:t xml:space="preserve">: white adipose tissue (GSE225700), muscle (PRJNA772047 and PRJNA771932), liver (GSE202379), and the hypothalamus (GSE217677). (b) Ambient RNA contamination across samples and tissues. Each dot represents a single sample. (c) Doublet rate </w:t>
      </w:r>
      <w:bookmarkStart w:id="6" w:name="OLE_LINK13"/>
      <w:r>
        <w:rPr>
          <w:rFonts w:ascii="Arial" w:hAnsi="Arial" w:cs="Arial"/>
          <w:color w:val="000000" w:themeColor="text1"/>
          <w:sz w:val="22"/>
          <w:szCs w:val="22"/>
          <w14:textFill>
            <w14:solidFill>
              <w14:schemeClr w14:val="tx1"/>
            </w14:solidFill>
          </w14:textFill>
        </w:rPr>
        <w:t>across samples and tissues. Each dot represents a single sample.</w:t>
      </w:r>
      <w:bookmarkEnd w:id="6"/>
      <w:r>
        <w:rPr>
          <w:rFonts w:ascii="Arial" w:hAnsi="Arial" w:cs="Arial"/>
          <w:color w:val="000000" w:themeColor="text1"/>
          <w:sz w:val="22"/>
          <w:szCs w:val="22"/>
          <w14:textFill>
            <w14:solidFill>
              <w14:schemeClr w14:val="tx1"/>
            </w14:solidFill>
          </w14:textFill>
        </w:rPr>
        <w:t xml:space="preserve"> </w:t>
      </w:r>
      <w:r>
        <w:rPr>
          <w:rFonts w:ascii="Arial" w:hAnsi="Arial" w:cs="Arial"/>
          <w:color w:val="000000" w:themeColor="text1"/>
          <w:sz w:val="22"/>
          <w:szCs w:val="22"/>
          <w:lang w:val="en-US"/>
          <w14:textFill>
            <w14:solidFill>
              <w14:schemeClr w14:val="tx1"/>
            </w14:solidFill>
          </w14:textFill>
        </w:rPr>
        <w:t>(</w:t>
      </w:r>
      <w:r>
        <w:rPr>
          <w:rFonts w:hint="eastAsia" w:ascii="Arial" w:hAnsi="Arial" w:cs="Arial"/>
          <w:color w:val="000000" w:themeColor="text1"/>
          <w:sz w:val="22"/>
          <w:szCs w:val="22"/>
          <w:lang w:val="en-US"/>
          <w14:textFill>
            <w14:solidFill>
              <w14:schemeClr w14:val="tx1"/>
            </w14:solidFill>
          </w14:textFill>
        </w:rPr>
        <w:t>d</w:t>
      </w:r>
      <w:r>
        <w:rPr>
          <w:rFonts w:ascii="Arial" w:hAnsi="Arial" w:cs="Arial"/>
          <w:color w:val="000000" w:themeColor="text1"/>
          <w:sz w:val="22"/>
          <w:szCs w:val="22"/>
          <w:lang w:val="en-US"/>
          <w14:textFill>
            <w14:solidFill>
              <w14:schemeClr w14:val="tx1"/>
            </w14:solidFill>
          </w14:textFill>
        </w:rPr>
        <w:t xml:space="preserve">) Comparison of ambient RNA removal approaches in single-nucleus RNA-seq data from adipose tissue. Rows represent different processing methods—raw refers to standard Seurat workflow without ambient RNA, DecontX, SoupX, and CellBender (bottom). (Left) UMAP plots color by cell type. (Middle) Feature plots and violin plots showing expression levels of representative marker genes </w:t>
      </w:r>
      <w:r>
        <w:rPr>
          <w:rFonts w:ascii="Arial" w:hAnsi="Arial" w:cs="Arial"/>
          <w:i/>
          <w:iCs/>
          <w:color w:val="000000" w:themeColor="text1"/>
          <w:sz w:val="22"/>
          <w:szCs w:val="22"/>
          <w:lang w:val="en-US"/>
          <w14:textFill>
            <w14:solidFill>
              <w14:schemeClr w14:val="tx1"/>
            </w14:solidFill>
          </w14:textFill>
        </w:rPr>
        <w:t>PLIN1</w:t>
      </w:r>
      <w:r>
        <w:rPr>
          <w:rFonts w:ascii="Arial" w:hAnsi="Arial" w:cs="Arial"/>
          <w:color w:val="000000" w:themeColor="text1"/>
          <w:sz w:val="22"/>
          <w:szCs w:val="22"/>
          <w:lang w:val="en-US"/>
          <w14:textFill>
            <w14:solidFill>
              <w14:schemeClr w14:val="tx1"/>
            </w14:solidFill>
          </w14:textFill>
        </w:rPr>
        <w:t xml:space="preserve"> across these cell types across different ambient RNA removal methods. (Right) Dot plots summarizing both the average expression and the fraction of cells expressing these genes in each cluster.</w:t>
      </w:r>
    </w:p>
    <w:p w14:paraId="39317F37">
      <w:pPr>
        <w:spacing w:line="360" w:lineRule="auto"/>
        <w:jc w:val="both"/>
        <w:rPr>
          <w:rFonts w:ascii="Arial" w:hAnsi="Arial" w:cs="Arial"/>
          <w:color w:val="000000" w:themeColor="text1"/>
          <w:sz w:val="22"/>
          <w:szCs w:val="22"/>
          <w:lang w:val="en-US"/>
          <w14:textFill>
            <w14:solidFill>
              <w14:schemeClr w14:val="tx1"/>
            </w14:solidFill>
          </w14:textFill>
        </w:rPr>
      </w:pPr>
    </w:p>
    <w:p w14:paraId="43BE69FF">
      <w:pPr>
        <w:spacing w:line="360" w:lineRule="auto"/>
        <w:jc w:val="both"/>
        <w:rPr>
          <w:rFonts w:ascii="Arial" w:hAnsi="Arial" w:cs="Arial"/>
          <w:color w:val="000000" w:themeColor="text1"/>
          <w:sz w:val="22"/>
          <w:szCs w:val="22"/>
          <w:lang w:val="en-US"/>
          <w14:textFill>
            <w14:solidFill>
              <w14:schemeClr w14:val="tx1"/>
            </w14:solidFill>
          </w14:textFill>
        </w:rPr>
      </w:pPr>
      <w:r>
        <w:rPr>
          <w:rFonts w:ascii="Times New Roman" w:hAnsi="Times New Roman" w:eastAsia="Times New Roman" w:cs="Times New Roman"/>
          <w:snapToGrid w:val="0"/>
          <w:color w:val="000000"/>
          <w:w w:val="0"/>
          <w:sz w:val="0"/>
          <w:szCs w:val="0"/>
          <w:u w:color="000000"/>
          <w:shd w:val="clear" w:color="000000" w:fill="000000"/>
          <w:lang w:val="zh-CN" w:eastAsia="zh-CN" w:bidi="zh-CN"/>
        </w:rPr>
        <w:t xml:space="preserve"> </w:t>
      </w:r>
      <w:r>
        <w:rPr>
          <w:rFonts w:ascii="Arial" w:hAnsi="Arial" w:cs="Arial"/>
          <w:color w:val="000000" w:themeColor="text1"/>
          <w:sz w:val="22"/>
          <w:szCs w:val="22"/>
          <w:lang w:val="en-US"/>
          <w14:textFill>
            <w14:solidFill>
              <w14:schemeClr w14:val="tx1"/>
            </w14:solidFill>
          </w14:textFill>
        </w:rPr>
        <w:drawing>
          <wp:inline distT="0" distB="0" distL="0" distR="0">
            <wp:extent cx="5731510" cy="7711440"/>
            <wp:effectExtent l="0" t="0" r="2540" b="3810"/>
            <wp:docPr id="2" name="图片 2" descr="C:\Users\a\Desktop\54\Figures\Supplementary Figure S2 - t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C:\Users\a\Desktop\54\Figures\Supplementary Figure S2 - tu.tif"/>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a:xfrm>
                      <a:off x="0" y="0"/>
                      <a:ext cx="5731510" cy="7712066"/>
                    </a:xfrm>
                    <a:prstGeom prst="rect">
                      <a:avLst/>
                    </a:prstGeom>
                    <a:noFill/>
                    <a:ln>
                      <a:noFill/>
                    </a:ln>
                  </pic:spPr>
                </pic:pic>
              </a:graphicData>
            </a:graphic>
          </wp:inline>
        </w:drawing>
      </w:r>
    </w:p>
    <w:bookmarkEnd w:id="4"/>
    <w:p w14:paraId="292FDEAE">
      <w:pPr>
        <w:spacing w:line="360" w:lineRule="auto"/>
        <w:jc w:val="both"/>
        <w:rPr>
          <w:rFonts w:ascii="Arial" w:hAnsi="Arial" w:cs="Arial"/>
          <w:b/>
          <w:bCs/>
          <w:color w:val="000000" w:themeColor="text1"/>
          <w:sz w:val="22"/>
          <w:szCs w:val="22"/>
          <w:lang w:val="en-US"/>
          <w14:textFill>
            <w14:solidFill>
              <w14:schemeClr w14:val="tx1"/>
            </w14:solidFill>
          </w14:textFill>
        </w:rPr>
      </w:pPr>
    </w:p>
    <w:p w14:paraId="0A4A4009">
      <w:pPr>
        <w:spacing w:line="360" w:lineRule="auto"/>
        <w:jc w:val="both"/>
        <w:rPr>
          <w:rFonts w:ascii="Arial" w:hAnsi="Arial" w:cs="Arial"/>
          <w:b/>
          <w:bCs/>
          <w:color w:val="000000" w:themeColor="text1"/>
          <w:sz w:val="22"/>
          <w:szCs w:val="22"/>
          <w:lang w:val="en-US"/>
          <w14:textFill>
            <w14:solidFill>
              <w14:schemeClr w14:val="tx1"/>
            </w14:solidFill>
          </w14:textFill>
        </w:rPr>
      </w:pPr>
    </w:p>
    <w:p w14:paraId="28EBC054">
      <w:pPr>
        <w:spacing w:line="360" w:lineRule="auto"/>
        <w:jc w:val="both"/>
        <w:rPr>
          <w:rFonts w:ascii="Arial" w:hAnsi="Arial" w:cs="Arial"/>
          <w:b/>
          <w:bCs/>
          <w:color w:val="000000" w:themeColor="text1"/>
          <w:sz w:val="22"/>
          <w:szCs w:val="22"/>
          <w:lang w:val="en-US"/>
          <w14:textFill>
            <w14:solidFill>
              <w14:schemeClr w14:val="tx1"/>
            </w14:solidFill>
          </w14:textFill>
        </w:rPr>
      </w:pPr>
    </w:p>
    <w:p w14:paraId="27C9451F">
      <w:pPr>
        <w:spacing w:line="360" w:lineRule="auto"/>
        <w:jc w:val="both"/>
        <w:rPr>
          <w:rFonts w:ascii="Arial" w:hAnsi="Arial" w:cs="Arial"/>
          <w:b/>
          <w:bCs/>
          <w:color w:val="000000" w:themeColor="text1"/>
          <w:sz w:val="22"/>
          <w:szCs w:val="22"/>
          <w:lang w:val="en-US"/>
          <w14:textFill>
            <w14:solidFill>
              <w14:schemeClr w14:val="tx1"/>
            </w14:solidFill>
          </w14:textFill>
        </w:rPr>
      </w:pPr>
    </w:p>
    <w:p w14:paraId="544D409A">
      <w:pPr>
        <w:spacing w:line="360" w:lineRule="auto"/>
        <w:jc w:val="both"/>
        <w:rPr>
          <w:rFonts w:ascii="Arial" w:hAnsi="Arial" w:cs="Arial"/>
          <w:color w:val="000000" w:themeColor="text1"/>
          <w:sz w:val="22"/>
          <w:szCs w:val="22"/>
          <w:lang w:val="en-US"/>
          <w14:textFill>
            <w14:solidFill>
              <w14:schemeClr w14:val="tx1"/>
            </w14:solidFill>
          </w14:textFill>
        </w:rPr>
      </w:pPr>
      <w:r>
        <w:rPr>
          <w:rFonts w:ascii="Arial" w:hAnsi="Arial" w:cs="Arial"/>
          <w:b/>
          <w:bCs/>
          <w:color w:val="000000" w:themeColor="text1"/>
          <w:sz w:val="22"/>
          <w:szCs w:val="22"/>
          <w:lang w:val="en-US"/>
          <w14:textFill>
            <w14:solidFill>
              <w14:schemeClr w14:val="tx1"/>
            </w14:solidFill>
          </w14:textFill>
        </w:rPr>
        <w:t>Supplementary Figure S2</w:t>
      </w:r>
      <w:r>
        <w:rPr>
          <w:rFonts w:ascii="Arial" w:hAnsi="Arial" w:cs="Arial"/>
          <w:b w:val="0"/>
          <w:bCs/>
          <w:color w:val="000000" w:themeColor="text1"/>
          <w:sz w:val="22"/>
          <w:szCs w:val="22"/>
          <w:lang w:val="en-US"/>
          <w14:textFill>
            <w14:solidFill>
              <w14:schemeClr w14:val="tx1"/>
            </w14:solidFill>
          </w14:textFill>
        </w:rPr>
        <w:t xml:space="preserve"> Cell type annotation performance of the optimized pipeline. </w:t>
      </w:r>
      <w:r>
        <w:rPr>
          <w:rFonts w:ascii="Arial" w:hAnsi="Arial" w:cs="Arial"/>
          <w:color w:val="000000" w:themeColor="text1"/>
          <w:sz w:val="22"/>
          <w:szCs w:val="22"/>
          <w:lang w:val="en-US"/>
          <w14:textFill>
            <w14:solidFill>
              <w14:schemeClr w14:val="tx1"/>
            </w14:solidFill>
          </w14:textFill>
        </w:rPr>
        <w:t>(a) UMAP plots of cell type annotation by SingleR. UMAP plots illustrate the impact of ambient RNA removal and optimized pipeline on cell type annotation across five metabolic tissues. Columns represent the standard Seurat workflow (left), annotation after ambient RNA removal (middle), and annotation after the optimized pipeline (right). Each row corresponds to a distinct tissue: human adipose tissue, human liver, human muscle, mouse muscle, and mouse hypothalamus. Colors indicate different cell types, as shown in the legend. (b) UMAP plots of cell types annotated by Azimuth. (Upper row) UMAP plots illustrate the cell annotation results of adipose tissue datasets using the standard Seurat workflow (left), annotation after ambient RNA removal (middle), and annotation after the optimized pipeline (right). (Lower row) UMAP plots illustrate the cell annotation results of liver datasets using standard Seurat workflow (left), annotation after ambient RNA removal (middle), and annotation after the optimized pipeline (right), respectively. The red circles highlight mixed cell populations present without application of the optimized pipeline.</w:t>
      </w:r>
    </w:p>
    <w:p w14:paraId="3B1DEBE1">
      <w:pPr>
        <w:spacing w:line="360" w:lineRule="auto"/>
        <w:jc w:val="both"/>
        <w:rPr>
          <w:rFonts w:ascii="Arial" w:hAnsi="Arial" w:cs="Arial"/>
          <w:color w:val="000000" w:themeColor="text1"/>
          <w:sz w:val="22"/>
          <w:szCs w:val="22"/>
          <w:lang w:val="en-US"/>
          <w14:textFill>
            <w14:solidFill>
              <w14:schemeClr w14:val="tx1"/>
            </w14:solidFill>
          </w14:textFill>
        </w:rPr>
      </w:pPr>
    </w:p>
    <w:p w14:paraId="01CE6C95">
      <w:pPr>
        <w:spacing w:line="360" w:lineRule="auto"/>
        <w:jc w:val="both"/>
        <w:rPr>
          <w:rFonts w:ascii="Arial" w:hAnsi="Arial" w:cs="Arial"/>
          <w:color w:val="000000" w:themeColor="text1"/>
          <w:sz w:val="22"/>
          <w:szCs w:val="22"/>
          <w:lang w:val="en-US"/>
          <w14:textFill>
            <w14:solidFill>
              <w14:schemeClr w14:val="tx1"/>
            </w14:solidFill>
          </w14:textFill>
        </w:rPr>
      </w:pPr>
      <w:r>
        <w:rPr>
          <w:rFonts w:ascii="Times New Roman" w:hAnsi="Times New Roman" w:eastAsia="Times New Roman" w:cs="Times New Roman"/>
          <w:snapToGrid w:val="0"/>
          <w:color w:val="000000"/>
          <w:w w:val="0"/>
          <w:sz w:val="0"/>
          <w:szCs w:val="0"/>
          <w:u w:color="000000"/>
          <w:shd w:val="clear" w:color="000000" w:fill="000000"/>
          <w:lang w:val="zh-CN" w:eastAsia="zh-CN" w:bidi="zh-CN"/>
        </w:rPr>
        <w:t xml:space="preserve"> </w:t>
      </w:r>
      <w:r>
        <w:rPr>
          <w:rFonts w:ascii="Arial" w:hAnsi="Arial" w:cs="Arial"/>
          <w:color w:val="000000" w:themeColor="text1"/>
          <w:sz w:val="22"/>
          <w:szCs w:val="22"/>
          <w:lang w:val="en-US"/>
          <w14:textFill>
            <w14:solidFill>
              <w14:schemeClr w14:val="tx1"/>
            </w14:solidFill>
          </w14:textFill>
        </w:rPr>
        <w:drawing>
          <wp:inline distT="0" distB="0" distL="0" distR="0">
            <wp:extent cx="5731510" cy="7705725"/>
            <wp:effectExtent l="0" t="0" r="2540" b="9525"/>
            <wp:docPr id="3" name="图片 3" descr="C:\Users\a\Desktop\54\Figures\Supplementary Figure S3 - t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C:\Users\a\Desktop\54\Figures\Supplementary Figure S3 - tu.tif"/>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a:xfrm>
                      <a:off x="0" y="0"/>
                      <a:ext cx="5731510" cy="7706090"/>
                    </a:xfrm>
                    <a:prstGeom prst="rect">
                      <a:avLst/>
                    </a:prstGeom>
                    <a:noFill/>
                    <a:ln>
                      <a:noFill/>
                    </a:ln>
                  </pic:spPr>
                </pic:pic>
              </a:graphicData>
            </a:graphic>
          </wp:inline>
        </w:drawing>
      </w:r>
    </w:p>
    <w:p w14:paraId="554A34A4">
      <w:pPr>
        <w:spacing w:line="360" w:lineRule="auto"/>
        <w:jc w:val="both"/>
        <w:rPr>
          <w:rFonts w:ascii="Arial" w:hAnsi="Arial" w:cs="Arial"/>
          <w:b/>
          <w:bCs/>
          <w:color w:val="000000" w:themeColor="text1"/>
          <w:sz w:val="22"/>
          <w:szCs w:val="22"/>
          <w:lang w:val="en-US"/>
          <w14:textFill>
            <w14:solidFill>
              <w14:schemeClr w14:val="tx1"/>
            </w14:solidFill>
          </w14:textFill>
        </w:rPr>
      </w:pPr>
    </w:p>
    <w:p w14:paraId="106514BD">
      <w:pPr>
        <w:spacing w:line="360" w:lineRule="auto"/>
        <w:jc w:val="both"/>
        <w:rPr>
          <w:rFonts w:ascii="Arial" w:hAnsi="Arial" w:cs="Arial"/>
          <w:b/>
          <w:bCs/>
          <w:color w:val="000000" w:themeColor="text1"/>
          <w:sz w:val="22"/>
          <w:szCs w:val="22"/>
          <w:lang w:val="en-US"/>
          <w14:textFill>
            <w14:solidFill>
              <w14:schemeClr w14:val="tx1"/>
            </w14:solidFill>
          </w14:textFill>
        </w:rPr>
      </w:pPr>
    </w:p>
    <w:p w14:paraId="7AAD7601">
      <w:pPr>
        <w:spacing w:line="360" w:lineRule="auto"/>
        <w:jc w:val="both"/>
        <w:rPr>
          <w:rFonts w:ascii="Arial" w:hAnsi="Arial" w:cs="Arial"/>
          <w:b/>
          <w:bCs/>
          <w:color w:val="000000" w:themeColor="text1"/>
          <w:sz w:val="22"/>
          <w:szCs w:val="22"/>
          <w:lang w:val="en-US"/>
          <w14:textFill>
            <w14:solidFill>
              <w14:schemeClr w14:val="tx1"/>
            </w14:solidFill>
          </w14:textFill>
        </w:rPr>
      </w:pPr>
    </w:p>
    <w:p w14:paraId="30F1083B">
      <w:pPr>
        <w:spacing w:line="360" w:lineRule="auto"/>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lang w:val="en-US"/>
          <w14:textFill>
            <w14:solidFill>
              <w14:schemeClr w14:val="tx1"/>
            </w14:solidFill>
          </w14:textFill>
        </w:rPr>
        <w:t>Supplementary Figure S3</w:t>
      </w:r>
      <w:r>
        <w:rPr>
          <w:rFonts w:ascii="Arial" w:hAnsi="Arial" w:cs="Arial"/>
          <w:b/>
          <w:bCs/>
          <w:color w:val="000000" w:themeColor="text1"/>
          <w:sz w:val="22"/>
          <w:szCs w:val="22"/>
          <w14:textFill>
            <w14:solidFill>
              <w14:schemeClr w14:val="tx1"/>
            </w14:solidFill>
          </w14:textFill>
        </w:rPr>
        <w:t xml:space="preserve"> </w:t>
      </w:r>
      <w:r>
        <w:rPr>
          <w:rFonts w:ascii="Arial" w:hAnsi="Arial" w:cs="Arial"/>
          <w:b w:val="0"/>
          <w:bCs/>
          <w:color w:val="000000" w:themeColor="text1"/>
          <w:sz w:val="22"/>
          <w:szCs w:val="22"/>
          <w14:textFill>
            <w14:solidFill>
              <w14:schemeClr w14:val="tx1"/>
            </w14:solidFill>
          </w14:textFill>
        </w:rPr>
        <w:t xml:space="preserve">Effects of ambient RNA and doublet removal on </w:t>
      </w:r>
      <w:r>
        <w:rPr>
          <w:rFonts w:ascii="Arial" w:hAnsi="Arial" w:cs="Arial"/>
          <w:b w:val="0"/>
          <w:bCs/>
          <w:color w:val="000000" w:themeColor="text1"/>
          <w:sz w:val="22"/>
          <w:szCs w:val="22"/>
          <w14:textFill>
            <w14:solidFill>
              <w14:schemeClr w14:val="tx1"/>
            </w14:solidFill>
          </w14:textFill>
        </w:rPr>
        <w:t>cell</w:t>
      </w:r>
      <w:r>
        <w:rPr>
          <w:rFonts w:ascii="Arial" w:hAnsi="Arial" w:cs="Arial"/>
          <w:bCs/>
          <w:color w:val="000000" w:themeColor="text1"/>
          <w:sz w:val="22"/>
          <w:szCs w:val="22"/>
          <w14:textFill>
            <w14:solidFill>
              <w14:schemeClr w14:val="tx1"/>
            </w14:solidFill>
          </w14:textFill>
        </w:rPr>
        <w:t xml:space="preserve"> </w:t>
      </w:r>
      <w:r>
        <w:rPr>
          <w:rFonts w:ascii="Arial" w:hAnsi="Arial" w:cs="Arial"/>
          <w:b w:val="0"/>
          <w:bCs/>
          <w:color w:val="000000" w:themeColor="text1"/>
          <w:sz w:val="22"/>
          <w:szCs w:val="22"/>
          <w14:textFill>
            <w14:solidFill>
              <w14:schemeClr w14:val="tx1"/>
            </w14:solidFill>
          </w14:textFill>
        </w:rPr>
        <w:t>type annotation and marker gene expression in white adipose tissue.</w:t>
      </w:r>
      <w:r>
        <w:rPr>
          <w:rFonts w:ascii="Arial" w:hAnsi="Arial" w:cs="Arial"/>
          <w:bCs/>
          <w:color w:val="000000" w:themeColor="text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 UMAP projections depicting cell type annotations and gene expression at different stages of data preprocessing. (Left) Raw data. (</w:t>
      </w:r>
      <w:r>
        <w:rPr>
          <w:rFonts w:ascii="Arial" w:hAnsi="Arial" w:cs="Arial"/>
          <w:color w:val="000000" w:themeColor="text1"/>
          <w:sz w:val="22"/>
          <w:szCs w:val="22"/>
          <w:lang w:val="en-US"/>
          <w14:textFill>
            <w14:solidFill>
              <w14:schemeClr w14:val="tx1"/>
            </w14:solidFill>
          </w14:textFill>
        </w:rPr>
        <w:t>Middle)</w:t>
      </w:r>
      <w:r>
        <w:rPr>
          <w:rFonts w:ascii="Arial" w:hAnsi="Arial" w:cs="Arial"/>
          <w:color w:val="000000" w:themeColor="text1"/>
          <w:sz w:val="22"/>
          <w:szCs w:val="22"/>
          <w14:textFill>
            <w14:solidFill>
              <w14:schemeClr w14:val="tx1"/>
            </w14:solidFill>
          </w14:textFill>
        </w:rPr>
        <w:t xml:space="preserve"> Singlets (light orange) and </w:t>
      </w:r>
      <w:bookmarkStart w:id="16" w:name="_GoBack"/>
      <w:r>
        <w:rPr>
          <w:rFonts w:ascii="Arial" w:hAnsi="Arial" w:cs="Arial"/>
          <w:color w:val="000000" w:themeColor="text1"/>
          <w:sz w:val="22"/>
          <w:szCs w:val="22"/>
          <w:highlight w:val="none"/>
          <w14:textFill>
            <w14:solidFill>
              <w14:schemeClr w14:val="tx1"/>
            </w14:solidFill>
          </w14:textFill>
        </w:rPr>
        <w:t>Doublets</w:t>
      </w:r>
      <w:bookmarkEnd w:id="16"/>
      <w:r>
        <w:rPr>
          <w:rFonts w:ascii="Arial" w:hAnsi="Arial" w:cs="Arial"/>
          <w:color w:val="000000" w:themeColor="text1"/>
          <w:sz w:val="22"/>
          <w:szCs w:val="22"/>
          <w14:textFill>
            <w14:solidFill>
              <w14:schemeClr w14:val="tx1"/>
            </w14:solidFill>
          </w14:textFill>
        </w:rPr>
        <w:t xml:space="preserve"> (dark green) identified after ambient RNA removal. (Right) UMAP after both ambient RNA and doublet removal. Expression patterns for marker genes, </w:t>
      </w:r>
      <w:r>
        <w:rPr>
          <w:rFonts w:ascii="Arial" w:hAnsi="Arial" w:cs="Arial"/>
          <w:i/>
          <w:iCs/>
          <w:color w:val="000000" w:themeColor="text1"/>
          <w:sz w:val="22"/>
          <w:szCs w:val="22"/>
          <w14:textFill>
            <w14:solidFill>
              <w14:schemeClr w14:val="tx1"/>
            </w14:solidFill>
          </w14:textFill>
        </w:rPr>
        <w:t>ADIPOQ</w:t>
      </w:r>
      <w:r>
        <w:rPr>
          <w:rFonts w:ascii="Arial" w:hAnsi="Arial" w:cs="Arial"/>
          <w:color w:val="000000" w:themeColor="text1"/>
          <w:sz w:val="22"/>
          <w:szCs w:val="22"/>
          <w14:textFill>
            <w14:solidFill>
              <w14:schemeClr w14:val="tx1"/>
            </w14:solidFill>
          </w14:textFill>
        </w:rPr>
        <w:t xml:space="preserve"> </w:t>
      </w:r>
      <w:r>
        <w:rPr>
          <w:rFonts w:ascii="Arial" w:hAnsi="Arial" w:cs="Arial"/>
          <w:color w:val="000000" w:themeColor="text1"/>
          <w:sz w:val="22"/>
          <w:szCs w:val="22"/>
          <w:lang w:val="en-US"/>
          <w14:textFill>
            <w14:solidFill>
              <w14:schemeClr w14:val="tx1"/>
            </w14:solidFill>
          </w14:textFill>
        </w:rPr>
        <w:t xml:space="preserve">and </w:t>
      </w:r>
      <w:r>
        <w:rPr>
          <w:rFonts w:ascii="Arial" w:hAnsi="Arial" w:cs="Arial"/>
          <w:i/>
          <w:iCs/>
          <w:color w:val="000000" w:themeColor="text1"/>
          <w:sz w:val="22"/>
          <w:szCs w:val="22"/>
          <w14:textFill>
            <w14:solidFill>
              <w14:schemeClr w14:val="tx1"/>
            </w14:solidFill>
          </w14:textFill>
        </w:rPr>
        <w:t>LPL</w:t>
      </w:r>
      <w:r>
        <w:rPr>
          <w:rFonts w:ascii="Arial" w:hAnsi="Arial" w:cs="Arial"/>
          <w:color w:val="000000" w:themeColor="text1"/>
          <w:sz w:val="22"/>
          <w:szCs w:val="22"/>
          <w14:textFill>
            <w14:solidFill>
              <w14:schemeClr w14:val="tx1"/>
            </w14:solidFill>
          </w14:textFill>
        </w:rPr>
        <w:t xml:space="preserve"> (adipocytes), </w:t>
      </w:r>
      <w:r>
        <w:rPr>
          <w:rFonts w:ascii="Arial" w:hAnsi="Arial" w:cs="Arial"/>
          <w:i/>
          <w:iCs/>
          <w:color w:val="000000" w:themeColor="text1"/>
          <w:sz w:val="22"/>
          <w:szCs w:val="22"/>
          <w14:textFill>
            <w14:solidFill>
              <w14:schemeClr w14:val="tx1"/>
            </w14:solidFill>
          </w14:textFill>
        </w:rPr>
        <w:t>MRC1</w:t>
      </w:r>
      <w:r>
        <w:rPr>
          <w:rFonts w:ascii="Arial" w:hAnsi="Arial" w:cs="Arial"/>
          <w:color w:val="000000" w:themeColor="text1"/>
          <w:sz w:val="22"/>
          <w:szCs w:val="22"/>
          <w14:textFill>
            <w14:solidFill>
              <w14:schemeClr w14:val="tx1"/>
            </w14:solidFill>
          </w14:textFill>
        </w:rPr>
        <w:t xml:space="preserve"> (macrophages), and </w:t>
      </w:r>
      <w:r>
        <w:rPr>
          <w:rFonts w:ascii="Arial" w:hAnsi="Arial" w:cs="Arial"/>
          <w:i/>
          <w:iCs/>
          <w:color w:val="000000" w:themeColor="text1"/>
          <w:sz w:val="22"/>
          <w:szCs w:val="22"/>
          <w14:textFill>
            <w14:solidFill>
              <w14:schemeClr w14:val="tx1"/>
            </w14:solidFill>
          </w14:textFill>
        </w:rPr>
        <w:t>VWF</w:t>
      </w:r>
      <w:r>
        <w:rPr>
          <w:rFonts w:ascii="Arial" w:hAnsi="Arial" w:cs="Arial"/>
          <w:color w:val="000000" w:themeColor="text1"/>
          <w:sz w:val="22"/>
          <w:szCs w:val="22"/>
          <w14:textFill>
            <w14:solidFill>
              <w14:schemeClr w14:val="tx1"/>
            </w14:solidFill>
          </w14:textFill>
        </w:rPr>
        <w:t xml:space="preserve"> (endothelial cells), are displayed at each stage</w:t>
      </w:r>
      <w:r>
        <w:rPr>
          <w:rFonts w:ascii="Arial" w:hAnsi="Arial" w:cs="Arial"/>
          <w:color w:val="000000" w:themeColor="text1"/>
          <w:sz w:val="22"/>
          <w:szCs w:val="22"/>
          <w:lang w:val="en-US"/>
          <w14:textFill>
            <w14:solidFill>
              <w14:schemeClr w14:val="tx1"/>
            </w14:solidFill>
          </w14:textFill>
        </w:rPr>
        <w:t xml:space="preserve"> and red and purple arrows point to cells with multiple signature gene expression indicating high doublet possibility</w:t>
      </w:r>
      <w:r>
        <w:rPr>
          <w:rFonts w:ascii="Arial" w:hAnsi="Arial" w:cs="Arial"/>
          <w:color w:val="000000" w:themeColor="text1"/>
          <w:sz w:val="22"/>
          <w:szCs w:val="22"/>
          <w14:textFill>
            <w14:solidFill>
              <w14:schemeClr w14:val="tx1"/>
            </w14:solidFill>
          </w14:textFill>
        </w:rPr>
        <w:t>. (b) Violin plots comparing marker gene expression</w:t>
      </w:r>
      <w:r>
        <w:rPr>
          <w:rFonts w:ascii="Arial" w:hAnsi="Arial" w:cs="Arial"/>
          <w:color w:val="000000" w:themeColor="text1"/>
          <w:sz w:val="22"/>
          <w:szCs w:val="22"/>
          <w:lang w:val="en-US"/>
          <w14:textFill>
            <w14:solidFill>
              <w14:schemeClr w14:val="tx1"/>
            </w14:solidFill>
          </w14:textFill>
        </w:rPr>
        <w:t xml:space="preserve"> levels</w:t>
      </w:r>
      <w:r>
        <w:rPr>
          <w:rFonts w:ascii="Arial" w:hAnsi="Arial" w:cs="Arial"/>
          <w:color w:val="000000" w:themeColor="text1"/>
          <w:sz w:val="22"/>
          <w:szCs w:val="22"/>
          <w14:textFill>
            <w14:solidFill>
              <w14:schemeClr w14:val="tx1"/>
            </w14:solidFill>
          </w14:textFill>
        </w:rPr>
        <w:t xml:space="preserve"> </w:t>
      </w:r>
      <w:r>
        <w:rPr>
          <w:rFonts w:ascii="Arial" w:hAnsi="Arial" w:cs="Arial"/>
          <w:color w:val="000000" w:themeColor="text1"/>
          <w:sz w:val="22"/>
          <w:szCs w:val="22"/>
          <w:lang w:val="en-US"/>
          <w14:textFill>
            <w14:solidFill>
              <w14:schemeClr w14:val="tx1"/>
            </w14:solidFill>
          </w14:textFill>
        </w:rPr>
        <w:t>(</w:t>
      </w:r>
      <w:r>
        <w:rPr>
          <w:rFonts w:ascii="Arial" w:hAnsi="Arial" w:cs="Arial"/>
          <w:i/>
          <w:iCs/>
          <w:color w:val="000000" w:themeColor="text1"/>
          <w:sz w:val="22"/>
          <w:szCs w:val="22"/>
          <w14:textFill>
            <w14:solidFill>
              <w14:schemeClr w14:val="tx1"/>
            </w14:solidFill>
          </w14:textFill>
        </w:rPr>
        <w:t>ADIPOQ</w:t>
      </w:r>
      <w:r>
        <w:rPr>
          <w:rFonts w:ascii="Arial" w:hAnsi="Arial" w:cs="Arial"/>
          <w:color w:val="000000" w:themeColor="text1"/>
          <w:sz w:val="22"/>
          <w:szCs w:val="22"/>
          <w:lang w:val="en-US"/>
          <w14:textFill>
            <w14:solidFill>
              <w14:schemeClr w14:val="tx1"/>
            </w14:solidFill>
          </w14:textFill>
        </w:rPr>
        <w:t xml:space="preserve">, </w:t>
      </w:r>
      <w:r>
        <w:rPr>
          <w:rFonts w:ascii="Arial" w:hAnsi="Arial" w:cs="Arial"/>
          <w:i/>
          <w:iCs/>
          <w:color w:val="000000" w:themeColor="text1"/>
          <w:sz w:val="22"/>
          <w:szCs w:val="22"/>
          <w:lang w:val="en-US"/>
          <w14:textFill>
            <w14:solidFill>
              <w14:schemeClr w14:val="tx1"/>
            </w14:solidFill>
          </w14:textFill>
        </w:rPr>
        <w:t>LPL</w:t>
      </w:r>
      <w:r>
        <w:rPr>
          <w:rFonts w:ascii="Arial" w:hAnsi="Arial" w:cs="Arial"/>
          <w:color w:val="000000" w:themeColor="text1"/>
          <w:sz w:val="22"/>
          <w:szCs w:val="22"/>
          <w:lang w:val="en-US"/>
          <w14:textFill>
            <w14:solidFill>
              <w14:schemeClr w14:val="tx1"/>
            </w14:solidFill>
          </w14:textFill>
        </w:rPr>
        <w:t xml:space="preserve">, </w:t>
      </w:r>
      <w:r>
        <w:rPr>
          <w:rFonts w:ascii="Arial" w:hAnsi="Arial" w:cs="Arial"/>
          <w:i/>
          <w:iCs/>
          <w:color w:val="000000" w:themeColor="text1"/>
          <w:sz w:val="22"/>
          <w:szCs w:val="22"/>
          <w:lang w:val="en-US"/>
          <w14:textFill>
            <w14:solidFill>
              <w14:schemeClr w14:val="tx1"/>
            </w14:solidFill>
          </w14:textFill>
        </w:rPr>
        <w:t>VWF</w:t>
      </w:r>
      <w:r>
        <w:rPr>
          <w:rFonts w:ascii="Arial" w:hAnsi="Arial" w:cs="Arial"/>
          <w:i w:val="0"/>
          <w:iCs/>
          <w:color w:val="000000" w:themeColor="text1"/>
          <w:sz w:val="22"/>
          <w:szCs w:val="22"/>
          <w:lang w:val="en-US"/>
          <w14:textFill>
            <w14:solidFill>
              <w14:schemeClr w14:val="tx1"/>
            </w14:solidFill>
          </w14:textFill>
        </w:rPr>
        <w:t>,</w:t>
      </w:r>
      <w:r>
        <w:rPr>
          <w:rFonts w:ascii="Arial" w:hAnsi="Arial" w:cs="Arial"/>
          <w:color w:val="000000" w:themeColor="text1"/>
          <w:sz w:val="22"/>
          <w:szCs w:val="22"/>
          <w:lang w:val="en-US"/>
          <w14:textFill>
            <w14:solidFill>
              <w14:schemeClr w14:val="tx1"/>
            </w14:solidFill>
          </w14:textFill>
        </w:rPr>
        <w:t xml:space="preserve"> and </w:t>
      </w:r>
      <w:r>
        <w:rPr>
          <w:rFonts w:ascii="Arial" w:hAnsi="Arial" w:cs="Arial"/>
          <w:i/>
          <w:iCs/>
          <w:color w:val="000000" w:themeColor="text1"/>
          <w:sz w:val="22"/>
          <w:szCs w:val="22"/>
          <w:lang w:val="en-US"/>
          <w14:textFill>
            <w14:solidFill>
              <w14:schemeClr w14:val="tx1"/>
            </w14:solidFill>
          </w14:textFill>
        </w:rPr>
        <w:t>MRC1</w:t>
      </w:r>
      <w:r>
        <w:rPr>
          <w:rFonts w:ascii="Arial" w:hAnsi="Arial" w:cs="Arial"/>
          <w:color w:val="000000" w:themeColor="text1"/>
          <w:sz w:val="22"/>
          <w:szCs w:val="22"/>
          <w:lang w:val="en-US"/>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across cell types at three stages: raw data, after ambient RNA removal, and after both ambient RNA and doublet removal. (c and d) Density plots showing </w:t>
      </w:r>
      <w:r>
        <w:rPr>
          <w:rFonts w:ascii="Arial" w:hAnsi="Arial" w:cs="Arial"/>
          <w:color w:val="000000" w:themeColor="text1"/>
          <w:sz w:val="22"/>
          <w:szCs w:val="22"/>
          <w:lang w:val="en-US"/>
          <w14:textFill>
            <w14:solidFill>
              <w14:schemeClr w14:val="tx1"/>
            </w14:solidFill>
          </w14:textFill>
        </w:rPr>
        <w:t>cell density</w:t>
      </w:r>
      <w:r>
        <w:rPr>
          <w:rFonts w:ascii="Arial" w:hAnsi="Arial" w:cs="Arial"/>
          <w:color w:val="000000" w:themeColor="text1"/>
          <w:sz w:val="22"/>
          <w:szCs w:val="22"/>
          <w14:textFill>
            <w14:solidFill>
              <w14:schemeClr w14:val="tx1"/>
            </w14:solidFill>
          </w14:textFill>
        </w:rPr>
        <w:t xml:space="preserve"> after ambient RNA removal (c) and after both ambient RNA and doublet removal (d).</w:t>
      </w:r>
      <w:r>
        <w:rPr>
          <w:rFonts w:ascii="Arial" w:hAnsi="Arial" w:cs="Arial"/>
          <w:color w:val="000000" w:themeColor="text1"/>
          <w:sz w:val="22"/>
          <w:szCs w:val="22"/>
          <w:lang w:val="en-US"/>
          <w14:textFill>
            <w14:solidFill>
              <w14:schemeClr w14:val="tx1"/>
            </w14:solidFill>
          </w14:textFill>
        </w:rPr>
        <w:t xml:space="preserve"> </w:t>
      </w:r>
      <w:r>
        <w:rPr>
          <w:rFonts w:hint="eastAsia" w:ascii="Arial" w:hAnsi="Arial" w:cs="Arial"/>
          <w:color w:val="000000" w:themeColor="text1"/>
          <w:sz w:val="22"/>
          <w:szCs w:val="22"/>
          <w:lang w:val="en-US"/>
          <w14:textFill>
            <w14:solidFill>
              <w14:schemeClr w14:val="tx1"/>
            </w14:solidFill>
          </w14:textFill>
        </w:rPr>
        <w:t>M</w:t>
      </w:r>
      <w:r>
        <w:rPr>
          <w:rFonts w:ascii="Arial" w:hAnsi="Arial" w:cs="Arial"/>
          <w:color w:val="000000" w:themeColor="text1"/>
          <w:sz w:val="22"/>
          <w:szCs w:val="22"/>
          <w:lang w:val="en-US"/>
          <w14:textFill>
            <w14:solidFill>
              <w14:schemeClr w14:val="tx1"/>
            </w14:solidFill>
          </w14:textFill>
        </w:rPr>
        <w:t>ore accurate</w:t>
      </w:r>
      <w:r>
        <w:rPr>
          <w:rFonts w:ascii="Arial" w:hAnsi="Arial" w:cs="Arial"/>
          <w:color w:val="000000" w:themeColor="text1"/>
          <w:sz w:val="22"/>
          <w:szCs w:val="22"/>
          <w14:textFill>
            <w14:solidFill>
              <w14:schemeClr w14:val="tx1"/>
            </w14:solidFill>
          </w14:textFill>
        </w:rPr>
        <w:t xml:space="preserve"> clustering is observed in the final dataset, reflecting improved data quality and cell-type resolution.</w:t>
      </w:r>
    </w:p>
    <w:p w14:paraId="28A133DB">
      <w:pPr>
        <w:spacing w:line="360" w:lineRule="auto"/>
        <w:jc w:val="both"/>
        <w:rPr>
          <w:rFonts w:ascii="Arial" w:hAnsi="Arial" w:cs="Arial"/>
          <w:color w:val="000000" w:themeColor="text1"/>
          <w:sz w:val="22"/>
          <w:szCs w:val="22"/>
          <w:lang w:val="en-US"/>
          <w14:textFill>
            <w14:solidFill>
              <w14:schemeClr w14:val="tx1"/>
            </w14:solidFill>
          </w14:textFill>
        </w:rPr>
      </w:pPr>
    </w:p>
    <w:p w14:paraId="4ED740AE">
      <w:pPr>
        <w:spacing w:line="360" w:lineRule="auto"/>
        <w:jc w:val="both"/>
        <w:rPr>
          <w:rFonts w:ascii="Arial" w:hAnsi="Arial" w:cs="Arial"/>
          <w:color w:val="000000" w:themeColor="text1"/>
          <w:sz w:val="22"/>
          <w:szCs w:val="22"/>
          <w:lang w:val="en-US"/>
          <w14:textFill>
            <w14:solidFill>
              <w14:schemeClr w14:val="tx1"/>
            </w14:solidFill>
          </w14:textFill>
        </w:rPr>
      </w:pPr>
    </w:p>
    <w:p w14:paraId="52DB43CA">
      <w:pPr>
        <w:spacing w:line="360" w:lineRule="auto"/>
        <w:jc w:val="both"/>
        <w:rPr>
          <w:rFonts w:ascii="Arial" w:hAnsi="Arial" w:cs="Arial"/>
          <w:color w:val="000000" w:themeColor="text1"/>
          <w:sz w:val="22"/>
          <w:szCs w:val="22"/>
          <w:lang w:val="en-US"/>
          <w14:textFill>
            <w14:solidFill>
              <w14:schemeClr w14:val="tx1"/>
            </w14:solidFill>
          </w14:textFill>
        </w:rPr>
      </w:pPr>
    </w:p>
    <w:p w14:paraId="4A5A4D00">
      <w:pPr>
        <w:spacing w:line="360" w:lineRule="auto"/>
        <w:jc w:val="both"/>
        <w:rPr>
          <w:rFonts w:ascii="Arial" w:hAnsi="Arial" w:cs="Arial"/>
          <w:color w:val="000000" w:themeColor="text1"/>
          <w:sz w:val="22"/>
          <w:szCs w:val="22"/>
          <w:lang w:val="en-US"/>
          <w14:textFill>
            <w14:solidFill>
              <w14:schemeClr w14:val="tx1"/>
            </w14:solidFill>
          </w14:textFill>
        </w:rPr>
      </w:pPr>
    </w:p>
    <w:p w14:paraId="586DF584">
      <w:pPr>
        <w:spacing w:line="360" w:lineRule="auto"/>
        <w:jc w:val="both"/>
        <w:rPr>
          <w:rFonts w:ascii="Arial" w:hAnsi="Arial" w:cs="Arial"/>
          <w:color w:val="000000" w:themeColor="text1"/>
          <w:sz w:val="22"/>
          <w:szCs w:val="22"/>
          <w:lang w:val="en-US"/>
          <w14:textFill>
            <w14:solidFill>
              <w14:schemeClr w14:val="tx1"/>
            </w14:solidFill>
          </w14:textFill>
        </w:rPr>
      </w:pPr>
    </w:p>
    <w:p w14:paraId="3447A13F">
      <w:pPr>
        <w:spacing w:line="360" w:lineRule="auto"/>
        <w:jc w:val="both"/>
        <w:rPr>
          <w:rFonts w:ascii="Arial" w:hAnsi="Arial" w:cs="Arial"/>
          <w:color w:val="000000" w:themeColor="text1"/>
          <w:sz w:val="22"/>
          <w:szCs w:val="22"/>
          <w:lang w:val="en-US"/>
          <w14:textFill>
            <w14:solidFill>
              <w14:schemeClr w14:val="tx1"/>
            </w14:solidFill>
          </w14:textFill>
        </w:rPr>
      </w:pPr>
    </w:p>
    <w:p w14:paraId="4F383227">
      <w:pPr>
        <w:spacing w:line="360" w:lineRule="auto"/>
        <w:jc w:val="both"/>
        <w:rPr>
          <w:rFonts w:ascii="Arial" w:hAnsi="Arial" w:cs="Arial"/>
          <w:color w:val="000000" w:themeColor="text1"/>
          <w:sz w:val="22"/>
          <w:szCs w:val="22"/>
          <w:lang w:val="en-US"/>
          <w14:textFill>
            <w14:solidFill>
              <w14:schemeClr w14:val="tx1"/>
            </w14:solidFill>
          </w14:textFill>
        </w:rPr>
      </w:pPr>
    </w:p>
    <w:p w14:paraId="38CDE20D">
      <w:pPr>
        <w:spacing w:line="360" w:lineRule="auto"/>
        <w:jc w:val="both"/>
        <w:rPr>
          <w:rFonts w:ascii="Arial" w:hAnsi="Arial" w:cs="Arial"/>
          <w:color w:val="000000" w:themeColor="text1"/>
          <w:sz w:val="22"/>
          <w:szCs w:val="22"/>
          <w:lang w:val="en-US"/>
          <w14:textFill>
            <w14:solidFill>
              <w14:schemeClr w14:val="tx1"/>
            </w14:solidFill>
          </w14:textFill>
        </w:rPr>
      </w:pPr>
    </w:p>
    <w:p w14:paraId="5642D6E7">
      <w:pPr>
        <w:spacing w:line="360" w:lineRule="auto"/>
        <w:jc w:val="both"/>
        <w:rPr>
          <w:rFonts w:ascii="Arial" w:hAnsi="Arial" w:cs="Arial"/>
          <w:color w:val="000000" w:themeColor="text1"/>
          <w:sz w:val="22"/>
          <w:szCs w:val="22"/>
          <w:lang w:val="en-US"/>
          <w14:textFill>
            <w14:solidFill>
              <w14:schemeClr w14:val="tx1"/>
            </w14:solidFill>
          </w14:textFill>
        </w:rPr>
      </w:pPr>
    </w:p>
    <w:p w14:paraId="437EA5AA">
      <w:pPr>
        <w:spacing w:line="360" w:lineRule="auto"/>
        <w:jc w:val="both"/>
        <w:rPr>
          <w:rFonts w:ascii="Arial" w:hAnsi="Arial" w:cs="Arial"/>
          <w:color w:val="000000" w:themeColor="text1"/>
          <w:sz w:val="22"/>
          <w:szCs w:val="22"/>
          <w:lang w:val="en-US"/>
          <w14:textFill>
            <w14:solidFill>
              <w14:schemeClr w14:val="tx1"/>
            </w14:solidFill>
          </w14:textFill>
        </w:rPr>
      </w:pPr>
    </w:p>
    <w:p w14:paraId="44099794">
      <w:pPr>
        <w:spacing w:line="360" w:lineRule="auto"/>
        <w:jc w:val="both"/>
        <w:rPr>
          <w:rFonts w:ascii="Arial" w:hAnsi="Arial" w:cs="Arial"/>
          <w:color w:val="000000" w:themeColor="text1"/>
          <w:sz w:val="22"/>
          <w:szCs w:val="22"/>
          <w:lang w:val="en-US"/>
          <w14:textFill>
            <w14:solidFill>
              <w14:schemeClr w14:val="tx1"/>
            </w14:solidFill>
          </w14:textFill>
        </w:rPr>
      </w:pPr>
    </w:p>
    <w:p w14:paraId="52EA25FB">
      <w:pPr>
        <w:spacing w:line="360" w:lineRule="auto"/>
        <w:jc w:val="both"/>
        <w:rPr>
          <w:rFonts w:ascii="Arial" w:hAnsi="Arial" w:cs="Arial"/>
          <w:color w:val="000000" w:themeColor="text1"/>
          <w:sz w:val="22"/>
          <w:szCs w:val="22"/>
          <w:lang w:val="en-US"/>
          <w14:textFill>
            <w14:solidFill>
              <w14:schemeClr w14:val="tx1"/>
            </w14:solidFill>
          </w14:textFill>
        </w:rPr>
      </w:pPr>
    </w:p>
    <w:p w14:paraId="364EADC9">
      <w:pPr>
        <w:spacing w:line="360" w:lineRule="auto"/>
        <w:jc w:val="both"/>
        <w:rPr>
          <w:rFonts w:ascii="Arial" w:hAnsi="Arial" w:cs="Arial"/>
          <w:color w:val="000000" w:themeColor="text1"/>
          <w:sz w:val="22"/>
          <w:szCs w:val="22"/>
          <w:lang w:val="en-US"/>
          <w14:textFill>
            <w14:solidFill>
              <w14:schemeClr w14:val="tx1"/>
            </w14:solidFill>
          </w14:textFill>
        </w:rPr>
      </w:pPr>
    </w:p>
    <w:p w14:paraId="0C23C0A2">
      <w:pPr>
        <w:spacing w:line="360" w:lineRule="auto"/>
        <w:jc w:val="both"/>
        <w:rPr>
          <w:rFonts w:ascii="Arial" w:hAnsi="Arial" w:cs="Arial"/>
          <w:b/>
          <w:bCs/>
          <w:color w:val="000000" w:themeColor="text1"/>
          <w:sz w:val="22"/>
          <w:szCs w:val="22"/>
          <w:lang w:val="en-US"/>
          <w14:textFill>
            <w14:solidFill>
              <w14:schemeClr w14:val="tx1"/>
            </w14:solidFill>
          </w14:textFill>
        </w:rPr>
      </w:pPr>
    </w:p>
    <w:p w14:paraId="1F599281">
      <w:pPr>
        <w:spacing w:line="360" w:lineRule="auto"/>
        <w:jc w:val="both"/>
        <w:rPr>
          <w:rFonts w:ascii="Arial" w:hAnsi="Arial" w:cs="Arial"/>
          <w:b/>
          <w:bCs/>
          <w:color w:val="000000" w:themeColor="text1"/>
          <w:sz w:val="22"/>
          <w:szCs w:val="22"/>
          <w:lang w:val="en-US"/>
          <w14:textFill>
            <w14:solidFill>
              <w14:schemeClr w14:val="tx1"/>
            </w14:solidFill>
          </w14:textFill>
        </w:rPr>
      </w:pPr>
    </w:p>
    <w:p w14:paraId="6418991E">
      <w:pPr>
        <w:spacing w:line="360" w:lineRule="auto"/>
        <w:jc w:val="both"/>
        <w:rPr>
          <w:rFonts w:ascii="Arial" w:hAnsi="Arial" w:cs="Arial"/>
          <w:b/>
          <w:bCs/>
          <w:color w:val="000000" w:themeColor="text1"/>
          <w:sz w:val="22"/>
          <w:szCs w:val="22"/>
          <w:lang w:val="en-US"/>
          <w14:textFill>
            <w14:solidFill>
              <w14:schemeClr w14:val="tx1"/>
            </w14:solidFill>
          </w14:textFill>
        </w:rPr>
      </w:pPr>
      <w:r>
        <w:rPr>
          <w:rFonts w:ascii="Arial" w:hAnsi="Arial" w:cs="Arial"/>
          <w:b/>
          <w:bCs/>
          <w:color w:val="000000" w:themeColor="text1"/>
          <w:sz w:val="22"/>
          <w:szCs w:val="22"/>
          <w:lang w:val="en-US"/>
          <w14:textFill>
            <w14:solidFill>
              <w14:schemeClr w14:val="tx1"/>
            </w14:solidFill>
          </w14:textFill>
        </w:rPr>
        <w:drawing>
          <wp:inline distT="0" distB="0" distL="0" distR="0">
            <wp:extent cx="5731510" cy="3000375"/>
            <wp:effectExtent l="0" t="0" r="2540" b="9525"/>
            <wp:docPr id="4" name="图片 4" descr="C:\Users\a\Desktop\54\Figures\Supplementary Figure S4 - t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C:\Users\a\Desktop\54\Figures\Supplementary Figure S4 - tu.tif"/>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5731510" cy="3000963"/>
                    </a:xfrm>
                    <a:prstGeom prst="rect">
                      <a:avLst/>
                    </a:prstGeom>
                    <a:noFill/>
                    <a:ln>
                      <a:noFill/>
                    </a:ln>
                  </pic:spPr>
                </pic:pic>
              </a:graphicData>
            </a:graphic>
          </wp:inline>
        </w:drawing>
      </w:r>
    </w:p>
    <w:p w14:paraId="6FEA025B">
      <w:pPr>
        <w:spacing w:line="360" w:lineRule="auto"/>
        <w:jc w:val="both"/>
        <w:rPr>
          <w:rFonts w:ascii="Arial" w:hAnsi="Arial" w:cs="Arial"/>
          <w:b/>
          <w:bCs/>
          <w:color w:val="000000" w:themeColor="text1"/>
          <w:sz w:val="22"/>
          <w:szCs w:val="22"/>
          <w:lang w:val="en-US"/>
          <w14:textFill>
            <w14:solidFill>
              <w14:schemeClr w14:val="tx1"/>
            </w14:solidFill>
          </w14:textFill>
        </w:rPr>
      </w:pPr>
    </w:p>
    <w:p w14:paraId="083164D5">
      <w:pPr>
        <w:spacing w:line="360" w:lineRule="auto"/>
        <w:jc w:val="both"/>
        <w:rPr>
          <w:rFonts w:ascii="Arial" w:hAnsi="Arial" w:cs="Arial"/>
          <w:b/>
          <w:bCs/>
          <w:color w:val="000000" w:themeColor="text1"/>
          <w:sz w:val="22"/>
          <w:szCs w:val="22"/>
          <w:lang w:val="en-US"/>
          <w14:textFill>
            <w14:solidFill>
              <w14:schemeClr w14:val="tx1"/>
            </w14:solidFill>
          </w14:textFill>
        </w:rPr>
      </w:pPr>
    </w:p>
    <w:p w14:paraId="1B335014">
      <w:pPr>
        <w:spacing w:line="360" w:lineRule="auto"/>
        <w:jc w:val="both"/>
        <w:rPr>
          <w:rFonts w:ascii="Arial" w:hAnsi="Arial" w:cs="Arial"/>
          <w:b/>
          <w:bCs/>
          <w:color w:val="000000" w:themeColor="text1"/>
          <w:sz w:val="22"/>
          <w:szCs w:val="22"/>
          <w:lang w:val="en-US"/>
          <w14:textFill>
            <w14:solidFill>
              <w14:schemeClr w14:val="tx1"/>
            </w14:solidFill>
          </w14:textFill>
        </w:rPr>
      </w:pPr>
    </w:p>
    <w:p w14:paraId="33A82D6B">
      <w:pPr>
        <w:spacing w:line="360" w:lineRule="auto"/>
        <w:jc w:val="both"/>
        <w:rPr>
          <w:rFonts w:ascii="Arial" w:hAnsi="Arial" w:cs="Arial"/>
          <w:b/>
          <w:bCs/>
          <w:color w:val="000000" w:themeColor="text1"/>
          <w:sz w:val="22"/>
          <w:szCs w:val="22"/>
          <w:lang w:val="en-US"/>
          <w14:textFill>
            <w14:solidFill>
              <w14:schemeClr w14:val="tx1"/>
            </w14:solidFill>
          </w14:textFill>
        </w:rPr>
      </w:pPr>
    </w:p>
    <w:p w14:paraId="0776DDD0">
      <w:pPr>
        <w:spacing w:line="360" w:lineRule="auto"/>
        <w:jc w:val="both"/>
        <w:rPr>
          <w:rFonts w:ascii="Arial" w:hAnsi="Arial" w:cs="Arial"/>
          <w:b/>
          <w:bCs/>
          <w:color w:val="000000" w:themeColor="text1"/>
          <w:sz w:val="22"/>
          <w:szCs w:val="22"/>
          <w:lang w:val="en-US"/>
          <w14:textFill>
            <w14:solidFill>
              <w14:schemeClr w14:val="tx1"/>
            </w14:solidFill>
          </w14:textFill>
        </w:rPr>
      </w:pPr>
    </w:p>
    <w:p w14:paraId="7E35D20F">
      <w:pPr>
        <w:spacing w:line="360" w:lineRule="auto"/>
        <w:jc w:val="both"/>
        <w:rPr>
          <w:rFonts w:ascii="Arial" w:hAnsi="Arial" w:cs="Arial"/>
          <w:b/>
          <w:bCs/>
          <w:color w:val="000000" w:themeColor="text1"/>
          <w:sz w:val="22"/>
          <w:szCs w:val="22"/>
          <w:lang w:val="en-US"/>
          <w14:textFill>
            <w14:solidFill>
              <w14:schemeClr w14:val="tx1"/>
            </w14:solidFill>
          </w14:textFill>
        </w:rPr>
      </w:pPr>
    </w:p>
    <w:p w14:paraId="352D5F3A">
      <w:pPr>
        <w:spacing w:line="360" w:lineRule="auto"/>
        <w:jc w:val="both"/>
        <w:rPr>
          <w:rFonts w:ascii="Arial" w:hAnsi="Arial" w:cs="Arial"/>
          <w:b/>
          <w:bCs/>
          <w:color w:val="000000" w:themeColor="text1"/>
          <w:sz w:val="22"/>
          <w:szCs w:val="22"/>
          <w:lang w:val="en-US"/>
          <w14:textFill>
            <w14:solidFill>
              <w14:schemeClr w14:val="tx1"/>
            </w14:solidFill>
          </w14:textFill>
        </w:rPr>
      </w:pPr>
    </w:p>
    <w:p w14:paraId="43644AC9">
      <w:pPr>
        <w:spacing w:line="360" w:lineRule="auto"/>
        <w:jc w:val="both"/>
        <w:rPr>
          <w:rFonts w:ascii="Arial" w:hAnsi="Arial" w:cs="Arial"/>
          <w:b/>
          <w:bCs/>
          <w:color w:val="000000" w:themeColor="text1"/>
          <w:sz w:val="22"/>
          <w:szCs w:val="22"/>
          <w:lang w:val="en-US"/>
          <w14:textFill>
            <w14:solidFill>
              <w14:schemeClr w14:val="tx1"/>
            </w14:solidFill>
          </w14:textFill>
        </w:rPr>
      </w:pPr>
    </w:p>
    <w:p w14:paraId="4222E087">
      <w:pPr>
        <w:spacing w:line="360" w:lineRule="auto"/>
        <w:jc w:val="both"/>
        <w:rPr>
          <w:rFonts w:ascii="Arial" w:hAnsi="Arial" w:cs="Arial"/>
          <w:b/>
          <w:bCs/>
          <w:color w:val="000000" w:themeColor="text1"/>
          <w:sz w:val="22"/>
          <w:szCs w:val="22"/>
          <w:lang w:val="en-US"/>
          <w14:textFill>
            <w14:solidFill>
              <w14:schemeClr w14:val="tx1"/>
            </w14:solidFill>
          </w14:textFill>
        </w:rPr>
      </w:pPr>
    </w:p>
    <w:p w14:paraId="2BB3565D">
      <w:pPr>
        <w:spacing w:line="360" w:lineRule="auto"/>
        <w:jc w:val="both"/>
        <w:rPr>
          <w:rFonts w:ascii="Arial" w:hAnsi="Arial" w:cs="Arial"/>
          <w:b/>
          <w:bCs/>
          <w:color w:val="000000" w:themeColor="text1"/>
          <w:sz w:val="22"/>
          <w:szCs w:val="22"/>
          <w:lang w:val="en-US"/>
          <w14:textFill>
            <w14:solidFill>
              <w14:schemeClr w14:val="tx1"/>
            </w14:solidFill>
          </w14:textFill>
        </w:rPr>
      </w:pPr>
    </w:p>
    <w:p w14:paraId="490BCFF5">
      <w:pPr>
        <w:spacing w:line="360" w:lineRule="auto"/>
        <w:jc w:val="both"/>
        <w:rPr>
          <w:rFonts w:ascii="Arial" w:hAnsi="Arial" w:cs="Arial"/>
          <w:b/>
          <w:bCs/>
          <w:color w:val="000000" w:themeColor="text1"/>
          <w:sz w:val="22"/>
          <w:szCs w:val="22"/>
          <w:lang w:val="en-US"/>
          <w14:textFill>
            <w14:solidFill>
              <w14:schemeClr w14:val="tx1"/>
            </w14:solidFill>
          </w14:textFill>
        </w:rPr>
      </w:pPr>
    </w:p>
    <w:p w14:paraId="5D58E81A">
      <w:pPr>
        <w:spacing w:line="360" w:lineRule="auto"/>
        <w:jc w:val="both"/>
        <w:rPr>
          <w:rFonts w:ascii="Arial" w:hAnsi="Arial" w:cs="Arial"/>
          <w:b/>
          <w:bCs/>
          <w:color w:val="000000" w:themeColor="text1"/>
          <w:sz w:val="22"/>
          <w:szCs w:val="22"/>
          <w:lang w:val="en-US"/>
          <w14:textFill>
            <w14:solidFill>
              <w14:schemeClr w14:val="tx1"/>
            </w14:solidFill>
          </w14:textFill>
        </w:rPr>
      </w:pPr>
    </w:p>
    <w:p w14:paraId="73CDFF7B">
      <w:pPr>
        <w:spacing w:line="360" w:lineRule="auto"/>
        <w:jc w:val="both"/>
        <w:rPr>
          <w:rFonts w:ascii="Arial" w:hAnsi="Arial" w:cs="Arial"/>
          <w:b/>
          <w:bCs/>
          <w:color w:val="000000" w:themeColor="text1"/>
          <w:sz w:val="22"/>
          <w:szCs w:val="22"/>
          <w:lang w:val="en-US"/>
          <w14:textFill>
            <w14:solidFill>
              <w14:schemeClr w14:val="tx1"/>
            </w14:solidFill>
          </w14:textFill>
        </w:rPr>
      </w:pPr>
    </w:p>
    <w:p w14:paraId="60A39D98">
      <w:pPr>
        <w:spacing w:line="360" w:lineRule="auto"/>
        <w:jc w:val="both"/>
        <w:rPr>
          <w:rFonts w:ascii="Arial" w:hAnsi="Arial" w:cs="Arial"/>
          <w:b/>
          <w:bCs/>
          <w:color w:val="000000" w:themeColor="text1"/>
          <w:sz w:val="22"/>
          <w:szCs w:val="22"/>
          <w:lang w:val="en-US"/>
          <w14:textFill>
            <w14:solidFill>
              <w14:schemeClr w14:val="tx1"/>
            </w14:solidFill>
          </w14:textFill>
        </w:rPr>
      </w:pPr>
    </w:p>
    <w:p w14:paraId="0FC16D90">
      <w:pPr>
        <w:spacing w:line="360" w:lineRule="auto"/>
        <w:jc w:val="both"/>
        <w:rPr>
          <w:rFonts w:ascii="Arial" w:hAnsi="Arial" w:cs="Arial"/>
          <w:b/>
          <w:bCs/>
          <w:color w:val="000000" w:themeColor="text1"/>
          <w:sz w:val="22"/>
          <w:szCs w:val="22"/>
          <w:lang w:val="en-US"/>
          <w14:textFill>
            <w14:solidFill>
              <w14:schemeClr w14:val="tx1"/>
            </w14:solidFill>
          </w14:textFill>
        </w:rPr>
      </w:pPr>
    </w:p>
    <w:p w14:paraId="0EA29E7C">
      <w:pPr>
        <w:spacing w:line="360" w:lineRule="auto"/>
        <w:jc w:val="both"/>
        <w:rPr>
          <w:rFonts w:ascii="Arial" w:hAnsi="Arial" w:cs="Arial"/>
          <w:b/>
          <w:bCs/>
          <w:color w:val="000000" w:themeColor="text1"/>
          <w:sz w:val="22"/>
          <w:szCs w:val="22"/>
          <w:lang w:val="en-US"/>
          <w14:textFill>
            <w14:solidFill>
              <w14:schemeClr w14:val="tx1"/>
            </w14:solidFill>
          </w14:textFill>
        </w:rPr>
      </w:pPr>
    </w:p>
    <w:p w14:paraId="0BD4F613">
      <w:pPr>
        <w:spacing w:line="360" w:lineRule="auto"/>
        <w:jc w:val="both"/>
        <w:rPr>
          <w:rFonts w:ascii="Arial" w:hAnsi="Arial" w:cs="Arial"/>
          <w:b/>
          <w:bCs/>
          <w:color w:val="000000" w:themeColor="text1"/>
          <w:sz w:val="22"/>
          <w:szCs w:val="22"/>
          <w:lang w:val="en-US"/>
          <w14:textFill>
            <w14:solidFill>
              <w14:schemeClr w14:val="tx1"/>
            </w14:solidFill>
          </w14:textFill>
        </w:rPr>
      </w:pPr>
    </w:p>
    <w:p w14:paraId="4D76103C">
      <w:pPr>
        <w:spacing w:line="360" w:lineRule="auto"/>
        <w:jc w:val="both"/>
        <w:rPr>
          <w:rFonts w:ascii="Arial" w:hAnsi="Arial" w:cs="Arial"/>
          <w:b/>
          <w:bCs/>
          <w:color w:val="000000" w:themeColor="text1"/>
          <w:sz w:val="22"/>
          <w:szCs w:val="22"/>
          <w:lang w:val="en-US"/>
          <w14:textFill>
            <w14:solidFill>
              <w14:schemeClr w14:val="tx1"/>
            </w14:solidFill>
          </w14:textFill>
        </w:rPr>
      </w:pPr>
    </w:p>
    <w:p w14:paraId="3C841BEC">
      <w:pPr>
        <w:spacing w:line="360" w:lineRule="auto"/>
        <w:jc w:val="both"/>
        <w:rPr>
          <w:rFonts w:ascii="Arial" w:hAnsi="Arial" w:cs="Arial"/>
          <w:b/>
          <w:bCs/>
          <w:color w:val="000000" w:themeColor="text1"/>
          <w:sz w:val="22"/>
          <w:szCs w:val="22"/>
          <w:lang w:val="en-US"/>
          <w14:textFill>
            <w14:solidFill>
              <w14:schemeClr w14:val="tx1"/>
            </w14:solidFill>
          </w14:textFill>
        </w:rPr>
      </w:pPr>
      <w:r>
        <w:rPr>
          <w:rFonts w:ascii="Arial" w:hAnsi="Arial" w:cs="Arial"/>
          <w:b/>
          <w:bCs/>
          <w:color w:val="000000" w:themeColor="text1"/>
          <w:sz w:val="22"/>
          <w:szCs w:val="22"/>
          <w:lang w:val="en-US"/>
          <w14:textFill>
            <w14:solidFill>
              <w14:schemeClr w14:val="tx1"/>
            </w14:solidFill>
          </w14:textFill>
        </w:rPr>
        <w:t xml:space="preserve">Supplementary Figure S4 </w:t>
      </w:r>
      <w:r>
        <w:rPr>
          <w:rFonts w:ascii="Arial" w:hAnsi="Arial" w:cs="Arial"/>
          <w:b w:val="0"/>
          <w:bCs/>
          <w:color w:val="000000" w:themeColor="text1"/>
          <w:sz w:val="22"/>
          <w:szCs w:val="22"/>
          <w:lang w:val="en-US"/>
          <w14:textFill>
            <w14:solidFill>
              <w14:schemeClr w14:val="tx1"/>
            </w14:solidFill>
          </w14:textFill>
        </w:rPr>
        <w:t xml:space="preserve">Enhanced </w:t>
      </w:r>
      <w:bookmarkStart w:id="7" w:name="OLE_LINK20"/>
      <w:r>
        <w:rPr>
          <w:rFonts w:ascii="Arial" w:hAnsi="Arial" w:cs="Arial"/>
          <w:b w:val="0"/>
          <w:bCs/>
          <w:color w:val="000000" w:themeColor="text1"/>
          <w:sz w:val="22"/>
          <w:szCs w:val="22"/>
          <w:lang w:val="en-US"/>
          <w14:textFill>
            <w14:solidFill>
              <w14:schemeClr w14:val="tx1"/>
            </w14:solidFill>
          </w14:textFill>
        </w:rPr>
        <w:t>biological insights</w:t>
      </w:r>
      <w:bookmarkEnd w:id="7"/>
      <w:r>
        <w:rPr>
          <w:rFonts w:ascii="Arial" w:hAnsi="Arial" w:cs="Arial"/>
          <w:b w:val="0"/>
          <w:bCs/>
          <w:color w:val="000000" w:themeColor="text1"/>
          <w:sz w:val="22"/>
          <w:szCs w:val="22"/>
          <w:lang w:val="en-US"/>
          <w14:textFill>
            <w14:solidFill>
              <w14:schemeClr w14:val="tx1"/>
            </w14:solidFill>
          </w14:textFill>
        </w:rPr>
        <w:t xml:space="preserve"> derived from the optimized workflow, using adipose tissue as an example. </w:t>
      </w:r>
      <w:r>
        <w:rPr>
          <w:rFonts w:ascii="Arial" w:hAnsi="Arial" w:cs="Arial"/>
          <w:color w:val="000000" w:themeColor="text1"/>
          <w:sz w:val="22"/>
          <w:szCs w:val="22"/>
          <w:lang w:val="en-US"/>
          <w14:textFill>
            <w14:solidFill>
              <w14:schemeClr w14:val="tx1"/>
            </w14:solidFill>
          </w14:textFill>
        </w:rPr>
        <w:t xml:space="preserve">Enrichment of fatty acid metabolism pathways was analyzed by scMetabolism. Standard Seurat workflow (left), annotation after ambient RNA removal (middle), and annotation after the optimized pipeline (right) are shown. The color scale indicates enrichment intensity (blue – low, yellow – middle, red – high). </w:t>
      </w:r>
    </w:p>
    <w:p w14:paraId="3326E3AF">
      <w:pPr>
        <w:pStyle w:val="14"/>
        <w:spacing w:line="360" w:lineRule="auto"/>
        <w:jc w:val="both"/>
        <w:rPr>
          <w:rFonts w:ascii="Arial" w:hAnsi="Arial" w:eastAsia="Arial" w:cs="Arial"/>
          <w:color w:val="000000" w:themeColor="text1"/>
          <w:sz w:val="22"/>
          <w:szCs w:val="22"/>
          <w:lang w:val="en-GB"/>
          <w14:textFill>
            <w14:solidFill>
              <w14:schemeClr w14:val="tx1"/>
            </w14:solidFill>
          </w14:textFill>
        </w:rPr>
      </w:pPr>
    </w:p>
    <w:p w14:paraId="1597C9A4">
      <w:pPr>
        <w:spacing w:line="360" w:lineRule="auto"/>
        <w:jc w:val="both"/>
        <w:rPr>
          <w:rFonts w:ascii="Arial" w:hAnsi="Arial" w:cs="Arial"/>
          <w:b/>
          <w:bCs/>
          <w:color w:val="000000" w:themeColor="text1"/>
          <w:sz w:val="22"/>
          <w:szCs w:val="22"/>
          <w:lang w:val="en-US"/>
          <w14:textFill>
            <w14:solidFill>
              <w14:schemeClr w14:val="tx1"/>
            </w14:solidFill>
          </w14:textFill>
        </w:rPr>
      </w:pPr>
      <w:bookmarkStart w:id="8" w:name="OLE_LINK17"/>
      <w:r>
        <w:rPr>
          <w:rFonts w:ascii="Arial" w:hAnsi="Arial" w:cs="Arial"/>
          <w:b/>
          <w:bCs/>
          <w:color w:val="000000" w:themeColor="text1"/>
          <w:sz w:val="22"/>
          <w:szCs w:val="22"/>
          <w:lang w:val="en-US"/>
          <w14:textFill>
            <w14:solidFill>
              <w14:schemeClr w14:val="tx1"/>
            </w14:solidFill>
          </w14:textFill>
        </w:rPr>
        <w:drawing>
          <wp:inline distT="0" distB="0" distL="0" distR="0">
            <wp:extent cx="5731510" cy="7967345"/>
            <wp:effectExtent l="0" t="0" r="2540" b="0"/>
            <wp:docPr id="5" name="图片 5" descr="C:\Users\a\Desktop\54\Figures\Supplementary Figure S5 - t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图片 5" descr="C:\Users\a\Desktop\54\Figures\Supplementary Figure S5 - tu.tif"/>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a:xfrm>
                      <a:off x="0" y="0"/>
                      <a:ext cx="5731510" cy="7967485"/>
                    </a:xfrm>
                    <a:prstGeom prst="rect">
                      <a:avLst/>
                    </a:prstGeom>
                    <a:noFill/>
                    <a:ln>
                      <a:noFill/>
                    </a:ln>
                  </pic:spPr>
                </pic:pic>
              </a:graphicData>
            </a:graphic>
          </wp:inline>
        </w:drawing>
      </w:r>
    </w:p>
    <w:p w14:paraId="7A8788D3">
      <w:pPr>
        <w:spacing w:line="360" w:lineRule="auto"/>
        <w:jc w:val="both"/>
        <w:rPr>
          <w:rFonts w:ascii="Arial" w:hAnsi="Arial" w:cs="Arial"/>
          <w:b/>
          <w:bCs/>
          <w:color w:val="000000" w:themeColor="text1"/>
          <w:sz w:val="22"/>
          <w:szCs w:val="22"/>
          <w:lang w:val="en-US"/>
          <w14:textFill>
            <w14:solidFill>
              <w14:schemeClr w14:val="tx1"/>
            </w14:solidFill>
          </w14:textFill>
        </w:rPr>
      </w:pPr>
    </w:p>
    <w:p w14:paraId="53F9A4B4">
      <w:pPr>
        <w:spacing w:line="360" w:lineRule="auto"/>
        <w:jc w:val="both"/>
        <w:rPr>
          <w:rFonts w:ascii="Arial" w:hAnsi="Arial" w:cs="Arial"/>
          <w:b/>
          <w:bCs/>
          <w:color w:val="000000" w:themeColor="text1"/>
          <w:sz w:val="22"/>
          <w:szCs w:val="22"/>
          <w:lang w:val="en-US"/>
          <w14:textFill>
            <w14:solidFill>
              <w14:schemeClr w14:val="tx1"/>
            </w14:solidFill>
          </w14:textFill>
        </w:rPr>
      </w:pPr>
    </w:p>
    <w:p w14:paraId="75A457FD">
      <w:pPr>
        <w:spacing w:line="360" w:lineRule="auto"/>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lang w:val="en-US"/>
          <w14:textFill>
            <w14:solidFill>
              <w14:schemeClr w14:val="tx1"/>
            </w14:solidFill>
          </w14:textFill>
        </w:rPr>
        <w:t>Supplementary Figure S5</w:t>
      </w:r>
      <w:r>
        <w:rPr>
          <w:rFonts w:ascii="Arial" w:hAnsi="Arial" w:cs="Arial"/>
          <w:b/>
          <w:bCs/>
          <w:color w:val="000000" w:themeColor="text1"/>
          <w:sz w:val="22"/>
          <w:szCs w:val="22"/>
          <w14:textFill>
            <w14:solidFill>
              <w14:schemeClr w14:val="tx1"/>
            </w14:solidFill>
          </w14:textFill>
        </w:rPr>
        <w:t xml:space="preserve"> </w:t>
      </w:r>
      <w:r>
        <w:rPr>
          <w:rFonts w:ascii="Arial" w:hAnsi="Arial" w:cs="Arial"/>
          <w:b w:val="0"/>
          <w:bCs/>
          <w:color w:val="000000" w:themeColor="text1"/>
          <w:sz w:val="22"/>
          <w:szCs w:val="22"/>
          <w:lang w:val="en-US"/>
          <w14:textFill>
            <w14:solidFill>
              <w14:schemeClr w14:val="tx1"/>
            </w14:solidFill>
          </w14:textFill>
        </w:rPr>
        <w:t xml:space="preserve">Impact of </w:t>
      </w:r>
      <w:r>
        <w:rPr>
          <w:rFonts w:ascii="Arial" w:hAnsi="Arial" w:cs="Arial"/>
          <w:b w:val="0"/>
          <w:bCs/>
          <w:color w:val="000000" w:themeColor="text1"/>
          <w:sz w:val="22"/>
          <w:szCs w:val="22"/>
          <w14:textFill>
            <w14:solidFill>
              <w14:schemeClr w14:val="tx1"/>
            </w14:solidFill>
          </w14:textFill>
        </w:rPr>
        <w:t xml:space="preserve">ambient RNA and doublet removal on muscle tissue </w:t>
      </w:r>
      <w:bookmarkStart w:id="9" w:name="OLE_LINK8"/>
      <w:r>
        <w:rPr>
          <w:rFonts w:ascii="Arial" w:hAnsi="Arial" w:cs="Arial"/>
          <w:b w:val="0"/>
          <w:bCs/>
          <w:color w:val="000000" w:themeColor="text1"/>
          <w:sz w:val="22"/>
          <w:szCs w:val="22"/>
          <w14:textFill>
            <w14:solidFill>
              <w14:schemeClr w14:val="tx1"/>
            </w14:solidFill>
          </w14:textFill>
        </w:rPr>
        <w:t>cell</w:t>
      </w:r>
      <w:r>
        <w:rPr>
          <w:rFonts w:ascii="Arial" w:hAnsi="Arial" w:cs="Arial"/>
          <w:bCs/>
          <w:color w:val="000000" w:themeColor="text1"/>
          <w:sz w:val="22"/>
          <w:szCs w:val="22"/>
          <w14:textFill>
            <w14:solidFill>
              <w14:schemeClr w14:val="tx1"/>
            </w14:solidFill>
          </w14:textFill>
        </w:rPr>
        <w:t xml:space="preserve"> </w:t>
      </w:r>
      <w:r>
        <w:rPr>
          <w:rFonts w:ascii="Arial" w:hAnsi="Arial" w:cs="Arial"/>
          <w:b w:val="0"/>
          <w:bCs/>
          <w:color w:val="000000" w:themeColor="text1"/>
          <w:sz w:val="22"/>
          <w:szCs w:val="22"/>
          <w14:textFill>
            <w14:solidFill>
              <w14:schemeClr w14:val="tx1"/>
            </w14:solidFill>
          </w14:textFill>
        </w:rPr>
        <w:t>type annotation</w:t>
      </w:r>
      <w:bookmarkEnd w:id="9"/>
      <w:r>
        <w:rPr>
          <w:rFonts w:ascii="Arial" w:hAnsi="Arial" w:cs="Arial"/>
          <w:b w:val="0"/>
          <w:bCs/>
          <w:color w:val="000000" w:themeColor="text1"/>
          <w:sz w:val="22"/>
          <w:szCs w:val="22"/>
          <w14:textFill>
            <w14:solidFill>
              <w14:schemeClr w14:val="tx1"/>
            </w14:solidFill>
          </w14:textFill>
        </w:rPr>
        <w:t>.</w:t>
      </w:r>
      <w:bookmarkEnd w:id="8"/>
      <w:r>
        <w:rPr>
          <w:rFonts w:ascii="Arial" w:hAnsi="Arial" w:cs="Arial"/>
          <w:bCs/>
          <w:color w:val="000000" w:themeColor="text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 UMAP projection of the raw data from a human muscle sample, coloured by annotated cell types:</w:t>
      </w:r>
      <w:r>
        <w:rPr>
          <w:color w:val="000000" w:themeColor="text1"/>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adipocytes, endothelial cells, fibroblasts, satellite cells, myofibers, smooth muscle cells, and immune cells. (b) Expression pattern of the myofiber marker </w:t>
      </w:r>
      <w:r>
        <w:rPr>
          <w:rFonts w:ascii="Arial" w:hAnsi="Arial" w:cs="Arial"/>
          <w:i/>
          <w:iCs/>
          <w:color w:val="000000" w:themeColor="text1"/>
          <w:sz w:val="22"/>
          <w:szCs w:val="22"/>
          <w14:textFill>
            <w14:solidFill>
              <w14:schemeClr w14:val="tx1"/>
            </w14:solidFill>
          </w14:textFill>
        </w:rPr>
        <w:t>TTN</w:t>
      </w:r>
      <w:r>
        <w:rPr>
          <w:rFonts w:ascii="Arial" w:hAnsi="Arial" w:cs="Arial"/>
          <w:color w:val="000000" w:themeColor="text1"/>
          <w:sz w:val="22"/>
          <w:szCs w:val="22"/>
          <w14:textFill>
            <w14:solidFill>
              <w14:schemeClr w14:val="tx1"/>
            </w14:solidFill>
          </w14:textFill>
        </w:rPr>
        <w:t xml:space="preserve"> in the raw dataset. (c) UMAP projection illustrating cell types after ambient RNA removal without doublet removal</w:t>
      </w:r>
      <w:r>
        <w:rPr>
          <w:rFonts w:hint="eastAsia" w:ascii="Arial" w:hAnsi="Arial" w:cs="Arial"/>
          <w:color w:val="000000" w:themeColor="text1"/>
          <w:sz w:val="22"/>
          <w:szCs w:val="22"/>
          <w:lang w:val="en-US"/>
          <w14:textFill>
            <w14:solidFill>
              <w14:schemeClr w14:val="tx1"/>
            </w14:solidFill>
          </w14:textFill>
        </w:rPr>
        <w:t xml:space="preserve"> and </w:t>
      </w:r>
      <w:r>
        <w:rPr>
          <w:rFonts w:ascii="Arial" w:hAnsi="Arial" w:cs="Arial"/>
          <w:color w:val="000000" w:themeColor="text1"/>
          <w:sz w:val="22"/>
          <w:szCs w:val="22"/>
          <w14:textFill>
            <w14:solidFill>
              <w14:schemeClr w14:val="tx1"/>
            </w14:solidFill>
          </w14:textFill>
        </w:rPr>
        <w:t xml:space="preserve">the distribution of singlets (light orange) and doublets (dark green) after ambient RNA removal. (d) </w:t>
      </w:r>
      <w:r>
        <w:rPr>
          <w:rFonts w:hint="eastAsia" w:ascii="Arial" w:hAnsi="Arial" w:cs="Arial"/>
          <w:color w:val="000000" w:themeColor="text1"/>
          <w:sz w:val="22"/>
          <w:szCs w:val="22"/>
          <w14:textFill>
            <w14:solidFill>
              <w14:schemeClr w14:val="tx1"/>
            </w14:solidFill>
          </w14:textFill>
        </w:rPr>
        <w:t xml:space="preserve">Expression pattern of myofiber marker </w:t>
      </w:r>
      <w:r>
        <w:rPr>
          <w:rFonts w:hint="eastAsia" w:ascii="Arial" w:hAnsi="Arial" w:cs="Arial"/>
          <w:i/>
          <w:iCs/>
          <w:color w:val="000000" w:themeColor="text1"/>
          <w:sz w:val="22"/>
          <w:szCs w:val="22"/>
          <w14:textFill>
            <w14:solidFill>
              <w14:schemeClr w14:val="tx1"/>
            </w14:solidFill>
          </w14:textFill>
        </w:rPr>
        <w:t>TTN</w:t>
      </w:r>
      <w:r>
        <w:rPr>
          <w:rFonts w:hint="eastAsia" w:ascii="Arial" w:hAnsi="Arial" w:cs="Arial"/>
          <w:color w:val="000000" w:themeColor="text1"/>
          <w:sz w:val="22"/>
          <w:szCs w:val="22"/>
          <w14:textFill>
            <w14:solidFill>
              <w14:schemeClr w14:val="tx1"/>
            </w14:solidFill>
          </w14:textFill>
        </w:rPr>
        <w:t xml:space="preserve"> after ambient RNA </w:t>
      </w:r>
      <w:r>
        <w:rPr>
          <w:rFonts w:ascii="Arial" w:hAnsi="Arial" w:cs="Arial"/>
          <w:color w:val="000000" w:themeColor="text1"/>
          <w:sz w:val="22"/>
          <w:szCs w:val="22"/>
          <w14:textFill>
            <w14:solidFill>
              <w14:schemeClr w14:val="tx1"/>
            </w14:solidFill>
          </w14:textFill>
        </w:rPr>
        <w:t>removal without doublet removal</w:t>
      </w:r>
      <w:r>
        <w:rPr>
          <w:rFonts w:hint="eastAsia" w:ascii="Arial" w:hAnsi="Arial" w:cs="Arial"/>
          <w:color w:val="000000" w:themeColor="text1"/>
          <w:sz w:val="22"/>
          <w:szCs w:val="22"/>
          <w14:textFill>
            <w14:solidFill>
              <w14:schemeClr w14:val="tx1"/>
            </w14:solidFill>
          </w14:textFill>
        </w:rPr>
        <w:t>.</w:t>
      </w:r>
      <w:r>
        <w:rPr>
          <w:rFonts w:ascii="Arial" w:hAnsi="Arial" w:cs="Arial"/>
          <w:color w:val="000000" w:themeColor="text1"/>
          <w:sz w:val="22"/>
          <w:szCs w:val="22"/>
          <w14:textFill>
            <w14:solidFill>
              <w14:schemeClr w14:val="tx1"/>
            </w14:solidFill>
          </w14:textFill>
        </w:rPr>
        <w:t xml:space="preserve"> (e) UMAP projection </w:t>
      </w:r>
      <w:r>
        <w:rPr>
          <w:rFonts w:hint="eastAsia" w:ascii="Arial" w:hAnsi="Arial" w:cs="Arial"/>
          <w:color w:val="000000" w:themeColor="text1"/>
          <w:sz w:val="22"/>
          <w:szCs w:val="22"/>
          <w:lang w:val="en-US"/>
          <w14:textFill>
            <w14:solidFill>
              <w14:schemeClr w14:val="tx1"/>
            </w14:solidFill>
          </w14:textFill>
        </w:rPr>
        <w:t>of</w:t>
      </w:r>
      <w:r>
        <w:rPr>
          <w:rFonts w:ascii="Arial" w:hAnsi="Arial" w:cs="Arial"/>
          <w:color w:val="000000" w:themeColor="text1"/>
          <w:sz w:val="22"/>
          <w:szCs w:val="22"/>
          <w14:textFill>
            <w14:solidFill>
              <w14:schemeClr w14:val="tx1"/>
            </w14:solidFill>
          </w14:textFill>
        </w:rPr>
        <w:t xml:space="preserve"> cell types after both ambient RNA and doublet removal</w:t>
      </w:r>
      <w:r>
        <w:rPr>
          <w:rFonts w:hint="eastAsia" w:ascii="Arial" w:hAnsi="Arial" w:cs="Arial"/>
          <w:color w:val="000000" w:themeColor="text1"/>
          <w:sz w:val="22"/>
          <w:szCs w:val="22"/>
          <w:lang w:val="en-US"/>
          <w14:textFill>
            <w14:solidFill>
              <w14:schemeClr w14:val="tx1"/>
            </w14:solidFill>
          </w14:textFill>
        </w:rPr>
        <w:t>.</w:t>
      </w:r>
      <w:r>
        <w:rPr>
          <w:rFonts w:ascii="Arial" w:hAnsi="Arial" w:cs="Arial"/>
          <w:color w:val="000000" w:themeColor="text1"/>
          <w:sz w:val="22"/>
          <w:szCs w:val="22"/>
          <w:lang w:val="en-US"/>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(f) </w:t>
      </w:r>
      <w:r>
        <w:rPr>
          <w:rFonts w:hint="eastAsia" w:ascii="Arial" w:hAnsi="Arial" w:cs="Arial"/>
          <w:color w:val="000000" w:themeColor="text1"/>
          <w:sz w:val="22"/>
          <w:szCs w:val="22"/>
          <w14:textFill>
            <w14:solidFill>
              <w14:schemeClr w14:val="tx1"/>
            </w14:solidFill>
          </w14:textFill>
        </w:rPr>
        <w:t xml:space="preserve">Expression pattern of myofiber marker </w:t>
      </w:r>
      <w:r>
        <w:rPr>
          <w:rFonts w:hint="eastAsia" w:ascii="Arial" w:hAnsi="Arial" w:cs="Arial"/>
          <w:i/>
          <w:iCs/>
          <w:color w:val="000000" w:themeColor="text1"/>
          <w:sz w:val="22"/>
          <w:szCs w:val="22"/>
          <w14:textFill>
            <w14:solidFill>
              <w14:schemeClr w14:val="tx1"/>
            </w14:solidFill>
          </w14:textFill>
        </w:rPr>
        <w:t>TTN</w:t>
      </w:r>
      <w:r>
        <w:rPr>
          <w:rFonts w:hint="eastAsia" w:ascii="Arial" w:hAnsi="Arial" w:cs="Arial"/>
          <w:color w:val="000000" w:themeColor="text1"/>
          <w:sz w:val="22"/>
          <w:szCs w:val="22"/>
          <w14:textFill>
            <w14:solidFill>
              <w14:schemeClr w14:val="tx1"/>
            </w14:solidFill>
          </w14:textFill>
        </w:rPr>
        <w:t xml:space="preserve"> after ambient RNA and doublet removal.</w:t>
      </w:r>
      <w:r>
        <w:rPr>
          <w:rFonts w:ascii="Arial" w:hAnsi="Arial" w:cs="Arial"/>
          <w:color w:val="000000" w:themeColor="text1"/>
          <w:sz w:val="22"/>
          <w:szCs w:val="22"/>
          <w14:textFill>
            <w14:solidFill>
              <w14:schemeClr w14:val="tx1"/>
            </w14:solidFill>
          </w14:textFill>
        </w:rPr>
        <w:t xml:space="preserve"> (g) </w:t>
      </w:r>
      <w:r>
        <w:rPr>
          <w:rFonts w:ascii="Arial" w:hAnsi="Arial" w:cs="Arial"/>
          <w:color w:val="000000" w:themeColor="text1"/>
          <w:sz w:val="22"/>
          <w:szCs w:val="22"/>
          <w:lang w:val="en-US"/>
          <w14:textFill>
            <w14:solidFill>
              <w14:schemeClr w14:val="tx1"/>
            </w14:solidFill>
          </w14:textFill>
        </w:rPr>
        <w:t xml:space="preserve">Dot </w:t>
      </w:r>
      <w:r>
        <w:rPr>
          <w:rFonts w:ascii="Arial" w:hAnsi="Arial" w:cs="Arial"/>
          <w:color w:val="000000" w:themeColor="text1"/>
          <w:sz w:val="22"/>
          <w:szCs w:val="22"/>
          <w14:textFill>
            <w14:solidFill>
              <w14:schemeClr w14:val="tx1"/>
            </w14:solidFill>
          </w14:textFill>
        </w:rPr>
        <w:t>plot depicting the expression levels of differentially expressed marker genes across cell types. Dot size represents the percentage of cells expressing each marker and colour density reflects the average expression levels. (h) Dot plot showing marker gene expression after ambient RNA removal</w:t>
      </w:r>
      <w:r>
        <w:rPr>
          <w:rFonts w:hint="eastAsia" w:ascii="Arial" w:hAnsi="Arial" w:cs="Arial"/>
          <w:color w:val="000000" w:themeColor="text1"/>
          <w:sz w:val="22"/>
          <w:szCs w:val="22"/>
          <w:lang w:val="en-US"/>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without doublet removal. (i) Dot plot showing differentially expressed marker genes after both ambient RNA and doublet removal, indicating improved marker specificity and reduced background noise.</w:t>
      </w:r>
    </w:p>
    <w:p w14:paraId="3CD077B3">
      <w:pPr>
        <w:pStyle w:val="14"/>
        <w:spacing w:line="360" w:lineRule="auto"/>
        <w:jc w:val="both"/>
        <w:rPr>
          <w:rFonts w:ascii="Arial" w:hAnsi="Arial" w:eastAsia="Arial" w:cs="Arial"/>
          <w:color w:val="000000" w:themeColor="text1"/>
          <w:sz w:val="22"/>
          <w:szCs w:val="22"/>
          <w:lang w:val="en-GB"/>
          <w14:textFill>
            <w14:solidFill>
              <w14:schemeClr w14:val="tx1"/>
            </w14:solidFill>
          </w14:textFill>
        </w:rPr>
      </w:pPr>
    </w:p>
    <w:p w14:paraId="2AE91757">
      <w:pPr>
        <w:pStyle w:val="14"/>
        <w:spacing w:line="360" w:lineRule="auto"/>
        <w:jc w:val="both"/>
        <w:rPr>
          <w:rFonts w:ascii="Arial" w:hAnsi="Arial" w:eastAsia="Arial" w:cs="Arial"/>
          <w:color w:val="000000" w:themeColor="text1"/>
          <w:sz w:val="22"/>
          <w:szCs w:val="22"/>
          <w:lang w:val="en-GB"/>
          <w14:textFill>
            <w14:solidFill>
              <w14:schemeClr w14:val="tx1"/>
            </w14:solidFill>
          </w14:textFill>
        </w:rPr>
      </w:pPr>
      <w:r>
        <w:rPr>
          <w:rFonts w:ascii="Times New Roman" w:hAnsi="Times New Roman" w:eastAsia="Times New Roman" w:cs="Times New Roman"/>
          <w:snapToGrid w:val="0"/>
          <w:color w:val="000000"/>
          <w:w w:val="0"/>
          <w:sz w:val="0"/>
          <w:szCs w:val="0"/>
          <w:u w:color="000000"/>
          <w:shd w:val="clear" w:color="000000" w:fill="000000"/>
          <w:lang w:val="zh-CN" w:eastAsia="zh-CN" w:bidi="zh-CN"/>
        </w:rPr>
        <w:t xml:space="preserve"> </w:t>
      </w:r>
      <w:r>
        <w:rPr>
          <w:rFonts w:ascii="Arial" w:hAnsi="Arial" w:eastAsia="Arial" w:cs="Arial"/>
          <w:color w:val="000000" w:themeColor="text1"/>
          <w:sz w:val="22"/>
          <w:szCs w:val="22"/>
          <w14:textFill>
            <w14:solidFill>
              <w14:schemeClr w14:val="tx1"/>
            </w14:solidFill>
          </w14:textFill>
        </w:rPr>
        <w:drawing>
          <wp:inline distT="0" distB="0" distL="0" distR="0">
            <wp:extent cx="5725795" cy="8124190"/>
            <wp:effectExtent l="0" t="0" r="8255" b="0"/>
            <wp:docPr id="6" name="图片 6" descr="C:\Users\a\Desktop\54\Figures\Supplementary Figure S6 - t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descr="C:\Users\a\Desktop\54\Figures\Supplementary Figure S6 - tu.tif"/>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a:xfrm>
                      <a:off x="0" y="0"/>
                      <a:ext cx="5725795" cy="8124190"/>
                    </a:xfrm>
                    <a:prstGeom prst="rect">
                      <a:avLst/>
                    </a:prstGeom>
                    <a:noFill/>
                    <a:ln>
                      <a:noFill/>
                    </a:ln>
                  </pic:spPr>
                </pic:pic>
              </a:graphicData>
            </a:graphic>
          </wp:inline>
        </w:drawing>
      </w:r>
    </w:p>
    <w:p w14:paraId="7C95E15A">
      <w:pPr>
        <w:spacing w:line="360" w:lineRule="auto"/>
        <w:jc w:val="both"/>
        <w:rPr>
          <w:rFonts w:ascii="Arial" w:hAnsi="Arial" w:cs="Arial"/>
          <w:b/>
          <w:bCs/>
          <w:color w:val="000000" w:themeColor="text1"/>
          <w:sz w:val="22"/>
          <w:szCs w:val="22"/>
          <w:lang w:val="en-US"/>
          <w14:textFill>
            <w14:solidFill>
              <w14:schemeClr w14:val="tx1"/>
            </w14:solidFill>
          </w14:textFill>
        </w:rPr>
      </w:pPr>
    </w:p>
    <w:p w14:paraId="369FC528">
      <w:pPr>
        <w:spacing w:line="360" w:lineRule="auto"/>
        <w:jc w:val="both"/>
        <w:rPr>
          <w:rFonts w:ascii="Arial" w:hAnsi="Arial" w:cs="Arial"/>
          <w:b/>
          <w:bCs/>
          <w:color w:val="000000" w:themeColor="text1"/>
          <w:sz w:val="22"/>
          <w:szCs w:val="22"/>
          <w:lang w:val="en-US"/>
          <w14:textFill>
            <w14:solidFill>
              <w14:schemeClr w14:val="tx1"/>
            </w14:solidFill>
          </w14:textFill>
        </w:rPr>
      </w:pPr>
    </w:p>
    <w:p w14:paraId="0C00C010">
      <w:pPr>
        <w:spacing w:line="360" w:lineRule="auto"/>
        <w:jc w:val="both"/>
        <w:rPr>
          <w:rFonts w:ascii="Arial" w:hAnsi="Arial" w:cs="Arial"/>
          <w:b/>
          <w:bCs/>
          <w:color w:val="000000" w:themeColor="text1"/>
          <w:sz w:val="22"/>
          <w:szCs w:val="22"/>
          <w:lang w:val="en-US"/>
          <w14:textFill>
            <w14:solidFill>
              <w14:schemeClr w14:val="tx1"/>
            </w14:solidFill>
          </w14:textFill>
        </w:rPr>
      </w:pPr>
    </w:p>
    <w:p w14:paraId="3C2E13BC">
      <w:pPr>
        <w:spacing w:line="360" w:lineRule="auto"/>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lang w:val="en-US"/>
          <w14:textFill>
            <w14:solidFill>
              <w14:schemeClr w14:val="tx1"/>
            </w14:solidFill>
          </w14:textFill>
        </w:rPr>
        <w:t>Supplementary Figure S6</w:t>
      </w:r>
      <w:r>
        <w:rPr>
          <w:rFonts w:ascii="Arial" w:hAnsi="Arial" w:cs="Arial"/>
          <w:color w:val="000000" w:themeColor="text1"/>
          <w:sz w:val="22"/>
          <w:szCs w:val="22"/>
          <w14:textFill>
            <w14:solidFill>
              <w14:schemeClr w14:val="tx1"/>
            </w14:solidFill>
          </w14:textFill>
        </w:rPr>
        <w:t xml:space="preserve"> </w:t>
      </w:r>
      <w:r>
        <w:rPr>
          <w:rFonts w:ascii="Arial" w:hAnsi="Arial" w:cs="Arial"/>
          <w:b w:val="0"/>
          <w:bCs/>
          <w:color w:val="000000" w:themeColor="text1"/>
          <w:sz w:val="22"/>
          <w:szCs w:val="22"/>
          <w:lang w:val="en-US"/>
          <w14:textFill>
            <w14:solidFill>
              <w14:schemeClr w14:val="tx1"/>
            </w14:solidFill>
          </w14:textFill>
        </w:rPr>
        <w:t xml:space="preserve">Impact of </w:t>
      </w:r>
      <w:r>
        <w:rPr>
          <w:rFonts w:ascii="Arial" w:hAnsi="Arial" w:cs="Arial"/>
          <w:b w:val="0"/>
          <w:bCs/>
          <w:color w:val="000000" w:themeColor="text1"/>
          <w:sz w:val="22"/>
          <w:szCs w:val="22"/>
          <w14:textFill>
            <w14:solidFill>
              <w14:schemeClr w14:val="tx1"/>
            </w14:solidFill>
          </w14:textFill>
        </w:rPr>
        <w:t>ambient RNA and doublet removal on liver tissue cell type annotation.</w:t>
      </w:r>
      <w:r>
        <w:rPr>
          <w:rFonts w:ascii="Arial" w:hAnsi="Arial" w:cs="Arial"/>
          <w:color w:val="000000" w:themeColor="text1"/>
          <w:sz w:val="22"/>
          <w:szCs w:val="22"/>
          <w14:textFill>
            <w14:solidFill>
              <w14:schemeClr w14:val="tx1"/>
            </w14:solidFill>
          </w14:textFill>
        </w:rPr>
        <w:t xml:space="preserve"> (a) UMAP projection of raw data from a liver sample, colored by annotated cell types:</w:t>
      </w:r>
      <w:r>
        <w:rPr>
          <w:color w:val="000000" w:themeColor="text1"/>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stellate cells, endothelial cells, cholangiocytes, hepatocytes, and immune cells. (b) Expression of hepatocyte marker </w:t>
      </w:r>
      <w:r>
        <w:rPr>
          <w:rFonts w:ascii="Arial" w:hAnsi="Arial" w:cs="Arial"/>
          <w:i/>
          <w:iCs/>
          <w:color w:val="000000" w:themeColor="text1"/>
          <w:sz w:val="22"/>
          <w:szCs w:val="22"/>
          <w14:textFill>
            <w14:solidFill>
              <w14:schemeClr w14:val="tx1"/>
            </w14:solidFill>
          </w14:textFill>
        </w:rPr>
        <w:t>ASGR1</w:t>
      </w:r>
      <w:r>
        <w:rPr>
          <w:rFonts w:ascii="Arial" w:hAnsi="Arial" w:cs="Arial"/>
          <w:color w:val="000000" w:themeColor="text1"/>
          <w:sz w:val="22"/>
          <w:szCs w:val="22"/>
          <w14:textFill>
            <w14:solidFill>
              <w14:schemeClr w14:val="tx1"/>
            </w14:solidFill>
          </w14:textFill>
        </w:rPr>
        <w:t xml:space="preserve"> on the raw data. (c) </w:t>
      </w:r>
      <w:r>
        <w:rPr>
          <w:rFonts w:hint="eastAsia" w:ascii="Arial" w:hAnsi="Arial" w:cs="Arial"/>
          <w:color w:val="000000" w:themeColor="text1"/>
          <w:sz w:val="22"/>
          <w:szCs w:val="22"/>
          <w14:textFill>
            <w14:solidFill>
              <w14:schemeClr w14:val="tx1"/>
            </w14:solidFill>
          </w14:textFill>
        </w:rPr>
        <w:t>UMAP projection of cell types after ambient RNA removal without doublet removal</w:t>
      </w:r>
      <w:r>
        <w:rPr>
          <w:rFonts w:hint="eastAsia" w:ascii="Arial" w:hAnsi="Arial" w:cs="Arial"/>
          <w:color w:val="000000" w:themeColor="text1"/>
          <w:sz w:val="22"/>
          <w:szCs w:val="22"/>
          <w:lang w:val="en-US"/>
          <w14:textFill>
            <w14:solidFill>
              <w14:schemeClr w14:val="tx1"/>
            </w14:solidFill>
          </w14:textFill>
        </w:rPr>
        <w:t xml:space="preserve"> and </w:t>
      </w:r>
      <w:r>
        <w:rPr>
          <w:rFonts w:ascii="Arial" w:hAnsi="Arial" w:cs="Arial"/>
          <w:color w:val="000000" w:themeColor="text1"/>
          <w:sz w:val="22"/>
          <w:szCs w:val="22"/>
          <w14:textFill>
            <w14:solidFill>
              <w14:schemeClr w14:val="tx1"/>
            </w14:solidFill>
          </w14:textFill>
        </w:rPr>
        <w:t>the distribution of singlets (light orange) and doublets (dark green) after ambient RNA removal</w:t>
      </w:r>
      <w:r>
        <w:rPr>
          <w:rFonts w:hint="eastAsia" w:ascii="Arial" w:hAnsi="Arial" w:cs="Arial"/>
          <w:color w:val="000000" w:themeColor="text1"/>
          <w:sz w:val="22"/>
          <w:szCs w:val="22"/>
          <w14:textFill>
            <w14:solidFill>
              <w14:schemeClr w14:val="tx1"/>
            </w14:solidFill>
          </w14:textFill>
        </w:rPr>
        <w:t>.</w:t>
      </w:r>
      <w:r>
        <w:rPr>
          <w:rFonts w:ascii="Arial" w:hAnsi="Arial" w:cs="Arial"/>
          <w:color w:val="000000" w:themeColor="text1"/>
          <w:sz w:val="22"/>
          <w:szCs w:val="22"/>
          <w14:textFill>
            <w14:solidFill>
              <w14:schemeClr w14:val="tx1"/>
            </w14:solidFill>
          </w14:textFill>
        </w:rPr>
        <w:t xml:space="preserve"> (d) </w:t>
      </w:r>
      <w:r>
        <w:rPr>
          <w:rFonts w:hint="eastAsia" w:ascii="Arial" w:hAnsi="Arial" w:cs="Arial"/>
          <w:color w:val="000000" w:themeColor="text1"/>
          <w:sz w:val="22"/>
          <w:szCs w:val="22"/>
          <w14:textFill>
            <w14:solidFill>
              <w14:schemeClr w14:val="tx1"/>
            </w14:solidFill>
          </w14:textFill>
        </w:rPr>
        <w:t xml:space="preserve">Expression of hepatocyte marker </w:t>
      </w:r>
      <w:r>
        <w:rPr>
          <w:rFonts w:hint="eastAsia" w:ascii="Arial" w:hAnsi="Arial" w:cs="Arial"/>
          <w:i/>
          <w:iCs/>
          <w:color w:val="000000" w:themeColor="text1"/>
          <w:sz w:val="22"/>
          <w:szCs w:val="22"/>
          <w14:textFill>
            <w14:solidFill>
              <w14:schemeClr w14:val="tx1"/>
            </w14:solidFill>
          </w14:textFill>
        </w:rPr>
        <w:t>ASGR1</w:t>
      </w:r>
      <w:r>
        <w:rPr>
          <w:rFonts w:hint="eastAsia" w:ascii="Arial" w:hAnsi="Arial" w:cs="Arial"/>
          <w:color w:val="000000" w:themeColor="text1"/>
          <w:sz w:val="22"/>
          <w:szCs w:val="22"/>
          <w14:textFill>
            <w14:solidFill>
              <w14:schemeClr w14:val="tx1"/>
            </w14:solidFill>
          </w14:textFill>
        </w:rPr>
        <w:t xml:space="preserve"> after ambient RNA removal without doublet removal.</w:t>
      </w:r>
      <w:r>
        <w:rPr>
          <w:rFonts w:ascii="Arial" w:hAnsi="Arial" w:cs="Arial"/>
          <w:color w:val="000000" w:themeColor="text1"/>
          <w:sz w:val="22"/>
          <w:szCs w:val="22"/>
          <w14:textFill>
            <w14:solidFill>
              <w14:schemeClr w14:val="tx1"/>
            </w14:solidFill>
          </w14:textFill>
        </w:rPr>
        <w:t xml:space="preserve"> (e) UMAP projections of cell types colored by cell type annotations after both ambient RNA and doublet removal. (f) Expression of hepatocyte marker </w:t>
      </w:r>
      <w:r>
        <w:rPr>
          <w:rFonts w:ascii="Arial" w:hAnsi="Arial" w:cs="Arial"/>
          <w:i/>
          <w:iCs/>
          <w:color w:val="000000" w:themeColor="text1"/>
          <w:sz w:val="22"/>
          <w:szCs w:val="22"/>
          <w14:textFill>
            <w14:solidFill>
              <w14:schemeClr w14:val="tx1"/>
            </w14:solidFill>
          </w14:textFill>
        </w:rPr>
        <w:t>ASGR1</w:t>
      </w:r>
      <w:r>
        <w:rPr>
          <w:rFonts w:ascii="Arial" w:hAnsi="Arial" w:cs="Arial"/>
          <w:color w:val="000000" w:themeColor="text1"/>
          <w:sz w:val="22"/>
          <w:szCs w:val="22"/>
          <w14:textFill>
            <w14:solidFill>
              <w14:schemeClr w14:val="tx1"/>
            </w14:solidFill>
          </w14:textFill>
        </w:rPr>
        <w:t xml:space="preserve"> after ambient RNA and doublet removal. (g) Dot plot showing the expression of differentially expressed marker genes across cell types. Dot size represents the percentage of cells expressing each marker and colour density reflects the average expression levels. (h) Dot plot showing marker gene expression after ambient RNA removal</w:t>
      </w:r>
      <w:r>
        <w:rPr>
          <w:rFonts w:hint="eastAsia" w:ascii="Arial" w:hAnsi="Arial" w:cs="Arial"/>
          <w:color w:val="000000" w:themeColor="text1"/>
          <w:sz w:val="22"/>
          <w:szCs w:val="22"/>
          <w:lang w:val="en-US"/>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without doublet removal. (i) Dot plot showing the differentially expressed marker genes after both ambient RNA and doublet removal, indicating improved marker specificity and reduced background noise.</w:t>
      </w:r>
    </w:p>
    <w:p w14:paraId="4EB7DD40">
      <w:pPr>
        <w:spacing w:line="360" w:lineRule="auto"/>
        <w:jc w:val="both"/>
        <w:rPr>
          <w:rFonts w:ascii="Arial" w:hAnsi="Arial" w:cs="Arial"/>
          <w:color w:val="000000" w:themeColor="text1"/>
          <w:sz w:val="22"/>
          <w:szCs w:val="22"/>
          <w:lang w:val="en-US"/>
          <w14:textFill>
            <w14:solidFill>
              <w14:schemeClr w14:val="tx1"/>
            </w14:solidFill>
          </w14:textFill>
        </w:rPr>
      </w:pPr>
    </w:p>
    <w:p w14:paraId="0DD1043F">
      <w:pPr>
        <w:spacing w:line="360" w:lineRule="auto"/>
        <w:jc w:val="both"/>
        <w:rPr>
          <w:rFonts w:ascii="Arial" w:hAnsi="Arial" w:cs="Arial"/>
          <w:color w:val="000000" w:themeColor="text1"/>
          <w:sz w:val="22"/>
          <w:szCs w:val="22"/>
          <w:lang w:val="en-US"/>
          <w14:textFill>
            <w14:solidFill>
              <w14:schemeClr w14:val="tx1"/>
            </w14:solidFill>
          </w14:textFill>
        </w:rPr>
      </w:pPr>
      <w:r>
        <w:rPr>
          <w:rFonts w:ascii="Times New Roman" w:hAnsi="Times New Roman" w:eastAsia="Times New Roman" w:cs="Times New Roman"/>
          <w:snapToGrid w:val="0"/>
          <w:color w:val="000000"/>
          <w:w w:val="0"/>
          <w:sz w:val="0"/>
          <w:szCs w:val="0"/>
          <w:u w:color="000000"/>
          <w:shd w:val="clear" w:color="000000" w:fill="000000"/>
          <w:lang w:val="zh-CN" w:eastAsia="zh-CN" w:bidi="zh-CN"/>
        </w:rPr>
        <w:t xml:space="preserve"> </w:t>
      </w:r>
    </w:p>
    <w:p w14:paraId="5053956B">
      <w:pPr>
        <w:spacing w:line="360" w:lineRule="auto"/>
        <w:jc w:val="both"/>
        <w:rPr>
          <w:rFonts w:ascii="Arial" w:hAnsi="Arial" w:cs="Arial"/>
          <w:b/>
          <w:bCs/>
          <w:color w:val="000000" w:themeColor="text1"/>
          <w:sz w:val="22"/>
          <w:szCs w:val="22"/>
          <w:lang w:val="en-US"/>
          <w14:textFill>
            <w14:solidFill>
              <w14:schemeClr w14:val="tx1"/>
            </w14:solidFill>
          </w14:textFill>
        </w:rPr>
      </w:pPr>
    </w:p>
    <w:p w14:paraId="3134BEE2">
      <w:pPr>
        <w:spacing w:line="360" w:lineRule="auto"/>
        <w:jc w:val="both"/>
        <w:rPr>
          <w:rFonts w:ascii="Arial" w:hAnsi="Arial" w:cs="Arial"/>
          <w:b/>
          <w:bCs/>
          <w:color w:val="000000" w:themeColor="text1"/>
          <w:sz w:val="22"/>
          <w:szCs w:val="22"/>
          <w:lang w:val="en-US"/>
          <w14:textFill>
            <w14:solidFill>
              <w14:schemeClr w14:val="tx1"/>
            </w14:solidFill>
          </w14:textFill>
        </w:rPr>
      </w:pPr>
      <w:r>
        <w:rPr>
          <w:rFonts w:ascii="Arial" w:hAnsi="Arial" w:cs="Arial"/>
          <w:b/>
          <w:bCs/>
          <w:color w:val="000000" w:themeColor="text1"/>
          <w:sz w:val="22"/>
          <w:szCs w:val="22"/>
          <w:lang w:val="en-US"/>
          <w14:textFill>
            <w14:solidFill>
              <w14:schemeClr w14:val="tx1"/>
            </w14:solidFill>
          </w14:textFill>
        </w:rPr>
        <w:drawing>
          <wp:inline distT="0" distB="0" distL="0" distR="0">
            <wp:extent cx="5731510" cy="7684135"/>
            <wp:effectExtent l="0" t="0" r="2540" b="0"/>
            <wp:docPr id="8" name="图片 8" descr="C:\Users\a\Desktop\54\Figures\Supplementary Figure S7 - t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descr="C:\Users\a\Desktop\54\Figures\Supplementary Figure S7 - tu.ti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a:xfrm>
                      <a:off x="0" y="0"/>
                      <a:ext cx="5731510" cy="7684178"/>
                    </a:xfrm>
                    <a:prstGeom prst="rect">
                      <a:avLst/>
                    </a:prstGeom>
                    <a:noFill/>
                    <a:ln>
                      <a:noFill/>
                    </a:ln>
                  </pic:spPr>
                </pic:pic>
              </a:graphicData>
            </a:graphic>
          </wp:inline>
        </w:drawing>
      </w:r>
    </w:p>
    <w:p w14:paraId="3DB80718">
      <w:pPr>
        <w:spacing w:line="360" w:lineRule="auto"/>
        <w:jc w:val="both"/>
        <w:rPr>
          <w:rFonts w:ascii="Arial" w:hAnsi="Arial" w:cs="Arial"/>
          <w:b/>
          <w:bCs/>
          <w:color w:val="000000" w:themeColor="text1"/>
          <w:sz w:val="22"/>
          <w:szCs w:val="22"/>
          <w:lang w:val="en-US"/>
          <w14:textFill>
            <w14:solidFill>
              <w14:schemeClr w14:val="tx1"/>
            </w14:solidFill>
          </w14:textFill>
        </w:rPr>
      </w:pPr>
    </w:p>
    <w:p w14:paraId="7EEFD43B">
      <w:pPr>
        <w:spacing w:line="360" w:lineRule="auto"/>
        <w:jc w:val="both"/>
        <w:rPr>
          <w:rFonts w:ascii="Arial" w:hAnsi="Arial" w:cs="Arial"/>
          <w:b/>
          <w:bCs/>
          <w:color w:val="000000" w:themeColor="text1"/>
          <w:sz w:val="22"/>
          <w:szCs w:val="22"/>
          <w:lang w:val="en-US"/>
          <w14:textFill>
            <w14:solidFill>
              <w14:schemeClr w14:val="tx1"/>
            </w14:solidFill>
          </w14:textFill>
        </w:rPr>
      </w:pPr>
    </w:p>
    <w:p w14:paraId="640CFBD4">
      <w:pPr>
        <w:spacing w:line="360" w:lineRule="auto"/>
        <w:jc w:val="both"/>
        <w:rPr>
          <w:rFonts w:ascii="Arial" w:hAnsi="Arial" w:cs="Arial"/>
          <w:b/>
          <w:bCs/>
          <w:color w:val="000000" w:themeColor="text1"/>
          <w:sz w:val="22"/>
          <w:szCs w:val="22"/>
          <w:lang w:val="en-US"/>
          <w14:textFill>
            <w14:solidFill>
              <w14:schemeClr w14:val="tx1"/>
            </w14:solidFill>
          </w14:textFill>
        </w:rPr>
      </w:pPr>
    </w:p>
    <w:p w14:paraId="6125E2FC">
      <w:pPr>
        <w:spacing w:line="360" w:lineRule="auto"/>
        <w:jc w:val="both"/>
        <w:rPr>
          <w:rFonts w:ascii="Arial" w:hAnsi="Arial" w:cs="Arial"/>
          <w:b/>
          <w:bCs/>
          <w:color w:val="000000" w:themeColor="text1"/>
          <w:sz w:val="22"/>
          <w:szCs w:val="22"/>
          <w:lang w:val="en-US"/>
          <w14:textFill>
            <w14:solidFill>
              <w14:schemeClr w14:val="tx1"/>
            </w14:solidFill>
          </w14:textFill>
        </w:rPr>
      </w:pPr>
    </w:p>
    <w:p w14:paraId="1026D474">
      <w:pPr>
        <w:spacing w:line="360" w:lineRule="auto"/>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lang w:val="en-US"/>
          <w14:textFill>
            <w14:solidFill>
              <w14:schemeClr w14:val="tx1"/>
            </w14:solidFill>
          </w14:textFill>
        </w:rPr>
        <w:t>Supplementary Figure S7</w:t>
      </w:r>
      <w:r>
        <w:rPr>
          <w:rFonts w:ascii="Arial" w:hAnsi="Arial" w:cs="Arial"/>
          <w:b/>
          <w:bCs/>
          <w:color w:val="000000" w:themeColor="text1"/>
          <w:sz w:val="22"/>
          <w:szCs w:val="22"/>
          <w14:textFill>
            <w14:solidFill>
              <w14:schemeClr w14:val="tx1"/>
            </w14:solidFill>
          </w14:textFill>
        </w:rPr>
        <w:t xml:space="preserve"> </w:t>
      </w:r>
      <w:r>
        <w:rPr>
          <w:rFonts w:ascii="Arial" w:hAnsi="Arial" w:cs="Arial"/>
          <w:b w:val="0"/>
          <w:bCs/>
          <w:color w:val="000000" w:themeColor="text1"/>
          <w:sz w:val="22"/>
          <w:szCs w:val="22"/>
          <w:lang w:val="en-US"/>
          <w14:textFill>
            <w14:solidFill>
              <w14:schemeClr w14:val="tx1"/>
            </w14:solidFill>
          </w14:textFill>
        </w:rPr>
        <w:t xml:space="preserve">Impact of </w:t>
      </w:r>
      <w:r>
        <w:rPr>
          <w:rFonts w:ascii="Arial" w:hAnsi="Arial" w:cs="Arial"/>
          <w:b w:val="0"/>
          <w:bCs/>
          <w:color w:val="000000" w:themeColor="text1"/>
          <w:sz w:val="22"/>
          <w:szCs w:val="22"/>
          <w14:textFill>
            <w14:solidFill>
              <w14:schemeClr w14:val="tx1"/>
            </w14:solidFill>
          </w14:textFill>
        </w:rPr>
        <w:t>ambient RNA and doublet removal on the hypothalamus cell type annotation.</w:t>
      </w:r>
      <w:r>
        <w:rPr>
          <w:rFonts w:ascii="Arial" w:hAnsi="Arial" w:cs="Arial"/>
          <w:bCs/>
          <w:color w:val="000000" w:themeColor="text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(a) UMAP projection of raw data from a hypothalamus sample, colored by annotated cell types,</w:t>
      </w:r>
      <w:r>
        <w:rPr>
          <w:color w:val="000000" w:themeColor="text1"/>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astrocytes, endothelial cells, neurons, microglia/macrophages, oligodendrocyte/OPCs, stromal cells, and tanycyte/ependymals. (b) Expression of neuron marker </w:t>
      </w:r>
      <w:r>
        <w:rPr>
          <w:rFonts w:ascii="Arial" w:hAnsi="Arial" w:cs="Arial"/>
          <w:i/>
          <w:iCs/>
          <w:color w:val="000000" w:themeColor="text1"/>
          <w:sz w:val="22"/>
          <w:szCs w:val="22"/>
          <w14:textFill>
            <w14:solidFill>
              <w14:schemeClr w14:val="tx1"/>
            </w14:solidFill>
          </w14:textFill>
        </w:rPr>
        <w:t>Meg3</w:t>
      </w:r>
      <w:r>
        <w:rPr>
          <w:rFonts w:ascii="Arial" w:hAnsi="Arial" w:cs="Arial"/>
          <w:color w:val="000000" w:themeColor="text1"/>
          <w:sz w:val="22"/>
          <w:szCs w:val="22"/>
          <w14:textFill>
            <w14:solidFill>
              <w14:schemeClr w14:val="tx1"/>
            </w14:solidFill>
          </w14:textFill>
        </w:rPr>
        <w:t xml:space="preserve"> on the raw data. (c) UMAP projection of cell types after ambient RNA removal without doublet removal</w:t>
      </w:r>
      <w:r>
        <w:rPr>
          <w:rFonts w:hint="eastAsia" w:ascii="Arial" w:hAnsi="Arial" w:cs="Arial"/>
          <w:color w:val="000000" w:themeColor="text1"/>
          <w:sz w:val="22"/>
          <w:szCs w:val="22"/>
          <w:lang w:val="en-US"/>
          <w14:textFill>
            <w14:solidFill>
              <w14:schemeClr w14:val="tx1"/>
            </w14:solidFill>
          </w14:textFill>
        </w:rPr>
        <w:t xml:space="preserve"> and </w:t>
      </w:r>
      <w:r>
        <w:rPr>
          <w:rFonts w:ascii="Arial" w:hAnsi="Arial" w:cs="Arial"/>
          <w:color w:val="000000" w:themeColor="text1"/>
          <w:sz w:val="22"/>
          <w:szCs w:val="22"/>
          <w14:textFill>
            <w14:solidFill>
              <w14:schemeClr w14:val="tx1"/>
            </w14:solidFill>
          </w14:textFill>
        </w:rPr>
        <w:t xml:space="preserve">the distribution of singlets (light orange) and doublets (dark green) after ambient RNA removal. (d) Expression of neuron marker </w:t>
      </w:r>
      <w:r>
        <w:rPr>
          <w:rFonts w:ascii="Arial" w:hAnsi="Arial" w:cs="Arial"/>
          <w:i/>
          <w:iCs/>
          <w:color w:val="000000" w:themeColor="text1"/>
          <w:sz w:val="22"/>
          <w:szCs w:val="22"/>
          <w14:textFill>
            <w14:solidFill>
              <w14:schemeClr w14:val="tx1"/>
            </w14:solidFill>
          </w14:textFill>
        </w:rPr>
        <w:t>Meg3</w:t>
      </w:r>
      <w:r>
        <w:rPr>
          <w:rFonts w:ascii="Arial" w:hAnsi="Arial" w:cs="Arial"/>
          <w:color w:val="000000" w:themeColor="text1"/>
          <w:sz w:val="22"/>
          <w:szCs w:val="22"/>
          <w14:textFill>
            <w14:solidFill>
              <w14:schemeClr w14:val="tx1"/>
            </w14:solidFill>
          </w14:textFill>
        </w:rPr>
        <w:t xml:space="preserve"> after</w:t>
      </w:r>
      <w:r>
        <w:rPr>
          <w:rFonts w:hint="eastAsia" w:ascii="Arial" w:hAnsi="Arial" w:cs="Arial"/>
          <w:color w:val="000000" w:themeColor="text1"/>
          <w:sz w:val="22"/>
          <w:szCs w:val="22"/>
          <w14:textFill>
            <w14:solidFill>
              <w14:schemeClr w14:val="tx1"/>
            </w14:solidFill>
          </w14:textFill>
        </w:rPr>
        <w:t xml:space="preserve"> ambient RNA removal without doublet removal</w:t>
      </w:r>
      <w:r>
        <w:rPr>
          <w:rFonts w:ascii="Arial" w:hAnsi="Arial" w:cs="Arial"/>
          <w:color w:val="000000" w:themeColor="text1"/>
          <w:sz w:val="22"/>
          <w:szCs w:val="22"/>
          <w14:textFill>
            <w14:solidFill>
              <w14:schemeClr w14:val="tx1"/>
            </w14:solidFill>
          </w14:textFill>
        </w:rPr>
        <w:t xml:space="preserve">. (e) UMAP projections of cell types colored by cell type annotations after both ambient RNA and doublet removal. (f) </w:t>
      </w:r>
      <w:r>
        <w:rPr>
          <w:rFonts w:hint="eastAsia" w:ascii="Arial" w:hAnsi="Arial" w:cs="Arial"/>
          <w:color w:val="000000" w:themeColor="text1"/>
          <w:sz w:val="22"/>
          <w:szCs w:val="22"/>
          <w:lang w:val="en-US"/>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Expression of neuron marker </w:t>
      </w:r>
      <w:r>
        <w:rPr>
          <w:rFonts w:ascii="Arial" w:hAnsi="Arial" w:cs="Arial"/>
          <w:i/>
          <w:iCs/>
          <w:color w:val="000000" w:themeColor="text1"/>
          <w:sz w:val="22"/>
          <w:szCs w:val="22"/>
          <w14:textFill>
            <w14:solidFill>
              <w14:schemeClr w14:val="tx1"/>
            </w14:solidFill>
          </w14:textFill>
        </w:rPr>
        <w:t>Meg3</w:t>
      </w:r>
      <w:r>
        <w:rPr>
          <w:rFonts w:ascii="Arial" w:hAnsi="Arial" w:cs="Arial"/>
          <w:color w:val="000000" w:themeColor="text1"/>
          <w:sz w:val="22"/>
          <w:szCs w:val="22"/>
          <w14:textFill>
            <w14:solidFill>
              <w14:schemeClr w14:val="tx1"/>
            </w14:solidFill>
          </w14:textFill>
        </w:rPr>
        <w:t xml:space="preserve"> after ambient RNA and doublet removal. (g)</w:t>
      </w:r>
      <w:r>
        <w:rPr>
          <w:rFonts w:hint="eastAsia" w:ascii="Arial" w:hAnsi="Arial" w:cs="Arial"/>
          <w:color w:val="000000" w:themeColor="text1"/>
          <w:sz w:val="22"/>
          <w:szCs w:val="22"/>
          <w:lang w:val="en-US"/>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Dot plot showing the expression of differentially expressed marker genes across cell types. Dot size represents the percentage of cells expressing each marker and color density reflects the average expression levels. (h)</w:t>
      </w:r>
      <w:r>
        <w:rPr>
          <w:rFonts w:hint="eastAsia" w:ascii="Arial" w:hAnsi="Arial" w:cs="Arial"/>
          <w:color w:val="000000" w:themeColor="text1"/>
          <w:sz w:val="22"/>
          <w:szCs w:val="22"/>
          <w:lang w:val="en-US"/>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Dot plot showing marker gene expression after ambient RNA removal</w:t>
      </w:r>
      <w:r>
        <w:rPr>
          <w:rFonts w:hint="eastAsia" w:ascii="Arial" w:hAnsi="Arial" w:cs="Arial"/>
          <w:color w:val="000000" w:themeColor="text1"/>
          <w:sz w:val="22"/>
          <w:szCs w:val="22"/>
          <w:lang w:val="en-US"/>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without doublet removal. (i) Dot plot showing the differentially expressed marker genes after both ambient RNA and doublet removal, indicating improved marker specificity and reduced background noise.</w:t>
      </w:r>
    </w:p>
    <w:p w14:paraId="34E40359">
      <w:pPr>
        <w:spacing w:line="360" w:lineRule="auto"/>
        <w:jc w:val="both"/>
        <w:rPr>
          <w:rFonts w:ascii="Arial" w:hAnsi="Arial" w:cs="Arial"/>
          <w:color w:val="000000" w:themeColor="text1"/>
          <w:sz w:val="22"/>
          <w:szCs w:val="22"/>
          <w:lang w:val="en-US"/>
          <w14:textFill>
            <w14:solidFill>
              <w14:schemeClr w14:val="tx1"/>
            </w14:solidFill>
          </w14:textFill>
        </w:rPr>
      </w:pPr>
    </w:p>
    <w:p w14:paraId="6EA731FD">
      <w:pPr>
        <w:spacing w:line="360" w:lineRule="auto"/>
        <w:jc w:val="both"/>
        <w:rPr>
          <w:rFonts w:ascii="Arial" w:hAnsi="Arial" w:cs="Arial"/>
          <w:color w:val="000000" w:themeColor="text1"/>
          <w:sz w:val="22"/>
          <w:szCs w:val="22"/>
          <w:lang w:val="en-US"/>
          <w14:textFill>
            <w14:solidFill>
              <w14:schemeClr w14:val="tx1"/>
            </w14:solidFill>
          </w14:textFill>
        </w:rPr>
      </w:pPr>
    </w:p>
    <w:p w14:paraId="233E563E">
      <w:pPr>
        <w:spacing w:line="360" w:lineRule="auto"/>
        <w:jc w:val="both"/>
        <w:rPr>
          <w:rFonts w:ascii="Arial" w:hAnsi="Arial" w:cs="Arial"/>
          <w:color w:val="000000" w:themeColor="text1"/>
          <w:sz w:val="22"/>
          <w:szCs w:val="22"/>
          <w:lang w:val="en-US"/>
          <w14:textFill>
            <w14:solidFill>
              <w14:schemeClr w14:val="tx1"/>
            </w14:solidFill>
          </w14:textFill>
        </w:rPr>
      </w:pPr>
    </w:p>
    <w:p w14:paraId="1446F9FB">
      <w:pPr>
        <w:spacing w:line="360" w:lineRule="auto"/>
        <w:jc w:val="both"/>
        <w:rPr>
          <w:rFonts w:ascii="Arial" w:hAnsi="Arial" w:cs="Arial"/>
          <w:color w:val="000000" w:themeColor="text1"/>
          <w:sz w:val="22"/>
          <w:szCs w:val="22"/>
          <w:lang w:val="en-US"/>
          <w14:textFill>
            <w14:solidFill>
              <w14:schemeClr w14:val="tx1"/>
            </w14:solidFill>
          </w14:textFill>
        </w:rPr>
      </w:pPr>
    </w:p>
    <w:p w14:paraId="0ECFDF91">
      <w:pPr>
        <w:spacing w:line="360" w:lineRule="auto"/>
        <w:jc w:val="both"/>
        <w:rPr>
          <w:rFonts w:ascii="Arial" w:hAnsi="Arial" w:cs="Arial"/>
          <w:color w:val="000000" w:themeColor="text1"/>
          <w:sz w:val="22"/>
          <w:szCs w:val="22"/>
          <w:lang w:val="en-US"/>
          <w14:textFill>
            <w14:solidFill>
              <w14:schemeClr w14:val="tx1"/>
            </w14:solidFill>
          </w14:textFill>
        </w:rPr>
      </w:pPr>
    </w:p>
    <w:p w14:paraId="0E76BA30">
      <w:pPr>
        <w:spacing w:line="360" w:lineRule="auto"/>
        <w:jc w:val="both"/>
        <w:rPr>
          <w:rFonts w:ascii="Arial" w:hAnsi="Arial" w:cs="Arial"/>
          <w:color w:val="000000" w:themeColor="text1"/>
          <w:sz w:val="22"/>
          <w:szCs w:val="22"/>
          <w:lang w:val="en-US"/>
          <w14:textFill>
            <w14:solidFill>
              <w14:schemeClr w14:val="tx1"/>
            </w14:solidFill>
          </w14:textFill>
        </w:rPr>
      </w:pPr>
    </w:p>
    <w:p w14:paraId="303B849E">
      <w:pPr>
        <w:spacing w:line="360" w:lineRule="auto"/>
        <w:jc w:val="both"/>
        <w:rPr>
          <w:rFonts w:ascii="Arial" w:hAnsi="Arial" w:cs="Arial"/>
          <w:color w:val="000000" w:themeColor="text1"/>
          <w:sz w:val="22"/>
          <w:szCs w:val="22"/>
          <w:lang w:val="en-US"/>
          <w14:textFill>
            <w14:solidFill>
              <w14:schemeClr w14:val="tx1"/>
            </w14:solidFill>
          </w14:textFill>
        </w:rPr>
      </w:pPr>
    </w:p>
    <w:p w14:paraId="2CBC3A0B">
      <w:pPr>
        <w:spacing w:line="360" w:lineRule="auto"/>
        <w:jc w:val="both"/>
        <w:rPr>
          <w:rFonts w:ascii="Arial" w:hAnsi="Arial" w:cs="Arial"/>
          <w:color w:val="000000" w:themeColor="text1"/>
          <w:sz w:val="22"/>
          <w:szCs w:val="22"/>
          <w:lang w:val="en-US"/>
          <w14:textFill>
            <w14:solidFill>
              <w14:schemeClr w14:val="tx1"/>
            </w14:solidFill>
          </w14:textFill>
        </w:rPr>
      </w:pPr>
    </w:p>
    <w:p w14:paraId="70A1EA89">
      <w:pPr>
        <w:spacing w:line="360" w:lineRule="auto"/>
        <w:jc w:val="both"/>
        <w:rPr>
          <w:rFonts w:ascii="Arial" w:hAnsi="Arial" w:cs="Arial"/>
          <w:color w:val="000000" w:themeColor="text1"/>
          <w:sz w:val="22"/>
          <w:szCs w:val="22"/>
          <w:lang w:val="en-US"/>
          <w14:textFill>
            <w14:solidFill>
              <w14:schemeClr w14:val="tx1"/>
            </w14:solidFill>
          </w14:textFill>
        </w:rPr>
      </w:pPr>
    </w:p>
    <w:p w14:paraId="7D80FBE4">
      <w:pPr>
        <w:spacing w:line="360" w:lineRule="auto"/>
        <w:jc w:val="both"/>
        <w:rPr>
          <w:rFonts w:ascii="Arial" w:hAnsi="Arial" w:cs="Arial"/>
          <w:color w:val="000000" w:themeColor="text1"/>
          <w:sz w:val="22"/>
          <w:szCs w:val="22"/>
          <w:lang w:val="en-US"/>
          <w14:textFill>
            <w14:solidFill>
              <w14:schemeClr w14:val="tx1"/>
            </w14:solidFill>
          </w14:textFill>
        </w:rPr>
      </w:pPr>
    </w:p>
    <w:p w14:paraId="0634BEEA">
      <w:pPr>
        <w:spacing w:line="360" w:lineRule="auto"/>
        <w:jc w:val="both"/>
        <w:rPr>
          <w:rFonts w:ascii="Arial" w:hAnsi="Arial" w:cs="Arial"/>
          <w:color w:val="000000" w:themeColor="text1"/>
          <w:sz w:val="22"/>
          <w:szCs w:val="22"/>
          <w:lang w:val="en-US"/>
          <w14:textFill>
            <w14:solidFill>
              <w14:schemeClr w14:val="tx1"/>
            </w14:solidFill>
          </w14:textFill>
        </w:rPr>
      </w:pPr>
    </w:p>
    <w:p w14:paraId="262692DD">
      <w:pPr>
        <w:spacing w:line="360" w:lineRule="auto"/>
        <w:jc w:val="both"/>
        <w:rPr>
          <w:rFonts w:ascii="Arial" w:hAnsi="Arial" w:cs="Arial"/>
          <w:color w:val="000000" w:themeColor="text1"/>
          <w:sz w:val="22"/>
          <w:szCs w:val="22"/>
          <w:lang w:val="en-US"/>
          <w14:textFill>
            <w14:solidFill>
              <w14:schemeClr w14:val="tx1"/>
            </w14:solidFill>
          </w14:textFill>
        </w:rPr>
      </w:pPr>
    </w:p>
    <w:p w14:paraId="0581B7C4">
      <w:pPr>
        <w:spacing w:line="360" w:lineRule="auto"/>
        <w:jc w:val="both"/>
        <w:rPr>
          <w:rFonts w:ascii="Arial" w:hAnsi="Arial" w:cs="Arial"/>
          <w:color w:val="000000" w:themeColor="text1"/>
          <w:sz w:val="22"/>
          <w:szCs w:val="22"/>
          <w:lang w:val="en-US"/>
          <w14:textFill>
            <w14:solidFill>
              <w14:schemeClr w14:val="tx1"/>
            </w14:solidFill>
          </w14:textFill>
        </w:rPr>
      </w:pPr>
    </w:p>
    <w:p w14:paraId="5C7381FD">
      <w:pPr>
        <w:spacing w:line="360" w:lineRule="auto"/>
        <w:jc w:val="both"/>
        <w:rPr>
          <w:rFonts w:ascii="Arial" w:hAnsi="Arial" w:cs="Arial"/>
          <w:color w:val="000000" w:themeColor="text1"/>
          <w:sz w:val="22"/>
          <w:szCs w:val="22"/>
          <w:lang w:val="en-US"/>
          <w14:textFill>
            <w14:solidFill>
              <w14:schemeClr w14:val="tx1"/>
            </w14:solidFill>
          </w14:textFill>
        </w:rPr>
      </w:pPr>
    </w:p>
    <w:p w14:paraId="28B3024B">
      <w:pPr>
        <w:spacing w:line="360" w:lineRule="auto"/>
        <w:jc w:val="both"/>
        <w:rPr>
          <w:rFonts w:ascii="Arial" w:hAnsi="Arial" w:cs="Arial"/>
          <w:color w:val="000000" w:themeColor="text1"/>
          <w:sz w:val="22"/>
          <w:szCs w:val="22"/>
          <w:lang w:val="en-US"/>
          <w14:textFill>
            <w14:solidFill>
              <w14:schemeClr w14:val="tx1"/>
            </w14:solidFill>
          </w14:textFill>
        </w:rPr>
      </w:pPr>
    </w:p>
    <w:p w14:paraId="1C30A4FE">
      <w:pPr>
        <w:spacing w:line="360" w:lineRule="auto"/>
        <w:jc w:val="both"/>
        <w:rPr>
          <w:rFonts w:ascii="Arial" w:hAnsi="Arial" w:cs="Arial"/>
          <w:color w:val="000000" w:themeColor="text1"/>
          <w:sz w:val="22"/>
          <w:szCs w:val="22"/>
          <w:lang w:val="en-US"/>
          <w14:textFill>
            <w14:solidFill>
              <w14:schemeClr w14:val="tx1"/>
            </w14:solidFill>
          </w14:textFill>
        </w:rPr>
      </w:pPr>
    </w:p>
    <w:p w14:paraId="58C89B36">
      <w:pPr>
        <w:spacing w:line="360" w:lineRule="auto"/>
        <w:jc w:val="both"/>
        <w:rPr>
          <w:rFonts w:ascii="Arial" w:hAnsi="Arial" w:cs="Arial"/>
          <w:color w:val="000000" w:themeColor="text1"/>
          <w:sz w:val="22"/>
          <w:szCs w:val="22"/>
          <w:lang w:val="en-US"/>
          <w14:textFill>
            <w14:solidFill>
              <w14:schemeClr w14:val="tx1"/>
            </w14:solidFill>
          </w14:textFill>
        </w:rPr>
      </w:pPr>
    </w:p>
    <w:p w14:paraId="6F551573">
      <w:pPr>
        <w:spacing w:line="360" w:lineRule="auto"/>
        <w:jc w:val="both"/>
        <w:rPr>
          <w:rFonts w:ascii="Arial" w:hAnsi="Arial" w:cs="Arial"/>
          <w:b/>
          <w:bCs/>
          <w:color w:val="000000" w:themeColor="text1"/>
          <w:sz w:val="22"/>
          <w:szCs w:val="22"/>
          <w:lang w:val="en-US"/>
          <w14:textFill>
            <w14:solidFill>
              <w14:schemeClr w14:val="tx1"/>
            </w14:solidFill>
          </w14:textFill>
        </w:rPr>
      </w:pPr>
    </w:p>
    <w:p w14:paraId="56D11FD8">
      <w:pPr>
        <w:spacing w:line="360" w:lineRule="auto"/>
        <w:jc w:val="both"/>
        <w:rPr>
          <w:rFonts w:ascii="Arial" w:hAnsi="Arial" w:cs="Arial"/>
          <w:b/>
          <w:bCs/>
          <w:color w:val="000000" w:themeColor="text1"/>
          <w:sz w:val="22"/>
          <w:szCs w:val="22"/>
          <w:lang w:val="en-US"/>
          <w14:textFill>
            <w14:solidFill>
              <w14:schemeClr w14:val="tx1"/>
            </w14:solidFill>
          </w14:textFill>
        </w:rPr>
      </w:pPr>
    </w:p>
    <w:p w14:paraId="615D26B0">
      <w:pPr>
        <w:spacing w:line="360" w:lineRule="auto"/>
        <w:jc w:val="both"/>
        <w:rPr>
          <w:rFonts w:ascii="Arial" w:hAnsi="Arial" w:cs="Arial"/>
          <w:b/>
          <w:bCs/>
          <w:color w:val="000000" w:themeColor="text1"/>
          <w:sz w:val="22"/>
          <w:szCs w:val="22"/>
          <w:lang w:val="en-US"/>
          <w14:textFill>
            <w14:solidFill>
              <w14:schemeClr w14:val="tx1"/>
            </w14:solidFill>
          </w14:textFill>
        </w:rPr>
      </w:pPr>
    </w:p>
    <w:p w14:paraId="5CD1C64C">
      <w:pPr>
        <w:spacing w:line="360" w:lineRule="auto"/>
        <w:jc w:val="both"/>
        <w:rPr>
          <w:rFonts w:ascii="Arial" w:hAnsi="Arial" w:cs="Arial"/>
          <w:b/>
          <w:bCs/>
          <w:color w:val="000000" w:themeColor="text1"/>
          <w:sz w:val="22"/>
          <w:szCs w:val="22"/>
          <w:lang w:val="en-US"/>
          <w14:textFill>
            <w14:solidFill>
              <w14:schemeClr w14:val="tx1"/>
            </w14:solidFill>
          </w14:textFill>
        </w:rPr>
      </w:pPr>
      <w:r>
        <w:rPr>
          <w:rFonts w:ascii="Arial" w:hAnsi="Arial" w:cs="Arial"/>
          <w:b/>
          <w:bCs/>
          <w:color w:val="000000" w:themeColor="text1"/>
          <w:sz w:val="22"/>
          <w:szCs w:val="22"/>
          <w:lang w:val="en-US"/>
          <w14:textFill>
            <w14:solidFill>
              <w14:schemeClr w14:val="tx1"/>
            </w14:solidFill>
          </w14:textFill>
        </w:rPr>
        <w:drawing>
          <wp:inline distT="0" distB="0" distL="0" distR="0">
            <wp:extent cx="5731510" cy="2255520"/>
            <wp:effectExtent l="0" t="0" r="2540" b="0"/>
            <wp:docPr id="9" name="图片 9" descr="C:\Users\a\Desktop\54\Figures\Supplementary Figure S8 - t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9" descr="C:\Users\a\Desktop\54\Figures\Supplementary Figure S8 - tu.tif"/>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a:xfrm>
                      <a:off x="0" y="0"/>
                      <a:ext cx="5731510" cy="2255951"/>
                    </a:xfrm>
                    <a:prstGeom prst="rect">
                      <a:avLst/>
                    </a:prstGeom>
                    <a:noFill/>
                    <a:ln>
                      <a:noFill/>
                    </a:ln>
                  </pic:spPr>
                </pic:pic>
              </a:graphicData>
            </a:graphic>
          </wp:inline>
        </w:drawing>
      </w:r>
    </w:p>
    <w:p w14:paraId="0A68D813">
      <w:pPr>
        <w:spacing w:line="360" w:lineRule="auto"/>
        <w:jc w:val="both"/>
        <w:rPr>
          <w:rFonts w:ascii="Arial" w:hAnsi="Arial" w:cs="Arial"/>
          <w:b/>
          <w:bCs/>
          <w:color w:val="000000" w:themeColor="text1"/>
          <w:sz w:val="22"/>
          <w:szCs w:val="22"/>
          <w:lang w:val="en-US"/>
          <w14:textFill>
            <w14:solidFill>
              <w14:schemeClr w14:val="tx1"/>
            </w14:solidFill>
          </w14:textFill>
        </w:rPr>
      </w:pPr>
    </w:p>
    <w:p w14:paraId="7D1BAED5">
      <w:pPr>
        <w:spacing w:line="360" w:lineRule="auto"/>
        <w:jc w:val="both"/>
        <w:rPr>
          <w:rFonts w:ascii="Arial" w:hAnsi="Arial" w:cs="Arial"/>
          <w:b/>
          <w:bCs/>
          <w:color w:val="000000" w:themeColor="text1"/>
          <w:sz w:val="22"/>
          <w:szCs w:val="22"/>
          <w:lang w:val="en-US"/>
          <w14:textFill>
            <w14:solidFill>
              <w14:schemeClr w14:val="tx1"/>
            </w14:solidFill>
          </w14:textFill>
        </w:rPr>
      </w:pPr>
    </w:p>
    <w:p w14:paraId="2387CBDC">
      <w:pPr>
        <w:spacing w:line="360" w:lineRule="auto"/>
        <w:jc w:val="both"/>
        <w:rPr>
          <w:rFonts w:ascii="Arial" w:hAnsi="Arial" w:cs="Arial"/>
          <w:b/>
          <w:bCs/>
          <w:color w:val="000000" w:themeColor="text1"/>
          <w:sz w:val="22"/>
          <w:szCs w:val="22"/>
          <w:lang w:val="en-US"/>
          <w14:textFill>
            <w14:solidFill>
              <w14:schemeClr w14:val="tx1"/>
            </w14:solidFill>
          </w14:textFill>
        </w:rPr>
      </w:pPr>
    </w:p>
    <w:p w14:paraId="5DDA797E">
      <w:pPr>
        <w:spacing w:line="360" w:lineRule="auto"/>
        <w:jc w:val="both"/>
        <w:rPr>
          <w:rFonts w:ascii="Arial" w:hAnsi="Arial" w:cs="Arial"/>
          <w:b/>
          <w:bCs/>
          <w:color w:val="000000" w:themeColor="text1"/>
          <w:sz w:val="22"/>
          <w:szCs w:val="22"/>
          <w:lang w:val="en-US"/>
          <w14:textFill>
            <w14:solidFill>
              <w14:schemeClr w14:val="tx1"/>
            </w14:solidFill>
          </w14:textFill>
        </w:rPr>
      </w:pPr>
    </w:p>
    <w:p w14:paraId="7008D4A9">
      <w:pPr>
        <w:spacing w:line="360" w:lineRule="auto"/>
        <w:jc w:val="both"/>
        <w:rPr>
          <w:rFonts w:ascii="Arial" w:hAnsi="Arial" w:cs="Arial"/>
          <w:b/>
          <w:bCs/>
          <w:color w:val="000000" w:themeColor="text1"/>
          <w:sz w:val="22"/>
          <w:szCs w:val="22"/>
          <w:lang w:val="en-US"/>
          <w14:textFill>
            <w14:solidFill>
              <w14:schemeClr w14:val="tx1"/>
            </w14:solidFill>
          </w14:textFill>
        </w:rPr>
      </w:pPr>
    </w:p>
    <w:p w14:paraId="4C05E618">
      <w:pPr>
        <w:spacing w:line="360" w:lineRule="auto"/>
        <w:jc w:val="both"/>
        <w:rPr>
          <w:rFonts w:ascii="Arial" w:hAnsi="Arial" w:cs="Arial"/>
          <w:b/>
          <w:bCs/>
          <w:color w:val="000000" w:themeColor="text1"/>
          <w:sz w:val="22"/>
          <w:szCs w:val="22"/>
          <w:lang w:val="en-US"/>
          <w14:textFill>
            <w14:solidFill>
              <w14:schemeClr w14:val="tx1"/>
            </w14:solidFill>
          </w14:textFill>
        </w:rPr>
      </w:pPr>
    </w:p>
    <w:p w14:paraId="08CA44DB">
      <w:pPr>
        <w:spacing w:line="360" w:lineRule="auto"/>
        <w:jc w:val="both"/>
        <w:rPr>
          <w:rFonts w:ascii="Arial" w:hAnsi="Arial" w:cs="Arial"/>
          <w:b/>
          <w:bCs/>
          <w:color w:val="000000" w:themeColor="text1"/>
          <w:sz w:val="22"/>
          <w:szCs w:val="22"/>
          <w:lang w:val="en-US"/>
          <w14:textFill>
            <w14:solidFill>
              <w14:schemeClr w14:val="tx1"/>
            </w14:solidFill>
          </w14:textFill>
        </w:rPr>
      </w:pPr>
    </w:p>
    <w:p w14:paraId="31EBD05E">
      <w:pPr>
        <w:spacing w:line="360" w:lineRule="auto"/>
        <w:jc w:val="both"/>
        <w:rPr>
          <w:rFonts w:ascii="Arial" w:hAnsi="Arial" w:cs="Arial"/>
          <w:b/>
          <w:bCs/>
          <w:color w:val="000000" w:themeColor="text1"/>
          <w:sz w:val="22"/>
          <w:szCs w:val="22"/>
          <w:lang w:val="en-US"/>
          <w14:textFill>
            <w14:solidFill>
              <w14:schemeClr w14:val="tx1"/>
            </w14:solidFill>
          </w14:textFill>
        </w:rPr>
      </w:pPr>
    </w:p>
    <w:p w14:paraId="6C0C9706">
      <w:pPr>
        <w:spacing w:line="360" w:lineRule="auto"/>
        <w:jc w:val="both"/>
        <w:rPr>
          <w:rFonts w:ascii="Arial" w:hAnsi="Arial" w:cs="Arial"/>
          <w:b/>
          <w:bCs/>
          <w:color w:val="000000" w:themeColor="text1"/>
          <w:sz w:val="22"/>
          <w:szCs w:val="22"/>
          <w:lang w:val="en-US"/>
          <w14:textFill>
            <w14:solidFill>
              <w14:schemeClr w14:val="tx1"/>
            </w14:solidFill>
          </w14:textFill>
        </w:rPr>
      </w:pPr>
    </w:p>
    <w:p w14:paraId="45962D38">
      <w:pPr>
        <w:spacing w:line="360" w:lineRule="auto"/>
        <w:jc w:val="both"/>
        <w:rPr>
          <w:rFonts w:ascii="Arial" w:hAnsi="Arial" w:cs="Arial"/>
          <w:b/>
          <w:bCs/>
          <w:color w:val="000000" w:themeColor="text1"/>
          <w:sz w:val="22"/>
          <w:szCs w:val="22"/>
          <w:lang w:val="en-US"/>
          <w14:textFill>
            <w14:solidFill>
              <w14:schemeClr w14:val="tx1"/>
            </w14:solidFill>
          </w14:textFill>
        </w:rPr>
      </w:pPr>
    </w:p>
    <w:p w14:paraId="2E07D8E9">
      <w:pPr>
        <w:spacing w:line="360" w:lineRule="auto"/>
        <w:jc w:val="both"/>
        <w:rPr>
          <w:rFonts w:ascii="Arial" w:hAnsi="Arial" w:cs="Arial"/>
          <w:b/>
          <w:bCs/>
          <w:color w:val="000000" w:themeColor="text1"/>
          <w:sz w:val="22"/>
          <w:szCs w:val="22"/>
          <w:lang w:val="en-US"/>
          <w14:textFill>
            <w14:solidFill>
              <w14:schemeClr w14:val="tx1"/>
            </w14:solidFill>
          </w14:textFill>
        </w:rPr>
      </w:pPr>
    </w:p>
    <w:p w14:paraId="28F015B2">
      <w:pPr>
        <w:spacing w:line="360" w:lineRule="auto"/>
        <w:jc w:val="both"/>
        <w:rPr>
          <w:rFonts w:ascii="Arial" w:hAnsi="Arial" w:cs="Arial"/>
          <w:b/>
          <w:bCs/>
          <w:color w:val="000000" w:themeColor="text1"/>
          <w:sz w:val="22"/>
          <w:szCs w:val="22"/>
          <w:lang w:val="en-US"/>
          <w14:textFill>
            <w14:solidFill>
              <w14:schemeClr w14:val="tx1"/>
            </w14:solidFill>
          </w14:textFill>
        </w:rPr>
      </w:pPr>
    </w:p>
    <w:p w14:paraId="6247F53A">
      <w:pPr>
        <w:spacing w:line="360" w:lineRule="auto"/>
        <w:jc w:val="both"/>
        <w:rPr>
          <w:rFonts w:ascii="Arial" w:hAnsi="Arial" w:cs="Arial"/>
          <w:b/>
          <w:bCs/>
          <w:color w:val="000000" w:themeColor="text1"/>
          <w:sz w:val="22"/>
          <w:szCs w:val="22"/>
          <w:lang w:val="en-US"/>
          <w14:textFill>
            <w14:solidFill>
              <w14:schemeClr w14:val="tx1"/>
            </w14:solidFill>
          </w14:textFill>
        </w:rPr>
      </w:pPr>
    </w:p>
    <w:p w14:paraId="3D885128">
      <w:pPr>
        <w:spacing w:line="360" w:lineRule="auto"/>
        <w:jc w:val="both"/>
        <w:rPr>
          <w:rFonts w:ascii="Arial" w:hAnsi="Arial" w:cs="Arial"/>
          <w:b/>
          <w:bCs/>
          <w:color w:val="000000" w:themeColor="text1"/>
          <w:sz w:val="22"/>
          <w:szCs w:val="22"/>
          <w:lang w:val="en-US"/>
          <w14:textFill>
            <w14:solidFill>
              <w14:schemeClr w14:val="tx1"/>
            </w14:solidFill>
          </w14:textFill>
        </w:rPr>
      </w:pPr>
    </w:p>
    <w:p w14:paraId="1FAA2141">
      <w:pPr>
        <w:spacing w:line="360" w:lineRule="auto"/>
        <w:jc w:val="both"/>
        <w:rPr>
          <w:rFonts w:ascii="Arial" w:hAnsi="Arial" w:cs="Arial"/>
          <w:b/>
          <w:bCs/>
          <w:color w:val="000000" w:themeColor="text1"/>
          <w:sz w:val="22"/>
          <w:szCs w:val="22"/>
          <w:lang w:val="en-US"/>
          <w14:textFill>
            <w14:solidFill>
              <w14:schemeClr w14:val="tx1"/>
            </w14:solidFill>
          </w14:textFill>
        </w:rPr>
      </w:pPr>
    </w:p>
    <w:p w14:paraId="60FECB36">
      <w:pPr>
        <w:spacing w:line="360" w:lineRule="auto"/>
        <w:jc w:val="both"/>
        <w:rPr>
          <w:rFonts w:ascii="Arial" w:hAnsi="Arial" w:cs="Arial"/>
          <w:b/>
          <w:bCs/>
          <w:color w:val="000000" w:themeColor="text1"/>
          <w:sz w:val="22"/>
          <w:szCs w:val="22"/>
          <w:lang w:val="en-US"/>
          <w14:textFill>
            <w14:solidFill>
              <w14:schemeClr w14:val="tx1"/>
            </w14:solidFill>
          </w14:textFill>
        </w:rPr>
      </w:pPr>
    </w:p>
    <w:p w14:paraId="4701C373">
      <w:pPr>
        <w:spacing w:line="360" w:lineRule="auto"/>
        <w:jc w:val="both"/>
        <w:rPr>
          <w:rFonts w:ascii="Arial" w:hAnsi="Arial" w:cs="Arial"/>
          <w:b/>
          <w:bCs/>
          <w:color w:val="000000" w:themeColor="text1"/>
          <w:sz w:val="22"/>
          <w:szCs w:val="22"/>
          <w:lang w:val="en-US"/>
          <w14:textFill>
            <w14:solidFill>
              <w14:schemeClr w14:val="tx1"/>
            </w14:solidFill>
          </w14:textFill>
        </w:rPr>
      </w:pPr>
    </w:p>
    <w:p w14:paraId="78D9606D">
      <w:pPr>
        <w:spacing w:line="360" w:lineRule="auto"/>
        <w:jc w:val="both"/>
        <w:rPr>
          <w:rFonts w:ascii="Arial" w:hAnsi="Arial" w:cs="Arial"/>
          <w:b/>
          <w:bCs/>
          <w:color w:val="000000" w:themeColor="text1"/>
          <w:sz w:val="22"/>
          <w:szCs w:val="22"/>
          <w:lang w:val="en-US"/>
          <w14:textFill>
            <w14:solidFill>
              <w14:schemeClr w14:val="tx1"/>
            </w14:solidFill>
          </w14:textFill>
        </w:rPr>
      </w:pPr>
    </w:p>
    <w:p w14:paraId="4D2ED488">
      <w:pPr>
        <w:spacing w:line="360" w:lineRule="auto"/>
        <w:jc w:val="both"/>
        <w:rPr>
          <w:rFonts w:ascii="Arial" w:hAnsi="Arial" w:cs="Arial"/>
          <w:b/>
          <w:bCs/>
          <w:color w:val="000000" w:themeColor="text1"/>
          <w:sz w:val="22"/>
          <w:szCs w:val="22"/>
          <w:lang w:val="en-US"/>
          <w14:textFill>
            <w14:solidFill>
              <w14:schemeClr w14:val="tx1"/>
            </w14:solidFill>
          </w14:textFill>
        </w:rPr>
      </w:pPr>
    </w:p>
    <w:p w14:paraId="3CA64BE5">
      <w:pPr>
        <w:spacing w:line="360" w:lineRule="auto"/>
        <w:jc w:val="both"/>
        <w:rPr>
          <w:rFonts w:ascii="Arial" w:hAnsi="Arial" w:cs="Arial"/>
          <w:b/>
          <w:bCs/>
          <w:color w:val="000000" w:themeColor="text1"/>
          <w:sz w:val="22"/>
          <w:szCs w:val="22"/>
          <w:lang w:val="en-US"/>
          <w14:textFill>
            <w14:solidFill>
              <w14:schemeClr w14:val="tx1"/>
            </w14:solidFill>
          </w14:textFill>
        </w:rPr>
      </w:pPr>
    </w:p>
    <w:p w14:paraId="55F555E5">
      <w:pPr>
        <w:spacing w:line="360" w:lineRule="auto"/>
        <w:jc w:val="both"/>
        <w:rPr>
          <w:rFonts w:ascii="Arial" w:hAnsi="Arial" w:cs="Arial"/>
          <w:b/>
          <w:bCs/>
          <w:color w:val="000000" w:themeColor="text1"/>
          <w:sz w:val="22"/>
          <w:szCs w:val="22"/>
          <w:lang w:val="en-US"/>
          <w14:textFill>
            <w14:solidFill>
              <w14:schemeClr w14:val="tx1"/>
            </w14:solidFill>
          </w14:textFill>
        </w:rPr>
      </w:pPr>
    </w:p>
    <w:p w14:paraId="04B3F7EB">
      <w:pPr>
        <w:spacing w:line="360" w:lineRule="auto"/>
        <w:jc w:val="both"/>
        <w:rPr>
          <w:rFonts w:ascii="Arial" w:hAnsi="Arial" w:cs="Arial"/>
          <w:b/>
          <w:bCs/>
          <w:color w:val="000000" w:themeColor="text1"/>
          <w:sz w:val="22"/>
          <w:szCs w:val="22"/>
          <w:lang w:val="en-US"/>
          <w14:textFill>
            <w14:solidFill>
              <w14:schemeClr w14:val="tx1"/>
            </w14:solidFill>
          </w14:textFill>
        </w:rPr>
      </w:pPr>
    </w:p>
    <w:p w14:paraId="6EC5B557">
      <w:pPr>
        <w:spacing w:line="360" w:lineRule="auto"/>
        <w:jc w:val="both"/>
        <w:rPr>
          <w:rFonts w:ascii="Arial" w:hAnsi="Arial" w:cs="Arial"/>
          <w:b/>
          <w:bCs/>
          <w:color w:val="000000" w:themeColor="text1"/>
          <w:sz w:val="22"/>
          <w:szCs w:val="22"/>
          <w:lang w:val="en-US"/>
          <w14:textFill>
            <w14:solidFill>
              <w14:schemeClr w14:val="tx1"/>
            </w14:solidFill>
          </w14:textFill>
        </w:rPr>
      </w:pPr>
    </w:p>
    <w:p w14:paraId="48D97B24">
      <w:pPr>
        <w:spacing w:line="360" w:lineRule="auto"/>
        <w:jc w:val="both"/>
        <w:rPr>
          <w:rFonts w:ascii="Arial" w:hAnsi="Arial" w:cs="Arial"/>
          <w:b/>
          <w:bCs/>
          <w:color w:val="000000" w:themeColor="text1"/>
          <w:sz w:val="22"/>
          <w:szCs w:val="22"/>
          <w:lang w:val="en-US"/>
          <w14:textFill>
            <w14:solidFill>
              <w14:schemeClr w14:val="tx1"/>
            </w14:solidFill>
          </w14:textFill>
        </w:rPr>
      </w:pPr>
    </w:p>
    <w:p w14:paraId="65518884">
      <w:pPr>
        <w:spacing w:line="360" w:lineRule="auto"/>
        <w:jc w:val="both"/>
        <w:rPr>
          <w:rFonts w:ascii="Arial" w:hAnsi="Arial" w:cs="Arial"/>
          <w:b/>
          <w:bCs/>
          <w:color w:val="000000" w:themeColor="text1"/>
          <w:sz w:val="22"/>
          <w:szCs w:val="22"/>
          <w:lang w:val="en-US"/>
          <w14:textFill>
            <w14:solidFill>
              <w14:schemeClr w14:val="tx1"/>
            </w14:solidFill>
          </w14:textFill>
        </w:rPr>
      </w:pPr>
    </w:p>
    <w:p w14:paraId="03EF16AF">
      <w:pPr>
        <w:spacing w:line="360" w:lineRule="auto"/>
        <w:jc w:val="both"/>
        <w:rPr>
          <w:rFonts w:ascii="Arial" w:hAnsi="Arial" w:cs="Arial"/>
          <w:b/>
          <w:bCs/>
          <w:color w:val="000000" w:themeColor="text1"/>
          <w:sz w:val="22"/>
          <w:szCs w:val="22"/>
          <w:lang w:val="en-US"/>
          <w14:textFill>
            <w14:solidFill>
              <w14:schemeClr w14:val="tx1"/>
            </w14:solidFill>
          </w14:textFill>
        </w:rPr>
      </w:pPr>
    </w:p>
    <w:p w14:paraId="3032E3E9">
      <w:pPr>
        <w:spacing w:line="360" w:lineRule="auto"/>
        <w:jc w:val="both"/>
        <w:rPr>
          <w:rFonts w:ascii="Arial" w:hAnsi="Arial" w:cs="Arial"/>
          <w:b/>
          <w:bCs/>
          <w:color w:val="000000" w:themeColor="text1"/>
          <w:sz w:val="22"/>
          <w:szCs w:val="22"/>
          <w:lang w:val="en-US"/>
          <w14:textFill>
            <w14:solidFill>
              <w14:schemeClr w14:val="tx1"/>
            </w14:solidFill>
          </w14:textFill>
        </w:rPr>
      </w:pPr>
    </w:p>
    <w:p w14:paraId="05DB1B90">
      <w:pPr>
        <w:spacing w:line="360" w:lineRule="auto"/>
        <w:jc w:val="both"/>
        <w:rPr>
          <w:rFonts w:ascii="Arial" w:hAnsi="Arial" w:cs="Arial"/>
          <w:color w:val="000000" w:themeColor="text1"/>
          <w:sz w:val="22"/>
          <w:szCs w:val="22"/>
          <w:lang w:val="en-US"/>
          <w14:textFill>
            <w14:solidFill>
              <w14:schemeClr w14:val="tx1"/>
            </w14:solidFill>
          </w14:textFill>
        </w:rPr>
      </w:pPr>
      <w:r>
        <w:rPr>
          <w:rFonts w:ascii="Arial" w:hAnsi="Arial" w:cs="Arial"/>
          <w:b/>
          <w:bCs/>
          <w:color w:val="000000" w:themeColor="text1"/>
          <w:sz w:val="22"/>
          <w:szCs w:val="22"/>
          <w:lang w:val="en-US"/>
          <w14:textFill>
            <w14:solidFill>
              <w14:schemeClr w14:val="tx1"/>
            </w14:solidFill>
          </w14:textFill>
        </w:rPr>
        <w:t xml:space="preserve">Supplementary Figure S8 </w:t>
      </w:r>
      <w:r>
        <w:rPr>
          <w:rFonts w:ascii="Arial" w:hAnsi="Arial" w:cs="Arial"/>
          <w:b w:val="0"/>
          <w:bCs/>
          <w:color w:val="000000" w:themeColor="text1"/>
          <w:sz w:val="22"/>
          <w:szCs w:val="22"/>
          <w:lang w:val="en-US"/>
          <w14:textFill>
            <w14:solidFill>
              <w14:schemeClr w14:val="tx1"/>
            </w14:solidFill>
          </w14:textFill>
        </w:rPr>
        <w:t>Sources of covariates in the illustrated adipose tissue dataset before batch correction.</w:t>
      </w:r>
      <w:r>
        <w:rPr>
          <w:rFonts w:ascii="Arial" w:hAnsi="Arial" w:cs="Arial"/>
          <w:bCs/>
          <w:color w:val="000000" w:themeColor="text1"/>
          <w:sz w:val="22"/>
          <w:szCs w:val="22"/>
          <w:lang w:val="en-US"/>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(a and b) UMAP projections on the merged dataset without batch correction, colored by the annotated cell types (a) and </w:t>
      </w:r>
      <w:bookmarkStart w:id="10" w:name="OLE_LINK16"/>
      <w:bookmarkStart w:id="11" w:name="OLE_LINK14"/>
      <w:r>
        <w:rPr>
          <w:rFonts w:ascii="Arial" w:hAnsi="Arial" w:cs="Arial"/>
          <w:color w:val="000000" w:themeColor="text1"/>
          <w:sz w:val="22"/>
          <w:szCs w:val="22"/>
          <w14:textFill>
            <w14:solidFill>
              <w14:schemeClr w14:val="tx1"/>
            </w14:solidFill>
          </w14:textFill>
        </w:rPr>
        <w:t>colored</w:t>
      </w:r>
      <w:bookmarkEnd w:id="10"/>
      <w:bookmarkEnd w:id="11"/>
      <w:r>
        <w:rPr>
          <w:rFonts w:ascii="Arial" w:hAnsi="Arial" w:cs="Arial"/>
          <w:color w:val="000000" w:themeColor="text1"/>
          <w:sz w:val="22"/>
          <w:szCs w:val="22"/>
          <w14:textFill>
            <w14:solidFill>
              <w14:schemeClr w14:val="tx1"/>
            </w14:solidFill>
          </w14:textFill>
        </w:rPr>
        <w:t xml:space="preserve"> by donor IDs (ID1</w:t>
      </w:r>
      <w:bookmarkStart w:id="12" w:name="OLE_LINK28"/>
      <w:r>
        <w:rPr>
          <w:rFonts w:ascii="Times New Roman" w:hAnsi="Times New Roman" w:eastAsia="宋体" w:cs="Times New Roman"/>
        </w:rPr>
        <w:t>−</w:t>
      </w:r>
      <w:bookmarkEnd w:id="12"/>
      <w:r>
        <w:rPr>
          <w:rFonts w:ascii="Arial" w:hAnsi="Arial" w:cs="Arial"/>
          <w:color w:val="000000" w:themeColor="text1"/>
          <w:sz w:val="22"/>
          <w:szCs w:val="22"/>
          <w14:textFill>
            <w14:solidFill>
              <w14:schemeClr w14:val="tx1"/>
            </w14:solidFill>
          </w14:textFill>
        </w:rPr>
        <w:t xml:space="preserve">ID9) (b), with batch effects showing distinct sample-specific clusters. </w:t>
      </w:r>
    </w:p>
    <w:p w14:paraId="3CB12C0D">
      <w:pPr>
        <w:pStyle w:val="14"/>
        <w:spacing w:line="360" w:lineRule="auto"/>
        <w:jc w:val="both"/>
        <w:rPr>
          <w:rFonts w:ascii="Arial" w:hAnsi="Arial" w:eastAsia="Arial" w:cs="Arial"/>
          <w:color w:val="000000" w:themeColor="text1"/>
          <w:sz w:val="22"/>
          <w:szCs w:val="22"/>
          <w14:textFill>
            <w14:solidFill>
              <w14:schemeClr w14:val="tx1"/>
            </w14:solidFill>
          </w14:textFill>
        </w:rPr>
      </w:pPr>
    </w:p>
    <w:p w14:paraId="5F6EB0C3">
      <w:pPr>
        <w:pStyle w:val="14"/>
        <w:spacing w:line="360" w:lineRule="auto"/>
        <w:jc w:val="both"/>
        <w:rPr>
          <w:rFonts w:ascii="Arial" w:hAnsi="Arial" w:eastAsia="Arial" w:cs="Arial"/>
          <w:color w:val="000000" w:themeColor="text1"/>
          <w:sz w:val="22"/>
          <w:szCs w:val="22"/>
          <w14:textFill>
            <w14:solidFill>
              <w14:schemeClr w14:val="tx1"/>
            </w14:solidFill>
          </w14:textFill>
        </w:rPr>
      </w:pPr>
    </w:p>
    <w:p w14:paraId="312C99C4">
      <w:pPr>
        <w:rPr>
          <w:rFonts w:ascii="Arial" w:hAnsi="Arial" w:eastAsia="Arial" w:cs="Arial"/>
          <w:color w:val="000000" w:themeColor="text1"/>
          <w:sz w:val="22"/>
          <w:szCs w:val="22"/>
          <w:lang w:val="en-US"/>
          <w14:textFill>
            <w14:solidFill>
              <w14:schemeClr w14:val="tx1"/>
            </w14:solidFill>
          </w14:textFill>
        </w:rPr>
      </w:pPr>
      <w:r>
        <w:rPr>
          <w:rFonts w:ascii="Arial" w:hAnsi="Arial" w:eastAsia="Arial" w:cs="Arial"/>
          <w:color w:val="000000" w:themeColor="text1"/>
          <w:sz w:val="22"/>
          <w:szCs w:val="22"/>
          <w14:textFill>
            <w14:solidFill>
              <w14:schemeClr w14:val="tx1"/>
            </w14:solidFill>
          </w14:textFill>
        </w:rPr>
        <w:br w:type="page"/>
      </w:r>
    </w:p>
    <w:p w14:paraId="5A297865">
      <w:pPr>
        <w:spacing w:line="360" w:lineRule="auto"/>
        <w:jc w:val="both"/>
        <w:rPr>
          <w:rFonts w:ascii="Arial" w:hAnsi="Arial" w:cs="Arial"/>
          <w:b/>
          <w:bCs/>
          <w:color w:val="000000" w:themeColor="text1"/>
          <w:sz w:val="22"/>
          <w:szCs w:val="22"/>
          <w:lang w:val="en-US"/>
          <w14:textFill>
            <w14:solidFill>
              <w14:schemeClr w14:val="tx1"/>
            </w14:solidFill>
          </w14:textFill>
        </w:rPr>
      </w:pPr>
      <w:r>
        <w:rPr>
          <w:rFonts w:ascii="Arial" w:hAnsi="Arial" w:cs="Arial"/>
          <w:b/>
          <w:bCs/>
          <w:color w:val="000000" w:themeColor="text1"/>
          <w:sz w:val="22"/>
          <w:szCs w:val="22"/>
          <w:lang w:val="en-US"/>
          <w14:textFill>
            <w14:solidFill>
              <w14:schemeClr w14:val="tx1"/>
            </w14:solidFill>
          </w14:textFill>
        </w:rPr>
        <w:drawing>
          <wp:inline distT="0" distB="0" distL="0" distR="0">
            <wp:extent cx="5731510" cy="5918835"/>
            <wp:effectExtent l="0" t="0" r="2540" b="5715"/>
            <wp:docPr id="10" name="图片 10" descr="C:\Users\a\Desktop\54\Figures\Supplementary Figure S9 - tu.t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descr="C:\Users\a\Desktop\54\Figures\Supplementary Figure S9 - tu.tif"/>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a:xfrm>
                      <a:off x="0" y="0"/>
                      <a:ext cx="5731510" cy="5919257"/>
                    </a:xfrm>
                    <a:prstGeom prst="rect">
                      <a:avLst/>
                    </a:prstGeom>
                    <a:noFill/>
                    <a:ln>
                      <a:noFill/>
                    </a:ln>
                  </pic:spPr>
                </pic:pic>
              </a:graphicData>
            </a:graphic>
          </wp:inline>
        </w:drawing>
      </w:r>
    </w:p>
    <w:p w14:paraId="0C39DE47">
      <w:pPr>
        <w:spacing w:line="360" w:lineRule="auto"/>
        <w:jc w:val="both"/>
        <w:rPr>
          <w:rFonts w:ascii="Arial" w:hAnsi="Arial" w:cs="Arial"/>
          <w:b/>
          <w:bCs/>
          <w:color w:val="000000" w:themeColor="text1"/>
          <w:sz w:val="22"/>
          <w:szCs w:val="22"/>
          <w:lang w:val="en-US"/>
          <w14:textFill>
            <w14:solidFill>
              <w14:schemeClr w14:val="tx1"/>
            </w14:solidFill>
          </w14:textFill>
        </w:rPr>
      </w:pPr>
    </w:p>
    <w:p w14:paraId="5F2A0238">
      <w:pPr>
        <w:spacing w:line="360" w:lineRule="auto"/>
        <w:jc w:val="both"/>
        <w:rPr>
          <w:rFonts w:ascii="Arial" w:hAnsi="Arial" w:cs="Arial"/>
          <w:b/>
          <w:bCs/>
          <w:color w:val="000000" w:themeColor="text1"/>
          <w:sz w:val="22"/>
          <w:szCs w:val="22"/>
          <w:lang w:val="en-US"/>
          <w14:textFill>
            <w14:solidFill>
              <w14:schemeClr w14:val="tx1"/>
            </w14:solidFill>
          </w14:textFill>
        </w:rPr>
      </w:pPr>
    </w:p>
    <w:p w14:paraId="5304AE47">
      <w:pPr>
        <w:spacing w:line="360" w:lineRule="auto"/>
        <w:jc w:val="both"/>
        <w:rPr>
          <w:rFonts w:ascii="Arial" w:hAnsi="Arial" w:cs="Arial"/>
          <w:b/>
          <w:bCs/>
          <w:color w:val="000000" w:themeColor="text1"/>
          <w:sz w:val="22"/>
          <w:szCs w:val="22"/>
          <w:lang w:val="en-US"/>
          <w14:textFill>
            <w14:solidFill>
              <w14:schemeClr w14:val="tx1"/>
            </w14:solidFill>
          </w14:textFill>
        </w:rPr>
      </w:pPr>
    </w:p>
    <w:p w14:paraId="67EA76A8">
      <w:pPr>
        <w:spacing w:line="360" w:lineRule="auto"/>
        <w:jc w:val="both"/>
        <w:rPr>
          <w:rFonts w:ascii="Arial" w:hAnsi="Arial" w:cs="Arial"/>
          <w:b/>
          <w:bCs/>
          <w:color w:val="000000" w:themeColor="text1"/>
          <w:sz w:val="22"/>
          <w:szCs w:val="22"/>
          <w:lang w:val="en-US"/>
          <w14:textFill>
            <w14:solidFill>
              <w14:schemeClr w14:val="tx1"/>
            </w14:solidFill>
          </w14:textFill>
        </w:rPr>
      </w:pPr>
    </w:p>
    <w:p w14:paraId="57564DD6">
      <w:pPr>
        <w:spacing w:line="360" w:lineRule="auto"/>
        <w:jc w:val="both"/>
        <w:rPr>
          <w:rFonts w:ascii="Arial" w:hAnsi="Arial" w:cs="Arial"/>
          <w:b/>
          <w:bCs/>
          <w:color w:val="000000" w:themeColor="text1"/>
          <w:sz w:val="22"/>
          <w:szCs w:val="22"/>
          <w:lang w:val="en-US"/>
          <w14:textFill>
            <w14:solidFill>
              <w14:schemeClr w14:val="tx1"/>
            </w14:solidFill>
          </w14:textFill>
        </w:rPr>
      </w:pPr>
    </w:p>
    <w:p w14:paraId="6589D06A">
      <w:pPr>
        <w:spacing w:line="360" w:lineRule="auto"/>
        <w:jc w:val="both"/>
        <w:rPr>
          <w:rFonts w:ascii="Arial" w:hAnsi="Arial" w:cs="Arial"/>
          <w:b/>
          <w:bCs/>
          <w:color w:val="000000" w:themeColor="text1"/>
          <w:sz w:val="22"/>
          <w:szCs w:val="22"/>
          <w:lang w:val="en-US"/>
          <w14:textFill>
            <w14:solidFill>
              <w14:schemeClr w14:val="tx1"/>
            </w14:solidFill>
          </w14:textFill>
        </w:rPr>
      </w:pPr>
    </w:p>
    <w:p w14:paraId="63BD5B65">
      <w:pPr>
        <w:spacing w:line="360" w:lineRule="auto"/>
        <w:jc w:val="both"/>
        <w:rPr>
          <w:rFonts w:ascii="Arial" w:hAnsi="Arial" w:cs="Arial"/>
          <w:b/>
          <w:bCs/>
          <w:color w:val="000000" w:themeColor="text1"/>
          <w:sz w:val="22"/>
          <w:szCs w:val="22"/>
          <w:lang w:val="en-US"/>
          <w14:textFill>
            <w14:solidFill>
              <w14:schemeClr w14:val="tx1"/>
            </w14:solidFill>
          </w14:textFill>
        </w:rPr>
      </w:pPr>
    </w:p>
    <w:p w14:paraId="0B80FDE4">
      <w:pPr>
        <w:spacing w:line="360" w:lineRule="auto"/>
        <w:jc w:val="both"/>
        <w:rPr>
          <w:rFonts w:ascii="Arial" w:hAnsi="Arial" w:cs="Arial"/>
          <w:b/>
          <w:bCs/>
          <w:color w:val="000000" w:themeColor="text1"/>
          <w:sz w:val="22"/>
          <w:szCs w:val="22"/>
          <w:lang w:val="en-US"/>
          <w14:textFill>
            <w14:solidFill>
              <w14:schemeClr w14:val="tx1"/>
            </w14:solidFill>
          </w14:textFill>
        </w:rPr>
      </w:pPr>
    </w:p>
    <w:p w14:paraId="6E98BE16">
      <w:pPr>
        <w:spacing w:line="360" w:lineRule="auto"/>
        <w:jc w:val="both"/>
        <w:rPr>
          <w:rFonts w:ascii="Arial" w:hAnsi="Arial" w:cs="Arial"/>
          <w:b/>
          <w:bCs/>
          <w:color w:val="000000" w:themeColor="text1"/>
          <w:sz w:val="22"/>
          <w:szCs w:val="22"/>
          <w:lang w:val="en-US"/>
          <w14:textFill>
            <w14:solidFill>
              <w14:schemeClr w14:val="tx1"/>
            </w14:solidFill>
          </w14:textFill>
        </w:rPr>
      </w:pPr>
    </w:p>
    <w:p w14:paraId="74C13CE9">
      <w:pPr>
        <w:spacing w:line="360" w:lineRule="auto"/>
        <w:jc w:val="both"/>
        <w:rPr>
          <w:rFonts w:ascii="Arial" w:hAnsi="Arial" w:cs="Arial"/>
          <w:b/>
          <w:bCs/>
          <w:color w:val="000000" w:themeColor="text1"/>
          <w:sz w:val="22"/>
          <w:szCs w:val="22"/>
          <w:lang w:val="en-US"/>
          <w14:textFill>
            <w14:solidFill>
              <w14:schemeClr w14:val="tx1"/>
            </w14:solidFill>
          </w14:textFill>
        </w:rPr>
      </w:pPr>
    </w:p>
    <w:p w14:paraId="1E0AA102">
      <w:pPr>
        <w:spacing w:line="360" w:lineRule="auto"/>
        <w:jc w:val="both"/>
        <w:rPr>
          <w:rFonts w:ascii="Arial" w:hAnsi="Arial" w:cs="Arial"/>
          <w:b/>
          <w:bCs/>
          <w:color w:val="000000" w:themeColor="text1"/>
          <w:sz w:val="22"/>
          <w:szCs w:val="22"/>
          <w:lang w:val="en-US"/>
          <w14:textFill>
            <w14:solidFill>
              <w14:schemeClr w14:val="tx1"/>
            </w14:solidFill>
          </w14:textFill>
        </w:rPr>
      </w:pPr>
    </w:p>
    <w:p w14:paraId="6FA91005">
      <w:pPr>
        <w:spacing w:line="360" w:lineRule="auto"/>
        <w:jc w:val="both"/>
        <w:rPr>
          <w:rFonts w:ascii="Arial" w:hAnsi="Arial" w:cs="Arial"/>
          <w:b/>
          <w:bCs/>
          <w:color w:val="000000" w:themeColor="text1"/>
          <w:sz w:val="22"/>
          <w:szCs w:val="22"/>
          <w:lang w:val="en-US"/>
          <w14:textFill>
            <w14:solidFill>
              <w14:schemeClr w14:val="tx1"/>
            </w14:solidFill>
          </w14:textFill>
        </w:rPr>
      </w:pPr>
    </w:p>
    <w:p w14:paraId="1F8A9F56">
      <w:pPr>
        <w:spacing w:line="360" w:lineRule="auto"/>
        <w:jc w:val="both"/>
        <w:rPr>
          <w:rFonts w:ascii="Arial" w:hAnsi="Arial" w:cs="Arial"/>
          <w:color w:val="000000" w:themeColor="text1"/>
          <w:sz w:val="22"/>
          <w:szCs w:val="22"/>
          <w14:textFill>
            <w14:solidFill>
              <w14:schemeClr w14:val="tx1"/>
            </w14:solidFill>
          </w14:textFill>
        </w:rPr>
      </w:pPr>
      <w:r>
        <w:rPr>
          <w:rFonts w:ascii="Arial" w:hAnsi="Arial" w:cs="Arial"/>
          <w:b/>
          <w:bCs/>
          <w:color w:val="000000" w:themeColor="text1"/>
          <w:sz w:val="22"/>
          <w:szCs w:val="22"/>
          <w:lang w:val="en-US"/>
          <w14:textFill>
            <w14:solidFill>
              <w14:schemeClr w14:val="tx1"/>
            </w14:solidFill>
          </w14:textFill>
        </w:rPr>
        <w:t>Supplementary Figure S9</w:t>
      </w:r>
      <w:r>
        <w:rPr>
          <w:rFonts w:ascii="Arial" w:hAnsi="Arial" w:cs="Arial"/>
          <w:b/>
          <w:bCs/>
          <w:color w:val="000000" w:themeColor="text1"/>
          <w:sz w:val="22"/>
          <w:szCs w:val="22"/>
          <w14:textFill>
            <w14:solidFill>
              <w14:schemeClr w14:val="tx1"/>
            </w14:solidFill>
          </w14:textFill>
        </w:rPr>
        <w:t xml:space="preserve"> </w:t>
      </w:r>
      <w:r>
        <w:rPr>
          <w:rFonts w:ascii="Arial" w:hAnsi="Arial" w:cs="Arial"/>
          <w:b w:val="0"/>
          <w:bCs/>
          <w:color w:val="000000" w:themeColor="text1"/>
          <w:sz w:val="22"/>
          <w:szCs w:val="22"/>
          <w14:textFill>
            <w14:solidFill>
              <w14:schemeClr w14:val="tx1"/>
            </w14:solidFill>
          </w14:textFill>
        </w:rPr>
        <w:t>Benchmarking of integration methods in the liver atlas.</w:t>
      </w:r>
      <w:r>
        <w:rPr>
          <w:rFonts w:ascii="Arial" w:hAnsi="Arial" w:cs="Arial"/>
          <w:bCs/>
          <w:color w:val="000000" w:themeColor="text1"/>
          <w:sz w:val="22"/>
          <w:szCs w:val="22"/>
          <w14:textFill>
            <w14:solidFill>
              <w14:schemeClr w14:val="tx1"/>
            </w14:solidFill>
          </w14:textFill>
        </w:rPr>
        <w:t xml:space="preserve"> </w:t>
      </w:r>
      <w:r>
        <w:rPr>
          <w:rFonts w:ascii="Arial" w:hAnsi="Arial" w:cs="Arial"/>
          <w:color w:val="000000" w:themeColor="text1"/>
          <w:sz w:val="22"/>
          <w:szCs w:val="22"/>
          <w14:textFill>
            <w14:solidFill>
              <w14:schemeClr w14:val="tx1"/>
            </w14:solidFill>
          </w14:textFill>
        </w:rPr>
        <w:t xml:space="preserve">(a and b) UMAP projections on the merged dataset without batch correction, colored by the annotated cell types (a) and colored by donor IDs (b), with batch effects showing distinct sample-specific clusters. (c) UMAP representations of the dataset after integration using five batch-effect correction methods: Seurat CCA, scVI, rPCA, Harmony, and scANVI. The first row shows UMAP representations colored by cell types, while the second row shows UMAP representations colored by donor ID. (d) The scIB framework used for the quantitative assessment of batch-effect correction methods. </w:t>
      </w:r>
      <w:bookmarkStart w:id="13" w:name="OLE_LINK21"/>
      <w:r>
        <w:rPr>
          <w:rFonts w:ascii="Arial" w:hAnsi="Arial" w:cs="Arial"/>
          <w:color w:val="000000" w:themeColor="text1"/>
          <w:sz w:val="22"/>
          <w:szCs w:val="22"/>
          <w14:textFill>
            <w14:solidFill>
              <w14:schemeClr w14:val="tx1"/>
            </w14:solidFill>
          </w14:textFill>
        </w:rPr>
        <w:t>Metrics</w:t>
      </w:r>
      <w:bookmarkEnd w:id="13"/>
      <w:r>
        <w:rPr>
          <w:rFonts w:ascii="Arial" w:hAnsi="Arial" w:cs="Arial"/>
          <w:color w:val="000000" w:themeColor="text1"/>
          <w:sz w:val="22"/>
          <w:szCs w:val="22"/>
          <w14:textFill>
            <w14:solidFill>
              <w14:schemeClr w14:val="tx1"/>
            </w14:solidFill>
          </w14:textFill>
        </w:rPr>
        <w:t xml:space="preserve"> are grouped into bio-conservation measures (isolated label performance, </w:t>
      </w:r>
      <w:bookmarkStart w:id="14" w:name="OLE_LINK11"/>
      <w:r>
        <w:rPr>
          <w:rFonts w:ascii="Arial" w:hAnsi="Arial" w:cs="Arial"/>
          <w:color w:val="000000" w:themeColor="text1"/>
          <w:sz w:val="22"/>
          <w:szCs w:val="22"/>
          <w14:textFill>
            <w14:solidFill>
              <w14:schemeClr w14:val="tx1"/>
            </w14:solidFill>
          </w14:textFill>
        </w:rPr>
        <w:t>KMeans</w:t>
      </w:r>
      <w:bookmarkEnd w:id="14"/>
      <w:r>
        <w:rPr>
          <w:rFonts w:ascii="Arial" w:hAnsi="Arial" w:cs="Arial"/>
          <w:color w:val="000000" w:themeColor="text1"/>
          <w:sz w:val="22"/>
          <w:szCs w:val="22"/>
          <w14:textFill>
            <w14:solidFill>
              <w14:schemeClr w14:val="tx1"/>
            </w14:solidFill>
          </w14:textFill>
        </w:rPr>
        <w:t xml:space="preserve"> NMI, etc.) and batch correction measures (iLISI, kBET, etc.). Aggregate scores are calculated as a weighted mean (40:60) of batch correction and bio-conservation metrics.</w:t>
      </w:r>
    </w:p>
    <w:p w14:paraId="240F6928">
      <w:pPr>
        <w:spacing w:line="360" w:lineRule="auto"/>
        <w:jc w:val="both"/>
        <w:rPr>
          <w:rFonts w:ascii="Arial" w:hAnsi="Arial" w:cs="Arial"/>
          <w:color w:val="000000" w:themeColor="text1"/>
          <w:sz w:val="22"/>
          <w:szCs w:val="22"/>
          <w14:textFill>
            <w14:solidFill>
              <w14:schemeClr w14:val="tx1"/>
            </w14:solidFill>
          </w14:textFill>
        </w:rPr>
      </w:pPr>
    </w:p>
    <w:p w14:paraId="635101A2">
      <w:pPr>
        <w:rPr>
          <w:rFonts w:ascii="Arial" w:hAnsi="Arial" w:cs="Arial"/>
          <w:b/>
          <w:bCs/>
          <w:color w:val="000000" w:themeColor="text1"/>
          <w:sz w:val="22"/>
          <w:szCs w:val="22"/>
          <w:lang w:val="en-US"/>
          <w14:textFill>
            <w14:solidFill>
              <w14:schemeClr w14:val="tx1"/>
            </w14:solidFill>
          </w14:textFill>
        </w:rPr>
      </w:pPr>
      <w:r>
        <w:rPr>
          <w:rFonts w:ascii="Arial" w:hAnsi="Arial" w:cs="Arial"/>
          <w:b/>
          <w:bCs/>
          <w:color w:val="000000" w:themeColor="text1"/>
          <w:sz w:val="22"/>
          <w:szCs w:val="22"/>
          <w:lang w:val="en-US"/>
          <w14:textFill>
            <w14:solidFill>
              <w14:schemeClr w14:val="tx1"/>
            </w14:solidFill>
          </w14:textFill>
        </w:rPr>
        <w:br w:type="page"/>
      </w:r>
    </w:p>
    <w:p w14:paraId="7E41DEDF">
      <w:pPr>
        <w:spacing w:line="360" w:lineRule="auto"/>
        <w:jc w:val="both"/>
        <w:rPr>
          <w:rFonts w:ascii="Arial" w:hAnsi="Arial" w:cs="Arial"/>
          <w:color w:val="000000" w:themeColor="text1"/>
          <w:sz w:val="22"/>
          <w:szCs w:val="22"/>
          <w:lang w:val="en-US"/>
          <w14:textFill>
            <w14:solidFill>
              <w14:schemeClr w14:val="tx1"/>
            </w14:solidFill>
          </w14:textFill>
        </w:rPr>
      </w:pPr>
      <w:r>
        <w:rPr>
          <w:rFonts w:hint="eastAsia" w:ascii="Arial" w:hAnsi="Arial" w:cs="Arial"/>
          <w:b/>
          <w:bCs/>
          <w:color w:val="000000" w:themeColor="text1"/>
          <w:sz w:val="22"/>
          <w:szCs w:val="22"/>
          <w:lang w:val="en-US"/>
          <w14:textFill>
            <w14:solidFill>
              <w14:schemeClr w14:val="tx1"/>
            </w14:solidFill>
          </w14:textFill>
        </w:rPr>
        <w:t xml:space="preserve">Supplementary </w:t>
      </w:r>
      <w:r>
        <w:rPr>
          <w:rFonts w:ascii="Arial" w:hAnsi="Arial" w:cs="Arial"/>
          <w:b/>
          <w:bCs/>
          <w:color w:val="000000" w:themeColor="text1"/>
          <w:sz w:val="22"/>
          <w:szCs w:val="22"/>
          <w:lang w:val="en-US"/>
          <w14:textFill>
            <w14:solidFill>
              <w14:schemeClr w14:val="tx1"/>
            </w14:solidFill>
          </w14:textFill>
        </w:rPr>
        <w:t xml:space="preserve">Table S1 </w:t>
      </w:r>
      <w:bookmarkStart w:id="15" w:name="OLE_LINK27"/>
      <w:r>
        <w:rPr>
          <w:rFonts w:ascii="Arial" w:hAnsi="Arial" w:cs="Arial"/>
          <w:color w:val="000000" w:themeColor="text1"/>
          <w:sz w:val="22"/>
          <w:szCs w:val="22"/>
          <w:lang w:val="en-US"/>
          <w14:textFill>
            <w14:solidFill>
              <w14:schemeClr w14:val="tx1"/>
            </w14:solidFill>
          </w14:textFill>
        </w:rPr>
        <w:t xml:space="preserve">Quality control matrices for individual samples of the datasets </w:t>
      </w:r>
      <w:bookmarkEnd w:id="15"/>
      <w:r>
        <w:rPr>
          <w:rFonts w:ascii="Arial" w:hAnsi="Arial" w:cs="Arial"/>
          <w:color w:val="000000" w:themeColor="text1"/>
          <w:sz w:val="22"/>
          <w:szCs w:val="22"/>
          <w:lang w:val="en-US"/>
          <w14:textFill>
            <w14:solidFill>
              <w14:schemeClr w14:val="tx1"/>
            </w14:solidFill>
          </w14:textFill>
        </w:rPr>
        <w:t>included in this study.</w:t>
      </w:r>
    </w:p>
    <w:p w14:paraId="40100BD2">
      <w:pPr>
        <w:spacing w:line="360" w:lineRule="auto"/>
        <w:jc w:val="both"/>
        <w:rPr>
          <w:rFonts w:ascii="Arial" w:hAnsi="Arial" w:cs="Arial"/>
          <w:b/>
          <w:bCs/>
          <w:color w:val="000000" w:themeColor="text1"/>
          <w:sz w:val="22"/>
          <w:szCs w:val="22"/>
          <w:lang w:val="en-US"/>
          <w14:textFill>
            <w14:solidFill>
              <w14:schemeClr w14:val="tx1"/>
            </w14:solidFill>
          </w14:textFill>
        </w:rPr>
      </w:pPr>
    </w:p>
    <w:p w14:paraId="42A2460A">
      <w:pPr>
        <w:spacing w:line="360" w:lineRule="auto"/>
        <w:jc w:val="both"/>
        <w:rPr>
          <w:rFonts w:ascii="Arial" w:hAnsi="Arial" w:cs="Arial"/>
          <w:b/>
          <w:bCs/>
          <w:color w:val="000000" w:themeColor="text1"/>
          <w:sz w:val="22"/>
          <w:szCs w:val="22"/>
          <w:lang w:val="en-US"/>
          <w14:textFill>
            <w14:solidFill>
              <w14:schemeClr w14:val="tx1"/>
            </w14:solidFill>
          </w14:textFill>
        </w:rPr>
      </w:pPr>
      <w:r>
        <w:rPr>
          <w:rFonts w:hint="eastAsia" w:ascii="Arial" w:hAnsi="Arial" w:cs="Arial"/>
          <w:b/>
          <w:bCs/>
          <w:color w:val="000000" w:themeColor="text1"/>
          <w:sz w:val="22"/>
          <w:szCs w:val="22"/>
          <w:lang w:val="en-US"/>
          <w14:textFill>
            <w14:solidFill>
              <w14:schemeClr w14:val="tx1"/>
            </w14:solidFill>
          </w14:textFill>
        </w:rPr>
        <w:t xml:space="preserve">Supplementary </w:t>
      </w:r>
      <w:r>
        <w:rPr>
          <w:rFonts w:ascii="Arial" w:hAnsi="Arial" w:cs="Arial"/>
          <w:b/>
          <w:bCs/>
          <w:color w:val="000000" w:themeColor="text1"/>
          <w:sz w:val="22"/>
          <w:szCs w:val="22"/>
          <w:lang w:val="en-US"/>
          <w14:textFill>
            <w14:solidFill>
              <w14:schemeClr w14:val="tx1"/>
            </w14:solidFill>
          </w14:textFill>
        </w:rPr>
        <w:t xml:space="preserve">Table S2 </w:t>
      </w:r>
      <w:r>
        <w:rPr>
          <w:rFonts w:ascii="Arial" w:hAnsi="Arial" w:cs="Arial"/>
          <w:color w:val="000000" w:themeColor="text1"/>
          <w:sz w:val="22"/>
          <w:szCs w:val="22"/>
          <w:lang w:val="en-US"/>
          <w14:textFill>
            <w14:solidFill>
              <w14:schemeClr w14:val="tx1"/>
            </w14:solidFill>
          </w14:textFill>
        </w:rPr>
        <w:t>List of canonical marker genes for annotating different cell types</w:t>
      </w:r>
      <w:r>
        <w:rPr>
          <w:rFonts w:hint="eastAsia" w:ascii="Arial" w:hAnsi="Arial" w:cs="Arial"/>
          <w:color w:val="000000" w:themeColor="text1"/>
          <w:sz w:val="22"/>
          <w:szCs w:val="22"/>
          <w:lang w:val="en-US"/>
          <w14:textFill>
            <w14:solidFill>
              <w14:schemeClr w14:val="tx1"/>
            </w14:solidFill>
          </w14:textFill>
        </w:rPr>
        <w:t xml:space="preserve"> </w:t>
      </w:r>
      <w:r>
        <w:rPr>
          <w:rFonts w:ascii="Arial" w:hAnsi="Arial" w:cs="Arial"/>
          <w:color w:val="000000" w:themeColor="text1"/>
          <w:sz w:val="22"/>
          <w:szCs w:val="22"/>
          <w:lang w:val="en-US"/>
          <w14:textFill>
            <w14:solidFill>
              <w14:schemeClr w14:val="tx1"/>
            </w14:solidFill>
          </w14:textFill>
        </w:rPr>
        <w:t>within the datasets of white adipose tissue, muscle, liver, and the hypothalamus.</w:t>
      </w:r>
    </w:p>
    <w:p w14:paraId="793E8E3A">
      <w:pPr>
        <w:rPr>
          <w:color w:val="000000" w:themeColor="text1"/>
          <w:lang w:val="en-US"/>
          <w14:textFill>
            <w14:solidFill>
              <w14:schemeClr w14:val="tx1"/>
            </w14:solidFill>
          </w14:textFill>
        </w:rPr>
      </w:pPr>
    </w:p>
    <w:p w14:paraId="2EDD5ED9">
      <w:pPr>
        <w:rPr>
          <w:color w:val="000000" w:themeColor="text1"/>
          <w:lang w:val="en-US"/>
          <w14:textFill>
            <w14:solidFill>
              <w14:schemeClr w14:val="tx1"/>
            </w14:solidFill>
          </w14:textFill>
        </w:rPr>
      </w:pPr>
    </w:p>
    <w:p w14:paraId="25A38435">
      <w:pPr>
        <w:rPr>
          <w:color w:val="000000" w:themeColor="text1"/>
          <w:lang w:val="en-US"/>
          <w14:textFill>
            <w14:solidFill>
              <w14:schemeClr w14:val="tx1"/>
            </w14:solidFill>
          </w14:textFill>
        </w:rPr>
      </w:pPr>
    </w:p>
    <w:p w14:paraId="10D461B6">
      <w:pPr>
        <w:pStyle w:val="14"/>
        <w:spacing w:line="360" w:lineRule="auto"/>
        <w:jc w:val="both"/>
        <w:rPr>
          <w:rFonts w:ascii="Arial" w:hAnsi="Arial" w:eastAsia="Arial" w:cs="Arial"/>
          <w:bCs/>
          <w:color w:val="000000" w:themeColor="text1"/>
          <w:sz w:val="21"/>
          <w:szCs w:val="21"/>
          <w14:textFill>
            <w14:solidFill>
              <w14:schemeClr w14:val="tx1"/>
            </w14:solidFill>
          </w14:textFill>
        </w:rPr>
      </w:pPr>
      <w:r>
        <w:rPr>
          <w:rFonts w:ascii="Arial" w:hAnsi="Arial" w:eastAsia="Arial" w:cs="Arial"/>
          <w:b/>
          <w:color w:val="000000" w:themeColor="text1"/>
          <w:sz w:val="22"/>
          <w:szCs w:val="22"/>
          <w14:textFill>
            <w14:solidFill>
              <w14:schemeClr w14:val="tx1"/>
            </w14:solidFill>
          </w14:textFill>
        </w:rPr>
        <w:t xml:space="preserve">References </w:t>
      </w:r>
    </w:p>
    <w:p w14:paraId="2E6B5A5F">
      <w:pPr>
        <w:pStyle w:val="14"/>
        <w:spacing w:line="360" w:lineRule="auto"/>
        <w:jc w:val="both"/>
        <w:rPr>
          <w:rFonts w:ascii="Arial" w:hAnsi="Arial" w:eastAsia="Arial" w:cs="Arial"/>
          <w:bCs/>
          <w:color w:val="000000" w:themeColor="text1"/>
          <w:sz w:val="21"/>
          <w:szCs w:val="21"/>
          <w14:textFill>
            <w14:solidFill>
              <w14:schemeClr w14:val="tx1"/>
            </w14:solidFill>
          </w14:textFill>
        </w:rPr>
      </w:pPr>
      <w:r>
        <w:rPr>
          <w:rFonts w:ascii="微软雅黑" w:hAnsi="微软雅黑" w:eastAsia="微软雅黑" w:cs="微软雅黑"/>
          <w:bCs/>
          <w:color w:val="000000" w:themeColor="text1"/>
          <w:sz w:val="21"/>
          <w:szCs w:val="21"/>
          <w14:textFill>
            <w14:solidFill>
              <w14:schemeClr w14:val="tx1"/>
            </w14:solidFill>
          </w14:textFill>
        </w:rPr>
        <w:t>[20]</w:t>
      </w:r>
      <w:r>
        <w:rPr>
          <w:rFonts w:hint="eastAsia" w:ascii="微软雅黑" w:hAnsi="微软雅黑" w:eastAsia="微软雅黑" w:cs="微软雅黑"/>
          <w:bCs/>
          <w:color w:val="000000" w:themeColor="text1"/>
          <w:sz w:val="21"/>
          <w:szCs w:val="21"/>
          <w14:textFill>
            <w14:solidFill>
              <w14:schemeClr w14:val="tx1"/>
            </w14:solidFill>
          </w14:textFill>
        </w:rPr>
        <w:t xml:space="preserve"> </w:t>
      </w:r>
      <w:r>
        <w:rPr>
          <w:rFonts w:ascii="Arial" w:hAnsi="Arial" w:eastAsia="Arial" w:cs="Arial"/>
          <w:bCs/>
          <w:color w:val="000000" w:themeColor="text1"/>
          <w:sz w:val="21"/>
          <w:szCs w:val="21"/>
          <w14:textFill>
            <w14:solidFill>
              <w14:schemeClr w14:val="tx1"/>
            </w14:solidFill>
          </w14:textFill>
        </w:rPr>
        <w:t xml:space="preserve">Gribben C, Galanakis V, Calderwood A </w:t>
      </w:r>
      <w:r>
        <w:rPr>
          <w:rFonts w:ascii="Arial" w:hAnsi="Arial" w:eastAsia="Arial" w:cs="Arial"/>
          <w:bCs/>
          <w:i/>
          <w:color w:val="000000" w:themeColor="text1"/>
          <w:sz w:val="21"/>
          <w:szCs w:val="21"/>
          <w14:textFill>
            <w14:solidFill>
              <w14:schemeClr w14:val="tx1"/>
            </w14:solidFill>
          </w14:textFill>
        </w:rPr>
        <w:t>et al</w:t>
      </w:r>
      <w:r>
        <w:rPr>
          <w:rFonts w:ascii="Arial" w:hAnsi="Arial" w:eastAsia="Arial" w:cs="Arial"/>
          <w:bCs/>
          <w:color w:val="000000" w:themeColor="text1"/>
          <w:sz w:val="21"/>
          <w:szCs w:val="21"/>
          <w14:textFill>
            <w14:solidFill>
              <w14:schemeClr w14:val="tx1"/>
            </w14:solidFill>
          </w14:textFill>
        </w:rPr>
        <w:t xml:space="preserve">. Acquisition of epithelial plasticity in human chronic liver disease. </w:t>
      </w:r>
      <w:r>
        <w:rPr>
          <w:rFonts w:ascii="Arial" w:hAnsi="Arial" w:eastAsia="Arial" w:cs="Arial"/>
          <w:bCs/>
          <w:i/>
          <w:iCs/>
          <w:color w:val="000000" w:themeColor="text1"/>
          <w:sz w:val="21"/>
          <w:szCs w:val="21"/>
          <w14:textFill>
            <w14:solidFill>
              <w14:schemeClr w14:val="tx1"/>
            </w14:solidFill>
          </w14:textFill>
        </w:rPr>
        <w:t>Nature</w:t>
      </w:r>
      <w:r>
        <w:rPr>
          <w:rFonts w:ascii="Arial" w:hAnsi="Arial" w:eastAsia="Arial" w:cs="Arial"/>
          <w:bCs/>
          <w:color w:val="000000" w:themeColor="text1"/>
          <w:sz w:val="21"/>
          <w:szCs w:val="21"/>
          <w14:textFill>
            <w14:solidFill>
              <w14:schemeClr w14:val="tx1"/>
            </w14:solidFill>
          </w14:textFill>
        </w:rPr>
        <w:t xml:space="preserve"> 2024; </w:t>
      </w:r>
      <w:r>
        <w:rPr>
          <w:rFonts w:ascii="Arial" w:hAnsi="Arial" w:eastAsia="Arial" w:cs="Arial"/>
          <w:b/>
          <w:color w:val="000000" w:themeColor="text1"/>
          <w:sz w:val="21"/>
          <w:szCs w:val="21"/>
          <w14:textFill>
            <w14:solidFill>
              <w14:schemeClr w14:val="tx1"/>
            </w14:solidFill>
          </w14:textFill>
        </w:rPr>
        <w:t>630</w:t>
      </w:r>
      <w:r>
        <w:rPr>
          <w:rFonts w:ascii="Arial" w:hAnsi="Arial" w:eastAsia="Arial" w:cs="Arial"/>
          <w:bCs/>
          <w:color w:val="000000" w:themeColor="text1"/>
          <w:sz w:val="21"/>
          <w:szCs w:val="21"/>
          <w14:textFill>
            <w14:solidFill>
              <w14:schemeClr w14:val="tx1"/>
            </w14:solidFill>
          </w14:textFill>
        </w:rPr>
        <w:t>:166−73.</w:t>
      </w:r>
    </w:p>
    <w:p w14:paraId="6F1B36C7">
      <w:pPr>
        <w:pStyle w:val="14"/>
        <w:spacing w:line="360" w:lineRule="auto"/>
        <w:jc w:val="both"/>
        <w:rPr>
          <w:rFonts w:ascii="Arial" w:hAnsi="Arial" w:eastAsia="Arial" w:cs="Arial"/>
          <w:bCs/>
          <w:color w:val="000000" w:themeColor="text1"/>
          <w:sz w:val="21"/>
          <w:szCs w:val="21"/>
          <w14:textFill>
            <w14:solidFill>
              <w14:schemeClr w14:val="tx1"/>
            </w14:solidFill>
          </w14:textFill>
        </w:rPr>
      </w:pPr>
      <w:r>
        <w:rPr>
          <w:rFonts w:ascii="Arial" w:hAnsi="Arial" w:eastAsia="Arial" w:cs="Arial"/>
          <w:bCs/>
          <w:color w:val="000000" w:themeColor="text1"/>
          <w:sz w:val="21"/>
          <w:szCs w:val="21"/>
          <w14:textFill>
            <w14:solidFill>
              <w14:schemeClr w14:val="tx1"/>
            </w14:solidFill>
          </w14:textFill>
        </w:rPr>
        <w:t>[21]</w:t>
      </w:r>
      <w:r>
        <w:rPr>
          <w:rFonts w:hint="eastAsia" w:ascii="Arial" w:hAnsi="Arial" w:eastAsia="Arial" w:cs="Arial"/>
          <w:bCs/>
          <w:color w:val="000000" w:themeColor="text1"/>
          <w:sz w:val="21"/>
          <w:szCs w:val="21"/>
          <w14:textFill>
            <w14:solidFill>
              <w14:schemeClr w14:val="tx1"/>
            </w14:solidFill>
          </w14:textFill>
        </w:rPr>
        <w:t xml:space="preserve"> </w:t>
      </w:r>
      <w:r>
        <w:rPr>
          <w:rFonts w:ascii="Arial" w:hAnsi="Arial" w:eastAsia="Arial" w:cs="Arial"/>
          <w:bCs/>
          <w:color w:val="000000" w:themeColor="text1"/>
          <w:sz w:val="21"/>
          <w:szCs w:val="21"/>
          <w14:textFill>
            <w14:solidFill>
              <w14:schemeClr w14:val="tx1"/>
            </w14:solidFill>
          </w14:textFill>
        </w:rPr>
        <w:t xml:space="preserve">Germain PL, Lun A, Garcia MC </w:t>
      </w:r>
      <w:r>
        <w:rPr>
          <w:rFonts w:ascii="Arial" w:hAnsi="Arial" w:eastAsia="Arial" w:cs="Arial"/>
          <w:bCs/>
          <w:i/>
          <w:color w:val="000000" w:themeColor="text1"/>
          <w:sz w:val="21"/>
          <w:szCs w:val="21"/>
          <w14:textFill>
            <w14:solidFill>
              <w14:schemeClr w14:val="tx1"/>
            </w14:solidFill>
          </w14:textFill>
        </w:rPr>
        <w:t>et al</w:t>
      </w:r>
      <w:r>
        <w:rPr>
          <w:rFonts w:ascii="Arial" w:hAnsi="Arial" w:eastAsia="Arial" w:cs="Arial"/>
          <w:bCs/>
          <w:color w:val="000000" w:themeColor="text1"/>
          <w:sz w:val="21"/>
          <w:szCs w:val="21"/>
          <w14:textFill>
            <w14:solidFill>
              <w14:schemeClr w14:val="tx1"/>
            </w14:solidFill>
          </w14:textFill>
        </w:rPr>
        <w:t xml:space="preserve">. Doublet identification in single-cell sequencing data using </w:t>
      </w:r>
      <w:r>
        <w:rPr>
          <w:rFonts w:ascii="Arial" w:hAnsi="Arial" w:eastAsia="Arial" w:cs="Arial"/>
          <w:bCs/>
          <w:i/>
          <w:color w:val="000000" w:themeColor="text1"/>
          <w:sz w:val="21"/>
          <w:szCs w:val="21"/>
          <w14:textFill>
            <w14:solidFill>
              <w14:schemeClr w14:val="tx1"/>
            </w14:solidFill>
          </w14:textFill>
        </w:rPr>
        <w:t>scDblFinder</w:t>
      </w:r>
      <w:r>
        <w:rPr>
          <w:rFonts w:ascii="Arial" w:hAnsi="Arial" w:eastAsia="Arial" w:cs="Arial"/>
          <w:bCs/>
          <w:color w:val="000000" w:themeColor="text1"/>
          <w:sz w:val="21"/>
          <w:szCs w:val="21"/>
          <w14:textFill>
            <w14:solidFill>
              <w14:schemeClr w14:val="tx1"/>
            </w14:solidFill>
          </w14:textFill>
        </w:rPr>
        <w:t>.</w:t>
      </w:r>
      <w:r>
        <w:rPr>
          <w:rFonts w:ascii="Arial" w:hAnsi="Arial" w:eastAsia="Arial" w:cs="Arial"/>
          <w:bCs/>
          <w:i/>
          <w:iCs/>
          <w:color w:val="000000" w:themeColor="text1"/>
          <w:sz w:val="21"/>
          <w:szCs w:val="21"/>
          <w14:textFill>
            <w14:solidFill>
              <w14:schemeClr w14:val="tx1"/>
            </w14:solidFill>
          </w14:textFill>
        </w:rPr>
        <w:t xml:space="preserve"> </w:t>
      </w:r>
      <w:r>
        <w:rPr>
          <w:rFonts w:ascii="Arial" w:hAnsi="Arial" w:eastAsia="Arial" w:cs="Arial"/>
          <w:bCs/>
          <w:i/>
          <w:color w:val="000000" w:themeColor="text1"/>
          <w:sz w:val="21"/>
          <w:szCs w:val="21"/>
          <w14:textFill>
            <w14:solidFill>
              <w14:schemeClr w14:val="tx1"/>
            </w14:solidFill>
          </w14:textFill>
        </w:rPr>
        <w:t>F1000Res</w:t>
      </w:r>
      <w:r>
        <w:rPr>
          <w:rFonts w:ascii="Arial" w:hAnsi="Arial" w:eastAsia="Arial" w:cs="Arial"/>
          <w:bCs/>
          <w:color w:val="000000" w:themeColor="text1"/>
          <w:sz w:val="21"/>
          <w:szCs w:val="21"/>
          <w14:textFill>
            <w14:solidFill>
              <w14:schemeClr w14:val="tx1"/>
            </w14:solidFill>
          </w14:textFill>
        </w:rPr>
        <w:t xml:space="preserve"> 2021: </w:t>
      </w:r>
      <w:r>
        <w:rPr>
          <w:rFonts w:ascii="Arial" w:hAnsi="Arial" w:eastAsia="Arial" w:cs="Arial"/>
          <w:b/>
          <w:bCs/>
          <w:color w:val="000000" w:themeColor="text1"/>
          <w:sz w:val="21"/>
          <w:szCs w:val="21"/>
          <w14:textFill>
            <w14:solidFill>
              <w14:schemeClr w14:val="tx1"/>
            </w14:solidFill>
          </w14:textFill>
        </w:rPr>
        <w:t>10</w:t>
      </w:r>
      <w:r>
        <w:rPr>
          <w:rFonts w:ascii="Arial" w:hAnsi="Arial" w:eastAsia="Arial" w:cs="Arial"/>
          <w:bCs/>
          <w:color w:val="000000" w:themeColor="text1"/>
          <w:sz w:val="21"/>
          <w:szCs w:val="21"/>
          <w14:textFill>
            <w14:solidFill>
              <w14:schemeClr w14:val="tx1"/>
            </w14:solidFill>
          </w14:textFill>
        </w:rPr>
        <w:t>:979.</w:t>
      </w:r>
    </w:p>
    <w:p w14:paraId="16C20E62">
      <w:pPr>
        <w:pStyle w:val="14"/>
        <w:spacing w:line="360" w:lineRule="auto"/>
        <w:jc w:val="both"/>
        <w:rPr>
          <w:rFonts w:ascii="Arial" w:hAnsi="Arial" w:eastAsia="Arial" w:cs="Arial"/>
          <w:bCs/>
          <w:color w:val="000000" w:themeColor="text1"/>
          <w:sz w:val="21"/>
          <w:szCs w:val="21"/>
          <w14:textFill>
            <w14:solidFill>
              <w14:schemeClr w14:val="tx1"/>
            </w14:solidFill>
          </w14:textFill>
        </w:rPr>
      </w:pPr>
      <w:r>
        <w:rPr>
          <w:rFonts w:ascii="Arial" w:hAnsi="Arial" w:eastAsia="Arial" w:cs="Arial"/>
          <w:bCs/>
          <w:color w:val="000000" w:themeColor="text1"/>
          <w:sz w:val="21"/>
          <w:szCs w:val="21"/>
          <w14:textFill>
            <w14:solidFill>
              <w14:schemeClr w14:val="tx1"/>
            </w14:solidFill>
          </w14:textFill>
        </w:rPr>
        <w:t xml:space="preserve">[22] Wu Y, Yang S, Ma J </w:t>
      </w:r>
      <w:r>
        <w:rPr>
          <w:rFonts w:ascii="Arial" w:hAnsi="Arial" w:eastAsia="Arial" w:cs="Arial"/>
          <w:bCs/>
          <w:i/>
          <w:color w:val="000000" w:themeColor="text1"/>
          <w:sz w:val="21"/>
          <w:szCs w:val="21"/>
          <w14:textFill>
            <w14:solidFill>
              <w14:schemeClr w14:val="tx1"/>
            </w14:solidFill>
          </w14:textFill>
        </w:rPr>
        <w:t>et al</w:t>
      </w:r>
      <w:r>
        <w:rPr>
          <w:rFonts w:ascii="Arial" w:hAnsi="Arial" w:eastAsia="Arial" w:cs="Arial"/>
          <w:bCs/>
          <w:color w:val="000000" w:themeColor="text1"/>
          <w:sz w:val="21"/>
          <w:szCs w:val="21"/>
          <w14:textFill>
            <w14:solidFill>
              <w14:schemeClr w14:val="tx1"/>
            </w14:solidFill>
          </w14:textFill>
        </w:rPr>
        <w:t xml:space="preserve">. Spatiotemporal immune landscape of colorectal cancer liver metastasis at single-cell level. </w:t>
      </w:r>
      <w:r>
        <w:rPr>
          <w:rFonts w:ascii="Arial" w:hAnsi="Arial" w:eastAsia="Arial" w:cs="Arial"/>
          <w:bCs/>
          <w:i/>
          <w:iCs/>
          <w:color w:val="000000" w:themeColor="text1"/>
          <w:sz w:val="21"/>
          <w:szCs w:val="21"/>
          <w14:textFill>
            <w14:solidFill>
              <w14:schemeClr w14:val="tx1"/>
            </w14:solidFill>
          </w14:textFill>
        </w:rPr>
        <w:t>Cancer discovery</w:t>
      </w:r>
      <w:r>
        <w:rPr>
          <w:rFonts w:ascii="Arial" w:hAnsi="Arial" w:eastAsia="Arial" w:cs="Arial"/>
          <w:bCs/>
          <w:color w:val="000000" w:themeColor="text1"/>
          <w:sz w:val="21"/>
          <w:szCs w:val="21"/>
          <w14:textFill>
            <w14:solidFill>
              <w14:schemeClr w14:val="tx1"/>
            </w14:solidFill>
          </w14:textFill>
        </w:rPr>
        <w:t xml:space="preserve"> 2022; </w:t>
      </w:r>
      <w:r>
        <w:rPr>
          <w:rFonts w:ascii="Arial" w:hAnsi="Arial" w:eastAsia="Arial" w:cs="Arial"/>
          <w:b/>
          <w:color w:val="000000" w:themeColor="text1"/>
          <w:sz w:val="21"/>
          <w:szCs w:val="21"/>
          <w14:textFill>
            <w14:solidFill>
              <w14:schemeClr w14:val="tx1"/>
            </w14:solidFill>
          </w14:textFill>
        </w:rPr>
        <w:t>12</w:t>
      </w:r>
      <w:r>
        <w:rPr>
          <w:rFonts w:ascii="Arial" w:hAnsi="Arial" w:eastAsia="Arial" w:cs="Arial"/>
          <w:bCs/>
          <w:color w:val="000000" w:themeColor="text1"/>
          <w:sz w:val="21"/>
          <w:szCs w:val="21"/>
          <w14:textFill>
            <w14:solidFill>
              <w14:schemeClr w14:val="tx1"/>
            </w14:solidFill>
          </w14:textFill>
        </w:rPr>
        <w:t>:134−53.</w:t>
      </w:r>
    </w:p>
    <w:p w14:paraId="7101B21B">
      <w:pPr>
        <w:pStyle w:val="14"/>
        <w:spacing w:line="360" w:lineRule="auto"/>
        <w:jc w:val="both"/>
        <w:rPr>
          <w:rFonts w:ascii="Arial" w:hAnsi="Arial" w:eastAsia="Arial" w:cs="Arial"/>
          <w:bCs/>
          <w:color w:val="000000" w:themeColor="text1"/>
          <w:sz w:val="21"/>
          <w:szCs w:val="21"/>
          <w14:textFill>
            <w14:solidFill>
              <w14:schemeClr w14:val="tx1"/>
            </w14:solidFill>
          </w14:textFill>
        </w:rPr>
      </w:pPr>
      <w:r>
        <w:rPr>
          <w:rFonts w:ascii="Arial" w:hAnsi="Arial" w:eastAsia="Arial" w:cs="Arial"/>
          <w:bCs/>
          <w:color w:val="000000" w:themeColor="text1"/>
          <w:sz w:val="21"/>
          <w:szCs w:val="21"/>
          <w14:textFill>
            <w14:solidFill>
              <w14:schemeClr w14:val="tx1"/>
            </w14:solidFill>
          </w14:textFill>
        </w:rPr>
        <w:t xml:space="preserve">[23] Korsunsky I, Millard N, Fan J </w:t>
      </w:r>
      <w:r>
        <w:rPr>
          <w:rFonts w:ascii="Arial" w:hAnsi="Arial" w:eastAsia="Arial" w:cs="Arial"/>
          <w:bCs/>
          <w:i/>
          <w:color w:val="000000" w:themeColor="text1"/>
          <w:sz w:val="21"/>
          <w:szCs w:val="21"/>
          <w14:textFill>
            <w14:solidFill>
              <w14:schemeClr w14:val="tx1"/>
            </w14:solidFill>
          </w14:textFill>
        </w:rPr>
        <w:t>et al</w:t>
      </w:r>
      <w:r>
        <w:rPr>
          <w:rFonts w:ascii="Arial" w:hAnsi="Arial" w:eastAsia="Arial" w:cs="Arial"/>
          <w:bCs/>
          <w:color w:val="000000" w:themeColor="text1"/>
          <w:sz w:val="21"/>
          <w:szCs w:val="21"/>
          <w14:textFill>
            <w14:solidFill>
              <w14:schemeClr w14:val="tx1"/>
            </w14:solidFill>
          </w14:textFill>
        </w:rPr>
        <w:t xml:space="preserve">. Fast, sensitive and accurate integration of single-cell data with Harmony. </w:t>
      </w:r>
      <w:r>
        <w:rPr>
          <w:rFonts w:ascii="Arial" w:hAnsi="Arial" w:eastAsia="Arial" w:cs="Arial"/>
          <w:bCs/>
          <w:i/>
          <w:iCs/>
          <w:color w:val="000000" w:themeColor="text1"/>
          <w:sz w:val="21"/>
          <w:szCs w:val="21"/>
          <w14:textFill>
            <w14:solidFill>
              <w14:schemeClr w14:val="tx1"/>
            </w14:solidFill>
          </w14:textFill>
        </w:rPr>
        <w:t>Nat Methods</w:t>
      </w:r>
      <w:r>
        <w:rPr>
          <w:rFonts w:ascii="Arial" w:hAnsi="Arial" w:eastAsia="Arial" w:cs="Arial"/>
          <w:bCs/>
          <w:color w:val="000000" w:themeColor="text1"/>
          <w:sz w:val="21"/>
          <w:szCs w:val="21"/>
          <w14:textFill>
            <w14:solidFill>
              <w14:schemeClr w14:val="tx1"/>
            </w14:solidFill>
          </w14:textFill>
        </w:rPr>
        <w:t xml:space="preserve"> 2019; </w:t>
      </w:r>
      <w:r>
        <w:rPr>
          <w:rFonts w:ascii="Arial" w:hAnsi="Arial" w:eastAsia="Arial" w:cs="Arial"/>
          <w:b/>
          <w:color w:val="000000" w:themeColor="text1"/>
          <w:sz w:val="21"/>
          <w:szCs w:val="21"/>
          <w14:textFill>
            <w14:solidFill>
              <w14:schemeClr w14:val="tx1"/>
            </w14:solidFill>
          </w14:textFill>
        </w:rPr>
        <w:t>16</w:t>
      </w:r>
      <w:r>
        <w:rPr>
          <w:rFonts w:ascii="Arial" w:hAnsi="Arial" w:eastAsia="Arial" w:cs="Arial"/>
          <w:bCs/>
          <w:color w:val="000000" w:themeColor="text1"/>
          <w:sz w:val="21"/>
          <w:szCs w:val="21"/>
          <w14:textFill>
            <w14:solidFill>
              <w14:schemeClr w14:val="tx1"/>
            </w14:solidFill>
          </w14:textFill>
        </w:rPr>
        <w:t>:1289−96.</w:t>
      </w:r>
    </w:p>
    <w:p w14:paraId="29237D9B">
      <w:pPr>
        <w:pStyle w:val="14"/>
        <w:spacing w:line="360" w:lineRule="auto"/>
        <w:jc w:val="both"/>
        <w:rPr>
          <w:rFonts w:ascii="Arial" w:hAnsi="Arial" w:eastAsia="Arial" w:cs="Arial"/>
          <w:bCs/>
          <w:color w:val="000000" w:themeColor="text1"/>
          <w:sz w:val="21"/>
          <w:szCs w:val="21"/>
          <w14:textFill>
            <w14:solidFill>
              <w14:schemeClr w14:val="tx1"/>
            </w14:solidFill>
          </w14:textFill>
        </w:rPr>
      </w:pPr>
      <w:r>
        <w:rPr>
          <w:rFonts w:ascii="Arial" w:hAnsi="Arial" w:eastAsia="Arial" w:cs="Arial"/>
          <w:bCs/>
          <w:color w:val="000000" w:themeColor="text1"/>
          <w:sz w:val="21"/>
          <w:szCs w:val="21"/>
          <w14:textFill>
            <w14:solidFill>
              <w14:schemeClr w14:val="tx1"/>
            </w14:solidFill>
          </w14:textFill>
        </w:rPr>
        <w:t xml:space="preserve">[24] Luecken MD, Büttner M, Chaichoompu K </w:t>
      </w:r>
      <w:r>
        <w:rPr>
          <w:rFonts w:ascii="Arial" w:hAnsi="Arial" w:eastAsia="Arial" w:cs="Arial"/>
          <w:bCs/>
          <w:i/>
          <w:color w:val="000000" w:themeColor="text1"/>
          <w:sz w:val="21"/>
          <w:szCs w:val="21"/>
          <w14:textFill>
            <w14:solidFill>
              <w14:schemeClr w14:val="tx1"/>
            </w14:solidFill>
          </w14:textFill>
        </w:rPr>
        <w:t>et al</w:t>
      </w:r>
      <w:r>
        <w:rPr>
          <w:rFonts w:ascii="Arial" w:hAnsi="Arial" w:eastAsia="Arial" w:cs="Arial"/>
          <w:bCs/>
          <w:color w:val="000000" w:themeColor="text1"/>
          <w:sz w:val="21"/>
          <w:szCs w:val="21"/>
          <w14:textFill>
            <w14:solidFill>
              <w14:schemeClr w14:val="tx1"/>
            </w14:solidFill>
          </w14:textFill>
        </w:rPr>
        <w:t xml:space="preserve">. Benchmarking atlas-level data integration in single-cell genomics. </w:t>
      </w:r>
      <w:r>
        <w:rPr>
          <w:rFonts w:ascii="Arial" w:hAnsi="Arial" w:eastAsia="Arial" w:cs="Arial"/>
          <w:bCs/>
          <w:i/>
          <w:iCs/>
          <w:color w:val="000000" w:themeColor="text1"/>
          <w:sz w:val="21"/>
          <w:szCs w:val="21"/>
          <w14:textFill>
            <w14:solidFill>
              <w14:schemeClr w14:val="tx1"/>
            </w14:solidFill>
          </w14:textFill>
        </w:rPr>
        <w:t>Nat Methods</w:t>
      </w:r>
      <w:r>
        <w:rPr>
          <w:rFonts w:ascii="Arial" w:hAnsi="Arial" w:eastAsia="Arial" w:cs="Arial"/>
          <w:bCs/>
          <w:color w:val="000000" w:themeColor="text1"/>
          <w:sz w:val="21"/>
          <w:szCs w:val="21"/>
          <w14:textFill>
            <w14:solidFill>
              <w14:schemeClr w14:val="tx1"/>
            </w14:solidFill>
          </w14:textFill>
        </w:rPr>
        <w:t xml:space="preserve"> 2022; </w:t>
      </w:r>
      <w:r>
        <w:rPr>
          <w:rFonts w:ascii="Arial" w:hAnsi="Arial" w:eastAsia="Arial" w:cs="Arial"/>
          <w:b/>
          <w:color w:val="000000" w:themeColor="text1"/>
          <w:sz w:val="21"/>
          <w:szCs w:val="21"/>
          <w14:textFill>
            <w14:solidFill>
              <w14:schemeClr w14:val="tx1"/>
            </w14:solidFill>
          </w14:textFill>
        </w:rPr>
        <w:t>19</w:t>
      </w:r>
      <w:r>
        <w:rPr>
          <w:rFonts w:ascii="Arial" w:hAnsi="Arial" w:eastAsia="Arial" w:cs="Arial"/>
          <w:bCs/>
          <w:color w:val="000000" w:themeColor="text1"/>
          <w:sz w:val="21"/>
          <w:szCs w:val="21"/>
          <w14:textFill>
            <w14:solidFill>
              <w14:schemeClr w14:val="tx1"/>
            </w14:solidFill>
          </w14:textFill>
        </w:rPr>
        <w:t>:41−50.</w:t>
      </w:r>
    </w:p>
    <w:p w14:paraId="1CCAC1E9">
      <w:pPr>
        <w:pStyle w:val="14"/>
        <w:spacing w:line="360" w:lineRule="auto"/>
        <w:jc w:val="both"/>
        <w:rPr>
          <w:rFonts w:ascii="Arial" w:hAnsi="Arial" w:eastAsia="Arial" w:cs="Arial"/>
          <w:bCs/>
          <w:color w:val="000000" w:themeColor="text1"/>
          <w:sz w:val="21"/>
          <w:szCs w:val="21"/>
          <w14:textFill>
            <w14:solidFill>
              <w14:schemeClr w14:val="tx1"/>
            </w14:solidFill>
          </w14:textFill>
        </w:rPr>
      </w:pPr>
      <w:r>
        <w:rPr>
          <w:rFonts w:ascii="Arial" w:hAnsi="Arial" w:eastAsia="Arial" w:cs="Arial"/>
          <w:bCs/>
          <w:color w:val="000000" w:themeColor="text1"/>
          <w:sz w:val="21"/>
          <w:szCs w:val="21"/>
          <w14:textFill>
            <w14:solidFill>
              <w14:schemeClr w14:val="tx1"/>
            </w14:solidFill>
          </w14:textFill>
        </w:rPr>
        <w:t xml:space="preserve">[25] Song Y, Gao J, Wang J. </w:t>
      </w:r>
      <w:r>
        <w:rPr>
          <w:rFonts w:ascii="Arial" w:hAnsi="Arial" w:eastAsia="Arial" w:cs="Arial"/>
          <w:bCs/>
          <w:i/>
          <w:color w:val="000000" w:themeColor="text1"/>
          <w:sz w:val="21"/>
          <w:szCs w:val="21"/>
          <w14:textFill>
            <w14:solidFill>
              <w14:schemeClr w14:val="tx1"/>
            </w14:solidFill>
          </w14:textFill>
        </w:rPr>
        <w:t>scfetch</w:t>
      </w:r>
      <w:r>
        <w:rPr>
          <w:rFonts w:ascii="Arial" w:hAnsi="Arial" w:eastAsia="Arial" w:cs="Arial"/>
          <w:bCs/>
          <w:color w:val="000000" w:themeColor="text1"/>
          <w:sz w:val="21"/>
          <w:szCs w:val="21"/>
          <w14:textFill>
            <w14:solidFill>
              <w14:schemeClr w14:val="tx1"/>
            </w14:solidFill>
          </w14:textFill>
        </w:rPr>
        <w:t xml:space="preserve">: an R package to access and format single-cell RNA sequencing datasets from public repositories. </w:t>
      </w:r>
      <w:r>
        <w:rPr>
          <w:rFonts w:ascii="Arial" w:hAnsi="Arial" w:eastAsia="Arial" w:cs="Arial"/>
          <w:bCs/>
          <w:i/>
          <w:iCs/>
          <w:color w:val="000000" w:themeColor="text1"/>
          <w:sz w:val="21"/>
          <w:szCs w:val="21"/>
          <w14:textFill>
            <w14:solidFill>
              <w14:schemeClr w14:val="tx1"/>
            </w14:solidFill>
          </w14:textFill>
        </w:rPr>
        <w:t>bioRxiv</w:t>
      </w:r>
      <w:r>
        <w:rPr>
          <w:rFonts w:ascii="Arial" w:hAnsi="Arial" w:eastAsia="Arial" w:cs="Arial"/>
          <w:bCs/>
          <w:color w:val="000000" w:themeColor="text1"/>
          <w:sz w:val="21"/>
          <w:szCs w:val="21"/>
          <w14:textFill>
            <w14:solidFill>
              <w14:schemeClr w14:val="tx1"/>
            </w14:solidFill>
          </w14:textFill>
        </w:rPr>
        <w:t xml:space="preserve"> 2023. doi: 10.1101/2023.11.18.567507.</w:t>
      </w:r>
    </w:p>
    <w:p w14:paraId="0BF82B5F">
      <w:pPr>
        <w:pStyle w:val="14"/>
        <w:rPr>
          <w:rFonts w:ascii="Arial" w:hAnsi="Arial" w:eastAsia="Arial" w:cs="Arial"/>
          <w:bCs/>
          <w:color w:val="000000" w:themeColor="text1"/>
          <w:sz w:val="21"/>
          <w:szCs w:val="21"/>
          <w14:textFill>
            <w14:solidFill>
              <w14:schemeClr w14:val="tx1"/>
            </w14:solidFill>
          </w14:textFill>
        </w:rPr>
      </w:pPr>
    </w:p>
    <w:sectPr>
      <w:footerReference r:id="rId3" w:type="default"/>
      <w:footerReference r:id="rId4" w:type="even"/>
      <w:pgSz w:w="11906" w:h="16838"/>
      <w:pgMar w:top="1440" w:right="1440" w:bottom="1440" w:left="1440" w:header="708" w:footer="708" w:gutter="0"/>
      <w:cols w:space="708" w:num="1"/>
      <w:docGrid w:linePitch="360"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汉仪书宋二KW"/>
    <w:panose1 w:val="02010600030101010101"/>
    <w:charset w:val="86"/>
    <w:family w:val="auto"/>
    <w:pitch w:val="default"/>
    <w:sig w:usb0="00000000" w:usb1="00000000" w:usb2="0000001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90204"/>
    <w:charset w:val="01"/>
    <w:family w:val="swiss"/>
    <w:pitch w:val="default"/>
    <w:sig w:usb0="E0000AFF" w:usb1="00007843" w:usb2="00000001" w:usb3="00000000" w:csb0="400001BF" w:csb1="DFF70000"/>
  </w:font>
  <w:font w:name="黑体">
    <w:altName w:val="汉仪中黑KW"/>
    <w:panose1 w:val="02010609060101010101"/>
    <w:charset w:val="86"/>
    <w:family w:val="auto"/>
    <w:pitch w:val="default"/>
    <w:sig w:usb0="800002BF" w:usb1="38CF7CFA" w:usb2="00000016" w:usb3="00000000" w:csb0="00040001" w:csb1="00000000"/>
  </w:font>
  <w:font w:name="Courier New">
    <w:panose1 w:val="02070409020205090404"/>
    <w:charset w:val="01"/>
    <w:family w:val="modern"/>
    <w:pitch w:val="default"/>
    <w:sig w:usb0="E0000AFF" w:usb1="40007843" w:usb2="00000001" w:usb3="00000000" w:csb0="400001BF" w:csb1="DFF70000"/>
  </w:font>
  <w:font w:name="Symbol">
    <w:altName w:val="Kingsoft Sign"/>
    <w:panose1 w:val="05050102010706020507"/>
    <w:charset w:val="02"/>
    <w:family w:val="roman"/>
    <w:pitch w:val="default"/>
    <w:sig w:usb0="00000000" w:usb1="00000000" w:usb2="00000000" w:usb3="00000000" w:csb0="80000000" w:csb1="00000000"/>
  </w:font>
  <w:font w:name="Calibri">
    <w:altName w:val="Helvetica Neue"/>
    <w:panose1 w:val="020F0502020204030204"/>
    <w:charset w:val="00"/>
    <w:family w:val="swiss"/>
    <w:pitch w:val="default"/>
    <w:sig w:usb0="00000000" w:usb1="00000000" w:usb2="00000001" w:usb3="00000000" w:csb0="0000019F" w:csb1="00000000"/>
  </w:font>
  <w:font w:name="等线">
    <w:altName w:val="汉仪中等线KW"/>
    <w:panose1 w:val="00000000000000000000"/>
    <w:charset w:val="86"/>
    <w:family w:val="auto"/>
    <w:pitch w:val="default"/>
    <w:sig w:usb0="00000000" w:usb1="00000000" w:usb2="00000000" w:usb3="00000000" w:csb0="00000000" w:csb1="00000000"/>
  </w:font>
  <w:font w:name="DengXian">
    <w:altName w:val="汉仪中等线KW"/>
    <w:panose1 w:val="02010600030101010101"/>
    <w:charset w:val="86"/>
    <w:family w:val="auto"/>
    <w:pitch w:val="default"/>
    <w:sig w:usb0="00000000" w:usb1="00000000" w:usb2="00000016" w:usb3="00000000" w:csb0="0004000F" w:csb1="00000000"/>
  </w:font>
  <w:font w:name="Arial">
    <w:panose1 w:val="020B0604020202090204"/>
    <w:charset w:val="00"/>
    <w:family w:val="swiss"/>
    <w:pitch w:val="default"/>
    <w:sig w:usb0="E0000AFF" w:usb1="00007843" w:usb2="00000001" w:usb3="00000000" w:csb0="400001BF" w:csb1="DFF70000"/>
  </w:font>
  <w:font w:name="微软雅黑">
    <w:altName w:val="汉仪旗黑"/>
    <w:panose1 w:val="020B0503020204020204"/>
    <w:charset w:val="86"/>
    <w:family w:val="swiss"/>
    <w:pitch w:val="default"/>
    <w:sig w:usb0="00000000" w:usb1="00000000" w:usb2="00000016" w:usb3="00000000" w:csb0="0004001F" w:csb1="00000000"/>
  </w:font>
  <w:font w:name="等线">
    <w:altName w:val="汉仪中等线KW"/>
    <w:panose1 w:val="00000000000000000000"/>
    <w:charset w:val="00"/>
    <w:family w:val="auto"/>
    <w:pitch w:val="default"/>
    <w:sig w:usb0="00000000" w:usb1="00000000" w:usb2="00000000" w:usb3="00000000" w:csb0="00000000" w:csb1="00000000"/>
  </w:font>
  <w:font w:name="汉仪中等线KW">
    <w:panose1 w:val="01010104010101010101"/>
    <w:charset w:val="86"/>
    <w:family w:val="auto"/>
    <w:pitch w:val="default"/>
    <w:sig w:usb0="800002BF" w:usb1="004F7CFA" w:usb2="00000000" w:usb3="00000000" w:csb0="00040001" w:csb1="00000000"/>
  </w:font>
  <w:font w:name="Helvetica Neue">
    <w:panose1 w:val="02000503000000020004"/>
    <w:charset w:val="00"/>
    <w:family w:val="auto"/>
    <w:pitch w:val="default"/>
    <w:sig w:usb0="E50002FF" w:usb1="500079DB" w:usb2="00000010" w:usb3="00000000" w:csb0="00000000" w:csb1="00000000"/>
  </w:font>
  <w:font w:name="冬青黑体简体中文">
    <w:panose1 w:val="020B0300000000000000"/>
    <w:charset w:val="86"/>
    <w:family w:val="auto"/>
    <w:pitch w:val="default"/>
    <w:sig w:usb0="A00002BF" w:usb1="1ACF7CFA" w:usb2="00000016" w:usb3="00000000" w:csb0="00060007" w:csb1="00000000"/>
  </w:font>
  <w:font w:name="宋体-简">
    <w:panose1 w:val="02010800040101010101"/>
    <w:charset w:val="86"/>
    <w:family w:val="auto"/>
    <w:pitch w:val="default"/>
    <w:sig w:usb0="00000001" w:usb1="080F0000" w:usb2="00000000" w:usb3="00000000" w:csb0="00040000" w:csb1="00000000"/>
  </w:font>
  <w:font w:name="汉仪旗黑">
    <w:panose1 w:val="00020600040101010101"/>
    <w:charset w:val="86"/>
    <w:family w:val="auto"/>
    <w:pitch w:val="default"/>
    <w:sig w:usb0="A00002BF" w:usb1="1ACF7CFA" w:usb2="00000016" w:usb3="00000000" w:csb0="0004009F" w:csb1="DFD7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9"/>
      </w:rPr>
      <w:id w:val="-1"/>
      <w:docPartObj>
        <w:docPartGallery w:val="autotext"/>
      </w:docPartObj>
    </w:sdtPr>
    <w:sdtEndPr>
      <w:rPr>
        <w:rStyle w:val="9"/>
      </w:rPr>
    </w:sdtEndPr>
    <w:sdtContent>
      <w:p w14:paraId="4E0A2B74">
        <w:pPr>
          <w:pStyle w:val="4"/>
          <w:framePr w:wrap="auto" w:vAnchor="text" w:hAnchor="margin" w:xAlign="right" w:y="1"/>
          <w:rPr>
            <w:rStyle w:val="9"/>
          </w:rPr>
        </w:pPr>
        <w:r>
          <w:rPr>
            <w:rStyle w:val="9"/>
          </w:rPr>
          <w:fldChar w:fldCharType="begin"/>
        </w:r>
        <w:r>
          <w:rPr>
            <w:rStyle w:val="9"/>
          </w:rPr>
          <w:instrText xml:space="preserve"> PAGE </w:instrText>
        </w:r>
        <w:r>
          <w:rPr>
            <w:rStyle w:val="9"/>
          </w:rPr>
          <w:fldChar w:fldCharType="separate"/>
        </w:r>
        <w:r>
          <w:rPr>
            <w:rStyle w:val="9"/>
          </w:rPr>
          <w:t>20</w:t>
        </w:r>
        <w:r>
          <w:rPr>
            <w:rStyle w:val="9"/>
          </w:rPr>
          <w:fldChar w:fldCharType="end"/>
        </w:r>
      </w:p>
    </w:sdtContent>
  </w:sdt>
  <w:p w14:paraId="7731E205">
    <w:pPr>
      <w:pStyle w:val="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rPr>
        <w:rStyle w:val="9"/>
      </w:rPr>
      <w:id w:val="21822384"/>
      <w:docPartObj>
        <w:docPartGallery w:val="autotext"/>
      </w:docPartObj>
    </w:sdtPr>
    <w:sdtEndPr>
      <w:rPr>
        <w:rStyle w:val="9"/>
      </w:rPr>
    </w:sdtEndPr>
    <w:sdtContent>
      <w:p w14:paraId="770F4207">
        <w:pPr>
          <w:pStyle w:val="4"/>
          <w:framePr w:wrap="auto" w:vAnchor="text" w:hAnchor="margin" w:xAlign="right" w:y="1"/>
          <w:rPr>
            <w:rStyle w:val="9"/>
          </w:rPr>
        </w:pPr>
        <w:r>
          <w:rPr>
            <w:rStyle w:val="9"/>
          </w:rPr>
          <w:fldChar w:fldCharType="begin"/>
        </w:r>
        <w:r>
          <w:rPr>
            <w:rStyle w:val="9"/>
          </w:rPr>
          <w:instrText xml:space="preserve"> PAGE </w:instrText>
        </w:r>
        <w:r>
          <w:rPr>
            <w:rStyle w:val="9"/>
          </w:rPr>
          <w:fldChar w:fldCharType="end"/>
        </w:r>
      </w:p>
    </w:sdtContent>
  </w:sdt>
  <w:p w14:paraId="1F64FBF5">
    <w:pPr>
      <w:pStyle w:val="4"/>
      <w:ind w:right="360"/>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7"/>
  <w:bordersDoNotSurroundHeader w:val="1"/>
  <w:bordersDoNotSurroundFooter w:val="1"/>
  <w:trackRevisions w:val="1"/>
  <w:documentProtection w:enforcement="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Numbered&lt;/Style&gt;&lt;LeftDelim&gt;{&lt;/LeftDelim&gt;&lt;RightDelim&gt;}&lt;/RightDelim&gt;&lt;FontName&gt;DengXian&lt;/FontName&gt;&lt;FontSize&gt;10&lt;/FontSize&gt;&lt;ReflistTitle&gt;&lt;/ReflistTitle&gt;&lt;StartingRefnum&gt;1&lt;/StartingRefnum&gt;&lt;FirstLineIndent&gt;0&lt;/FirstLineIndent&gt;&lt;HangingIndent&gt;720&lt;/HangingIndent&gt;&lt;LineSpacing&gt;0&lt;/LineSpacing&gt;&lt;SpaceAfter&gt;0&lt;/SpaceAfter&gt;&lt;HyperlinksEnabled&gt;0&lt;/HyperlinksEnabled&gt;&lt;HyperlinksVisible&gt;0&lt;/HyperlinksVisible&gt;&lt;EnableBibliographyCategories&gt;0&lt;/EnableBibliographyCategories&gt;&lt;/ENLayout&gt;"/>
    <w:docVar w:name="EN.Libraries" w:val="&lt;Libraries&gt;&lt;item db-id=&quot;r5d2fzwt22a009ez0dnpetwu9wrvw5zxapfp&quot;&gt;AdipoATLAS-Saved&lt;record-ids&gt;&lt;item&gt;104&lt;/item&gt;&lt;/record-ids&gt;&lt;/item&gt;&lt;/Libraries&gt;"/>
  </w:docVars>
  <w:rsids>
    <w:rsidRoot w:val="00B76225"/>
    <w:rsid w:val="00017CCD"/>
    <w:rsid w:val="00057133"/>
    <w:rsid w:val="00064515"/>
    <w:rsid w:val="00065456"/>
    <w:rsid w:val="0009125A"/>
    <w:rsid w:val="00091585"/>
    <w:rsid w:val="000A4088"/>
    <w:rsid w:val="00133D91"/>
    <w:rsid w:val="00157EE9"/>
    <w:rsid w:val="00171300"/>
    <w:rsid w:val="001719B9"/>
    <w:rsid w:val="00187A2A"/>
    <w:rsid w:val="001C2B7F"/>
    <w:rsid w:val="001D718A"/>
    <w:rsid w:val="001E1521"/>
    <w:rsid w:val="001E456C"/>
    <w:rsid w:val="001F524F"/>
    <w:rsid w:val="002365A4"/>
    <w:rsid w:val="00236C21"/>
    <w:rsid w:val="0025208B"/>
    <w:rsid w:val="00294011"/>
    <w:rsid w:val="002A1D1C"/>
    <w:rsid w:val="002B11C6"/>
    <w:rsid w:val="002E3064"/>
    <w:rsid w:val="00316EFC"/>
    <w:rsid w:val="003271C7"/>
    <w:rsid w:val="00345B45"/>
    <w:rsid w:val="00353CF4"/>
    <w:rsid w:val="003559AA"/>
    <w:rsid w:val="0037285D"/>
    <w:rsid w:val="00397091"/>
    <w:rsid w:val="003B079F"/>
    <w:rsid w:val="003C4F6C"/>
    <w:rsid w:val="003C6A64"/>
    <w:rsid w:val="003E193E"/>
    <w:rsid w:val="00414293"/>
    <w:rsid w:val="00451FED"/>
    <w:rsid w:val="00467A59"/>
    <w:rsid w:val="004F33B7"/>
    <w:rsid w:val="004F5E1C"/>
    <w:rsid w:val="00521971"/>
    <w:rsid w:val="0052602D"/>
    <w:rsid w:val="005477B3"/>
    <w:rsid w:val="00557E02"/>
    <w:rsid w:val="00586AF5"/>
    <w:rsid w:val="005A1F36"/>
    <w:rsid w:val="005E6B58"/>
    <w:rsid w:val="00614DEA"/>
    <w:rsid w:val="006175A8"/>
    <w:rsid w:val="00624B49"/>
    <w:rsid w:val="00633F75"/>
    <w:rsid w:val="00637FD0"/>
    <w:rsid w:val="006A23F3"/>
    <w:rsid w:val="006E135D"/>
    <w:rsid w:val="006F1D27"/>
    <w:rsid w:val="006F30D1"/>
    <w:rsid w:val="006F5807"/>
    <w:rsid w:val="006F6A10"/>
    <w:rsid w:val="0072674D"/>
    <w:rsid w:val="00730654"/>
    <w:rsid w:val="00744205"/>
    <w:rsid w:val="007508F5"/>
    <w:rsid w:val="007A5183"/>
    <w:rsid w:val="007B0C4A"/>
    <w:rsid w:val="007B0FD5"/>
    <w:rsid w:val="007C3C1F"/>
    <w:rsid w:val="007D1CF3"/>
    <w:rsid w:val="007E75A3"/>
    <w:rsid w:val="007F2DEF"/>
    <w:rsid w:val="00801C12"/>
    <w:rsid w:val="008025E4"/>
    <w:rsid w:val="008079B3"/>
    <w:rsid w:val="00813359"/>
    <w:rsid w:val="00824D77"/>
    <w:rsid w:val="00832DF6"/>
    <w:rsid w:val="00841FF1"/>
    <w:rsid w:val="00851430"/>
    <w:rsid w:val="0088757F"/>
    <w:rsid w:val="00893B73"/>
    <w:rsid w:val="008B203D"/>
    <w:rsid w:val="008E092E"/>
    <w:rsid w:val="00951FF1"/>
    <w:rsid w:val="009565BD"/>
    <w:rsid w:val="009915E8"/>
    <w:rsid w:val="0099379D"/>
    <w:rsid w:val="009B16A4"/>
    <w:rsid w:val="009E3B9A"/>
    <w:rsid w:val="00A33C62"/>
    <w:rsid w:val="00A6409F"/>
    <w:rsid w:val="00A64859"/>
    <w:rsid w:val="00A6768F"/>
    <w:rsid w:val="00A72E4D"/>
    <w:rsid w:val="00A90E56"/>
    <w:rsid w:val="00AA23B9"/>
    <w:rsid w:val="00AD4009"/>
    <w:rsid w:val="00B111BA"/>
    <w:rsid w:val="00B175F2"/>
    <w:rsid w:val="00B3695E"/>
    <w:rsid w:val="00B76225"/>
    <w:rsid w:val="00BA273D"/>
    <w:rsid w:val="00BB145B"/>
    <w:rsid w:val="00BB42C3"/>
    <w:rsid w:val="00BB6599"/>
    <w:rsid w:val="00BC7B06"/>
    <w:rsid w:val="00C168F7"/>
    <w:rsid w:val="00C31A67"/>
    <w:rsid w:val="00C41D62"/>
    <w:rsid w:val="00C80DB8"/>
    <w:rsid w:val="00C9743E"/>
    <w:rsid w:val="00CA44BF"/>
    <w:rsid w:val="00CB700D"/>
    <w:rsid w:val="00CE06F5"/>
    <w:rsid w:val="00D26D0F"/>
    <w:rsid w:val="00D37AC6"/>
    <w:rsid w:val="00D84815"/>
    <w:rsid w:val="00D92B7C"/>
    <w:rsid w:val="00DB517F"/>
    <w:rsid w:val="00DD5B50"/>
    <w:rsid w:val="00DF149C"/>
    <w:rsid w:val="00DF2B51"/>
    <w:rsid w:val="00DF5E92"/>
    <w:rsid w:val="00DF7D79"/>
    <w:rsid w:val="00E01B9D"/>
    <w:rsid w:val="00E45D77"/>
    <w:rsid w:val="00E83B5B"/>
    <w:rsid w:val="00E90F03"/>
    <w:rsid w:val="00E95F32"/>
    <w:rsid w:val="00EC4A60"/>
    <w:rsid w:val="00F04186"/>
    <w:rsid w:val="00F10904"/>
    <w:rsid w:val="00F17A8D"/>
    <w:rsid w:val="00F33BC2"/>
    <w:rsid w:val="00F816CF"/>
    <w:rsid w:val="00FA0BCE"/>
    <w:rsid w:val="00FA53A2"/>
    <w:rsid w:val="00FA7A86"/>
    <w:rsid w:val="22E22D4A"/>
    <w:rsid w:val="2E974313"/>
    <w:rsid w:val="5D3F15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semiHidden="0" w:name="annotation text"/>
    <w:lsdException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qFormat="1"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rPr>
      <w:rFonts w:asciiTheme="minorHAnsi" w:hAnsiTheme="minorHAnsi" w:eastAsiaTheme="minorEastAsia" w:cstheme="minorBidi"/>
      <w:sz w:val="24"/>
      <w:szCs w:val="24"/>
      <w:lang w:val="en-GB" w:eastAsia="zh-CN" w:bidi="ar-SA"/>
    </w:rPr>
  </w:style>
  <w:style w:type="character" w:default="1" w:styleId="8">
    <w:name w:val="Default Paragraph Font"/>
    <w:semiHidden/>
    <w:unhideWhenUsed/>
    <w:uiPriority w:val="1"/>
  </w:style>
  <w:style w:type="table" w:default="1" w:styleId="7">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uiPriority w:val="99"/>
    <w:rPr>
      <w:sz w:val="20"/>
      <w:szCs w:val="20"/>
    </w:rPr>
  </w:style>
  <w:style w:type="paragraph" w:styleId="3">
    <w:name w:val="Balloon Text"/>
    <w:basedOn w:val="1"/>
    <w:link w:val="23"/>
    <w:semiHidden/>
    <w:unhideWhenUsed/>
    <w:uiPriority w:val="99"/>
    <w:rPr>
      <w:sz w:val="18"/>
      <w:szCs w:val="18"/>
    </w:rPr>
  </w:style>
  <w:style w:type="paragraph" w:styleId="4">
    <w:name w:val="footer"/>
    <w:basedOn w:val="1"/>
    <w:link w:val="13"/>
    <w:unhideWhenUsed/>
    <w:uiPriority w:val="99"/>
    <w:pPr>
      <w:tabs>
        <w:tab w:val="center" w:pos="4513"/>
        <w:tab w:val="right" w:pos="9026"/>
      </w:tabs>
    </w:pPr>
  </w:style>
  <w:style w:type="paragraph" w:styleId="5">
    <w:name w:val="header"/>
    <w:basedOn w:val="1"/>
    <w:link w:val="22"/>
    <w:unhideWhenUsed/>
    <w:uiPriority w:val="99"/>
    <w:pPr>
      <w:pBdr>
        <w:bottom w:val="single" w:color="auto" w:sz="6" w:space="1"/>
      </w:pBdr>
      <w:tabs>
        <w:tab w:val="center" w:pos="4153"/>
        <w:tab w:val="right" w:pos="8306"/>
      </w:tabs>
      <w:snapToGrid w:val="0"/>
      <w:jc w:val="center"/>
    </w:pPr>
    <w:rPr>
      <w:sz w:val="18"/>
      <w:szCs w:val="18"/>
    </w:rPr>
  </w:style>
  <w:style w:type="paragraph" w:styleId="6">
    <w:name w:val="annotation subject"/>
    <w:basedOn w:val="2"/>
    <w:next w:val="2"/>
    <w:link w:val="19"/>
    <w:semiHidden/>
    <w:unhideWhenUsed/>
    <w:qFormat/>
    <w:uiPriority w:val="99"/>
    <w:rPr>
      <w:b/>
      <w:bCs/>
    </w:rPr>
  </w:style>
  <w:style w:type="character" w:styleId="9">
    <w:name w:val="page number"/>
    <w:basedOn w:val="8"/>
    <w:semiHidden/>
    <w:unhideWhenUsed/>
    <w:uiPriority w:val="99"/>
  </w:style>
  <w:style w:type="character" w:styleId="10">
    <w:name w:val="Hyperlink"/>
    <w:basedOn w:val="8"/>
    <w:unhideWhenUsed/>
    <w:uiPriority w:val="99"/>
    <w:rPr>
      <w:color w:val="0000FF"/>
      <w:u w:val="single"/>
    </w:rPr>
  </w:style>
  <w:style w:type="character" w:styleId="11">
    <w:name w:val="annotation reference"/>
    <w:basedOn w:val="8"/>
    <w:unhideWhenUsed/>
    <w:uiPriority w:val="99"/>
    <w:rPr>
      <w:sz w:val="16"/>
      <w:szCs w:val="16"/>
    </w:rPr>
  </w:style>
  <w:style w:type="paragraph" w:customStyle="1" w:styleId="12">
    <w:name w:val="Paragraph"/>
    <w:basedOn w:val="1"/>
    <w:qFormat/>
    <w:uiPriority w:val="0"/>
    <w:pPr>
      <w:spacing w:before="120"/>
      <w:ind w:firstLine="720"/>
    </w:pPr>
    <w:rPr>
      <w:rFonts w:ascii="Times New Roman" w:hAnsi="Times New Roman" w:eastAsia="Times New Roman" w:cs="Times New Roman"/>
      <w:lang w:val="en-US" w:eastAsia="en-US"/>
    </w:rPr>
  </w:style>
  <w:style w:type="character" w:customStyle="1" w:styleId="13">
    <w:name w:val="Footer Char"/>
    <w:basedOn w:val="8"/>
    <w:link w:val="4"/>
    <w:uiPriority w:val="99"/>
    <w:rPr>
      <w:lang w:val="en-GB"/>
    </w:rPr>
  </w:style>
  <w:style w:type="paragraph" w:customStyle="1" w:styleId="14">
    <w:name w:val="Normal0"/>
    <w:link w:val="15"/>
    <w:qFormat/>
    <w:uiPriority w:val="0"/>
    <w:rPr>
      <w:rFonts w:ascii="Calibri" w:hAnsi="Calibri" w:cs="Calibri" w:eastAsiaTheme="minorEastAsia"/>
      <w:sz w:val="24"/>
      <w:szCs w:val="24"/>
      <w:lang w:val="en-US" w:eastAsia="zh-CN" w:bidi="ar-SA"/>
    </w:rPr>
  </w:style>
  <w:style w:type="character" w:customStyle="1" w:styleId="15">
    <w:name w:val="Normal0 字符"/>
    <w:basedOn w:val="8"/>
    <w:link w:val="14"/>
    <w:qFormat/>
    <w:uiPriority w:val="0"/>
    <w:rPr>
      <w:rFonts w:ascii="Calibri" w:hAnsi="Calibri" w:cs="Calibri"/>
      <w:lang w:val="en-US"/>
    </w:rPr>
  </w:style>
  <w:style w:type="paragraph" w:customStyle="1" w:styleId="16">
    <w:name w:val="EndNote Bibliography"/>
    <w:basedOn w:val="1"/>
    <w:link w:val="17"/>
    <w:uiPriority w:val="0"/>
    <w:pPr>
      <w:widowControl w:val="0"/>
      <w:jc w:val="both"/>
    </w:pPr>
    <w:rPr>
      <w:rFonts w:ascii="DengXian" w:hAnsi="DengXian" w:eastAsia="DengXian"/>
      <w:kern w:val="2"/>
      <w:sz w:val="20"/>
      <w:lang w:val="en-US"/>
      <w14:ligatures w14:val="standardContextual"/>
    </w:rPr>
  </w:style>
  <w:style w:type="character" w:customStyle="1" w:styleId="17">
    <w:name w:val="EndNote Bibliography 字符"/>
    <w:basedOn w:val="8"/>
    <w:link w:val="16"/>
    <w:uiPriority w:val="0"/>
    <w:rPr>
      <w:rFonts w:ascii="DengXian" w:hAnsi="DengXian" w:eastAsia="DengXian"/>
      <w:kern w:val="2"/>
      <w:szCs w:val="24"/>
      <w14:ligatures w14:val="standardContextual"/>
    </w:rPr>
  </w:style>
  <w:style w:type="character" w:customStyle="1" w:styleId="18">
    <w:name w:val="Comment Text Char"/>
    <w:basedOn w:val="8"/>
    <w:link w:val="2"/>
    <w:uiPriority w:val="99"/>
    <w:rPr>
      <w:sz w:val="20"/>
      <w:szCs w:val="20"/>
      <w:lang w:val="en-GB"/>
    </w:rPr>
  </w:style>
  <w:style w:type="character" w:customStyle="1" w:styleId="19">
    <w:name w:val="Comment Subject Char"/>
    <w:basedOn w:val="18"/>
    <w:link w:val="6"/>
    <w:semiHidden/>
    <w:uiPriority w:val="99"/>
    <w:rPr>
      <w:b/>
      <w:bCs/>
      <w:sz w:val="20"/>
      <w:szCs w:val="20"/>
      <w:lang w:val="en-GB"/>
    </w:rPr>
  </w:style>
  <w:style w:type="paragraph" w:customStyle="1" w:styleId="20">
    <w:name w:val="EndNote Bibliography Title"/>
    <w:basedOn w:val="1"/>
    <w:link w:val="21"/>
    <w:qFormat/>
    <w:uiPriority w:val="0"/>
    <w:pPr>
      <w:jc w:val="center"/>
    </w:pPr>
    <w:rPr>
      <w:rFonts w:ascii="DengXian" w:hAnsi="DengXian" w:eastAsia="DengXian"/>
      <w:sz w:val="20"/>
    </w:rPr>
  </w:style>
  <w:style w:type="character" w:customStyle="1" w:styleId="21">
    <w:name w:val="EndNote Bibliography Title 字符"/>
    <w:basedOn w:val="17"/>
    <w:link w:val="20"/>
    <w:uiPriority w:val="0"/>
    <w:rPr>
      <w:rFonts w:ascii="DengXian" w:hAnsi="DengXian" w:eastAsia="DengXian"/>
      <w:kern w:val="2"/>
      <w:szCs w:val="24"/>
      <w:lang w:val="en-GB"/>
      <w14:ligatures w14:val="standardContextual"/>
    </w:rPr>
  </w:style>
  <w:style w:type="character" w:customStyle="1" w:styleId="22">
    <w:name w:val="Header Char"/>
    <w:basedOn w:val="8"/>
    <w:link w:val="5"/>
    <w:uiPriority w:val="99"/>
    <w:rPr>
      <w:sz w:val="18"/>
      <w:szCs w:val="18"/>
      <w:lang w:val="en-GB"/>
    </w:rPr>
  </w:style>
  <w:style w:type="character" w:customStyle="1" w:styleId="23">
    <w:name w:val="Balloon Text Char"/>
    <w:basedOn w:val="8"/>
    <w:link w:val="3"/>
    <w:semiHidden/>
    <w:uiPriority w:val="99"/>
    <w:rPr>
      <w:sz w:val="18"/>
      <w:szCs w:val="18"/>
      <w:lang w:val="en-GB"/>
    </w:rPr>
  </w:style>
  <w:style w:type="paragraph" w:customStyle="1" w:styleId="24">
    <w:name w:val="Revision"/>
    <w:hidden/>
    <w:unhideWhenUsed/>
    <w:uiPriority w:val="99"/>
    <w:rPr>
      <w:rFonts w:asciiTheme="minorHAnsi" w:hAnsiTheme="minorHAnsi" w:eastAsiaTheme="minorEastAsia" w:cstheme="minorBidi"/>
      <w:sz w:val="24"/>
      <w:szCs w:val="24"/>
      <w:lang w:val="en-GB" w:eastAsia="zh-CN" w:bidi="ar-SA"/>
    </w:rPr>
  </w:style>
</w:styles>
</file>

<file path=word/_rels/document.xml.rels><?xml version="1.0" encoding="UTF-8" standalone="yes"?>
<Relationships xmlns="http://schemas.openxmlformats.org/package/2006/relationships"><Relationship Id="rId9" Type="http://schemas.openxmlformats.org/officeDocument/2006/relationships/image" Target="media/image4.tiff"/><Relationship Id="rId8" Type="http://schemas.openxmlformats.org/officeDocument/2006/relationships/image" Target="media/image3.tiff"/><Relationship Id="rId7" Type="http://schemas.openxmlformats.org/officeDocument/2006/relationships/image" Target="media/image2.tiff"/><Relationship Id="rId6" Type="http://schemas.openxmlformats.org/officeDocument/2006/relationships/image" Target="media/image1.tiff"/><Relationship Id="rId5" Type="http://schemas.openxmlformats.org/officeDocument/2006/relationships/theme" Target="theme/theme1.xml"/><Relationship Id="rId4" Type="http://schemas.openxmlformats.org/officeDocument/2006/relationships/footer" Target="footer2.xml"/><Relationship Id="rId3" Type="http://schemas.openxmlformats.org/officeDocument/2006/relationships/footer" Target="footer1.xml"/><Relationship Id="rId2" Type="http://schemas.openxmlformats.org/officeDocument/2006/relationships/settings" Target="settings.xml"/><Relationship Id="rId15" Type="http://schemas.openxmlformats.org/officeDocument/2006/relationships/fontTable" Target="fontTable.xml"/><Relationship Id="rId14" Type="http://schemas.openxmlformats.org/officeDocument/2006/relationships/image" Target="media/image9.tiff"/><Relationship Id="rId13" Type="http://schemas.openxmlformats.org/officeDocument/2006/relationships/image" Target="media/image8.tiff"/><Relationship Id="rId12" Type="http://schemas.openxmlformats.org/officeDocument/2006/relationships/image" Target="media/image7.tiff"/><Relationship Id="rId11" Type="http://schemas.openxmlformats.org/officeDocument/2006/relationships/image" Target="media/image6.tiff"/><Relationship Id="rId10" Type="http://schemas.openxmlformats.org/officeDocument/2006/relationships/image" Target="media/image5.tiff"/><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21</Pages>
  <Words>2416</Words>
  <Characters>13776</Characters>
  <Lines>114</Lines>
  <Paragraphs>32</Paragraphs>
  <TotalTime>56</TotalTime>
  <ScaleCrop>false</ScaleCrop>
  <LinksUpToDate>false</LinksUpToDate>
  <CharactersWithSpaces>16160</CharactersWithSpaces>
  <Application>WPS Office_7.2.2.8955_F1E327BC-269C-435d-A152-05C5408002CA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2025-03-21T15:20:00Z</dcterms:created>
  <dc:creator>Microsoft Office User</dc:creator>
  <cp:lastModifiedBy>zhx</cp:lastModifiedBy>
  <dcterms:modified xsi:type="dcterms:W3CDTF">2025-03-22T11:05:02Z</dcterms:modified>
  <cp:revision>4</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eyJoZGlkIjoiMzczZThjYjQzYmRmZjA3YTRjMjEzNTI2MGVmNWI3N2EiLCJ1c2VySWQiOiIxNTMxMTUwNjg0In0=</vt:lpwstr>
  </property>
  <property fmtid="{D5CDD505-2E9C-101B-9397-08002B2CF9AE}" pid="3" name="KSOProductBuildVer">
    <vt:lpwstr>2052-7.2.2.8955</vt:lpwstr>
  </property>
  <property fmtid="{D5CDD505-2E9C-101B-9397-08002B2CF9AE}" pid="4" name="ICV">
    <vt:lpwstr>F8B6F72666DC43B5BC9441D2EA988116_12</vt:lpwstr>
  </property>
  <property fmtid="{D5CDD505-2E9C-101B-9397-08002B2CF9AE}" pid="5" name="GrammarlyDocumentId">
    <vt:lpwstr>492639ccf234cae5b68b93740d89f702562530bcbab22d44137b83a0ed80196f</vt:lpwstr>
  </property>
</Properties>
</file>