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A89D0">
      <w:pPr>
        <w:jc w:val="center"/>
        <w:rPr>
          <w:rFonts w:hint="default" w:ascii="Times New Roman Bold" w:hAnsi="Times New Roman Bold" w:eastAsia="宋体" w:cs="Times New Roman Bold"/>
          <w:b/>
          <w:bCs/>
          <w:kern w:val="2"/>
          <w:sz w:val="28"/>
          <w:szCs w:val="28"/>
          <w:lang w:val="en-US" w:eastAsia="zh-CN" w:bidi="ar"/>
        </w:rPr>
      </w:pPr>
      <w:r>
        <w:rPr>
          <w:rFonts w:hint="default" w:ascii="Times New Roman Bold" w:hAnsi="Times New Roman Bold" w:eastAsia="宋体" w:cs="Times New Roman Bold"/>
          <w:b/>
          <w:bCs/>
          <w:kern w:val="2"/>
          <w:sz w:val="28"/>
          <w:szCs w:val="28"/>
          <w:lang w:val="en-US" w:eastAsia="zh-CN" w:bidi="ar"/>
        </w:rPr>
        <w:drawing>
          <wp:inline distT="0" distB="0" distL="114300" distR="114300">
            <wp:extent cx="5660390" cy="7393940"/>
            <wp:effectExtent l="0" t="0" r="3810" b="10160"/>
            <wp:docPr id="1" name="图片 1" descr="Supplementary Figure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upplementary Figure S1"/>
                    <pic:cNvPicPr>
                      <a:picLocks noChangeAspect="1"/>
                    </pic:cNvPicPr>
                  </pic:nvPicPr>
                  <pic:blipFill>
                    <a:blip r:embed="rId4"/>
                    <a:stretch>
                      <a:fillRect/>
                    </a:stretch>
                  </pic:blipFill>
                  <pic:spPr>
                    <a:xfrm>
                      <a:off x="0" y="0"/>
                      <a:ext cx="5660390" cy="7393940"/>
                    </a:xfrm>
                    <a:prstGeom prst="rect">
                      <a:avLst/>
                    </a:prstGeom>
                  </pic:spPr>
                </pic:pic>
              </a:graphicData>
            </a:graphic>
          </wp:inline>
        </w:drawing>
      </w:r>
    </w:p>
    <w:p w14:paraId="71D00F38">
      <w:pPr>
        <w:pStyle w:val="11"/>
        <w:spacing w:line="480" w:lineRule="auto"/>
        <w:jc w:val="both"/>
        <w:rPr>
          <w:rFonts w:hint="default" w:ascii="Times New Roman Bold" w:hAnsi="Times New Roman Bold" w:eastAsia="宋体" w:cs="Times New Roman Bold"/>
          <w:b/>
          <w:bCs/>
          <w:kern w:val="2"/>
          <w:sz w:val="21"/>
          <w:szCs w:val="21"/>
          <w:lang w:val="en-US" w:eastAsia="zh-CN" w:bidi="ar"/>
        </w:rPr>
      </w:pPr>
      <w:r>
        <w:rPr>
          <w:rFonts w:hint="default" w:ascii="Times New Roman Bold" w:hAnsi="Times New Roman Bold" w:eastAsia="宋体" w:cs="Times New Roman Bold"/>
          <w:b/>
          <w:bCs/>
          <w:kern w:val="2"/>
          <w:sz w:val="21"/>
          <w:szCs w:val="21"/>
          <w:lang w:val="en-US" w:eastAsia="zh-CN" w:bidi="ar"/>
        </w:rPr>
        <w:t>Supplementary Figure S1</w:t>
      </w:r>
      <w:r>
        <w:rPr>
          <w:rFonts w:ascii="Times New Roman" w:hAnsi="Times New Roman"/>
          <w:b/>
          <w:sz w:val="21"/>
          <w:szCs w:val="21"/>
        </w:rPr>
        <w:t xml:space="preserve"> </w:t>
      </w:r>
      <w:r>
        <w:rPr>
          <w:rFonts w:ascii="Times New Roman" w:hAnsi="Times New Roman"/>
          <w:b w:val="0"/>
          <w:bCs w:val="0"/>
          <w:sz w:val="21"/>
          <w:szCs w:val="21"/>
        </w:rPr>
        <w:t>Flowchart of CryoEM data processing of the Chd1-nucleosome complex in the ADP-BeF</w:t>
      </w:r>
      <w:r>
        <w:rPr>
          <w:rFonts w:ascii="Times New Roman" w:hAnsi="Times New Roman"/>
          <w:b w:val="0"/>
          <w:bCs w:val="0"/>
          <w:sz w:val="21"/>
          <w:szCs w:val="21"/>
          <w:vertAlign w:val="subscript"/>
        </w:rPr>
        <w:t>x</w:t>
      </w:r>
      <w:r>
        <w:rPr>
          <w:rFonts w:ascii="Times New Roman" w:hAnsi="Times New Roman"/>
          <w:b w:val="0"/>
          <w:bCs w:val="0"/>
          <w:sz w:val="21"/>
          <w:szCs w:val="21"/>
        </w:rPr>
        <w:t xml:space="preserve"> state.</w:t>
      </w:r>
      <w:r>
        <w:rPr>
          <w:rFonts w:eastAsia="Times New Roman"/>
          <w:b w:val="0"/>
          <w:bCs w:val="0"/>
          <w:color w:val="000000"/>
          <w:kern w:val="24"/>
          <w:sz w:val="21"/>
          <w:szCs w:val="21"/>
        </w:rPr>
        <w:t xml:space="preserve"> </w:t>
      </w:r>
      <w:r>
        <w:rPr>
          <w:rFonts w:ascii="Times New Roman" w:hAnsi="Times New Roman" w:eastAsia="Times New Roman"/>
          <w:b w:val="0"/>
          <w:bCs w:val="0"/>
          <w:color w:val="000000"/>
          <w:kern w:val="24"/>
          <w:sz w:val="21"/>
          <w:szCs w:val="21"/>
        </w:rPr>
        <w:t>(</w:t>
      </w:r>
      <w:r>
        <w:rPr>
          <w:rFonts w:hint="eastAsia" w:ascii="Times New Roman" w:hAnsi="Times New Roman" w:eastAsia="宋体"/>
          <w:b w:val="0"/>
          <w:bCs w:val="0"/>
          <w:color w:val="000000"/>
          <w:kern w:val="24"/>
          <w:sz w:val="21"/>
          <w:szCs w:val="21"/>
          <w:lang w:val="en-US" w:eastAsia="zh-CN"/>
        </w:rPr>
        <w:t>a</w:t>
      </w:r>
      <w:r>
        <w:rPr>
          <w:rFonts w:ascii="Times New Roman" w:hAnsi="Times New Roman" w:eastAsia="Times New Roman"/>
          <w:b w:val="0"/>
          <w:bCs w:val="0"/>
          <w:color w:val="000000"/>
          <w:kern w:val="24"/>
          <w:sz w:val="21"/>
          <w:szCs w:val="21"/>
        </w:rPr>
        <w:t xml:space="preserve">) </w:t>
      </w:r>
      <w:r>
        <w:rPr>
          <w:rFonts w:ascii="Times New Roman" w:hAnsi="Times New Roman"/>
          <w:b w:val="0"/>
          <w:bCs w:val="0"/>
          <w:sz w:val="21"/>
          <w:szCs w:val="21"/>
        </w:rPr>
        <w:t>Representative micrograph of CryoEM sample. (</w:t>
      </w:r>
      <w:r>
        <w:rPr>
          <w:rFonts w:hint="eastAsia" w:ascii="Times New Roman" w:hAnsi="Times New Roman"/>
          <w:b w:val="0"/>
          <w:bCs w:val="0"/>
          <w:sz w:val="21"/>
          <w:szCs w:val="21"/>
          <w:lang w:val="en-US" w:eastAsia="zh-CN"/>
        </w:rPr>
        <w:t>b</w:t>
      </w:r>
      <w:r>
        <w:rPr>
          <w:rFonts w:ascii="Times New Roman" w:hAnsi="Times New Roman"/>
          <w:b w:val="0"/>
          <w:bCs w:val="0"/>
          <w:sz w:val="21"/>
          <w:szCs w:val="21"/>
        </w:rPr>
        <w:t>) FFT of image in (</w:t>
      </w:r>
      <w:r>
        <w:rPr>
          <w:rFonts w:hint="eastAsia" w:ascii="Times New Roman" w:hAnsi="Times New Roman"/>
          <w:b w:val="0"/>
          <w:bCs w:val="0"/>
          <w:sz w:val="21"/>
          <w:szCs w:val="21"/>
          <w:lang w:val="en-US" w:eastAsia="zh-CN"/>
        </w:rPr>
        <w:t>a</w:t>
      </w:r>
      <w:r>
        <w:rPr>
          <w:rFonts w:ascii="Times New Roman" w:hAnsi="Times New Roman"/>
          <w:b w:val="0"/>
          <w:bCs w:val="0"/>
          <w:sz w:val="21"/>
          <w:szCs w:val="21"/>
        </w:rPr>
        <w:t>) with the Thon rings extending to ~3.5 Å. (</w:t>
      </w:r>
      <w:r>
        <w:rPr>
          <w:rFonts w:hint="eastAsia" w:ascii="Times New Roman" w:hAnsi="Times New Roman"/>
          <w:b w:val="0"/>
          <w:bCs w:val="0"/>
          <w:sz w:val="21"/>
          <w:szCs w:val="21"/>
          <w:lang w:val="en-US" w:eastAsia="zh-CN"/>
        </w:rPr>
        <w:t>c</w:t>
      </w:r>
      <w:r>
        <w:rPr>
          <w:rFonts w:ascii="Times New Roman" w:hAnsi="Times New Roman"/>
          <w:b w:val="0"/>
          <w:bCs w:val="0"/>
          <w:sz w:val="21"/>
          <w:szCs w:val="21"/>
        </w:rPr>
        <w:t>) 2D class averages of characteristic projection views of CryoEM particles. (</w:t>
      </w:r>
      <w:r>
        <w:rPr>
          <w:rFonts w:hint="eastAsia" w:ascii="Times New Roman" w:hAnsi="Times New Roman"/>
          <w:b w:val="0"/>
          <w:bCs w:val="0"/>
          <w:sz w:val="21"/>
          <w:szCs w:val="21"/>
          <w:lang w:val="en-US" w:eastAsia="zh-CN"/>
        </w:rPr>
        <w:t>d</w:t>
      </w:r>
      <w:r>
        <w:rPr>
          <w:rFonts w:ascii="Times New Roman" w:hAnsi="Times New Roman"/>
          <w:b w:val="0"/>
          <w:bCs w:val="0"/>
          <w:sz w:val="21"/>
          <w:szCs w:val="21"/>
        </w:rPr>
        <w:t>) Flowchart of CryoEM data processing. (</w:t>
      </w:r>
      <w:r>
        <w:rPr>
          <w:rFonts w:hint="eastAsia" w:ascii="Times New Roman" w:hAnsi="Times New Roman"/>
          <w:b w:val="0"/>
          <w:bCs w:val="0"/>
          <w:sz w:val="21"/>
          <w:szCs w:val="21"/>
          <w:lang w:val="en-US" w:eastAsia="zh-CN"/>
        </w:rPr>
        <w:t>e</w:t>
      </w:r>
      <w:r>
        <w:rPr>
          <w:rFonts w:ascii="Times New Roman" w:hAnsi="Times New Roman"/>
          <w:b w:val="0"/>
          <w:bCs w:val="0"/>
          <w:sz w:val="21"/>
          <w:szCs w:val="21"/>
        </w:rPr>
        <w:t xml:space="preserve">) The </w:t>
      </w:r>
      <w:r>
        <w:rPr>
          <w:rFonts w:hint="default" w:ascii="Times New Roman" w:hAnsi="Times New Roman"/>
          <w:b w:val="0"/>
          <w:bCs w:val="0"/>
          <w:sz w:val="21"/>
          <w:szCs w:val="21"/>
          <w:lang w:val="en-US" w:eastAsia="zh-CN"/>
        </w:rPr>
        <w:t>“</w:t>
      </w:r>
      <w:r>
        <w:rPr>
          <w:rFonts w:ascii="Times New Roman" w:hAnsi="Times New Roman"/>
          <w:b w:val="0"/>
          <w:bCs w:val="0"/>
          <w:sz w:val="21"/>
          <w:szCs w:val="21"/>
        </w:rPr>
        <w:t>gold-standard</w:t>
      </w:r>
      <w:r>
        <w:rPr>
          <w:rFonts w:hint="default" w:ascii="Times New Roman" w:hAnsi="Times New Roman"/>
          <w:b w:val="0"/>
          <w:bCs w:val="0"/>
          <w:sz w:val="21"/>
          <w:szCs w:val="21"/>
          <w:lang w:val="en-US" w:eastAsia="zh-CN"/>
        </w:rPr>
        <w:t>”</w:t>
      </w:r>
      <w:r>
        <w:rPr>
          <w:rFonts w:ascii="Times New Roman" w:hAnsi="Times New Roman"/>
          <w:b w:val="0"/>
          <w:bCs w:val="0"/>
          <w:sz w:val="21"/>
          <w:szCs w:val="21"/>
        </w:rPr>
        <w:t xml:space="preserve"> FSC curves calculated between two halves of datasets for the complexes.</w:t>
      </w:r>
    </w:p>
    <w:p w14:paraId="2AD207A0">
      <w:pPr>
        <w:jc w:val="center"/>
        <w:rPr>
          <w:rFonts w:hint="default" w:ascii="Times New Roman Bold" w:hAnsi="Times New Roman Bold" w:eastAsia="宋体" w:cs="Times New Roman Bold"/>
          <w:b/>
          <w:bCs/>
          <w:kern w:val="2"/>
          <w:sz w:val="28"/>
          <w:szCs w:val="28"/>
          <w:lang w:val="en-US" w:eastAsia="zh-CN" w:bidi="ar"/>
        </w:rPr>
      </w:pPr>
      <w:r>
        <w:rPr>
          <w:rFonts w:hint="default" w:ascii="Times New Roman Bold" w:hAnsi="Times New Roman Bold" w:eastAsia="宋体" w:cs="Times New Roman Bold"/>
          <w:b/>
          <w:bCs/>
          <w:kern w:val="2"/>
          <w:sz w:val="28"/>
          <w:szCs w:val="28"/>
          <w:lang w:val="en-US" w:eastAsia="zh-CN" w:bidi="ar"/>
        </w:rPr>
        <w:drawing>
          <wp:inline distT="0" distB="0" distL="114300" distR="114300">
            <wp:extent cx="5460365" cy="7682865"/>
            <wp:effectExtent l="0" t="0" r="635" b="635"/>
            <wp:docPr id="2" name="图片 2" descr="Supplementary Figure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upplementary Figure S2"/>
                    <pic:cNvPicPr>
                      <a:picLocks noChangeAspect="1"/>
                    </pic:cNvPicPr>
                  </pic:nvPicPr>
                  <pic:blipFill>
                    <a:blip r:embed="rId5"/>
                    <a:stretch>
                      <a:fillRect/>
                    </a:stretch>
                  </pic:blipFill>
                  <pic:spPr>
                    <a:xfrm>
                      <a:off x="0" y="0"/>
                      <a:ext cx="5460365" cy="7682865"/>
                    </a:xfrm>
                    <a:prstGeom prst="rect">
                      <a:avLst/>
                    </a:prstGeom>
                  </pic:spPr>
                </pic:pic>
              </a:graphicData>
            </a:graphic>
          </wp:inline>
        </w:drawing>
      </w:r>
    </w:p>
    <w:p w14:paraId="7204E1EA">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ascii="Times New Roman" w:hAnsi="Times New Roman" w:cs="Times New Roman"/>
          <w:b w:val="0"/>
          <w:bCs/>
        </w:rPr>
      </w:pPr>
      <w:r>
        <w:rPr>
          <w:rFonts w:hint="default" w:ascii="Times New Roman Bold" w:hAnsi="Times New Roman Bold" w:eastAsia="宋体" w:cs="Times New Roman Bold"/>
          <w:b/>
          <w:bCs/>
          <w:kern w:val="2"/>
          <w:sz w:val="21"/>
          <w:szCs w:val="21"/>
          <w:lang w:val="en-US" w:eastAsia="zh-CN" w:bidi="ar"/>
        </w:rPr>
        <w:t>Supplementary Figure S</w:t>
      </w:r>
      <w:r>
        <w:rPr>
          <w:rFonts w:hint="eastAsia" w:ascii="Times New Roman Bold" w:hAnsi="Times New Roman Bold" w:eastAsia="宋体" w:cs="Times New Roman Bold"/>
          <w:b/>
          <w:bCs/>
          <w:kern w:val="2"/>
          <w:sz w:val="21"/>
          <w:szCs w:val="21"/>
          <w:lang w:val="en-US" w:eastAsia="zh-CN" w:bidi="ar"/>
        </w:rPr>
        <w:t>2</w:t>
      </w:r>
      <w:r>
        <w:rPr>
          <w:rFonts w:ascii="Times New Roman" w:hAnsi="Times New Roman"/>
          <w:b/>
        </w:rPr>
        <w:t xml:space="preserve"> </w:t>
      </w:r>
      <w:r>
        <w:rPr>
          <w:rFonts w:ascii="Times New Roman" w:hAnsi="Times New Roman" w:cs="Times New Roman"/>
          <w:b w:val="0"/>
          <w:bCs/>
        </w:rPr>
        <w:t>Density maps of the Chd1-nucleosome complexes in the ADP-BeF</w:t>
      </w:r>
      <w:r>
        <w:rPr>
          <w:rFonts w:ascii="Times New Roman" w:hAnsi="Times New Roman" w:cs="Times New Roman"/>
          <w:b w:val="0"/>
          <w:bCs/>
          <w:vertAlign w:val="subscript"/>
        </w:rPr>
        <w:t>x</w:t>
      </w:r>
      <w:r>
        <w:rPr>
          <w:rFonts w:ascii="Times New Roman" w:hAnsi="Times New Roman" w:cs="Times New Roman"/>
          <w:b w:val="0"/>
          <w:bCs/>
        </w:rPr>
        <w:t>-bound state. (</w:t>
      </w:r>
      <w:r>
        <w:rPr>
          <w:rFonts w:hint="eastAsia" w:ascii="Times New Roman" w:hAnsi="Times New Roman" w:cs="Times New Roman"/>
          <w:b w:val="0"/>
          <w:bCs/>
          <w:lang w:val="en-US" w:eastAsia="zh-CN"/>
        </w:rPr>
        <w:t>a</w:t>
      </w:r>
      <w:r>
        <w:rPr>
          <w:rFonts w:ascii="Times New Roman" w:hAnsi="Times New Roman" w:cs="Times New Roman"/>
          <w:b w:val="0"/>
          <w:bCs/>
        </w:rPr>
        <w:t>) Class A complex with unwrapped exit DNA bound by the DBD. (</w:t>
      </w:r>
      <w:r>
        <w:rPr>
          <w:rFonts w:hint="eastAsia" w:ascii="Times New Roman" w:hAnsi="Times New Roman" w:cs="Times New Roman"/>
          <w:b w:val="0"/>
          <w:bCs/>
          <w:lang w:val="en-US" w:eastAsia="zh-CN"/>
        </w:rPr>
        <w:t>b</w:t>
      </w:r>
      <w:r>
        <w:rPr>
          <w:rFonts w:ascii="Times New Roman" w:hAnsi="Times New Roman" w:cs="Times New Roman"/>
          <w:b w:val="0"/>
          <w:bCs/>
        </w:rPr>
        <w:t>) Class A’ complex with unwrapped exit DNA without DBD bound. (</w:t>
      </w:r>
      <w:r>
        <w:rPr>
          <w:rFonts w:hint="eastAsia" w:ascii="Times New Roman" w:hAnsi="Times New Roman" w:cs="Times New Roman"/>
          <w:b w:val="0"/>
          <w:bCs/>
          <w:lang w:val="en-US" w:eastAsia="zh-CN"/>
        </w:rPr>
        <w:t>c</w:t>
      </w:r>
      <w:r>
        <w:rPr>
          <w:rFonts w:ascii="Times New Roman" w:hAnsi="Times New Roman" w:cs="Times New Roman"/>
          <w:b w:val="0"/>
          <w:bCs/>
        </w:rPr>
        <w:t>) Class B complex with wrapped exit DNA. (</w:t>
      </w:r>
      <w:r>
        <w:rPr>
          <w:rFonts w:hint="eastAsia" w:ascii="Times New Roman" w:hAnsi="Times New Roman" w:cs="Times New Roman"/>
          <w:b w:val="0"/>
          <w:bCs/>
          <w:lang w:val="en-US" w:eastAsia="zh-CN"/>
        </w:rPr>
        <w:t>d</w:t>
      </w:r>
      <w:r>
        <w:rPr>
          <w:rFonts w:ascii="Times New Roman" w:hAnsi="Times New Roman" w:cs="Times New Roman"/>
          <w:b w:val="0"/>
          <w:bCs/>
        </w:rPr>
        <w:t>) Class C complex with two Chd1 bound to the same nucleosome. (</w:t>
      </w:r>
      <w:r>
        <w:rPr>
          <w:rFonts w:hint="eastAsia" w:ascii="Times New Roman" w:hAnsi="Times New Roman" w:cs="Times New Roman"/>
          <w:b w:val="0"/>
          <w:bCs/>
          <w:lang w:val="en-US" w:eastAsia="zh-CN"/>
        </w:rPr>
        <w:t>e</w:t>
      </w:r>
      <w:r>
        <w:rPr>
          <w:rFonts w:ascii="Times New Roman" w:hAnsi="Times New Roman" w:cs="Times New Roman"/>
          <w:b w:val="0"/>
          <w:bCs/>
        </w:rPr>
        <w:t>) Local density around the bound nucleotide of the Class A complex. (</w:t>
      </w:r>
      <w:r>
        <w:rPr>
          <w:rFonts w:hint="eastAsia" w:ascii="Times New Roman" w:hAnsi="Times New Roman" w:cs="Times New Roman"/>
          <w:b w:val="0"/>
          <w:bCs/>
          <w:lang w:val="en-US" w:eastAsia="zh-CN"/>
        </w:rPr>
        <w:t>f and g</w:t>
      </w:r>
      <w:r>
        <w:rPr>
          <w:rFonts w:ascii="Times New Roman" w:hAnsi="Times New Roman" w:cs="Times New Roman"/>
          <w:b w:val="0"/>
          <w:bCs/>
        </w:rPr>
        <w:t>) Local densities of the motor (</w:t>
      </w:r>
      <w:r>
        <w:rPr>
          <w:rFonts w:hint="eastAsia" w:ascii="Times New Roman" w:hAnsi="Times New Roman" w:cs="Times New Roman"/>
          <w:b w:val="0"/>
          <w:bCs/>
          <w:lang w:val="en-US" w:eastAsia="zh-CN"/>
        </w:rPr>
        <w:t>f</w:t>
      </w:r>
      <w:r>
        <w:rPr>
          <w:rFonts w:ascii="Times New Roman" w:hAnsi="Times New Roman" w:cs="Times New Roman"/>
          <w:b w:val="0"/>
          <w:bCs/>
        </w:rPr>
        <w:t>) and the bound nucleotide (</w:t>
      </w:r>
      <w:r>
        <w:rPr>
          <w:rFonts w:hint="eastAsia" w:ascii="Times New Roman" w:hAnsi="Times New Roman" w:cs="Times New Roman"/>
          <w:b w:val="0"/>
          <w:bCs/>
          <w:lang w:val="en-US" w:eastAsia="zh-CN"/>
        </w:rPr>
        <w:t>g</w:t>
      </w:r>
      <w:r>
        <w:rPr>
          <w:rFonts w:ascii="Times New Roman" w:hAnsi="Times New Roman" w:cs="Times New Roman"/>
          <w:b w:val="0"/>
          <w:bCs/>
        </w:rPr>
        <w:t xml:space="preserve">) of the Class B complex. </w:t>
      </w:r>
    </w:p>
    <w:p w14:paraId="6CE63C1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5665470" cy="7392035"/>
            <wp:effectExtent l="0" t="0" r="11430" b="12065"/>
            <wp:docPr id="3" name="图片 3" descr="Supplementary Figure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upplementary Figure S3"/>
                    <pic:cNvPicPr>
                      <a:picLocks noChangeAspect="1"/>
                    </pic:cNvPicPr>
                  </pic:nvPicPr>
                  <pic:blipFill>
                    <a:blip r:embed="rId6"/>
                    <a:stretch>
                      <a:fillRect/>
                    </a:stretch>
                  </pic:blipFill>
                  <pic:spPr>
                    <a:xfrm>
                      <a:off x="0" y="0"/>
                      <a:ext cx="5665470" cy="7392035"/>
                    </a:xfrm>
                    <a:prstGeom prst="rect">
                      <a:avLst/>
                    </a:prstGeom>
                  </pic:spPr>
                </pic:pic>
              </a:graphicData>
            </a:graphic>
          </wp:inline>
        </w:drawing>
      </w:r>
    </w:p>
    <w:p w14:paraId="0AFD2E39">
      <w:pPr>
        <w:widowControl/>
        <w:autoSpaceDE w:val="0"/>
        <w:autoSpaceDN w:val="0"/>
        <w:adjustRightInd w:val="0"/>
        <w:spacing w:line="480" w:lineRule="auto"/>
        <w:jc w:val="both"/>
        <w:rPr>
          <w:rFonts w:ascii="Times New Roman" w:hAnsi="Times New Roman" w:eastAsia="Times New Roman" w:cs="Times New Roman"/>
          <w:b w:val="0"/>
          <w:bCs/>
          <w:kern w:val="0"/>
          <w:sz w:val="24"/>
          <w:szCs w:val="24"/>
        </w:rPr>
      </w:pPr>
      <w:r>
        <w:rPr>
          <w:rFonts w:hint="default" w:ascii="Times New Roman Bold" w:hAnsi="Times New Roman Bold" w:eastAsia="宋体" w:cs="Times New Roman Bold"/>
          <w:b/>
          <w:bCs/>
          <w:kern w:val="2"/>
          <w:sz w:val="21"/>
          <w:szCs w:val="21"/>
          <w:lang w:val="en-US" w:eastAsia="zh-CN" w:bidi="ar"/>
        </w:rPr>
        <w:t>Supplementary Figure S</w:t>
      </w:r>
      <w:r>
        <w:rPr>
          <w:rFonts w:hint="eastAsia" w:ascii="Times New Roman Bold" w:hAnsi="Times New Roman Bold" w:eastAsia="宋体" w:cs="Times New Roman Bold"/>
          <w:b/>
          <w:bCs/>
          <w:kern w:val="2"/>
          <w:sz w:val="21"/>
          <w:szCs w:val="21"/>
          <w:lang w:val="en-US" w:eastAsia="zh-CN" w:bidi="ar"/>
        </w:rPr>
        <w:t>3</w:t>
      </w:r>
      <w:r>
        <w:rPr>
          <w:rFonts w:ascii="Times New Roman" w:hAnsi="Times New Roman" w:eastAsia="Times New Roman" w:cs="Times New Roman"/>
          <w:b/>
          <w:kern w:val="0"/>
          <w:sz w:val="21"/>
          <w:szCs w:val="21"/>
        </w:rPr>
        <w:t xml:space="preserve"> </w:t>
      </w:r>
      <w:r>
        <w:rPr>
          <w:rFonts w:ascii="Times New Roman" w:hAnsi="Times New Roman" w:eastAsia="Times New Roman" w:cs="Times New Roman"/>
          <w:b w:val="0"/>
          <w:bCs/>
          <w:kern w:val="0"/>
          <w:sz w:val="21"/>
          <w:szCs w:val="21"/>
        </w:rPr>
        <w:t>Additional structural analyses of the Chd1-nucleosome complexes in the ADP-BeF</w:t>
      </w:r>
      <w:r>
        <w:rPr>
          <w:rFonts w:ascii="Times New Roman" w:hAnsi="Times New Roman" w:eastAsia="Times New Roman" w:cs="Times New Roman"/>
          <w:b w:val="0"/>
          <w:bCs/>
          <w:kern w:val="0"/>
          <w:sz w:val="21"/>
          <w:szCs w:val="21"/>
          <w:vertAlign w:val="subscript"/>
        </w:rPr>
        <w:t>x</w:t>
      </w:r>
      <w:r>
        <w:rPr>
          <w:rFonts w:ascii="Times New Roman" w:hAnsi="Times New Roman" w:eastAsia="Times New Roman" w:cs="Times New Roman"/>
          <w:b w:val="0"/>
          <w:bCs/>
          <w:kern w:val="0"/>
          <w:sz w:val="21"/>
          <w:szCs w:val="21"/>
        </w:rPr>
        <w:t>-bound state. (</w:t>
      </w:r>
      <w:r>
        <w:rPr>
          <w:rFonts w:hint="eastAsia" w:ascii="Times New Roman" w:hAnsi="Times New Roman" w:eastAsia="宋体" w:cs="Times New Roman"/>
          <w:b w:val="0"/>
          <w:bCs/>
          <w:kern w:val="0"/>
          <w:sz w:val="21"/>
          <w:szCs w:val="21"/>
          <w:lang w:val="en-US" w:eastAsia="zh-CN"/>
        </w:rPr>
        <w:t>a</w:t>
      </w:r>
      <w:r>
        <w:rPr>
          <w:rFonts w:ascii="Times New Roman" w:hAnsi="Times New Roman" w:eastAsia="Times New Roman" w:cs="Times New Roman"/>
          <w:b w:val="0"/>
          <w:bCs/>
          <w:kern w:val="0"/>
          <w:sz w:val="21"/>
          <w:szCs w:val="21"/>
        </w:rPr>
        <w:t>) Superimposition of the structure of the Class A complex (color coded) with the previously reported structure of the Chd1-nucleosome complex (color grey, PDB code 5o9g). The alignment was based on the histone cores. (</w:t>
      </w:r>
      <w:r>
        <w:rPr>
          <w:rFonts w:hint="eastAsia" w:ascii="Times New Roman" w:hAnsi="Times New Roman" w:eastAsia="宋体" w:cs="Times New Roman"/>
          <w:b w:val="0"/>
          <w:bCs/>
          <w:kern w:val="0"/>
          <w:sz w:val="21"/>
          <w:szCs w:val="21"/>
          <w:lang w:val="en-US" w:eastAsia="zh-CN"/>
        </w:rPr>
        <w:t>b</w:t>
      </w:r>
      <w:r>
        <w:rPr>
          <w:rFonts w:ascii="Times New Roman" w:hAnsi="Times New Roman" w:eastAsia="Times New Roman" w:cs="Times New Roman"/>
          <w:b w:val="0"/>
          <w:bCs/>
          <w:kern w:val="0"/>
          <w:sz w:val="21"/>
          <w:szCs w:val="21"/>
        </w:rPr>
        <w:t>) Superimposition of the structures of the Class A’ (color coded) and Class A (color grey) complexes. (</w:t>
      </w:r>
      <w:r>
        <w:rPr>
          <w:rFonts w:hint="eastAsia" w:ascii="Times New Roman" w:hAnsi="Times New Roman" w:eastAsia="宋体" w:cs="Times New Roman"/>
          <w:b w:val="0"/>
          <w:bCs/>
          <w:kern w:val="0"/>
          <w:sz w:val="21"/>
          <w:szCs w:val="21"/>
          <w:lang w:val="en-US" w:eastAsia="zh-CN"/>
        </w:rPr>
        <w:t>c</w:t>
      </w:r>
      <w:r>
        <w:rPr>
          <w:rFonts w:ascii="Times New Roman" w:hAnsi="Times New Roman" w:eastAsia="Times New Roman" w:cs="Times New Roman"/>
          <w:b w:val="0"/>
          <w:bCs/>
          <w:kern w:val="0"/>
          <w:sz w:val="21"/>
          <w:szCs w:val="21"/>
        </w:rPr>
        <w:t xml:space="preserve">) Three different views of the structure of the Class C complex. </w:t>
      </w:r>
      <w:r>
        <w:rPr>
          <w:rFonts w:hint="eastAsia" w:ascii="Times New Roman" w:hAnsi="Times New Roman" w:eastAsia="Times New Roman" w:cs="Times New Roman"/>
          <w:b w:val="0"/>
          <w:bCs/>
          <w:kern w:val="0"/>
          <w:sz w:val="21"/>
          <w:szCs w:val="21"/>
        </w:rPr>
        <w:t>The</w:t>
      </w:r>
      <w:r>
        <w:rPr>
          <w:rFonts w:ascii="Times New Roman" w:hAnsi="Times New Roman" w:eastAsia="Times New Roman" w:cs="Times New Roman"/>
          <w:b w:val="0"/>
          <w:bCs/>
          <w:kern w:val="0"/>
          <w:sz w:val="21"/>
          <w:szCs w:val="21"/>
        </w:rPr>
        <w:t xml:space="preserve"> 20 bp linker DNA functioned as the entry and exit DNA for Chd1 bound at SHL+2 and SHL</w:t>
      </w:r>
      <w:r>
        <w:rPr>
          <w:rFonts w:ascii="Times New Roman" w:hAnsi="Times New Roman" w:eastAsia="Times New Roman" w:cs="Times New Roman"/>
          <w:bCs/>
          <w:kern w:val="0"/>
          <w:sz w:val="21"/>
          <w:szCs w:val="21"/>
        </w:rPr>
        <w:t>−</w:t>
      </w:r>
      <w:r>
        <w:rPr>
          <w:rFonts w:ascii="Times New Roman" w:hAnsi="Times New Roman" w:eastAsia="Times New Roman" w:cs="Times New Roman"/>
          <w:b w:val="0"/>
          <w:bCs/>
          <w:kern w:val="0"/>
          <w:sz w:val="21"/>
          <w:szCs w:val="21"/>
        </w:rPr>
        <w:t>2, respectively. (</w:t>
      </w:r>
      <w:r>
        <w:rPr>
          <w:rFonts w:hint="eastAsia" w:ascii="Times New Roman" w:hAnsi="Times New Roman" w:eastAsia="宋体" w:cs="Times New Roman"/>
          <w:b w:val="0"/>
          <w:bCs/>
          <w:kern w:val="0"/>
          <w:sz w:val="21"/>
          <w:szCs w:val="21"/>
          <w:lang w:val="en-US" w:eastAsia="zh-CN"/>
        </w:rPr>
        <w:t>d</w:t>
      </w:r>
      <w:r>
        <w:rPr>
          <w:rFonts w:ascii="Times New Roman" w:hAnsi="Times New Roman" w:eastAsia="Times New Roman" w:cs="Times New Roman"/>
          <w:b w:val="0"/>
          <w:bCs/>
          <w:kern w:val="0"/>
          <w:sz w:val="21"/>
          <w:szCs w:val="21"/>
        </w:rPr>
        <w:t>) Local density around the EDBL of the Class A complex. (</w:t>
      </w:r>
      <w:r>
        <w:rPr>
          <w:rFonts w:hint="eastAsia" w:ascii="Times New Roman" w:hAnsi="Times New Roman" w:eastAsia="宋体" w:cs="Times New Roman"/>
          <w:b w:val="0"/>
          <w:bCs/>
          <w:kern w:val="0"/>
          <w:sz w:val="21"/>
          <w:szCs w:val="21"/>
          <w:lang w:val="en-US" w:eastAsia="zh-CN"/>
        </w:rPr>
        <w:t>e</w:t>
      </w:r>
      <w:r>
        <w:rPr>
          <w:rFonts w:ascii="Times New Roman" w:hAnsi="Times New Roman" w:eastAsia="Times New Roman" w:cs="Times New Roman"/>
          <w:b w:val="0"/>
          <w:bCs/>
          <w:kern w:val="0"/>
          <w:sz w:val="21"/>
          <w:szCs w:val="21"/>
        </w:rPr>
        <w:t>) Superimposition of the structures of Chd1 (color coded) and Snf2 (color grey, PDB code 5Z3U) bound to the nucleosome. The histone cores were aligned and omitted for clarity.</w:t>
      </w:r>
    </w:p>
    <w:p w14:paraId="1545977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5330190" cy="7526655"/>
            <wp:effectExtent l="0" t="0" r="3810" b="4445"/>
            <wp:docPr id="4" name="图片 4" descr="Supplementary Figure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upplementary Figure S4"/>
                    <pic:cNvPicPr>
                      <a:picLocks noChangeAspect="1"/>
                    </pic:cNvPicPr>
                  </pic:nvPicPr>
                  <pic:blipFill>
                    <a:blip r:embed="rId7"/>
                    <a:stretch>
                      <a:fillRect/>
                    </a:stretch>
                  </pic:blipFill>
                  <pic:spPr>
                    <a:xfrm>
                      <a:off x="0" y="0"/>
                      <a:ext cx="5330190" cy="7526655"/>
                    </a:xfrm>
                    <a:prstGeom prst="rect">
                      <a:avLst/>
                    </a:prstGeom>
                  </pic:spPr>
                </pic:pic>
              </a:graphicData>
            </a:graphic>
          </wp:inline>
        </w:drawing>
      </w:r>
    </w:p>
    <w:p w14:paraId="64713CDA">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eastAsiaTheme="minorEastAsia"/>
          <w:b w:val="0"/>
          <w:bCs/>
          <w:lang w:eastAsia="zh-CN"/>
        </w:rPr>
      </w:pPr>
      <w:r>
        <w:rPr>
          <w:rFonts w:hint="default" w:ascii="Times New Roman Bold" w:hAnsi="Times New Roman Bold" w:eastAsia="宋体" w:cs="Times New Roman Bold"/>
          <w:b/>
          <w:bCs/>
          <w:kern w:val="2"/>
          <w:sz w:val="21"/>
          <w:szCs w:val="21"/>
          <w:lang w:val="en-US" w:eastAsia="zh-CN" w:bidi="ar"/>
        </w:rPr>
        <w:t>Supplementary Figure S</w:t>
      </w:r>
      <w:r>
        <w:rPr>
          <w:rFonts w:hint="eastAsia" w:ascii="Times New Roman Bold" w:hAnsi="Times New Roman Bold" w:eastAsia="宋体" w:cs="Times New Roman Bold"/>
          <w:b/>
          <w:bCs/>
          <w:kern w:val="2"/>
          <w:sz w:val="21"/>
          <w:szCs w:val="21"/>
          <w:lang w:val="en-US" w:eastAsia="zh-CN" w:bidi="ar"/>
        </w:rPr>
        <w:t>4</w:t>
      </w:r>
      <w:r>
        <w:rPr>
          <w:rFonts w:ascii="Times New Roman" w:hAnsi="Times New Roman" w:cs="Times New Roman"/>
          <w:b/>
          <w:sz w:val="21"/>
          <w:szCs w:val="21"/>
        </w:rPr>
        <w:t xml:space="preserve"> </w:t>
      </w:r>
      <w:r>
        <w:rPr>
          <w:rFonts w:hint="eastAsia" w:ascii="Times New Roman" w:hAnsi="Times New Roman" w:cs="Times New Roman"/>
          <w:b w:val="0"/>
          <w:bCs/>
          <w:sz w:val="21"/>
          <w:szCs w:val="21"/>
          <w:lang w:val="en-US" w:eastAsia="zh-CN"/>
        </w:rPr>
        <w:t xml:space="preserve">The </w:t>
      </w:r>
      <w:r>
        <w:rPr>
          <w:rFonts w:ascii="Times New Roman" w:hAnsi="Times New Roman" w:cs="Times New Roman"/>
          <w:b w:val="0"/>
          <w:bCs/>
          <w:color w:val="auto"/>
        </w:rPr>
        <w:t>smFRET analyses of DNA unwrapping and translocation induced by Chd1. (</w:t>
      </w:r>
      <w:r>
        <w:rPr>
          <w:rFonts w:hint="eastAsia" w:ascii="Times New Roman" w:hAnsi="Times New Roman" w:cs="Times New Roman"/>
          <w:b w:val="0"/>
          <w:bCs/>
          <w:color w:val="auto"/>
          <w:lang w:val="en-US" w:eastAsia="zh-CN"/>
        </w:rPr>
        <w:t>a</w:t>
      </w:r>
      <w:r>
        <w:rPr>
          <w:rFonts w:ascii="Times New Roman" w:hAnsi="Times New Roman" w:cs="Times New Roman"/>
          <w:b w:val="0"/>
          <w:bCs/>
          <w:color w:val="auto"/>
        </w:rPr>
        <w:t xml:space="preserve">) Representative fluorescence (color-coded) and FRET (grey) trace curves showing Cy5 intensity decrease and Cy3 increase (Cy3-Cy5 anti-correlation, left panel), and diminished fluorescence of a Cy5 fluorophore (right panel) upon </w:t>
      </w:r>
      <w:r>
        <w:rPr>
          <w:rFonts w:hint="eastAsia" w:ascii="Times New Roman" w:hAnsi="Times New Roman" w:cs="Times New Roman"/>
          <w:b w:val="0"/>
          <w:bCs/>
          <w:color w:val="auto"/>
          <w:lang w:val="en-US" w:eastAsia="zh-CN"/>
        </w:rPr>
        <w:t xml:space="preserve">the </w:t>
      </w:r>
      <w:r>
        <w:rPr>
          <w:rFonts w:ascii="Times New Roman" w:hAnsi="Times New Roman" w:cs="Times New Roman"/>
          <w:b w:val="0"/>
          <w:bCs/>
          <w:color w:val="auto"/>
        </w:rPr>
        <w:t>addition of Chd1. The samples were excited with the 532 nm laser. (</w:t>
      </w:r>
      <w:r>
        <w:rPr>
          <w:rFonts w:hint="eastAsia" w:ascii="Times New Roman" w:hAnsi="Times New Roman" w:cs="Times New Roman"/>
          <w:b w:val="0"/>
          <w:bCs/>
          <w:color w:val="auto"/>
          <w:lang w:val="en-US" w:eastAsia="zh-CN"/>
        </w:rPr>
        <w:t>b</w:t>
      </w:r>
      <w:r>
        <w:rPr>
          <w:rFonts w:ascii="Times New Roman" w:hAnsi="Times New Roman" w:cs="Times New Roman"/>
          <w:b w:val="0"/>
          <w:bCs/>
          <w:color w:val="auto"/>
        </w:rPr>
        <w:t>) Labeling scheme of three</w:t>
      </w:r>
      <w:r>
        <w:rPr>
          <w:rFonts w:hint="eastAsia" w:ascii="Times New Roman" w:hAnsi="Times New Roman" w:cs="Times New Roman"/>
          <w:b w:val="0"/>
          <w:bCs/>
          <w:color w:val="auto"/>
          <w:lang w:val="en-US" w:eastAsia="zh-CN"/>
        </w:rPr>
        <w:t>-</w:t>
      </w:r>
      <w:r>
        <w:rPr>
          <w:rFonts w:ascii="Times New Roman" w:hAnsi="Times New Roman" w:cs="Times New Roman"/>
          <w:b w:val="0"/>
          <w:bCs/>
          <w:color w:val="auto"/>
        </w:rPr>
        <w:t>color smFRET. Alexa488 (cyan) at the base of 145; Cy3 (green) placed at H2A K119C; Cy5 (red) at phosphate 21 of the tracking strand, and the positions before and after DNA translocation towards the dyad are indicated. (</w:t>
      </w:r>
      <w:r>
        <w:rPr>
          <w:rFonts w:hint="eastAsia" w:ascii="Times New Roman" w:hAnsi="Times New Roman" w:cs="Times New Roman"/>
          <w:b w:val="0"/>
          <w:bCs/>
          <w:color w:val="auto"/>
          <w:lang w:val="en-US" w:eastAsia="zh-CN"/>
        </w:rPr>
        <w:t>c</w:t>
      </w:r>
      <w:r>
        <w:rPr>
          <w:rFonts w:ascii="Times New Roman" w:hAnsi="Times New Roman" w:cs="Times New Roman"/>
          <w:b w:val="0"/>
          <w:bCs/>
          <w:color w:val="auto"/>
        </w:rPr>
        <w:t>) Representative fluorescence (color-coded) and FRET (grey) trace curves (left), and Alexa488-Cy3 FRET distributions (right) of the unperturbed nucleosome. The samples were excited with the 488 nm laser. (</w:t>
      </w:r>
      <w:r>
        <w:rPr>
          <w:rFonts w:hint="eastAsia" w:ascii="Times New Roman" w:hAnsi="Times New Roman" w:cs="Times New Roman"/>
          <w:b w:val="0"/>
          <w:bCs/>
          <w:color w:val="auto"/>
          <w:lang w:val="en-US" w:eastAsia="zh-CN"/>
        </w:rPr>
        <w:t>d</w:t>
      </w:r>
      <w:r>
        <w:rPr>
          <w:rFonts w:ascii="Times New Roman" w:hAnsi="Times New Roman" w:cs="Times New Roman"/>
          <w:b w:val="0"/>
          <w:bCs/>
          <w:color w:val="auto"/>
        </w:rPr>
        <w:t>) Representative fluorescence (color-coded) and FRET (grey) trace curves (left), and Cy3-Cy5 FRET distributions (right) of the unperturbed nucleosome. The samples were excited with the 532 nm laser. Each histogram was built from &gt;150 traces collected, and fit with Gaussian distributions. (</w:t>
      </w:r>
      <w:r>
        <w:rPr>
          <w:rFonts w:hint="eastAsia" w:ascii="Times New Roman" w:hAnsi="Times New Roman" w:cs="Times New Roman"/>
          <w:b w:val="0"/>
          <w:bCs/>
          <w:color w:val="auto"/>
          <w:lang w:val="en-US" w:eastAsia="zh-CN"/>
        </w:rPr>
        <w:t>e</w:t>
      </w:r>
      <w:r>
        <w:rPr>
          <w:rFonts w:ascii="Times New Roman" w:hAnsi="Times New Roman" w:cs="Times New Roman"/>
          <w:b w:val="0"/>
          <w:bCs/>
          <w:color w:val="auto"/>
        </w:rPr>
        <w:t>) Heterogeneity of the samples.</w:t>
      </w:r>
      <w:r>
        <w:rPr>
          <w:rFonts w:ascii="Arial" w:hAnsi="Arial" w:cs="Arial"/>
          <w:b w:val="0"/>
          <w:bCs/>
          <w:color w:val="auto"/>
          <w:kern w:val="24"/>
          <w:sz w:val="20"/>
          <w:szCs w:val="20"/>
        </w:rPr>
        <w:t xml:space="preserve"> </w:t>
      </w:r>
      <w:r>
        <w:rPr>
          <w:rFonts w:ascii="Times New Roman" w:hAnsi="Times New Roman" w:cs="Times New Roman"/>
          <w:b w:val="0"/>
          <w:bCs/>
          <w:color w:val="auto"/>
          <w:kern w:val="24"/>
        </w:rPr>
        <w:t xml:space="preserve">The samples with </w:t>
      </w:r>
      <w:r>
        <w:rPr>
          <w:rFonts w:ascii="Times New Roman" w:hAnsi="Times New Roman" w:cs="Times New Roman"/>
          <w:b w:val="0"/>
          <w:bCs/>
          <w:color w:val="auto"/>
        </w:rPr>
        <w:t>Cy3 attached to the H2A subunit proximal to the FRET acceptor Cy5 on the DNA (colored purple) were selected for further analysis of the FRET distributions, a fraction of which showed increased Cy3-Cy5 FRET signals as illustrated in panel (</w:t>
      </w:r>
      <w:r>
        <w:rPr>
          <w:rFonts w:hint="eastAsia" w:ascii="Times New Roman" w:hAnsi="Times New Roman" w:cs="Times New Roman"/>
          <w:b w:val="0"/>
          <w:bCs/>
          <w:color w:val="auto"/>
          <w:lang w:val="en-US" w:eastAsia="zh-CN"/>
        </w:rPr>
        <w:t>i</w:t>
      </w:r>
      <w:r>
        <w:rPr>
          <w:rFonts w:ascii="Times New Roman" w:hAnsi="Times New Roman" w:cs="Times New Roman"/>
          <w:b w:val="0"/>
          <w:bCs/>
          <w:color w:val="auto"/>
        </w:rPr>
        <w:t>). The samples with Cy3 attached to the H2A subunit distal to Cy5 (blue), both H2A subunit labelled by Cy3 (red), no</w:t>
      </w:r>
      <w:r>
        <w:rPr>
          <w:rFonts w:hint="eastAsia" w:ascii="Times New Roman" w:hAnsi="Times New Roman" w:cs="Times New Roman"/>
          <w:b w:val="0"/>
          <w:bCs/>
          <w:color w:val="auto"/>
          <w:lang w:val="en-US" w:eastAsia="zh-CN"/>
        </w:rPr>
        <w:t>t</w:t>
      </w:r>
      <w:r>
        <w:rPr>
          <w:rFonts w:ascii="Times New Roman" w:hAnsi="Times New Roman" w:cs="Times New Roman"/>
          <w:b w:val="0"/>
          <w:bCs/>
          <w:color w:val="auto"/>
        </w:rPr>
        <w:t xml:space="preserve"> labelled by Alexa488 or quenching (green), and FRET value rising (orange) were excluded for further analysis. Left panel, 1869 traces in total, related to Fig. 5</w:t>
      </w:r>
      <w:r>
        <w:rPr>
          <w:rFonts w:hint="eastAsia" w:ascii="Times New Roman" w:hAnsi="Times New Roman" w:cs="Times New Roman"/>
          <w:b w:val="0"/>
          <w:bCs/>
          <w:color w:val="auto"/>
          <w:lang w:val="en-US" w:eastAsia="zh-CN"/>
        </w:rPr>
        <w:t>c</w:t>
      </w:r>
      <w:r>
        <w:rPr>
          <w:rFonts w:ascii="Times New Roman" w:hAnsi="Times New Roman" w:cs="Times New Roman"/>
          <w:b w:val="0"/>
          <w:bCs/>
          <w:color w:val="auto"/>
        </w:rPr>
        <w:t xml:space="preserve"> and 5</w:t>
      </w:r>
      <w:r>
        <w:rPr>
          <w:rFonts w:hint="eastAsia" w:ascii="Times New Roman" w:hAnsi="Times New Roman" w:cs="Times New Roman"/>
          <w:b w:val="0"/>
          <w:bCs/>
          <w:color w:val="auto"/>
          <w:lang w:val="en-US" w:eastAsia="zh-CN"/>
        </w:rPr>
        <w:t>d</w:t>
      </w:r>
      <w:r>
        <w:rPr>
          <w:rFonts w:ascii="Times New Roman" w:hAnsi="Times New Roman" w:cs="Times New Roman"/>
          <w:b w:val="0"/>
          <w:bCs/>
          <w:color w:val="auto"/>
        </w:rPr>
        <w:t>; right panel, 2275 traces in total, related to Fig. 5</w:t>
      </w:r>
      <w:r>
        <w:rPr>
          <w:rFonts w:hint="eastAsia" w:ascii="Times New Roman" w:hAnsi="Times New Roman" w:cs="Times New Roman"/>
          <w:b w:val="0"/>
          <w:bCs/>
          <w:color w:val="auto"/>
          <w:lang w:val="en-US" w:eastAsia="zh-CN"/>
        </w:rPr>
        <w:t>e</w:t>
      </w:r>
      <w:r>
        <w:rPr>
          <w:rFonts w:ascii="Times New Roman" w:hAnsi="Times New Roman" w:cs="Times New Roman"/>
          <w:b w:val="0"/>
          <w:bCs/>
          <w:color w:val="auto"/>
        </w:rPr>
        <w:t xml:space="preserve"> and 5</w:t>
      </w:r>
      <w:r>
        <w:rPr>
          <w:rFonts w:hint="eastAsia" w:ascii="Times New Roman" w:hAnsi="Times New Roman" w:cs="Times New Roman"/>
          <w:b w:val="0"/>
          <w:bCs/>
          <w:color w:val="auto"/>
          <w:lang w:val="en-US" w:eastAsia="zh-CN"/>
        </w:rPr>
        <w:t>f</w:t>
      </w:r>
      <w:r>
        <w:rPr>
          <w:rFonts w:ascii="Times New Roman" w:hAnsi="Times New Roman" w:cs="Times New Roman"/>
          <w:b w:val="0"/>
          <w:bCs/>
          <w:color w:val="auto"/>
        </w:rPr>
        <w:t>. (</w:t>
      </w:r>
      <w:r>
        <w:rPr>
          <w:rFonts w:hint="eastAsia" w:ascii="Times New Roman" w:hAnsi="Times New Roman" w:cs="Times New Roman"/>
          <w:b w:val="0"/>
          <w:bCs/>
          <w:color w:val="auto"/>
          <w:lang w:val="en-US" w:eastAsia="zh-CN"/>
        </w:rPr>
        <w:t>f</w:t>
      </w:r>
      <w:r>
        <w:rPr>
          <w:rFonts w:ascii="Times New Roman" w:hAnsi="Times New Roman" w:cs="Times New Roman"/>
          <w:b w:val="0"/>
          <w:bCs/>
          <w:color w:val="auto"/>
        </w:rPr>
        <w:t>) Cy3-Cy5 FRET peak values with the Cy5 probe placed at different positions of the unperturbed nucleosome. (</w:t>
      </w:r>
      <w:r>
        <w:rPr>
          <w:rFonts w:hint="eastAsia" w:ascii="Times New Roman" w:hAnsi="Times New Roman" w:cs="Times New Roman"/>
          <w:b w:val="0"/>
          <w:bCs/>
          <w:color w:val="auto"/>
          <w:lang w:val="en-US" w:eastAsia="zh-CN"/>
        </w:rPr>
        <w:t>g</w:t>
      </w:r>
      <w:r>
        <w:rPr>
          <w:rFonts w:ascii="Times New Roman" w:hAnsi="Times New Roman" w:cs="Times New Roman"/>
          <w:b w:val="0"/>
          <w:bCs/>
          <w:color w:val="auto"/>
        </w:rPr>
        <w:t>) Repetitive movement due to the bidirectional DNA translocation. (</w:t>
      </w:r>
      <w:r>
        <w:rPr>
          <w:rFonts w:hint="eastAsia" w:ascii="Times New Roman" w:hAnsi="Times New Roman" w:cs="Times New Roman"/>
          <w:b w:val="0"/>
          <w:bCs/>
          <w:color w:val="auto"/>
          <w:lang w:val="en-US" w:eastAsia="zh-CN"/>
        </w:rPr>
        <w:t>h</w:t>
      </w:r>
      <w:r>
        <w:rPr>
          <w:rFonts w:ascii="Times New Roman" w:hAnsi="Times New Roman" w:cs="Times New Roman"/>
          <w:b w:val="0"/>
          <w:bCs/>
          <w:color w:val="auto"/>
        </w:rPr>
        <w:t>) A representative case showing DNA translocation (decreased Cy3-Cy5 FRET value) when the exit DNA was in the unwrapped state (low Alexa488-Cy3 FRET state). (</w:t>
      </w:r>
      <w:r>
        <w:rPr>
          <w:rFonts w:hint="eastAsia" w:ascii="Times New Roman" w:hAnsi="Times New Roman" w:cs="Times New Roman"/>
          <w:b w:val="0"/>
          <w:bCs/>
          <w:color w:val="auto"/>
          <w:lang w:val="en-US" w:eastAsia="zh-CN"/>
        </w:rPr>
        <w:t>i</w:t>
      </w:r>
      <w:r>
        <w:rPr>
          <w:rFonts w:ascii="Times New Roman" w:hAnsi="Times New Roman" w:cs="Times New Roman"/>
          <w:b w:val="0"/>
          <w:bCs/>
          <w:color w:val="auto"/>
        </w:rPr>
        <w:t>) A case showing Chd1 (colored grey) bound at SHL-2 and translocated the DNA to a direction opposite to that in Fig. 5</w:t>
      </w:r>
      <w:r>
        <w:rPr>
          <w:rFonts w:hint="eastAsia" w:ascii="Times New Roman" w:hAnsi="Times New Roman" w:cs="Times New Roman"/>
          <w:b w:val="0"/>
          <w:bCs/>
          <w:color w:val="auto"/>
          <w:lang w:val="en-US" w:eastAsia="zh-CN"/>
        </w:rPr>
        <w:t>f</w:t>
      </w:r>
      <w:r>
        <w:rPr>
          <w:rFonts w:ascii="Times New Roman" w:hAnsi="Times New Roman" w:cs="Times New Roman"/>
          <w:b w:val="0"/>
          <w:bCs/>
          <w:color w:val="auto"/>
        </w:rPr>
        <w:t xml:space="preserve">. </w:t>
      </w:r>
    </w:p>
    <w:p w14:paraId="7C970B9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4187825" cy="4069080"/>
            <wp:effectExtent l="0" t="0" r="3175" b="7620"/>
            <wp:docPr id="5" name="图片 5" descr="Supplementary Figure 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upplementary Figure S5"/>
                    <pic:cNvPicPr>
                      <a:picLocks noChangeAspect="1"/>
                    </pic:cNvPicPr>
                  </pic:nvPicPr>
                  <pic:blipFill>
                    <a:blip r:embed="rId8"/>
                    <a:stretch>
                      <a:fillRect/>
                    </a:stretch>
                  </pic:blipFill>
                  <pic:spPr>
                    <a:xfrm>
                      <a:off x="0" y="0"/>
                      <a:ext cx="4187825" cy="4069080"/>
                    </a:xfrm>
                    <a:prstGeom prst="rect">
                      <a:avLst/>
                    </a:prstGeom>
                  </pic:spPr>
                </pic:pic>
              </a:graphicData>
            </a:graphic>
          </wp:inline>
        </w:drawing>
      </w:r>
    </w:p>
    <w:p w14:paraId="597393E0">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bCs w:val="0"/>
          <w:lang w:val="en-US" w:eastAsia="zh-CN"/>
        </w:rPr>
        <w:t>Supplementary Figure S5</w:t>
      </w:r>
      <w:r>
        <w:rPr>
          <w:rFonts w:hint="eastAsia" w:ascii="Times New Roman" w:hAnsi="Times New Roman" w:cs="Times New Roman" w:eastAsiaTheme="minorEastAsia"/>
          <w:b w:val="0"/>
          <w:bCs/>
          <w:lang w:eastAsia="zh-CN"/>
        </w:rPr>
        <w:t xml:space="preserve"> Biochemical analyses of the EDBL mutants. (</w:t>
      </w:r>
      <w:r>
        <w:rPr>
          <w:rFonts w:hint="eastAsia" w:ascii="Times New Roman" w:hAnsi="Times New Roman" w:cs="Times New Roman" w:eastAsiaTheme="minorEastAsia"/>
          <w:b w:val="0"/>
          <w:bCs/>
          <w:lang w:val="en-US" w:eastAsia="zh-CN"/>
        </w:rPr>
        <w:t>a</w:t>
      </w:r>
      <w:r>
        <w:rPr>
          <w:rFonts w:hint="eastAsia" w:ascii="Times New Roman" w:hAnsi="Times New Roman" w:cs="Times New Roman" w:eastAsiaTheme="minorEastAsia"/>
          <w:b w:val="0"/>
          <w:bCs/>
          <w:lang w:eastAsia="zh-CN"/>
        </w:rPr>
        <w:t>) Nucleosome binding of WT and 4E mutant with increasing concentrations of Chd1. Representative gels and the quantification of the binding efficiency were shown. With higher concentrations of Chd1, a heterogeneous population of the protein-bound NCP appeared, and the bound nucleosomes were indicated by the line on the left. K</w:t>
      </w:r>
      <w:r>
        <w:rPr>
          <w:rFonts w:hint="eastAsia" w:ascii="Times New Roman" w:hAnsi="Times New Roman" w:cs="Times New Roman" w:eastAsiaTheme="minorEastAsia"/>
          <w:b w:val="0"/>
          <w:bCs/>
          <w:vertAlign w:val="subscript"/>
          <w:lang w:eastAsia="zh-CN"/>
        </w:rPr>
        <w:t>d</w:t>
      </w:r>
      <w:r>
        <w:rPr>
          <w:rFonts w:hint="eastAsia" w:ascii="Times New Roman" w:hAnsi="Times New Roman" w:cs="Times New Roman" w:eastAsiaTheme="minorEastAsia"/>
          <w:b w:val="0"/>
          <w:bCs/>
          <w:lang w:eastAsia="zh-CN"/>
        </w:rPr>
        <w:t xml:space="preserve"> of WT and 4E, which were estimated from the protein concentration at 50% saturation (dash line), were 50, 45 n</w:t>
      </w:r>
      <w:r>
        <w:rPr>
          <w:rFonts w:hint="eastAsia" w:ascii="Times New Roman" w:hAnsi="Times New Roman" w:cs="Times New Roman"/>
          <w:b w:val="0"/>
          <w:bCs/>
          <w:lang w:val="en-US" w:eastAsia="zh-CN"/>
        </w:rPr>
        <w:t>mol/L</w:t>
      </w:r>
      <w:r>
        <w:rPr>
          <w:rFonts w:hint="eastAsia" w:ascii="Times New Roman" w:hAnsi="Times New Roman" w:cs="Times New Roman" w:eastAsiaTheme="minorEastAsia"/>
          <w:b w:val="0"/>
          <w:bCs/>
          <w:lang w:eastAsia="zh-CN"/>
        </w:rPr>
        <w:t xml:space="preserve">, respectively. Error bars indicate </w:t>
      </w:r>
      <w:r>
        <w:rPr>
          <w:rFonts w:hint="eastAsia" w:ascii="Times New Roman" w:hAnsi="Times New Roman" w:cs="Times New Roman"/>
          <w:b w:val="0"/>
          <w:bCs/>
          <w:lang w:val="en-US" w:eastAsia="zh-CN"/>
        </w:rPr>
        <w:t>SD</w:t>
      </w:r>
      <w:r>
        <w:rPr>
          <w:rFonts w:hint="eastAsia" w:ascii="Times New Roman" w:hAnsi="Times New Roman" w:cs="Times New Roman" w:eastAsiaTheme="minorEastAsia"/>
          <w:b w:val="0"/>
          <w:bCs/>
          <w:lang w:eastAsia="zh-CN"/>
        </w:rPr>
        <w:t xml:space="preserve"> of the means (</w:t>
      </w:r>
      <w:r>
        <w:rPr>
          <w:rFonts w:hint="eastAsia" w:ascii="Times New Roman" w:hAnsi="Times New Roman" w:cs="Times New Roman" w:eastAsiaTheme="minorEastAsia"/>
          <w:b w:val="0"/>
          <w:bCs/>
          <w:i/>
          <w:iCs/>
          <w:lang w:eastAsia="zh-CN"/>
        </w:rPr>
        <w:t>n</w:t>
      </w:r>
      <w:r>
        <w:rPr>
          <w:rFonts w:hint="eastAsia" w:ascii="Times New Roman" w:hAnsi="Times New Roman" w:cs="Times New Roman"/>
          <w:b w:val="0"/>
          <w:bCs/>
          <w:i/>
          <w:iCs/>
          <w:lang w:val="en-US" w:eastAsia="zh-CN"/>
        </w:rPr>
        <w:t xml:space="preserve"> </w:t>
      </w:r>
      <w:r>
        <w:rPr>
          <w:rFonts w:hint="eastAsia" w:ascii="Times New Roman" w:hAnsi="Times New Roman" w:cs="Times New Roman" w:eastAsiaTheme="minorEastAsia"/>
          <w:b w:val="0"/>
          <w:bCs/>
          <w:lang w:eastAsia="zh-CN"/>
        </w:rPr>
        <w:t>=</w:t>
      </w:r>
      <w:r>
        <w:rPr>
          <w:rFonts w:hint="eastAsia" w:ascii="Times New Roman" w:hAnsi="Times New Roman" w:cs="Times New Roman"/>
          <w:b w:val="0"/>
          <w:bCs/>
          <w:lang w:val="en-US" w:eastAsia="zh-CN"/>
        </w:rPr>
        <w:t xml:space="preserve"> </w:t>
      </w:r>
      <w:r>
        <w:rPr>
          <w:rFonts w:hint="eastAsia" w:ascii="Times New Roman" w:hAnsi="Times New Roman" w:cs="Times New Roman" w:eastAsiaTheme="minorEastAsia"/>
          <w:b w:val="0"/>
          <w:bCs/>
          <w:lang w:eastAsia="zh-CN"/>
        </w:rPr>
        <w:t>3 independent experiments). (</w:t>
      </w:r>
      <w:r>
        <w:rPr>
          <w:rFonts w:hint="eastAsia" w:ascii="Times New Roman" w:hAnsi="Times New Roman" w:cs="Times New Roman" w:eastAsiaTheme="minorEastAsia"/>
          <w:b w:val="0"/>
          <w:bCs/>
          <w:lang w:val="en-US" w:eastAsia="zh-CN"/>
        </w:rPr>
        <w:t>b</w:t>
      </w:r>
      <w:r>
        <w:rPr>
          <w:rFonts w:hint="eastAsia" w:ascii="Times New Roman" w:hAnsi="Times New Roman" w:cs="Times New Roman" w:eastAsiaTheme="minorEastAsia"/>
          <w:b w:val="0"/>
          <w:bCs/>
          <w:lang w:eastAsia="zh-CN"/>
        </w:rPr>
        <w:t xml:space="preserve">) ATPase activities of the WT and 4E mutant. The real-time reaction rate curves (left, inset showed the early reactions) and the relative ATPase activity (right) </w:t>
      </w:r>
      <w:r>
        <w:rPr>
          <w:rFonts w:hint="eastAsia" w:ascii="Times New Roman" w:hAnsi="Times New Roman" w:cs="Times New Roman"/>
          <w:b w:val="0"/>
          <w:bCs/>
          <w:lang w:val="en-US" w:eastAsia="zh-CN"/>
        </w:rPr>
        <w:t>are</w:t>
      </w:r>
      <w:r>
        <w:rPr>
          <w:rFonts w:hint="eastAsia" w:ascii="Times New Roman" w:hAnsi="Times New Roman" w:cs="Times New Roman" w:eastAsiaTheme="minorEastAsia"/>
          <w:b w:val="0"/>
          <w:bCs/>
          <w:lang w:eastAsia="zh-CN"/>
        </w:rPr>
        <w:t xml:space="preserve"> shown. The relative activities were calculated using the basal ATPase activity of the WT enzyme in the buffer as the reference. Error bars indicate </w:t>
      </w:r>
      <w:r>
        <w:rPr>
          <w:rFonts w:hint="eastAsia" w:ascii="Times New Roman" w:hAnsi="Times New Roman" w:cs="Times New Roman"/>
          <w:b w:val="0"/>
          <w:bCs/>
          <w:lang w:val="en-US" w:eastAsia="zh-CN"/>
        </w:rPr>
        <w:t>SD</w:t>
      </w:r>
      <w:r>
        <w:rPr>
          <w:rFonts w:hint="eastAsia" w:ascii="Times New Roman" w:hAnsi="Times New Roman" w:cs="Times New Roman" w:eastAsiaTheme="minorEastAsia"/>
          <w:b w:val="0"/>
          <w:bCs/>
          <w:lang w:eastAsia="zh-CN"/>
        </w:rPr>
        <w:t xml:space="preserve"> of the means (</w:t>
      </w:r>
      <w:r>
        <w:rPr>
          <w:rFonts w:hint="eastAsia" w:ascii="Times New Roman" w:hAnsi="Times New Roman" w:cs="Times New Roman" w:eastAsiaTheme="minorEastAsia"/>
          <w:b w:val="0"/>
          <w:bCs/>
          <w:i/>
          <w:iCs/>
          <w:lang w:eastAsia="zh-CN"/>
        </w:rPr>
        <w:t>n</w:t>
      </w:r>
      <w:r>
        <w:rPr>
          <w:rFonts w:hint="eastAsia" w:ascii="Times New Roman" w:hAnsi="Times New Roman" w:cs="Times New Roman"/>
          <w:b w:val="0"/>
          <w:bCs/>
          <w:i/>
          <w:iCs/>
          <w:lang w:val="en-US" w:eastAsia="zh-CN"/>
        </w:rPr>
        <w:t xml:space="preserve"> </w:t>
      </w:r>
      <w:r>
        <w:rPr>
          <w:rFonts w:hint="eastAsia" w:ascii="Times New Roman" w:hAnsi="Times New Roman" w:cs="Times New Roman" w:eastAsiaTheme="minorEastAsia"/>
          <w:b w:val="0"/>
          <w:bCs/>
          <w:lang w:eastAsia="zh-CN"/>
        </w:rPr>
        <w:t>=</w:t>
      </w:r>
      <w:r>
        <w:rPr>
          <w:rFonts w:hint="eastAsia" w:ascii="Times New Roman" w:hAnsi="Times New Roman" w:cs="Times New Roman"/>
          <w:b w:val="0"/>
          <w:bCs/>
          <w:lang w:val="en-US" w:eastAsia="zh-CN"/>
        </w:rPr>
        <w:t xml:space="preserve"> </w:t>
      </w:r>
      <w:r>
        <w:rPr>
          <w:rFonts w:hint="eastAsia" w:ascii="Times New Roman" w:hAnsi="Times New Roman" w:cs="Times New Roman" w:eastAsiaTheme="minorEastAsia"/>
          <w:b w:val="0"/>
          <w:bCs/>
          <w:lang w:eastAsia="zh-CN"/>
        </w:rPr>
        <w:t>3 independent experiments). (</w:t>
      </w:r>
      <w:r>
        <w:rPr>
          <w:rFonts w:hint="eastAsia" w:ascii="Times New Roman" w:hAnsi="Times New Roman" w:cs="Times New Roman" w:eastAsiaTheme="minorEastAsia"/>
          <w:b w:val="0"/>
          <w:bCs/>
          <w:lang w:val="en-US" w:eastAsia="zh-CN"/>
        </w:rPr>
        <w:t>c</w:t>
      </w:r>
      <w:r>
        <w:rPr>
          <w:rFonts w:hint="eastAsia" w:ascii="Times New Roman" w:hAnsi="Times New Roman" w:cs="Times New Roman" w:eastAsiaTheme="minorEastAsia"/>
          <w:b w:val="0"/>
          <w:bCs/>
          <w:lang w:eastAsia="zh-CN"/>
        </w:rPr>
        <w:t xml:space="preserve">) Nucleosome centering activity of the WT and 4A mutant. Representative gels and the quantification of the fraction of the substrate got remodeled </w:t>
      </w:r>
      <w:r>
        <w:rPr>
          <w:rFonts w:hint="eastAsia" w:ascii="Times New Roman" w:hAnsi="Times New Roman" w:cs="Times New Roman"/>
          <w:b w:val="0"/>
          <w:bCs/>
          <w:lang w:val="en-US" w:eastAsia="zh-CN"/>
        </w:rPr>
        <w:t>are</w:t>
      </w:r>
      <w:r>
        <w:rPr>
          <w:rFonts w:hint="eastAsia" w:ascii="Times New Roman" w:hAnsi="Times New Roman" w:cs="Times New Roman" w:eastAsiaTheme="minorEastAsia"/>
          <w:b w:val="0"/>
          <w:bCs/>
          <w:lang w:eastAsia="zh-CN"/>
        </w:rPr>
        <w:t xml:space="preserve"> shown. Error bars indicate </w:t>
      </w:r>
      <w:r>
        <w:rPr>
          <w:rFonts w:hint="eastAsia" w:ascii="Times New Roman" w:hAnsi="Times New Roman" w:cs="Times New Roman"/>
          <w:b w:val="0"/>
          <w:bCs/>
          <w:lang w:val="en-US" w:eastAsia="zh-CN"/>
        </w:rPr>
        <w:t>SD</w:t>
      </w:r>
      <w:r>
        <w:rPr>
          <w:rFonts w:hint="eastAsia" w:ascii="Times New Roman" w:hAnsi="Times New Roman" w:cs="Times New Roman" w:eastAsiaTheme="minorEastAsia"/>
          <w:b w:val="0"/>
          <w:bCs/>
          <w:lang w:eastAsia="zh-CN"/>
        </w:rPr>
        <w:t xml:space="preserve"> of the means (</w:t>
      </w:r>
      <w:r>
        <w:rPr>
          <w:rFonts w:hint="eastAsia" w:ascii="Times New Roman" w:hAnsi="Times New Roman" w:cs="Times New Roman" w:eastAsiaTheme="minorEastAsia"/>
          <w:b w:val="0"/>
          <w:bCs/>
          <w:i/>
          <w:iCs/>
          <w:lang w:eastAsia="zh-CN"/>
        </w:rPr>
        <w:t>n</w:t>
      </w:r>
      <w:r>
        <w:rPr>
          <w:rFonts w:hint="eastAsia" w:ascii="Times New Roman" w:hAnsi="Times New Roman" w:cs="Times New Roman"/>
          <w:b w:val="0"/>
          <w:bCs/>
          <w:lang w:val="en-US" w:eastAsia="zh-CN"/>
        </w:rPr>
        <w:t xml:space="preserve"> </w:t>
      </w:r>
      <w:r>
        <w:rPr>
          <w:rFonts w:hint="eastAsia" w:ascii="Times New Roman" w:hAnsi="Times New Roman" w:cs="Times New Roman" w:eastAsiaTheme="minorEastAsia"/>
          <w:b w:val="0"/>
          <w:bCs/>
          <w:lang w:eastAsia="zh-CN"/>
        </w:rPr>
        <w:t>=</w:t>
      </w:r>
      <w:r>
        <w:rPr>
          <w:rFonts w:hint="eastAsia" w:ascii="Times New Roman" w:hAnsi="Times New Roman" w:cs="Times New Roman"/>
          <w:b w:val="0"/>
          <w:bCs/>
          <w:lang w:val="en-US" w:eastAsia="zh-CN"/>
        </w:rPr>
        <w:t xml:space="preserve"> </w:t>
      </w:r>
      <w:r>
        <w:rPr>
          <w:rFonts w:hint="eastAsia" w:ascii="Times New Roman" w:hAnsi="Times New Roman" w:cs="Times New Roman" w:eastAsiaTheme="minorEastAsia"/>
          <w:b w:val="0"/>
          <w:bCs/>
          <w:lang w:eastAsia="zh-CN"/>
        </w:rPr>
        <w:t xml:space="preserve">3 independent experiments). Initial reaction rates estimated by fitting the data are indicated. </w:t>
      </w:r>
    </w:p>
    <w:p w14:paraId="4D33B4D8">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5125720" cy="6708775"/>
            <wp:effectExtent l="0" t="0" r="5080" b="9525"/>
            <wp:docPr id="6" name="图片 6" descr="Supplementary Figure 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upplementary Figure S6"/>
                    <pic:cNvPicPr>
                      <a:picLocks noChangeAspect="1"/>
                    </pic:cNvPicPr>
                  </pic:nvPicPr>
                  <pic:blipFill>
                    <a:blip r:embed="rId9"/>
                    <a:stretch>
                      <a:fillRect/>
                    </a:stretch>
                  </pic:blipFill>
                  <pic:spPr>
                    <a:xfrm>
                      <a:off x="0" y="0"/>
                      <a:ext cx="5125720" cy="6708775"/>
                    </a:xfrm>
                    <a:prstGeom prst="rect">
                      <a:avLst/>
                    </a:prstGeom>
                  </pic:spPr>
                </pic:pic>
              </a:graphicData>
            </a:graphic>
          </wp:inline>
        </w:drawing>
      </w:r>
    </w:p>
    <w:p w14:paraId="1F3C567F">
      <w:pPr>
        <w:pStyle w:val="11"/>
        <w:spacing w:line="480" w:lineRule="auto"/>
        <w:jc w:val="both"/>
        <w:rPr>
          <w:rFonts w:ascii="Times New Roman" w:hAnsi="Times New Roman"/>
          <w:b w:val="0"/>
          <w:bCs w:val="0"/>
          <w:color w:val="auto"/>
          <w:sz w:val="24"/>
          <w:szCs w:val="24"/>
        </w:rPr>
      </w:pPr>
      <w:r>
        <w:rPr>
          <w:rFonts w:hint="default" w:ascii="Times New Roman Bold" w:hAnsi="Times New Roman Bold" w:eastAsia="宋体" w:cs="Times New Roman Bold"/>
          <w:b/>
          <w:bCs/>
          <w:kern w:val="2"/>
          <w:sz w:val="21"/>
          <w:szCs w:val="21"/>
          <w:lang w:val="en-US" w:eastAsia="zh-CN" w:bidi="ar"/>
        </w:rPr>
        <w:t>Supplementary Figure S</w:t>
      </w:r>
      <w:r>
        <w:rPr>
          <w:rFonts w:hint="eastAsia" w:ascii="Times New Roman Bold" w:hAnsi="Times New Roman Bold" w:eastAsia="宋体" w:cs="Times New Roman Bold"/>
          <w:b/>
          <w:bCs/>
          <w:kern w:val="2"/>
          <w:sz w:val="21"/>
          <w:szCs w:val="21"/>
          <w:lang w:val="en-US" w:eastAsia="zh-CN" w:bidi="ar"/>
        </w:rPr>
        <w:t>6</w:t>
      </w:r>
      <w:r>
        <w:rPr>
          <w:rFonts w:ascii="Times New Roman" w:hAnsi="Times New Roman"/>
          <w:b/>
          <w:sz w:val="21"/>
          <w:szCs w:val="21"/>
        </w:rPr>
        <w:t xml:space="preserve"> </w:t>
      </w:r>
      <w:r>
        <w:rPr>
          <w:rFonts w:ascii="Times New Roman" w:hAnsi="Times New Roman"/>
          <w:b w:val="0"/>
          <w:bCs w:val="0"/>
          <w:color w:val="auto"/>
          <w:sz w:val="21"/>
          <w:szCs w:val="21"/>
        </w:rPr>
        <w:t>Flowchart of CryoEM data processing of the Chd1-nucleosome complex in the ADP state.</w:t>
      </w:r>
      <w:r>
        <w:rPr>
          <w:rFonts w:eastAsia="Times New Roman"/>
          <w:b w:val="0"/>
          <w:bCs w:val="0"/>
          <w:color w:val="auto"/>
          <w:kern w:val="24"/>
          <w:sz w:val="21"/>
          <w:szCs w:val="21"/>
        </w:rPr>
        <w:t xml:space="preserve"> </w:t>
      </w:r>
      <w:r>
        <w:rPr>
          <w:rFonts w:ascii="Times New Roman" w:hAnsi="Times New Roman" w:eastAsia="Times New Roman"/>
          <w:b w:val="0"/>
          <w:bCs w:val="0"/>
          <w:color w:val="auto"/>
          <w:kern w:val="24"/>
          <w:sz w:val="21"/>
          <w:szCs w:val="21"/>
        </w:rPr>
        <w:t>(</w:t>
      </w:r>
      <w:r>
        <w:rPr>
          <w:rFonts w:hint="eastAsia" w:ascii="Times New Roman" w:hAnsi="Times New Roman" w:eastAsia="宋体"/>
          <w:b w:val="0"/>
          <w:bCs w:val="0"/>
          <w:color w:val="auto"/>
          <w:kern w:val="24"/>
          <w:sz w:val="21"/>
          <w:szCs w:val="21"/>
          <w:lang w:val="en-US" w:eastAsia="zh-CN"/>
        </w:rPr>
        <w:t>a</w:t>
      </w:r>
      <w:r>
        <w:rPr>
          <w:rFonts w:ascii="Times New Roman" w:hAnsi="Times New Roman" w:eastAsia="Times New Roman"/>
          <w:b w:val="0"/>
          <w:bCs w:val="0"/>
          <w:color w:val="auto"/>
          <w:kern w:val="24"/>
          <w:sz w:val="21"/>
          <w:szCs w:val="21"/>
        </w:rPr>
        <w:t xml:space="preserve">) </w:t>
      </w:r>
      <w:r>
        <w:rPr>
          <w:rFonts w:ascii="Times New Roman" w:hAnsi="Times New Roman"/>
          <w:b w:val="0"/>
          <w:bCs w:val="0"/>
          <w:color w:val="auto"/>
          <w:sz w:val="21"/>
          <w:szCs w:val="21"/>
        </w:rPr>
        <w:t>Representative micrograph of CryoEM sample. (</w:t>
      </w:r>
      <w:r>
        <w:rPr>
          <w:rFonts w:hint="eastAsia" w:ascii="Times New Roman" w:hAnsi="Times New Roman"/>
          <w:b w:val="0"/>
          <w:bCs w:val="0"/>
          <w:color w:val="auto"/>
          <w:sz w:val="21"/>
          <w:szCs w:val="21"/>
          <w:lang w:val="en-US" w:eastAsia="zh-CN"/>
        </w:rPr>
        <w:t>b</w:t>
      </w:r>
      <w:r>
        <w:rPr>
          <w:rFonts w:ascii="Times New Roman" w:hAnsi="Times New Roman"/>
          <w:b w:val="0"/>
          <w:bCs w:val="0"/>
          <w:color w:val="auto"/>
          <w:sz w:val="21"/>
          <w:szCs w:val="21"/>
        </w:rPr>
        <w:t>) FFT of image in (</w:t>
      </w:r>
      <w:r>
        <w:rPr>
          <w:rFonts w:hint="eastAsia" w:ascii="Times New Roman" w:hAnsi="Times New Roman"/>
          <w:b w:val="0"/>
          <w:bCs w:val="0"/>
          <w:color w:val="auto"/>
          <w:sz w:val="21"/>
          <w:szCs w:val="21"/>
          <w:lang w:val="en-US" w:eastAsia="zh-CN"/>
        </w:rPr>
        <w:t>a</w:t>
      </w:r>
      <w:r>
        <w:rPr>
          <w:rFonts w:ascii="Times New Roman" w:hAnsi="Times New Roman"/>
          <w:b w:val="0"/>
          <w:bCs w:val="0"/>
          <w:color w:val="auto"/>
          <w:sz w:val="21"/>
          <w:szCs w:val="21"/>
        </w:rPr>
        <w:t>) with the Thon rings extending to ~3.5 Å. (</w:t>
      </w:r>
      <w:r>
        <w:rPr>
          <w:rFonts w:hint="eastAsia" w:ascii="Times New Roman" w:hAnsi="Times New Roman"/>
          <w:b w:val="0"/>
          <w:bCs w:val="0"/>
          <w:color w:val="auto"/>
          <w:sz w:val="21"/>
          <w:szCs w:val="21"/>
          <w:lang w:val="en-US" w:eastAsia="zh-CN"/>
        </w:rPr>
        <w:t>c</w:t>
      </w:r>
      <w:r>
        <w:rPr>
          <w:rFonts w:ascii="Times New Roman" w:hAnsi="Times New Roman"/>
          <w:b w:val="0"/>
          <w:bCs w:val="0"/>
          <w:color w:val="auto"/>
          <w:sz w:val="21"/>
          <w:szCs w:val="21"/>
        </w:rPr>
        <w:t>) 2D class averages of characteristic projection views of CryoEM particles. (</w:t>
      </w:r>
      <w:r>
        <w:rPr>
          <w:rFonts w:hint="eastAsia" w:ascii="Times New Roman" w:hAnsi="Times New Roman"/>
          <w:b w:val="0"/>
          <w:bCs w:val="0"/>
          <w:color w:val="auto"/>
          <w:sz w:val="21"/>
          <w:szCs w:val="21"/>
          <w:lang w:val="en-US" w:eastAsia="zh-CN"/>
        </w:rPr>
        <w:t>d</w:t>
      </w:r>
      <w:r>
        <w:rPr>
          <w:rFonts w:ascii="Times New Roman" w:hAnsi="Times New Roman"/>
          <w:b w:val="0"/>
          <w:bCs w:val="0"/>
          <w:color w:val="auto"/>
          <w:sz w:val="21"/>
          <w:szCs w:val="21"/>
        </w:rPr>
        <w:t>) Flowchart of CryoEM data processing. (</w:t>
      </w:r>
      <w:r>
        <w:rPr>
          <w:rFonts w:hint="eastAsia" w:ascii="Times New Roman" w:hAnsi="Times New Roman"/>
          <w:b w:val="0"/>
          <w:bCs w:val="0"/>
          <w:color w:val="auto"/>
          <w:sz w:val="21"/>
          <w:szCs w:val="21"/>
          <w:lang w:val="en-US" w:eastAsia="zh-CN"/>
        </w:rPr>
        <w:t>e</w:t>
      </w:r>
      <w:r>
        <w:rPr>
          <w:rFonts w:ascii="Times New Roman" w:hAnsi="Times New Roman"/>
          <w:b w:val="0"/>
          <w:bCs w:val="0"/>
          <w:color w:val="auto"/>
          <w:sz w:val="21"/>
          <w:szCs w:val="21"/>
        </w:rPr>
        <w:t xml:space="preserve">) The </w:t>
      </w:r>
      <w:r>
        <w:rPr>
          <w:rFonts w:hint="default" w:ascii="Times New Roman" w:hAnsi="Times New Roman"/>
          <w:b w:val="0"/>
          <w:bCs w:val="0"/>
          <w:color w:val="auto"/>
          <w:sz w:val="21"/>
          <w:szCs w:val="21"/>
          <w:lang w:val="en-US" w:eastAsia="zh-CN"/>
        </w:rPr>
        <w:t>“</w:t>
      </w:r>
      <w:r>
        <w:rPr>
          <w:rFonts w:ascii="Times New Roman" w:hAnsi="Times New Roman"/>
          <w:b w:val="0"/>
          <w:bCs w:val="0"/>
          <w:color w:val="auto"/>
          <w:sz w:val="21"/>
          <w:szCs w:val="21"/>
        </w:rPr>
        <w:t>gold-standard</w:t>
      </w:r>
      <w:r>
        <w:rPr>
          <w:rFonts w:hint="default" w:ascii="Times New Roman" w:hAnsi="Times New Roman"/>
          <w:b w:val="0"/>
          <w:bCs w:val="0"/>
          <w:color w:val="auto"/>
          <w:sz w:val="21"/>
          <w:szCs w:val="21"/>
          <w:lang w:val="en-US" w:eastAsia="zh-CN"/>
        </w:rPr>
        <w:t>”</w:t>
      </w:r>
      <w:r>
        <w:rPr>
          <w:rFonts w:ascii="Times New Roman" w:hAnsi="Times New Roman"/>
          <w:b w:val="0"/>
          <w:bCs w:val="0"/>
          <w:color w:val="auto"/>
          <w:sz w:val="21"/>
          <w:szCs w:val="21"/>
        </w:rPr>
        <w:t xml:space="preserve"> FSC curves calculated between two halves of datasets for the complexes.</w:t>
      </w:r>
      <w:r>
        <w:rPr>
          <w:rFonts w:hint="eastAsia" w:ascii="Times New Roman" w:hAnsi="Times New Roman"/>
          <w:b w:val="0"/>
          <w:bCs w:val="0"/>
          <w:color w:val="auto"/>
          <w:sz w:val="21"/>
          <w:szCs w:val="21"/>
        </w:rPr>
        <w:t xml:space="preserve"> (</w:t>
      </w:r>
      <w:r>
        <w:rPr>
          <w:rFonts w:hint="eastAsia" w:ascii="Times New Roman" w:hAnsi="Times New Roman"/>
          <w:b w:val="0"/>
          <w:bCs w:val="0"/>
          <w:color w:val="auto"/>
          <w:sz w:val="21"/>
          <w:szCs w:val="21"/>
          <w:lang w:val="en-US" w:eastAsia="zh-CN"/>
        </w:rPr>
        <w:t>f</w:t>
      </w:r>
      <w:r>
        <w:rPr>
          <w:rFonts w:hint="eastAsia" w:ascii="Times New Roman" w:hAnsi="Times New Roman"/>
          <w:b w:val="0"/>
          <w:bCs w:val="0"/>
          <w:color w:val="auto"/>
          <w:sz w:val="21"/>
          <w:szCs w:val="21"/>
        </w:rPr>
        <w:t xml:space="preserve">) </w:t>
      </w:r>
      <w:r>
        <w:rPr>
          <w:rFonts w:ascii="Times New Roman" w:hAnsi="Times New Roman"/>
          <w:b w:val="0"/>
          <w:bCs w:val="0"/>
          <w:color w:val="auto"/>
          <w:sz w:val="21"/>
          <w:szCs w:val="21"/>
        </w:rPr>
        <w:t>Angular distribution of particle projections of the</w:t>
      </w:r>
      <w:r>
        <w:rPr>
          <w:rFonts w:hint="eastAsia" w:ascii="Times New Roman" w:hAnsi="Times New Roman"/>
          <w:b w:val="0"/>
          <w:bCs w:val="0"/>
          <w:color w:val="auto"/>
          <w:sz w:val="21"/>
          <w:szCs w:val="21"/>
        </w:rPr>
        <w:t xml:space="preserve"> </w:t>
      </w:r>
      <w:r>
        <w:rPr>
          <w:rFonts w:ascii="Times New Roman" w:hAnsi="Times New Roman"/>
          <w:b w:val="0"/>
          <w:bCs w:val="0"/>
          <w:color w:val="auto"/>
          <w:sz w:val="21"/>
          <w:szCs w:val="21"/>
        </w:rPr>
        <w:t>Chd1-nucleosome complex in the ADP state</w:t>
      </w:r>
      <w:r>
        <w:rPr>
          <w:rFonts w:hint="eastAsia" w:ascii="Times New Roman" w:hAnsi="Times New Roman"/>
          <w:b w:val="0"/>
          <w:bCs w:val="0"/>
          <w:color w:val="auto"/>
          <w:sz w:val="21"/>
          <w:szCs w:val="21"/>
        </w:rPr>
        <w:t>.</w:t>
      </w:r>
    </w:p>
    <w:p w14:paraId="47A101B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4032250" cy="4437380"/>
            <wp:effectExtent l="0" t="0" r="6350" b="7620"/>
            <wp:docPr id="7" name="图片 7" descr="Supplementary Figure 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Supplementary Figure S7"/>
                    <pic:cNvPicPr>
                      <a:picLocks noChangeAspect="1"/>
                    </pic:cNvPicPr>
                  </pic:nvPicPr>
                  <pic:blipFill>
                    <a:blip r:embed="rId10"/>
                    <a:stretch>
                      <a:fillRect/>
                    </a:stretch>
                  </pic:blipFill>
                  <pic:spPr>
                    <a:xfrm>
                      <a:off x="0" y="0"/>
                      <a:ext cx="4032250" cy="4437380"/>
                    </a:xfrm>
                    <a:prstGeom prst="rect">
                      <a:avLst/>
                    </a:prstGeom>
                  </pic:spPr>
                </pic:pic>
              </a:graphicData>
            </a:graphic>
          </wp:inline>
        </w:drawing>
      </w:r>
    </w:p>
    <w:p w14:paraId="71116444">
      <w:pPr>
        <w:pStyle w:val="12"/>
        <w:spacing w:line="480" w:lineRule="auto"/>
        <w:jc w:val="both"/>
        <w:rPr>
          <w:rFonts w:ascii="Times New Roman" w:hAnsi="Times New Roman" w:cs="Times New Roman"/>
          <w:bCs/>
        </w:rPr>
      </w:pPr>
      <w:r>
        <w:rPr>
          <w:rFonts w:hint="default" w:ascii="Times New Roman Bold" w:hAnsi="Times New Roman Bold" w:eastAsia="宋体" w:cs="Times New Roman Bold"/>
          <w:b/>
          <w:bCs/>
          <w:kern w:val="2"/>
          <w:sz w:val="21"/>
          <w:szCs w:val="21"/>
          <w:lang w:val="en-US" w:eastAsia="zh-CN" w:bidi="ar"/>
        </w:rPr>
        <w:t>Supplementary Figure S</w:t>
      </w:r>
      <w:r>
        <w:rPr>
          <w:rFonts w:hint="eastAsia" w:ascii="Times New Roman Bold" w:hAnsi="Times New Roman Bold" w:eastAsia="宋体" w:cs="Times New Roman Bold"/>
          <w:b/>
          <w:bCs/>
          <w:kern w:val="2"/>
          <w:sz w:val="21"/>
          <w:szCs w:val="21"/>
          <w:lang w:val="en-US" w:eastAsia="zh-CN" w:bidi="ar"/>
        </w:rPr>
        <w:t xml:space="preserve">7 </w:t>
      </w:r>
      <w:r>
        <w:rPr>
          <w:rFonts w:ascii="Times New Roman" w:hAnsi="Times New Roman" w:cs="Times New Roman"/>
          <w:b w:val="0"/>
          <w:bCs/>
          <w:sz w:val="21"/>
          <w:szCs w:val="21"/>
        </w:rPr>
        <w:t>Density maps of the Chd1-nucleosome complexes in the ADP-bound state. (</w:t>
      </w:r>
      <w:r>
        <w:rPr>
          <w:rFonts w:hint="eastAsia" w:ascii="Times New Roman" w:hAnsi="Times New Roman" w:cs="Times New Roman"/>
          <w:b w:val="0"/>
          <w:bCs/>
          <w:sz w:val="21"/>
          <w:szCs w:val="21"/>
          <w:lang w:val="en-US" w:eastAsia="zh-CN"/>
        </w:rPr>
        <w:t>a</w:t>
      </w:r>
      <w:r>
        <w:rPr>
          <w:rFonts w:ascii="Times New Roman" w:hAnsi="Times New Roman" w:cs="Times New Roman"/>
          <w:b w:val="0"/>
          <w:bCs/>
          <w:sz w:val="21"/>
          <w:szCs w:val="21"/>
        </w:rPr>
        <w:t>) Two different views of the overall map. (</w:t>
      </w:r>
      <w:r>
        <w:rPr>
          <w:rFonts w:hint="eastAsia" w:ascii="Times New Roman" w:hAnsi="Times New Roman" w:cs="Times New Roman"/>
          <w:b w:val="0"/>
          <w:bCs/>
          <w:sz w:val="21"/>
          <w:szCs w:val="21"/>
          <w:lang w:val="en-US" w:eastAsia="zh-CN"/>
        </w:rPr>
        <w:t>b</w:t>
      </w:r>
      <w:r>
        <w:rPr>
          <w:rFonts w:ascii="Times New Roman" w:hAnsi="Times New Roman" w:cs="Times New Roman"/>
          <w:b w:val="0"/>
          <w:bCs/>
          <w:sz w:val="21"/>
          <w:szCs w:val="21"/>
        </w:rPr>
        <w:t>) Local maps of the DNA. (</w:t>
      </w:r>
      <w:r>
        <w:rPr>
          <w:rFonts w:hint="eastAsia" w:ascii="Times New Roman" w:hAnsi="Times New Roman" w:cs="Times New Roman"/>
          <w:b w:val="0"/>
          <w:bCs/>
          <w:sz w:val="21"/>
          <w:szCs w:val="21"/>
          <w:lang w:val="en-US" w:eastAsia="zh-CN"/>
        </w:rPr>
        <w:t>c</w:t>
      </w:r>
      <w:r>
        <w:rPr>
          <w:rFonts w:ascii="Times New Roman" w:hAnsi="Times New Roman" w:cs="Times New Roman"/>
          <w:b w:val="0"/>
          <w:bCs/>
          <w:sz w:val="21"/>
          <w:szCs w:val="21"/>
        </w:rPr>
        <w:t>) Local map of the motor domains. (</w:t>
      </w:r>
      <w:r>
        <w:rPr>
          <w:rFonts w:hint="eastAsia" w:ascii="Times New Roman" w:hAnsi="Times New Roman" w:cs="Times New Roman"/>
          <w:b w:val="0"/>
          <w:bCs/>
          <w:sz w:val="21"/>
          <w:szCs w:val="21"/>
          <w:lang w:val="en-US" w:eastAsia="zh-CN"/>
        </w:rPr>
        <w:t>d</w:t>
      </w:r>
      <w:r>
        <w:rPr>
          <w:rFonts w:ascii="Times New Roman" w:hAnsi="Times New Roman" w:cs="Times New Roman"/>
          <w:b w:val="0"/>
          <w:bCs/>
          <w:sz w:val="21"/>
          <w:szCs w:val="21"/>
        </w:rPr>
        <w:t>) Local map of the bound ADP.</w:t>
      </w:r>
      <w:r>
        <w:rPr>
          <w:rFonts w:ascii="Times New Roman" w:hAnsi="Times New Roman" w:cs="Times New Roman"/>
          <w:b w:val="0"/>
          <w:bCs/>
        </w:rPr>
        <w:t xml:space="preserve"> </w:t>
      </w:r>
    </w:p>
    <w:p w14:paraId="6F5755F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4071620" cy="3178810"/>
            <wp:effectExtent l="0" t="0" r="0" b="8890"/>
            <wp:docPr id="8" name="图片 8" descr="Supplementary Figure 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upplementary Figure S8"/>
                    <pic:cNvPicPr>
                      <a:picLocks noChangeAspect="1"/>
                    </pic:cNvPicPr>
                  </pic:nvPicPr>
                  <pic:blipFill>
                    <a:blip r:embed="rId11"/>
                    <a:stretch>
                      <a:fillRect/>
                    </a:stretch>
                  </pic:blipFill>
                  <pic:spPr>
                    <a:xfrm>
                      <a:off x="0" y="0"/>
                      <a:ext cx="4071620" cy="3178810"/>
                    </a:xfrm>
                    <a:prstGeom prst="rect">
                      <a:avLst/>
                    </a:prstGeom>
                  </pic:spPr>
                </pic:pic>
              </a:graphicData>
            </a:graphic>
          </wp:inline>
        </w:drawing>
      </w:r>
    </w:p>
    <w:p w14:paraId="68AC5F7E">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bCs w:val="0"/>
          <w:lang w:val="en-US" w:eastAsia="zh-CN"/>
        </w:rPr>
        <w:t>Supplementary Figure S8</w:t>
      </w:r>
      <w:r>
        <w:rPr>
          <w:rFonts w:hint="eastAsia" w:ascii="Times New Roman" w:hAnsi="Times New Roman" w:cs="Times New Roman" w:eastAsiaTheme="minorEastAsia"/>
          <w:b w:val="0"/>
          <w:bCs/>
          <w:lang w:eastAsia="zh-CN"/>
        </w:rPr>
        <w:t xml:space="preserve"> Conformational switches of the motor domains within an ATPase cycle (</w:t>
      </w:r>
      <w:r>
        <w:rPr>
          <w:rFonts w:hint="eastAsia" w:ascii="Times New Roman" w:hAnsi="Times New Roman" w:cs="Times New Roman" w:eastAsiaTheme="minorEastAsia"/>
          <w:b w:val="0"/>
          <w:bCs/>
          <w:lang w:val="en-US" w:eastAsia="zh-CN"/>
        </w:rPr>
        <w:t>a</w:t>
      </w:r>
      <w:r>
        <w:rPr>
          <w:rFonts w:hint="eastAsia" w:ascii="Times New Roman" w:hAnsi="Times New Roman" w:cs="Times New Roman" w:eastAsiaTheme="minorEastAsia"/>
          <w:b w:val="0"/>
          <w:bCs/>
          <w:lang w:eastAsia="zh-CN"/>
        </w:rPr>
        <w:t>) Structural alignment of ISWI bound to the nucleosome complex in the ADP (color coded, PDB code 6IRO) and ADP-BeF</w:t>
      </w:r>
      <w:r>
        <w:rPr>
          <w:rFonts w:hint="eastAsia" w:ascii="Times New Roman" w:hAnsi="Times New Roman" w:cs="Times New Roman" w:eastAsiaTheme="minorEastAsia"/>
          <w:b w:val="0"/>
          <w:bCs/>
          <w:vertAlign w:val="subscript"/>
          <w:lang w:eastAsia="zh-CN"/>
        </w:rPr>
        <w:t>x</w:t>
      </w:r>
      <w:r>
        <w:rPr>
          <w:rFonts w:hint="eastAsia" w:ascii="Times New Roman" w:hAnsi="Times New Roman" w:cs="Times New Roman" w:eastAsiaTheme="minorEastAsia"/>
          <w:b w:val="0"/>
          <w:bCs/>
          <w:lang w:eastAsia="zh-CN"/>
        </w:rPr>
        <w:t xml:space="preserve"> (color grey, PDB code 6JYL) bound states. The histone cores are aligned and omitted for clarity. (</w:t>
      </w:r>
      <w:r>
        <w:rPr>
          <w:rFonts w:hint="eastAsia" w:ascii="Times New Roman" w:hAnsi="Times New Roman" w:cs="Times New Roman" w:eastAsiaTheme="minorEastAsia"/>
          <w:b w:val="0"/>
          <w:bCs/>
          <w:lang w:val="en-US" w:eastAsia="zh-CN"/>
        </w:rPr>
        <w:t>b</w:t>
      </w:r>
      <w:r>
        <w:rPr>
          <w:rFonts w:hint="eastAsia" w:ascii="Times New Roman" w:hAnsi="Times New Roman" w:cs="Times New Roman" w:eastAsiaTheme="minorEastAsia"/>
          <w:b w:val="0"/>
          <w:bCs/>
          <w:lang w:eastAsia="zh-CN"/>
        </w:rPr>
        <w:t>) Structural alignment of Snf2 bound to the nucleosome complex in the ADP (color coded, PDB code 5Z3O) and ADP-BeF</w:t>
      </w:r>
      <w:r>
        <w:rPr>
          <w:rFonts w:hint="eastAsia" w:ascii="Times New Roman" w:hAnsi="Times New Roman" w:cs="Times New Roman" w:eastAsiaTheme="minorEastAsia"/>
          <w:b w:val="0"/>
          <w:bCs/>
          <w:vertAlign w:val="subscript"/>
          <w:lang w:eastAsia="zh-CN"/>
        </w:rPr>
        <w:t>x</w:t>
      </w:r>
      <w:r>
        <w:rPr>
          <w:rFonts w:hint="eastAsia" w:ascii="Times New Roman" w:hAnsi="Times New Roman" w:cs="Times New Roman" w:eastAsiaTheme="minorEastAsia"/>
          <w:b w:val="0"/>
          <w:bCs/>
          <w:lang w:eastAsia="zh-CN"/>
        </w:rPr>
        <w:t xml:space="preserve"> (color grey, PDB code 5Z3U) bound states. </w:t>
      </w:r>
    </w:p>
    <w:p w14:paraId="13BCC122">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5207000" cy="1974850"/>
            <wp:effectExtent l="0" t="0" r="0" b="6350"/>
            <wp:docPr id="9" name="图片 9" descr="Supplementary Figure 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upplementary Figure S9"/>
                    <pic:cNvPicPr>
                      <a:picLocks noChangeAspect="1"/>
                    </pic:cNvPicPr>
                  </pic:nvPicPr>
                  <pic:blipFill>
                    <a:blip r:embed="rId12"/>
                    <a:stretch>
                      <a:fillRect/>
                    </a:stretch>
                  </pic:blipFill>
                  <pic:spPr>
                    <a:xfrm>
                      <a:off x="0" y="0"/>
                      <a:ext cx="5207000" cy="1974850"/>
                    </a:xfrm>
                    <a:prstGeom prst="rect">
                      <a:avLst/>
                    </a:prstGeom>
                  </pic:spPr>
                </pic:pic>
              </a:graphicData>
            </a:graphic>
          </wp:inline>
        </w:drawing>
      </w:r>
    </w:p>
    <w:p w14:paraId="46EFDECF">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ascii="Times New Roman" w:hAnsi="Times New Roman" w:cs="Times New Roman"/>
          <w:b w:val="0"/>
          <w:bCs/>
        </w:rPr>
      </w:pPr>
      <w:r>
        <w:rPr>
          <w:rFonts w:hint="default" w:ascii="Times New Roman" w:hAnsi="Times New Roman" w:cs="Times New Roman"/>
          <w:b/>
          <w:bCs w:val="0"/>
          <w:lang w:val="en-US" w:eastAsia="zh-CN"/>
        </w:rPr>
        <w:t>Supplementary Figure S</w:t>
      </w:r>
      <w:r>
        <w:rPr>
          <w:rFonts w:hint="eastAsia" w:ascii="Times New Roman" w:hAnsi="Times New Roman" w:cs="Times New Roman"/>
          <w:b/>
          <w:bCs w:val="0"/>
          <w:lang w:val="en-US" w:eastAsia="zh-CN"/>
        </w:rPr>
        <w:t>9</w:t>
      </w:r>
      <w:r>
        <w:rPr>
          <w:rFonts w:ascii="Times New Roman" w:hAnsi="Times New Roman" w:cs="Times New Roman"/>
          <w:b w:val="0"/>
          <w:bCs/>
        </w:rPr>
        <w:t xml:space="preserve"> Examples of three-color smFRET traces before and after correction. Representative Cy3 (green), Cy5 (red), and Alexa488 (cyan) fluorescence time traces before and after corrections for Cy3 and Cy5 bleed through, direct excitation by 488 nm and 532 nm lasers, as well as for differences in fluorescence quantum yields and detection efficiencies between Cy3, Cy5</w:t>
      </w:r>
      <w:r>
        <w:rPr>
          <w:rFonts w:hint="eastAsia" w:ascii="Times New Roman" w:hAnsi="Times New Roman" w:cs="Times New Roman"/>
          <w:b w:val="0"/>
          <w:bCs/>
          <w:lang w:val="en-US" w:eastAsia="zh-CN"/>
        </w:rPr>
        <w:t>,</w:t>
      </w:r>
      <w:r>
        <w:rPr>
          <w:rFonts w:ascii="Times New Roman" w:hAnsi="Times New Roman" w:cs="Times New Roman"/>
          <w:b w:val="0"/>
          <w:bCs/>
        </w:rPr>
        <w:t xml:space="preserve"> and Alexa488. The corrected and raw traces for ADP-bound (</w:t>
      </w:r>
      <w:r>
        <w:rPr>
          <w:rFonts w:hint="eastAsia" w:ascii="Times New Roman" w:hAnsi="Times New Roman" w:cs="Times New Roman"/>
          <w:b w:val="0"/>
          <w:bCs/>
          <w:lang w:val="en-US" w:eastAsia="zh-CN"/>
        </w:rPr>
        <w:t>a and b</w:t>
      </w:r>
      <w:r>
        <w:rPr>
          <w:rFonts w:ascii="Times New Roman" w:hAnsi="Times New Roman" w:cs="Times New Roman"/>
          <w:b w:val="0"/>
          <w:bCs/>
        </w:rPr>
        <w:t>) and continuous ATP hydrolysis (</w:t>
      </w:r>
      <w:r>
        <w:rPr>
          <w:rFonts w:hint="eastAsia" w:ascii="Times New Roman" w:hAnsi="Times New Roman" w:cs="Times New Roman"/>
          <w:b w:val="0"/>
          <w:bCs/>
          <w:lang w:val="en-US" w:eastAsia="zh-CN"/>
        </w:rPr>
        <w:t>c and d</w:t>
      </w:r>
      <w:r>
        <w:rPr>
          <w:rFonts w:ascii="Times New Roman" w:hAnsi="Times New Roman" w:cs="Times New Roman"/>
          <w:b w:val="0"/>
          <w:bCs/>
        </w:rPr>
        <w:t>) conditions, related to Fig. 5</w:t>
      </w:r>
      <w:r>
        <w:rPr>
          <w:rFonts w:hint="eastAsia" w:ascii="Times New Roman" w:hAnsi="Times New Roman" w:cs="Times New Roman"/>
          <w:b w:val="0"/>
          <w:bCs/>
          <w:lang w:val="en-US" w:eastAsia="zh-CN"/>
        </w:rPr>
        <w:t>c</w:t>
      </w:r>
      <w:bookmarkStart w:id="0" w:name="OLE_LINK14"/>
      <w:bookmarkStart w:id="1" w:name="OLE_LINK27"/>
      <w:bookmarkStart w:id="2" w:name="OLE_LINK13"/>
      <w:bookmarkStart w:id="3" w:name="OLE_LINK28"/>
      <w:r>
        <w:rPr>
          <w:rFonts w:ascii="Times New Roman" w:hAnsi="Times New Roman" w:eastAsia="宋体" w:cs="Times New Roman"/>
        </w:rPr>
        <w:t>−</w:t>
      </w:r>
      <w:bookmarkEnd w:id="0"/>
      <w:bookmarkEnd w:id="1"/>
      <w:bookmarkEnd w:id="2"/>
      <w:bookmarkEnd w:id="3"/>
      <w:r>
        <w:rPr>
          <w:rFonts w:ascii="Times New Roman" w:hAnsi="Times New Roman" w:cs="Times New Roman"/>
          <w:b w:val="0"/>
          <w:bCs/>
        </w:rPr>
        <w:t>5</w:t>
      </w:r>
      <w:r>
        <w:rPr>
          <w:rFonts w:hint="eastAsia" w:ascii="Times New Roman" w:hAnsi="Times New Roman" w:cs="Times New Roman"/>
          <w:b w:val="0"/>
          <w:bCs/>
          <w:lang w:val="en-US" w:eastAsia="zh-CN"/>
        </w:rPr>
        <w:t>f</w:t>
      </w:r>
      <w:r>
        <w:rPr>
          <w:rFonts w:ascii="Times New Roman" w:hAnsi="Times New Roman" w:cs="Times New Roman"/>
          <w:b w:val="0"/>
          <w:bCs/>
        </w:rPr>
        <w:t>.</w:t>
      </w:r>
    </w:p>
    <w:p w14:paraId="3B0A535F">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val="0"/>
          <w:bCs/>
          <w:lang w:eastAsia="zh-CN"/>
        </w:rPr>
      </w:pPr>
      <w:r>
        <w:rPr>
          <w:rFonts w:hint="eastAsia" w:ascii="Times New Roman" w:hAnsi="Times New Roman" w:cs="Times New Roman" w:eastAsiaTheme="minorEastAsia"/>
          <w:b w:val="0"/>
          <w:bCs/>
          <w:lang w:eastAsia="zh-CN"/>
        </w:rPr>
        <w:drawing>
          <wp:inline distT="0" distB="0" distL="114300" distR="114300">
            <wp:extent cx="5946140" cy="1650365"/>
            <wp:effectExtent l="0" t="0" r="10160" b="635"/>
            <wp:docPr id="10" name="图片 10" descr="Supplementary Figure 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upplementary Figure S10"/>
                    <pic:cNvPicPr>
                      <a:picLocks noChangeAspect="1"/>
                    </pic:cNvPicPr>
                  </pic:nvPicPr>
                  <pic:blipFill>
                    <a:blip r:embed="rId13"/>
                    <a:stretch>
                      <a:fillRect/>
                    </a:stretch>
                  </pic:blipFill>
                  <pic:spPr>
                    <a:xfrm>
                      <a:off x="0" y="0"/>
                      <a:ext cx="5946140" cy="1650365"/>
                    </a:xfrm>
                    <a:prstGeom prst="rect">
                      <a:avLst/>
                    </a:prstGeom>
                  </pic:spPr>
                </pic:pic>
              </a:graphicData>
            </a:graphic>
          </wp:inline>
        </w:drawing>
      </w:r>
    </w:p>
    <w:p w14:paraId="78EA698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lang w:val="en-US" w:eastAsia="zh-CN"/>
        </w:rPr>
      </w:pPr>
      <w:r>
        <w:rPr>
          <w:rFonts w:hint="default" w:ascii="Times New Roman" w:hAnsi="Times New Roman" w:cs="Times New Roman"/>
          <w:b/>
          <w:bCs w:val="0"/>
          <w:lang w:val="en-US" w:eastAsia="zh-CN"/>
        </w:rPr>
        <w:t>Supplementary Figure S10</w:t>
      </w:r>
      <w:r>
        <w:rPr>
          <w:rFonts w:hint="default" w:ascii="Times New Roman" w:hAnsi="Times New Roman" w:cs="Times New Roman"/>
          <w:b w:val="0"/>
          <w:bCs/>
          <w:lang w:val="en-US" w:eastAsia="zh-CN"/>
        </w:rPr>
        <w:t xml:space="preserve"> Little interfer</w:t>
      </w:r>
      <w:r>
        <w:rPr>
          <w:rFonts w:hint="eastAsia" w:ascii="Times New Roman" w:hAnsi="Times New Roman" w:cs="Times New Roman"/>
          <w:b w:val="0"/>
          <w:bCs/>
          <w:lang w:val="en-US" w:eastAsia="zh-CN"/>
        </w:rPr>
        <w:t>ence</w:t>
      </w:r>
      <w:r>
        <w:rPr>
          <w:rFonts w:hint="default" w:ascii="Times New Roman" w:hAnsi="Times New Roman" w:cs="Times New Roman"/>
          <w:b w:val="0"/>
          <w:bCs/>
          <w:lang w:val="en-US" w:eastAsia="zh-CN"/>
        </w:rPr>
        <w:t xml:space="preserve"> of the ATPase and remodeling activities under the conditions </w:t>
      </w:r>
      <w:r>
        <w:rPr>
          <w:rFonts w:hint="eastAsia" w:ascii="Times New Roman" w:hAnsi="Times New Roman" w:cs="Times New Roman"/>
          <w:b w:val="0"/>
          <w:bCs/>
          <w:lang w:val="en-US" w:eastAsia="zh-CN"/>
        </w:rPr>
        <w:t xml:space="preserve">of </w:t>
      </w:r>
      <w:r>
        <w:rPr>
          <w:rFonts w:hint="default" w:ascii="Times New Roman" w:hAnsi="Times New Roman" w:cs="Times New Roman"/>
          <w:b w:val="0"/>
          <w:bCs/>
          <w:lang w:val="en-US" w:eastAsia="zh-CN"/>
        </w:rPr>
        <w:t>10 µ</w:t>
      </w:r>
      <w:r>
        <w:rPr>
          <w:rFonts w:hint="eastAsia" w:ascii="Times New Roman" w:hAnsi="Times New Roman" w:cs="Times New Roman"/>
          <w:b w:val="0"/>
          <w:bCs/>
          <w:lang w:val="en-US" w:eastAsia="zh-CN"/>
        </w:rPr>
        <w:t>mol/L</w:t>
      </w:r>
      <w:r>
        <w:rPr>
          <w:rFonts w:hint="default" w:ascii="Times New Roman" w:hAnsi="Times New Roman" w:cs="Times New Roman"/>
          <w:b w:val="0"/>
          <w:bCs/>
          <w:lang w:val="en-US" w:eastAsia="zh-CN"/>
        </w:rPr>
        <w:t xml:space="preserve"> ADP-BeFx and 3 m</w:t>
      </w:r>
      <w:r>
        <w:rPr>
          <w:rFonts w:hint="eastAsia" w:ascii="Times New Roman" w:hAnsi="Times New Roman" w:cs="Times New Roman"/>
          <w:b w:val="0"/>
          <w:bCs/>
          <w:lang w:val="en-US" w:eastAsia="zh-CN"/>
        </w:rPr>
        <w:t>mol/L</w:t>
      </w:r>
      <w:r>
        <w:rPr>
          <w:rFonts w:hint="default" w:ascii="Times New Roman" w:hAnsi="Times New Roman" w:cs="Times New Roman"/>
          <w:b w:val="0"/>
          <w:bCs/>
          <w:lang w:val="en-US" w:eastAsia="zh-CN"/>
        </w:rPr>
        <w:t xml:space="preserve"> ATP. (a) ATPase activities of Chd1 in the absence and presence of 10 µ</w:t>
      </w:r>
      <w:r>
        <w:rPr>
          <w:rFonts w:hint="eastAsia" w:ascii="Times New Roman" w:hAnsi="Times New Roman" w:cs="Times New Roman"/>
          <w:b w:val="0"/>
          <w:bCs/>
          <w:lang w:val="en-US" w:eastAsia="zh-CN"/>
        </w:rPr>
        <w:t>mol/L</w:t>
      </w:r>
      <w:r>
        <w:rPr>
          <w:rFonts w:hint="default" w:ascii="Times New Roman" w:hAnsi="Times New Roman" w:cs="Times New Roman"/>
          <w:b w:val="0"/>
          <w:bCs/>
          <w:lang w:val="en-US" w:eastAsia="zh-CN"/>
        </w:rPr>
        <w:t xml:space="preserve"> ADP-BeF</w:t>
      </w:r>
      <w:r>
        <w:rPr>
          <w:rFonts w:hint="default" w:ascii="Times New Roman" w:hAnsi="Times New Roman" w:cs="Times New Roman"/>
          <w:b w:val="0"/>
          <w:bCs/>
          <w:vertAlign w:val="subscript"/>
          <w:lang w:val="en-US" w:eastAsia="zh-CN"/>
        </w:rPr>
        <w:t>x</w:t>
      </w:r>
      <w:r>
        <w:rPr>
          <w:rFonts w:hint="default" w:ascii="Times New Roman" w:hAnsi="Times New Roman" w:cs="Times New Roman"/>
          <w:b w:val="0"/>
          <w:bCs/>
          <w:lang w:val="en-US" w:eastAsia="zh-CN"/>
        </w:rPr>
        <w:t xml:space="preserve">. Error bars indicate </w:t>
      </w:r>
      <w:r>
        <w:rPr>
          <w:rFonts w:hint="eastAsia" w:ascii="Times New Roman" w:hAnsi="Times New Roman" w:cs="Times New Roman"/>
          <w:b w:val="0"/>
          <w:bCs/>
          <w:lang w:val="en-US" w:eastAsia="zh-CN"/>
        </w:rPr>
        <w:t>SD</w:t>
      </w:r>
      <w:r>
        <w:rPr>
          <w:rFonts w:hint="default" w:ascii="Times New Roman" w:hAnsi="Times New Roman" w:cs="Times New Roman"/>
          <w:b w:val="0"/>
          <w:bCs/>
          <w:lang w:val="en-US" w:eastAsia="zh-CN"/>
        </w:rPr>
        <w:t xml:space="preserve"> of the means (</w:t>
      </w:r>
      <w:r>
        <w:rPr>
          <w:rFonts w:hint="default" w:ascii="Times New Roman" w:hAnsi="Times New Roman" w:cs="Times New Roman"/>
          <w:b w:val="0"/>
          <w:bCs/>
          <w:i/>
          <w:iCs/>
          <w:lang w:val="en-US" w:eastAsia="zh-CN"/>
        </w:rPr>
        <w:t>n</w:t>
      </w:r>
      <w:r>
        <w:rPr>
          <w:rFonts w:hint="eastAsia" w:ascii="Times New Roman" w:hAnsi="Times New Roman" w:cs="Times New Roman"/>
          <w:b w:val="0"/>
          <w:bCs/>
          <w:lang w:val="en-US" w:eastAsia="zh-CN"/>
        </w:rPr>
        <w:t xml:space="preserve"> </w:t>
      </w:r>
      <w:r>
        <w:rPr>
          <w:rFonts w:hint="default" w:ascii="Times New Roman" w:hAnsi="Times New Roman" w:cs="Times New Roman"/>
          <w:b w:val="0"/>
          <w:bCs/>
          <w:lang w:val="en-US" w:eastAsia="zh-CN"/>
        </w:rPr>
        <w:t>=</w:t>
      </w:r>
      <w:r>
        <w:rPr>
          <w:rFonts w:hint="eastAsia" w:ascii="Times New Roman" w:hAnsi="Times New Roman" w:cs="Times New Roman"/>
          <w:b w:val="0"/>
          <w:bCs/>
          <w:lang w:val="en-US" w:eastAsia="zh-CN"/>
        </w:rPr>
        <w:t xml:space="preserve"> </w:t>
      </w:r>
      <w:r>
        <w:rPr>
          <w:rFonts w:hint="default" w:ascii="Times New Roman" w:hAnsi="Times New Roman" w:cs="Times New Roman"/>
          <w:b w:val="0"/>
          <w:bCs/>
          <w:lang w:val="en-US" w:eastAsia="zh-CN"/>
        </w:rPr>
        <w:t>3 independent experiments). (b) Nucleosome sliding of Chd1 in the absence and presence of 10 µ</w:t>
      </w:r>
      <w:r>
        <w:rPr>
          <w:rFonts w:hint="eastAsia" w:ascii="Times New Roman" w:hAnsi="Times New Roman" w:cs="Times New Roman"/>
          <w:b w:val="0"/>
          <w:bCs/>
          <w:lang w:val="en-US" w:eastAsia="zh-CN"/>
        </w:rPr>
        <w:t>mol/L</w:t>
      </w:r>
      <w:r>
        <w:rPr>
          <w:rFonts w:hint="default" w:ascii="Times New Roman" w:hAnsi="Times New Roman" w:cs="Times New Roman"/>
          <w:b w:val="0"/>
          <w:bCs/>
          <w:lang w:val="en-US" w:eastAsia="zh-CN"/>
        </w:rPr>
        <w:t xml:space="preserve"> ADP-BeF</w:t>
      </w:r>
      <w:r>
        <w:rPr>
          <w:rFonts w:hint="default" w:ascii="Times New Roman" w:hAnsi="Times New Roman" w:cs="Times New Roman"/>
          <w:b w:val="0"/>
          <w:bCs/>
          <w:vertAlign w:val="subscript"/>
          <w:lang w:val="en-US" w:eastAsia="zh-CN"/>
        </w:rPr>
        <w:t>x</w:t>
      </w:r>
      <w:r>
        <w:rPr>
          <w:rFonts w:hint="default" w:ascii="Times New Roman" w:hAnsi="Times New Roman" w:cs="Times New Roman"/>
          <w:b w:val="0"/>
          <w:bCs/>
          <w:lang w:val="en-US" w:eastAsia="zh-CN"/>
        </w:rPr>
        <w:t xml:space="preserve">. Representative gels and the quantification of sliding efficiency were shown. Error bars indicate </w:t>
      </w:r>
      <w:r>
        <w:rPr>
          <w:rFonts w:hint="eastAsia" w:ascii="Times New Roman" w:hAnsi="Times New Roman" w:cs="Times New Roman"/>
          <w:b w:val="0"/>
          <w:bCs/>
          <w:lang w:val="en-US" w:eastAsia="zh-CN"/>
        </w:rPr>
        <w:t>SD</w:t>
      </w:r>
      <w:r>
        <w:rPr>
          <w:rFonts w:hint="default" w:ascii="Times New Roman" w:hAnsi="Times New Roman" w:cs="Times New Roman"/>
          <w:b w:val="0"/>
          <w:bCs/>
          <w:lang w:val="en-US" w:eastAsia="zh-CN"/>
        </w:rPr>
        <w:t xml:space="preserve"> of the means (</w:t>
      </w:r>
      <w:r>
        <w:rPr>
          <w:rFonts w:hint="default" w:ascii="Times New Roman" w:hAnsi="Times New Roman" w:cs="Times New Roman"/>
          <w:b w:val="0"/>
          <w:bCs/>
          <w:i/>
          <w:iCs/>
          <w:lang w:val="en-US" w:eastAsia="zh-CN"/>
        </w:rPr>
        <w:t>n</w:t>
      </w:r>
      <w:r>
        <w:rPr>
          <w:rFonts w:hint="eastAsia" w:ascii="Times New Roman" w:hAnsi="Times New Roman" w:cs="Times New Roman"/>
          <w:b w:val="0"/>
          <w:bCs/>
          <w:lang w:val="en-US" w:eastAsia="zh-CN"/>
        </w:rPr>
        <w:t xml:space="preserve"> </w:t>
      </w:r>
      <w:r>
        <w:rPr>
          <w:rFonts w:hint="default" w:ascii="Times New Roman" w:hAnsi="Times New Roman" w:cs="Times New Roman"/>
          <w:b w:val="0"/>
          <w:bCs/>
          <w:lang w:val="en-US" w:eastAsia="zh-CN"/>
        </w:rPr>
        <w:t>=</w:t>
      </w:r>
      <w:r>
        <w:rPr>
          <w:rFonts w:hint="eastAsia" w:ascii="Times New Roman" w:hAnsi="Times New Roman" w:cs="Times New Roman"/>
          <w:b w:val="0"/>
          <w:bCs/>
          <w:lang w:val="en-US" w:eastAsia="zh-CN"/>
        </w:rPr>
        <w:t xml:space="preserve"> </w:t>
      </w:r>
      <w:r>
        <w:rPr>
          <w:rFonts w:hint="default" w:ascii="Times New Roman" w:hAnsi="Times New Roman" w:cs="Times New Roman"/>
          <w:b w:val="0"/>
          <w:bCs/>
          <w:lang w:val="en-US" w:eastAsia="zh-CN"/>
        </w:rPr>
        <w:t>3 independent experiments). As in the smFRET assays, ATP was added at the last step to initiate the reaction.</w:t>
      </w:r>
    </w:p>
    <w:p w14:paraId="2114EA3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drawing>
          <wp:inline distT="0" distB="0" distL="114300" distR="114300">
            <wp:extent cx="4919345" cy="4610735"/>
            <wp:effectExtent l="0" t="0" r="8255" b="12065"/>
            <wp:docPr id="11" name="图片 11" descr="Supplementary Figure 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upplementary Figure S11"/>
                    <pic:cNvPicPr>
                      <a:picLocks noChangeAspect="1"/>
                    </pic:cNvPicPr>
                  </pic:nvPicPr>
                  <pic:blipFill>
                    <a:blip r:embed="rId14"/>
                    <a:stretch>
                      <a:fillRect/>
                    </a:stretch>
                  </pic:blipFill>
                  <pic:spPr>
                    <a:xfrm>
                      <a:off x="0" y="0"/>
                      <a:ext cx="4919345" cy="4610735"/>
                    </a:xfrm>
                    <a:prstGeom prst="rect">
                      <a:avLst/>
                    </a:prstGeom>
                  </pic:spPr>
                </pic:pic>
              </a:graphicData>
            </a:graphic>
          </wp:inline>
        </w:drawing>
      </w:r>
    </w:p>
    <w:p w14:paraId="2BE6EA89">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val="0"/>
          <w:bCs/>
          <w:lang w:val="en-US" w:eastAsia="zh-CN"/>
        </w:rPr>
      </w:pPr>
      <w:r>
        <w:rPr>
          <w:rFonts w:hint="default" w:ascii="Times New Roman" w:hAnsi="Times New Roman" w:cs="Times New Roman"/>
          <w:b/>
          <w:bCs w:val="0"/>
          <w:lang w:val="en-US" w:eastAsia="zh-CN"/>
        </w:rPr>
        <w:t>Supplementary Figure S11</w:t>
      </w:r>
      <w:r>
        <w:rPr>
          <w:rFonts w:hint="default" w:ascii="Times New Roman" w:hAnsi="Times New Roman" w:cs="Times New Roman"/>
          <w:b w:val="0"/>
          <w:bCs/>
          <w:lang w:val="en-US" w:eastAsia="zh-CN"/>
        </w:rPr>
        <w:t xml:space="preserve"> Examples of the MNase-seq results over several loci.</w:t>
      </w:r>
    </w:p>
    <w:tbl>
      <w:tblPr>
        <w:tblStyle w:val="6"/>
        <w:tblpPr w:leftFromText="180" w:rightFromText="180" w:vertAnchor="text" w:horzAnchor="page" w:tblpXSpec="center" w:tblpY="619"/>
        <w:tblOverlap w:val="never"/>
        <w:tblW w:w="8613" w:type="dxa"/>
        <w:jc w:val="center"/>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242"/>
        <w:gridCol w:w="7371"/>
      </w:tblGrid>
      <w:tr w14:paraId="698132B3">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00" w:hRule="atLeast"/>
          <w:jc w:val="center"/>
        </w:trPr>
        <w:tc>
          <w:tcPr>
            <w:tcW w:w="1242" w:type="dxa"/>
            <w:tcBorders>
              <w:tl2br w:val="nil"/>
              <w:tr2bl w:val="nil"/>
            </w:tcBorders>
            <w:noWrap/>
          </w:tcPr>
          <w:p w14:paraId="5147D3EA">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 xml:space="preserve">DNA </w:t>
            </w:r>
            <w:r>
              <w:rPr>
                <w:rFonts w:hint="eastAsia" w:ascii="Arial" w:hAnsi="Arial" w:cs="Arial"/>
                <w:b w:val="0"/>
                <w:bCs w:val="0"/>
                <w:lang w:val="en-US" w:eastAsia="zh-CN"/>
              </w:rPr>
              <w:t>n</w:t>
            </w:r>
            <w:r>
              <w:rPr>
                <w:rFonts w:hint="default" w:ascii="Arial" w:hAnsi="Arial" w:cs="Arial"/>
                <w:b w:val="0"/>
                <w:bCs w:val="0"/>
              </w:rPr>
              <w:t>ame</w:t>
            </w:r>
          </w:p>
        </w:tc>
        <w:tc>
          <w:tcPr>
            <w:tcW w:w="7371" w:type="dxa"/>
            <w:tcBorders>
              <w:tl2br w:val="nil"/>
              <w:tr2bl w:val="nil"/>
            </w:tcBorders>
            <w:noWrap/>
          </w:tcPr>
          <w:p w14:paraId="0C9180CC">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Sequence(5</w:t>
            </w:r>
            <w:r>
              <w:rPr>
                <w:rFonts w:hint="default" w:ascii="Arial" w:hAnsi="Arial" w:cs="Arial"/>
                <w:b w:val="0"/>
                <w:bCs w:val="0"/>
                <w:lang w:val="en-US" w:eastAsia="zh-CN"/>
              </w:rPr>
              <w:t>’</w:t>
            </w:r>
            <w:r>
              <w:rPr>
                <w:rFonts w:hint="default" w:ascii="Arial" w:hAnsi="Arial" w:cs="Arial"/>
                <w:b w:val="0"/>
                <w:bCs w:val="0"/>
              </w:rPr>
              <w:t>-3</w:t>
            </w:r>
            <w:r>
              <w:rPr>
                <w:rFonts w:hint="default" w:ascii="Arial" w:hAnsi="Arial" w:cs="Arial"/>
                <w:b w:val="0"/>
                <w:bCs w:val="0"/>
                <w:lang w:val="en-US" w:eastAsia="zh-CN"/>
              </w:rPr>
              <w:t>’</w:t>
            </w:r>
            <w:r>
              <w:rPr>
                <w:rFonts w:hint="default" w:ascii="Arial" w:hAnsi="Arial" w:cs="Arial"/>
                <w:b w:val="0"/>
                <w:bCs w:val="0"/>
              </w:rPr>
              <w:t>); the</w:t>
            </w:r>
            <w:r>
              <w:rPr>
                <w:rFonts w:hint="eastAsia" w:ascii="Arial" w:hAnsi="Arial" w:cs="Arial"/>
                <w:b w:val="0"/>
                <w:bCs w:val="0"/>
                <w:lang w:val="en-US" w:eastAsia="zh-CN"/>
              </w:rPr>
              <w:t xml:space="preserve"> </w:t>
            </w:r>
            <w:r>
              <w:rPr>
                <w:rFonts w:hint="default" w:ascii="Arial" w:hAnsi="Arial" w:cs="Arial"/>
                <w:b w:val="0"/>
                <w:bCs w:val="0"/>
                <w:lang w:val="en-US" w:eastAsia="zh-CN"/>
              </w:rPr>
              <w:t>“</w:t>
            </w:r>
            <w:r>
              <w:rPr>
                <w:rFonts w:hint="default" w:ascii="Arial" w:hAnsi="Arial" w:cs="Arial"/>
                <w:b w:val="0"/>
                <w:bCs w:val="0"/>
              </w:rPr>
              <w:t>601</w:t>
            </w:r>
            <w:r>
              <w:rPr>
                <w:rFonts w:hint="default" w:ascii="Arial" w:hAnsi="Arial" w:cs="Arial"/>
                <w:b w:val="0"/>
                <w:bCs w:val="0"/>
                <w:lang w:val="en-US" w:eastAsia="zh-CN"/>
              </w:rPr>
              <w:t>”</w:t>
            </w:r>
            <w:r>
              <w:rPr>
                <w:rFonts w:hint="eastAsia" w:ascii="Arial" w:hAnsi="Arial" w:cs="Arial"/>
                <w:b w:val="0"/>
                <w:bCs w:val="0"/>
                <w:lang w:val="en-US" w:eastAsia="zh-CN"/>
              </w:rPr>
              <w:t xml:space="preserve"> </w:t>
            </w:r>
            <w:bookmarkStart w:id="4" w:name="_GoBack"/>
            <w:bookmarkEnd w:id="4"/>
            <w:r>
              <w:rPr>
                <w:rFonts w:hint="default" w:ascii="Arial" w:hAnsi="Arial" w:cs="Arial"/>
                <w:b w:val="0"/>
                <w:bCs w:val="0"/>
              </w:rPr>
              <w:t>sequence is underlined</w:t>
            </w:r>
          </w:p>
        </w:tc>
      </w:tr>
      <w:tr w14:paraId="2004E519">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7E8EE83E">
            <w:pPr>
              <w:keepNext w:val="0"/>
              <w:keepLines w:val="0"/>
              <w:suppressLineNumbers w:val="0"/>
              <w:spacing w:before="0" w:beforeAutospacing="0" w:after="0" w:afterAutospacing="0"/>
              <w:ind w:left="0" w:right="0"/>
              <w:jc w:val="center"/>
              <w:rPr>
                <w:rFonts w:hint="default" w:ascii="Arial" w:hAnsi="Arial" w:cs="Arial"/>
                <w:b w:val="0"/>
                <w:bCs w:val="0"/>
              </w:rPr>
            </w:pPr>
          </w:p>
          <w:p w14:paraId="1B886AE1">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167-DNA</w:t>
            </w:r>
          </w:p>
        </w:tc>
        <w:tc>
          <w:tcPr>
            <w:tcW w:w="7371" w:type="dxa"/>
            <w:vMerge w:val="restart"/>
            <w:tcBorders>
              <w:tl2br w:val="nil"/>
              <w:tr2bl w:val="nil"/>
            </w:tcBorders>
          </w:tcPr>
          <w:p w14:paraId="10ACEED0">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u w:val="single"/>
              </w:rPr>
              <w:t>CTGGAGAATCCCGGTGCCGAGGCCGCTCAATTGGTCGTAGACAGCTCTAGCACCGCTTAAACGCACGTACGCGCTGTCCCCCGCGTTTTAACCGCCAAGGGGATTACTCCCTAGTCTCCAGGCACGTGTCAGATATATACATCCTGA</w:t>
            </w:r>
            <w:r>
              <w:rPr>
                <w:rFonts w:hint="default" w:ascii="Arial" w:hAnsi="Arial" w:cs="Arial"/>
                <w:b w:val="0"/>
                <w:bCs w:val="0"/>
              </w:rPr>
              <w:t>AGCTTGTCGAGAAGTACTAG</w:t>
            </w:r>
          </w:p>
        </w:tc>
      </w:tr>
      <w:tr w14:paraId="48F7DAE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6DA6E536">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0257DACF">
            <w:pPr>
              <w:keepNext w:val="0"/>
              <w:keepLines w:val="0"/>
              <w:suppressLineNumbers w:val="0"/>
              <w:spacing w:before="0" w:beforeAutospacing="0" w:after="0" w:afterAutospacing="0"/>
              <w:ind w:left="0" w:right="0"/>
              <w:rPr>
                <w:rFonts w:hint="default" w:ascii="Arial" w:hAnsi="Arial" w:cs="Arial"/>
                <w:b w:val="0"/>
                <w:bCs w:val="0"/>
              </w:rPr>
            </w:pPr>
          </w:p>
        </w:tc>
      </w:tr>
      <w:tr w14:paraId="3D64E6B3">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450" w:hRule="atLeast"/>
          <w:jc w:val="center"/>
        </w:trPr>
        <w:tc>
          <w:tcPr>
            <w:tcW w:w="1242" w:type="dxa"/>
            <w:vMerge w:val="continue"/>
            <w:tcBorders>
              <w:tl2br w:val="nil"/>
              <w:tr2bl w:val="nil"/>
            </w:tcBorders>
          </w:tcPr>
          <w:p w14:paraId="4D8C0176">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1347686D">
            <w:pPr>
              <w:keepNext w:val="0"/>
              <w:keepLines w:val="0"/>
              <w:suppressLineNumbers w:val="0"/>
              <w:spacing w:before="0" w:beforeAutospacing="0" w:after="0" w:afterAutospacing="0"/>
              <w:ind w:left="0" w:right="0"/>
              <w:rPr>
                <w:rFonts w:hint="default" w:ascii="Arial" w:hAnsi="Arial" w:cs="Arial"/>
                <w:b w:val="0"/>
                <w:bCs w:val="0"/>
              </w:rPr>
            </w:pPr>
          </w:p>
        </w:tc>
      </w:tr>
      <w:tr w14:paraId="5930724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6E8D2835">
            <w:pPr>
              <w:keepNext w:val="0"/>
              <w:keepLines w:val="0"/>
              <w:suppressLineNumbers w:val="0"/>
              <w:spacing w:before="0" w:beforeAutospacing="0" w:after="0" w:afterAutospacing="0"/>
              <w:ind w:left="0" w:right="0"/>
              <w:jc w:val="center"/>
              <w:rPr>
                <w:rFonts w:hint="default" w:ascii="Arial" w:hAnsi="Arial" w:cs="Arial"/>
                <w:b w:val="0"/>
                <w:bCs w:val="0"/>
              </w:rPr>
            </w:pPr>
          </w:p>
          <w:p w14:paraId="6606DA1F">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0N60-DNA</w:t>
            </w:r>
          </w:p>
        </w:tc>
        <w:tc>
          <w:tcPr>
            <w:tcW w:w="7371" w:type="dxa"/>
            <w:vMerge w:val="restart"/>
            <w:tcBorders>
              <w:tl2br w:val="nil"/>
              <w:tr2bl w:val="nil"/>
            </w:tcBorders>
          </w:tcPr>
          <w:p w14:paraId="2D4E799B">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/5Cy5/</w:t>
            </w:r>
            <w:r>
              <w:rPr>
                <w:rFonts w:hint="default" w:ascii="Arial" w:hAnsi="Arial" w:cs="Arial"/>
                <w:b w:val="0"/>
                <w:bCs w:val="0"/>
                <w:u w:val="single"/>
              </w:rPr>
              <w:t>CTGGAGAATCCCGGTGCCGAGGCCGCTCAATTGGTCGTAGACAGCTCTAGCACCGCTTAAACGCACGTACGCGCTGTCCCCCGCGTTTTAACCGCCAAGGGGATTACTCCCTAGTCTCCAGGCACGTGTCAGATATATACATCCTGA</w:t>
            </w:r>
            <w:r>
              <w:rPr>
                <w:rFonts w:hint="default" w:ascii="Arial" w:hAnsi="Arial" w:cs="Arial"/>
                <w:b w:val="0"/>
                <w:bCs w:val="0"/>
              </w:rPr>
              <w:t>AGCTTGTCGAGAAGTACTAGAGGATCATAATCAGCCATACCACATTTGTAGAGGTTTTAC</w:t>
            </w:r>
          </w:p>
        </w:tc>
      </w:tr>
      <w:tr w14:paraId="780FFE5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653CE137">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4C011E36">
            <w:pPr>
              <w:keepNext w:val="0"/>
              <w:keepLines w:val="0"/>
              <w:suppressLineNumbers w:val="0"/>
              <w:spacing w:before="0" w:beforeAutospacing="0" w:after="0" w:afterAutospacing="0"/>
              <w:ind w:left="0" w:right="0"/>
              <w:rPr>
                <w:rFonts w:hint="default" w:ascii="Arial" w:hAnsi="Arial" w:cs="Arial"/>
                <w:b w:val="0"/>
                <w:bCs w:val="0"/>
              </w:rPr>
            </w:pPr>
          </w:p>
        </w:tc>
      </w:tr>
      <w:tr w14:paraId="71E3D514">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10" w:hRule="atLeast"/>
          <w:jc w:val="center"/>
        </w:trPr>
        <w:tc>
          <w:tcPr>
            <w:tcW w:w="1242" w:type="dxa"/>
            <w:vMerge w:val="continue"/>
            <w:tcBorders>
              <w:tl2br w:val="nil"/>
              <w:tr2bl w:val="nil"/>
            </w:tcBorders>
          </w:tcPr>
          <w:p w14:paraId="226E8BB4">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476150E0">
            <w:pPr>
              <w:keepNext w:val="0"/>
              <w:keepLines w:val="0"/>
              <w:suppressLineNumbers w:val="0"/>
              <w:spacing w:before="0" w:beforeAutospacing="0" w:after="0" w:afterAutospacing="0"/>
              <w:ind w:left="0" w:right="0"/>
              <w:rPr>
                <w:rFonts w:hint="default" w:ascii="Arial" w:hAnsi="Arial" w:cs="Arial"/>
                <w:b w:val="0"/>
                <w:bCs w:val="0"/>
              </w:rPr>
            </w:pPr>
          </w:p>
        </w:tc>
      </w:tr>
      <w:tr w14:paraId="51FAE5E9">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3C94F01B">
            <w:pPr>
              <w:keepNext w:val="0"/>
              <w:keepLines w:val="0"/>
              <w:suppressLineNumbers w:val="0"/>
              <w:spacing w:before="0" w:beforeAutospacing="0" w:after="0" w:afterAutospacing="0"/>
              <w:ind w:left="0" w:right="0"/>
              <w:jc w:val="center"/>
              <w:rPr>
                <w:rFonts w:hint="default" w:ascii="Arial" w:hAnsi="Arial" w:cs="Arial"/>
                <w:b w:val="0"/>
                <w:bCs w:val="0"/>
              </w:rPr>
            </w:pPr>
          </w:p>
          <w:p w14:paraId="592F9047">
            <w:pPr>
              <w:keepNext w:val="0"/>
              <w:keepLines w:val="0"/>
              <w:suppressLineNumbers w:val="0"/>
              <w:spacing w:before="0" w:beforeAutospacing="0" w:after="0" w:afterAutospacing="0"/>
              <w:ind w:left="0" w:right="0"/>
              <w:jc w:val="center"/>
              <w:rPr>
                <w:rFonts w:hint="default" w:ascii="Arial" w:hAnsi="Arial" w:cs="Arial"/>
                <w:b w:val="0"/>
                <w:bCs w:val="0"/>
              </w:rPr>
            </w:pPr>
          </w:p>
          <w:p w14:paraId="2414509A">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100N100-</w:t>
            </w:r>
          </w:p>
          <w:p w14:paraId="39D3D906">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DNA</w:t>
            </w:r>
          </w:p>
        </w:tc>
        <w:tc>
          <w:tcPr>
            <w:tcW w:w="7371" w:type="dxa"/>
            <w:vMerge w:val="restart"/>
            <w:tcBorders>
              <w:tl2br w:val="nil"/>
              <w:tr2bl w:val="nil"/>
            </w:tcBorders>
          </w:tcPr>
          <w:p w14:paraId="5823C56C">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/5Cy5/CCATGTATTGAACAGCGAGATAGTGTTCCGAGCTCCCCGGTCCGGGAGATTCTTCACACCGAGTTCATCCCTTATGTGATGGACCCTATACGCGGCCGCC</w:t>
            </w:r>
            <w:r>
              <w:rPr>
                <w:rFonts w:hint="default" w:ascii="Arial" w:hAnsi="Arial" w:cs="Arial"/>
                <w:b w:val="0"/>
                <w:bCs w:val="0"/>
                <w:u w:val="single"/>
              </w:rPr>
              <w:t>CTGGAGAATCCCGGTGCCGAGGCCGCTCAATTGGTCGTAGACAGCTCTAGCACCGCTTAAACGCACGTACGCGCTGTCCCCCGCGTTTTAACCGCCAAGGGGATTACTCCCTAGTCTCCAGGCACGTGTCAGATATATACATCCTGA</w:t>
            </w:r>
            <w:r>
              <w:rPr>
                <w:rFonts w:hint="default" w:ascii="Arial" w:hAnsi="Arial" w:cs="Arial"/>
                <w:b w:val="0"/>
                <w:bCs w:val="0"/>
              </w:rPr>
              <w:t>AGCTTGTCGAGAAGTACTAGAGGATCATAATCAGCCATACCACATTTGTAGAGGTTTTACTTGCTTTAAAAAACCTCCCACACCTCCCCCTGAACCTGAT</w:t>
            </w:r>
          </w:p>
        </w:tc>
      </w:tr>
      <w:tr w14:paraId="354869D6">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62E30BB0">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69C08F1F">
            <w:pPr>
              <w:keepNext w:val="0"/>
              <w:keepLines w:val="0"/>
              <w:suppressLineNumbers w:val="0"/>
              <w:spacing w:before="0" w:beforeAutospacing="0" w:after="0" w:afterAutospacing="0"/>
              <w:ind w:left="0" w:right="0"/>
              <w:rPr>
                <w:rFonts w:hint="default" w:ascii="Arial" w:hAnsi="Arial" w:cs="Arial"/>
                <w:b w:val="0"/>
                <w:bCs w:val="0"/>
              </w:rPr>
            </w:pPr>
          </w:p>
        </w:tc>
      </w:tr>
      <w:tr w14:paraId="44AF0116">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31FA044A">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7CDE7F87">
            <w:pPr>
              <w:keepNext w:val="0"/>
              <w:keepLines w:val="0"/>
              <w:suppressLineNumbers w:val="0"/>
              <w:spacing w:before="0" w:beforeAutospacing="0" w:after="0" w:afterAutospacing="0"/>
              <w:ind w:left="0" w:right="0"/>
              <w:rPr>
                <w:rFonts w:hint="default" w:ascii="Arial" w:hAnsi="Arial" w:cs="Arial"/>
                <w:b w:val="0"/>
                <w:bCs w:val="0"/>
              </w:rPr>
            </w:pPr>
          </w:p>
        </w:tc>
      </w:tr>
      <w:tr w14:paraId="775F436C">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299837F3">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142214C1">
            <w:pPr>
              <w:keepNext w:val="0"/>
              <w:keepLines w:val="0"/>
              <w:suppressLineNumbers w:val="0"/>
              <w:spacing w:before="0" w:beforeAutospacing="0" w:after="0" w:afterAutospacing="0"/>
              <w:ind w:left="0" w:right="0"/>
              <w:rPr>
                <w:rFonts w:hint="default" w:ascii="Arial" w:hAnsi="Arial" w:cs="Arial"/>
                <w:b w:val="0"/>
                <w:bCs w:val="0"/>
              </w:rPr>
            </w:pPr>
          </w:p>
        </w:tc>
      </w:tr>
      <w:tr w14:paraId="4AC18348">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420" w:hRule="atLeast"/>
          <w:jc w:val="center"/>
        </w:trPr>
        <w:tc>
          <w:tcPr>
            <w:tcW w:w="1242" w:type="dxa"/>
            <w:vMerge w:val="continue"/>
            <w:tcBorders>
              <w:tl2br w:val="nil"/>
              <w:tr2bl w:val="nil"/>
            </w:tcBorders>
          </w:tcPr>
          <w:p w14:paraId="76099039">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507B4C95">
            <w:pPr>
              <w:keepNext w:val="0"/>
              <w:keepLines w:val="0"/>
              <w:suppressLineNumbers w:val="0"/>
              <w:spacing w:before="0" w:beforeAutospacing="0" w:after="0" w:afterAutospacing="0"/>
              <w:ind w:left="0" w:right="0"/>
              <w:rPr>
                <w:rFonts w:hint="default" w:ascii="Arial" w:hAnsi="Arial" w:cs="Arial"/>
                <w:b w:val="0"/>
                <w:bCs w:val="0"/>
              </w:rPr>
            </w:pPr>
          </w:p>
        </w:tc>
      </w:tr>
      <w:tr w14:paraId="70BABDC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2A56536E">
            <w:pPr>
              <w:keepNext w:val="0"/>
              <w:keepLines w:val="0"/>
              <w:suppressLineNumbers w:val="0"/>
              <w:spacing w:before="0" w:beforeAutospacing="0" w:after="0" w:afterAutospacing="0"/>
              <w:ind w:left="0" w:right="0"/>
              <w:jc w:val="center"/>
              <w:rPr>
                <w:rFonts w:hint="default" w:ascii="Arial" w:hAnsi="Arial" w:cs="Arial"/>
                <w:b w:val="0"/>
                <w:bCs w:val="0"/>
              </w:rPr>
            </w:pPr>
          </w:p>
          <w:p w14:paraId="6D45A51E">
            <w:pPr>
              <w:keepNext w:val="0"/>
              <w:keepLines w:val="0"/>
              <w:suppressLineNumbers w:val="0"/>
              <w:spacing w:before="0" w:beforeAutospacing="0" w:after="0" w:afterAutospacing="0"/>
              <w:ind w:left="0" w:right="0"/>
              <w:jc w:val="center"/>
              <w:rPr>
                <w:rFonts w:hint="default" w:ascii="Arial" w:hAnsi="Arial" w:cs="Arial"/>
                <w:b w:val="0"/>
                <w:bCs w:val="0"/>
              </w:rPr>
            </w:pPr>
          </w:p>
          <w:p w14:paraId="20781F82">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0N80-DNA</w:t>
            </w:r>
          </w:p>
        </w:tc>
        <w:tc>
          <w:tcPr>
            <w:tcW w:w="7371" w:type="dxa"/>
            <w:vMerge w:val="restart"/>
            <w:tcBorders>
              <w:tl2br w:val="nil"/>
              <w:tr2bl w:val="nil"/>
            </w:tcBorders>
          </w:tcPr>
          <w:p w14:paraId="34535DB7">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/5Cy5/</w:t>
            </w:r>
            <w:r>
              <w:rPr>
                <w:rFonts w:hint="default" w:ascii="Arial" w:hAnsi="Arial" w:cs="Arial"/>
                <w:b w:val="0"/>
                <w:bCs w:val="0"/>
                <w:u w:val="single"/>
              </w:rPr>
              <w:t>CTGGAGAATCCCGGTGCCGAGGCCGCTCAATTGGTCGTAGACAGCTCTAGCACCGCTTAAACGCACGTACGCGCTGTCCCCCGCGTTTTAACCGCCAAGGGGATTACTCCCTAGTCTCCAGGCACGTGTCAGATATATACATCCTGA</w:t>
            </w:r>
            <w:r>
              <w:rPr>
                <w:rFonts w:hint="default" w:ascii="Arial" w:hAnsi="Arial" w:cs="Arial"/>
                <w:b w:val="0"/>
                <w:bCs w:val="0"/>
              </w:rPr>
              <w:t>AGCTTGTCGAGAAGTACTAGAGGATCATAATCAGCCATACCACATTTGTAGAGGTTTTACTTGCTTTAAAAAACCTCCCA</w:t>
            </w:r>
          </w:p>
        </w:tc>
      </w:tr>
      <w:tr w14:paraId="4387C055">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4276781D">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1FABF552">
            <w:pPr>
              <w:keepNext w:val="0"/>
              <w:keepLines w:val="0"/>
              <w:suppressLineNumbers w:val="0"/>
              <w:spacing w:before="0" w:beforeAutospacing="0" w:after="0" w:afterAutospacing="0"/>
              <w:ind w:left="0" w:right="0"/>
              <w:rPr>
                <w:rFonts w:hint="default" w:ascii="Arial" w:hAnsi="Arial" w:cs="Arial"/>
                <w:b w:val="0"/>
                <w:bCs w:val="0"/>
              </w:rPr>
            </w:pPr>
          </w:p>
        </w:tc>
      </w:tr>
      <w:tr w14:paraId="243505E0">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495" w:hRule="atLeast"/>
          <w:jc w:val="center"/>
        </w:trPr>
        <w:tc>
          <w:tcPr>
            <w:tcW w:w="1242" w:type="dxa"/>
            <w:vMerge w:val="continue"/>
            <w:tcBorders>
              <w:tl2br w:val="nil"/>
              <w:tr2bl w:val="nil"/>
            </w:tcBorders>
          </w:tcPr>
          <w:p w14:paraId="78355B61">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7B923293">
            <w:pPr>
              <w:keepNext w:val="0"/>
              <w:keepLines w:val="0"/>
              <w:suppressLineNumbers w:val="0"/>
              <w:spacing w:before="0" w:beforeAutospacing="0" w:after="0" w:afterAutospacing="0"/>
              <w:ind w:left="0" w:right="0"/>
              <w:rPr>
                <w:rFonts w:hint="default" w:ascii="Arial" w:hAnsi="Arial" w:cs="Arial"/>
                <w:b w:val="0"/>
                <w:bCs w:val="0"/>
              </w:rPr>
            </w:pPr>
          </w:p>
        </w:tc>
      </w:tr>
      <w:tr w14:paraId="30298E4F">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1EE7CA6D">
            <w:pPr>
              <w:keepNext w:val="0"/>
              <w:keepLines w:val="0"/>
              <w:suppressLineNumbers w:val="0"/>
              <w:spacing w:before="0" w:beforeAutospacing="0" w:after="0" w:afterAutospacing="0"/>
              <w:ind w:left="0" w:right="0"/>
              <w:jc w:val="center"/>
              <w:rPr>
                <w:rFonts w:hint="default" w:ascii="Arial" w:hAnsi="Arial" w:cs="Arial"/>
                <w:b w:val="0"/>
                <w:bCs w:val="0"/>
              </w:rPr>
            </w:pPr>
          </w:p>
          <w:p w14:paraId="38D472FB">
            <w:pPr>
              <w:keepNext w:val="0"/>
              <w:keepLines w:val="0"/>
              <w:suppressLineNumbers w:val="0"/>
              <w:spacing w:before="0" w:beforeAutospacing="0" w:after="0" w:afterAutospacing="0"/>
              <w:ind w:left="0" w:right="0"/>
              <w:jc w:val="center"/>
              <w:rPr>
                <w:rFonts w:hint="default" w:ascii="Arial" w:hAnsi="Arial" w:cs="Arial"/>
                <w:b w:val="0"/>
                <w:bCs w:val="0"/>
              </w:rPr>
            </w:pPr>
          </w:p>
          <w:p w14:paraId="29B161C0">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80N0-DNA</w:t>
            </w:r>
          </w:p>
        </w:tc>
        <w:tc>
          <w:tcPr>
            <w:tcW w:w="7371" w:type="dxa"/>
            <w:vMerge w:val="restart"/>
            <w:tcBorders>
              <w:tl2br w:val="nil"/>
              <w:tr2bl w:val="nil"/>
            </w:tcBorders>
          </w:tcPr>
          <w:p w14:paraId="0E2971CB">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/5Cy5/TAGTGTTCCGAGCTCCCCGGTCCGGGAGATTCTTCACACCGAGTTCATCCCTTATGTGATGGACCCTATACGCGGCCGCC</w:t>
            </w:r>
            <w:r>
              <w:rPr>
                <w:rFonts w:hint="default" w:ascii="Arial" w:hAnsi="Arial" w:cs="Arial"/>
                <w:b w:val="0"/>
                <w:bCs w:val="0"/>
                <w:u w:val="single"/>
              </w:rPr>
              <w:t>CTGGAGAATCCCGGTGCCGAGGCCGCTCAATTGGTCGTAGACAGCTCTAGCACCGCTTAAACGCACGTACGCGCTGTCCCCCGCGTTTTAACCGCCAAGGGGATTACTCCCTAGTCTCCAGGCACGTGTCAGATATATACATCCTGA</w:t>
            </w:r>
          </w:p>
        </w:tc>
      </w:tr>
      <w:tr w14:paraId="2E506CA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4944F724">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6D66CDBB">
            <w:pPr>
              <w:keepNext w:val="0"/>
              <w:keepLines w:val="0"/>
              <w:suppressLineNumbers w:val="0"/>
              <w:spacing w:before="0" w:beforeAutospacing="0" w:after="0" w:afterAutospacing="0"/>
              <w:ind w:left="0" w:right="0"/>
              <w:rPr>
                <w:rFonts w:hint="default" w:ascii="Arial" w:hAnsi="Arial" w:cs="Arial"/>
                <w:b w:val="0"/>
                <w:bCs w:val="0"/>
              </w:rPr>
            </w:pPr>
          </w:p>
        </w:tc>
      </w:tr>
      <w:tr w14:paraId="124E1BF0">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40" w:hRule="atLeast"/>
          <w:jc w:val="center"/>
        </w:trPr>
        <w:tc>
          <w:tcPr>
            <w:tcW w:w="1242" w:type="dxa"/>
            <w:vMerge w:val="continue"/>
            <w:tcBorders>
              <w:tl2br w:val="nil"/>
              <w:tr2bl w:val="nil"/>
            </w:tcBorders>
          </w:tcPr>
          <w:p w14:paraId="02322B61">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12DA101D">
            <w:pPr>
              <w:keepNext w:val="0"/>
              <w:keepLines w:val="0"/>
              <w:suppressLineNumbers w:val="0"/>
              <w:spacing w:before="0" w:beforeAutospacing="0" w:after="0" w:afterAutospacing="0"/>
              <w:ind w:left="0" w:right="0"/>
              <w:rPr>
                <w:rFonts w:hint="default" w:ascii="Arial" w:hAnsi="Arial" w:cs="Arial"/>
                <w:b w:val="0"/>
                <w:bCs w:val="0"/>
              </w:rPr>
            </w:pPr>
          </w:p>
        </w:tc>
      </w:tr>
      <w:tr w14:paraId="68667972">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3FE1B28A">
            <w:pPr>
              <w:keepNext w:val="0"/>
              <w:keepLines w:val="0"/>
              <w:suppressLineNumbers w:val="0"/>
              <w:spacing w:before="0" w:beforeAutospacing="0" w:after="0" w:afterAutospacing="0"/>
              <w:ind w:left="0" w:right="0"/>
              <w:jc w:val="center"/>
              <w:rPr>
                <w:rFonts w:hint="default" w:ascii="Arial" w:hAnsi="Arial" w:cs="Arial"/>
                <w:b w:val="0"/>
                <w:bCs w:val="0"/>
              </w:rPr>
            </w:pPr>
          </w:p>
          <w:p w14:paraId="66C6AA00">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MMTV-A DNA</w:t>
            </w:r>
          </w:p>
        </w:tc>
        <w:tc>
          <w:tcPr>
            <w:tcW w:w="7371" w:type="dxa"/>
            <w:vMerge w:val="restart"/>
            <w:tcBorders>
              <w:tl2br w:val="nil"/>
              <w:tr2bl w:val="nil"/>
            </w:tcBorders>
          </w:tcPr>
          <w:p w14:paraId="7B3D6A45">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u w:val="single"/>
              </w:rPr>
              <w:t>ATCAAAACTGTGCCGCAGTCGGCCGACCTGAGGGTCGCCGGGGTCTGCGGGGGGACCCTCTGGAAAGTGAAGGATAAGTGACGAGCGGAGACGGGATGGCGAACAGACACAAACACACAAGAGGTGAATGTTAGGACTGTTGCAGAT</w:t>
            </w:r>
            <w:r>
              <w:rPr>
                <w:rFonts w:hint="default" w:ascii="Arial" w:hAnsi="Arial" w:cs="Arial"/>
                <w:b w:val="0"/>
                <w:bCs w:val="0"/>
              </w:rPr>
              <w:t>GGTTCCACGCACGTTGGTGG(the MMTV-A sequence is underlined)</w:t>
            </w:r>
          </w:p>
        </w:tc>
      </w:tr>
      <w:tr w14:paraId="713DBCB3">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77EE5D38">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03C0A691">
            <w:pPr>
              <w:keepNext w:val="0"/>
              <w:keepLines w:val="0"/>
              <w:suppressLineNumbers w:val="0"/>
              <w:spacing w:before="0" w:beforeAutospacing="0" w:after="0" w:afterAutospacing="0"/>
              <w:ind w:left="0" w:right="0"/>
              <w:rPr>
                <w:rFonts w:hint="default" w:ascii="Arial" w:hAnsi="Arial" w:cs="Arial"/>
                <w:b w:val="0"/>
                <w:bCs w:val="0"/>
              </w:rPr>
            </w:pPr>
          </w:p>
        </w:tc>
      </w:tr>
      <w:tr w14:paraId="44D8136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25" w:hRule="atLeast"/>
          <w:jc w:val="center"/>
        </w:trPr>
        <w:tc>
          <w:tcPr>
            <w:tcW w:w="1242" w:type="dxa"/>
            <w:vMerge w:val="continue"/>
            <w:tcBorders>
              <w:tl2br w:val="nil"/>
              <w:tr2bl w:val="nil"/>
            </w:tcBorders>
          </w:tcPr>
          <w:p w14:paraId="7C72C41E">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26B4D810">
            <w:pPr>
              <w:keepNext w:val="0"/>
              <w:keepLines w:val="0"/>
              <w:suppressLineNumbers w:val="0"/>
              <w:spacing w:before="0" w:beforeAutospacing="0" w:after="0" w:afterAutospacing="0"/>
              <w:ind w:left="0" w:right="0"/>
              <w:rPr>
                <w:rFonts w:hint="default" w:ascii="Arial" w:hAnsi="Arial" w:cs="Arial"/>
                <w:b w:val="0"/>
                <w:bCs w:val="0"/>
              </w:rPr>
            </w:pPr>
          </w:p>
        </w:tc>
      </w:tr>
      <w:tr w14:paraId="0A917632">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36D5547E">
            <w:pPr>
              <w:keepNext w:val="0"/>
              <w:keepLines w:val="0"/>
              <w:suppressLineNumbers w:val="0"/>
              <w:spacing w:before="0" w:beforeAutospacing="0" w:after="0" w:afterAutospacing="0"/>
              <w:ind w:left="0" w:right="0"/>
              <w:jc w:val="center"/>
              <w:rPr>
                <w:rFonts w:hint="default" w:ascii="Arial" w:hAnsi="Arial" w:cs="Arial"/>
                <w:b w:val="0"/>
                <w:bCs w:val="0"/>
              </w:rPr>
            </w:pPr>
          </w:p>
          <w:p w14:paraId="2289F705">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40N30-</w:t>
            </w:r>
          </w:p>
          <w:p w14:paraId="1D364823">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DNA</w:t>
            </w:r>
          </w:p>
        </w:tc>
        <w:tc>
          <w:tcPr>
            <w:tcW w:w="7371" w:type="dxa"/>
            <w:vMerge w:val="restart"/>
            <w:tcBorders>
              <w:tl2br w:val="nil"/>
              <w:tr2bl w:val="nil"/>
            </w:tcBorders>
          </w:tcPr>
          <w:p w14:paraId="2F300C22">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GAGTTCATCCCTTATGTGATGGACCCTATACGCGGCCGCC</w:t>
            </w:r>
            <w:r>
              <w:rPr>
                <w:rFonts w:hint="default" w:ascii="Arial" w:hAnsi="Arial" w:cs="Arial"/>
                <w:b w:val="0"/>
                <w:bCs w:val="0"/>
                <w:u w:val="single"/>
              </w:rPr>
              <w:t>CTGGAGAATCCCGGTGCCGAG(Cy5)GCCGCTCAATTGGTCGTAGACAGCTCTAGCACCGCTTAAACGCACGTACGCGCTGTCCCCCGCGTTTTAACCGCCAAGGGGATTACTCCCTAGTCTCCAGGCACGTGTCAGATATATACATCCT(Alexa488)GA</w:t>
            </w:r>
            <w:r>
              <w:rPr>
                <w:rFonts w:hint="default" w:ascii="Arial" w:hAnsi="Arial" w:cs="Arial"/>
                <w:b w:val="0"/>
                <w:bCs w:val="0"/>
              </w:rPr>
              <w:t>AGCTTGTCGAGAAGTACTAGAGGATCATAA/3Biotin/</w:t>
            </w:r>
          </w:p>
        </w:tc>
      </w:tr>
      <w:tr w14:paraId="629626A2">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109F6377">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15DE0DA1">
            <w:pPr>
              <w:keepNext w:val="0"/>
              <w:keepLines w:val="0"/>
              <w:suppressLineNumbers w:val="0"/>
              <w:spacing w:before="0" w:beforeAutospacing="0" w:after="0" w:afterAutospacing="0"/>
              <w:ind w:left="0" w:right="0"/>
              <w:rPr>
                <w:rFonts w:hint="default" w:ascii="Arial" w:hAnsi="Arial" w:cs="Arial"/>
                <w:b w:val="0"/>
                <w:bCs w:val="0"/>
              </w:rPr>
            </w:pPr>
          </w:p>
        </w:tc>
      </w:tr>
      <w:tr w14:paraId="6BEAE0BB">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465" w:hRule="atLeast"/>
          <w:jc w:val="center"/>
        </w:trPr>
        <w:tc>
          <w:tcPr>
            <w:tcW w:w="1242" w:type="dxa"/>
            <w:vMerge w:val="continue"/>
            <w:tcBorders>
              <w:tl2br w:val="nil"/>
              <w:tr2bl w:val="nil"/>
            </w:tcBorders>
          </w:tcPr>
          <w:p w14:paraId="01A40CE4">
            <w:pPr>
              <w:keepNext w:val="0"/>
              <w:keepLines w:val="0"/>
              <w:suppressLineNumbers w:val="0"/>
              <w:spacing w:before="0" w:beforeAutospacing="0" w:after="0" w:afterAutospacing="0"/>
              <w:ind w:left="0" w:right="0"/>
              <w:jc w:val="center"/>
              <w:rPr>
                <w:rFonts w:hint="default" w:ascii="Arial" w:hAnsi="Arial" w:cs="Arial"/>
                <w:b w:val="0"/>
                <w:bCs w:val="0"/>
              </w:rPr>
            </w:pPr>
          </w:p>
        </w:tc>
        <w:tc>
          <w:tcPr>
            <w:tcW w:w="7371" w:type="dxa"/>
            <w:vMerge w:val="continue"/>
            <w:tcBorders>
              <w:tl2br w:val="nil"/>
              <w:tr2bl w:val="nil"/>
            </w:tcBorders>
          </w:tcPr>
          <w:p w14:paraId="0D7799B8">
            <w:pPr>
              <w:keepNext w:val="0"/>
              <w:keepLines w:val="0"/>
              <w:suppressLineNumbers w:val="0"/>
              <w:spacing w:before="0" w:beforeAutospacing="0" w:after="0" w:afterAutospacing="0"/>
              <w:ind w:left="0" w:right="0"/>
              <w:rPr>
                <w:rFonts w:hint="default" w:ascii="Arial" w:hAnsi="Arial" w:cs="Arial"/>
                <w:b w:val="0"/>
                <w:bCs w:val="0"/>
              </w:rPr>
            </w:pPr>
          </w:p>
        </w:tc>
      </w:tr>
      <w:tr w14:paraId="3D13C55B">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restart"/>
            <w:tcBorders>
              <w:tl2br w:val="nil"/>
              <w:tr2bl w:val="nil"/>
            </w:tcBorders>
            <w:noWrap/>
          </w:tcPr>
          <w:p w14:paraId="27BC0736">
            <w:pPr>
              <w:keepNext w:val="0"/>
              <w:keepLines w:val="0"/>
              <w:suppressLineNumbers w:val="0"/>
              <w:spacing w:before="0" w:beforeAutospacing="0" w:after="0" w:afterAutospacing="0"/>
              <w:ind w:left="0" w:right="0"/>
              <w:jc w:val="center"/>
              <w:rPr>
                <w:rFonts w:hint="default" w:ascii="Arial" w:hAnsi="Arial" w:cs="Arial"/>
                <w:b w:val="0"/>
                <w:bCs w:val="0"/>
              </w:rPr>
            </w:pPr>
          </w:p>
          <w:p w14:paraId="5EDD337E">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20nt-T 20N30-</w:t>
            </w:r>
          </w:p>
          <w:p w14:paraId="3691CF55">
            <w:pPr>
              <w:keepNext w:val="0"/>
              <w:keepLines w:val="0"/>
              <w:suppressLineNumbers w:val="0"/>
              <w:spacing w:before="0" w:beforeAutospacing="0" w:after="0" w:afterAutospacing="0"/>
              <w:ind w:left="0" w:right="0"/>
              <w:jc w:val="center"/>
              <w:rPr>
                <w:rFonts w:hint="default" w:ascii="Arial" w:hAnsi="Arial" w:cs="Arial"/>
                <w:b w:val="0"/>
                <w:bCs w:val="0"/>
              </w:rPr>
            </w:pPr>
            <w:r>
              <w:rPr>
                <w:rFonts w:hint="default" w:ascii="Arial" w:hAnsi="Arial" w:cs="Arial"/>
                <w:b w:val="0"/>
                <w:bCs w:val="0"/>
              </w:rPr>
              <w:t>DNA</w:t>
            </w:r>
          </w:p>
        </w:tc>
        <w:tc>
          <w:tcPr>
            <w:tcW w:w="7371" w:type="dxa"/>
            <w:vMerge w:val="restart"/>
            <w:tcBorders>
              <w:tl2br w:val="nil"/>
              <w:tr2bl w:val="nil"/>
            </w:tcBorders>
          </w:tcPr>
          <w:p w14:paraId="59DCCF26">
            <w:pPr>
              <w:keepNext w:val="0"/>
              <w:keepLines w:val="0"/>
              <w:suppressLineNumbers w:val="0"/>
              <w:spacing w:before="0" w:beforeAutospacing="0" w:after="0" w:afterAutospacing="0"/>
              <w:ind w:left="0" w:right="0"/>
              <w:rPr>
                <w:rFonts w:hint="default" w:ascii="Arial" w:hAnsi="Arial" w:cs="Arial"/>
                <w:b w:val="0"/>
                <w:bCs w:val="0"/>
              </w:rPr>
            </w:pPr>
            <w:r>
              <w:rPr>
                <w:rFonts w:hint="default" w:ascii="Arial" w:hAnsi="Arial" w:cs="Arial"/>
                <w:b w:val="0"/>
                <w:bCs w:val="0"/>
              </w:rPr>
              <w:t>/5Biotin/TTTTTTTTTTTTTTTTTTTTGGACCCTATACGCGGCCGCC</w:t>
            </w:r>
            <w:r>
              <w:rPr>
                <w:rFonts w:hint="default" w:ascii="Arial" w:hAnsi="Arial" w:cs="Arial"/>
                <w:b w:val="0"/>
                <w:bCs w:val="0"/>
                <w:u w:val="single"/>
              </w:rPr>
              <w:t>CTGGAGAATCCCGGTGCCGAG(Cy5)GCCGCTCAATTGGTCGTAGACAGCTCTAGCACCGCTTAAACGCACGTACGCGCTGTCCCCCGCGTTTTAACCGCCAAGGGGATTACTCCCTAGTCTCCAGGCACGTGTCAGATATATACATCCT(Alexa488)GA</w:t>
            </w:r>
            <w:r>
              <w:rPr>
                <w:rFonts w:hint="default" w:ascii="Arial" w:hAnsi="Arial" w:cs="Arial"/>
                <w:b w:val="0"/>
                <w:bCs w:val="0"/>
              </w:rPr>
              <w:t>AGCTTGTCGAGAAGTACTAGAGGATCATAA</w:t>
            </w:r>
          </w:p>
        </w:tc>
      </w:tr>
      <w:tr w14:paraId="5353A124">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jc w:val="center"/>
        </w:trPr>
        <w:tc>
          <w:tcPr>
            <w:tcW w:w="1242" w:type="dxa"/>
            <w:vMerge w:val="continue"/>
            <w:tcBorders>
              <w:tl2br w:val="nil"/>
              <w:tr2bl w:val="nil"/>
            </w:tcBorders>
          </w:tcPr>
          <w:p w14:paraId="09CDDE8B">
            <w:pPr>
              <w:keepNext w:val="0"/>
              <w:keepLines w:val="0"/>
              <w:suppressLineNumbers w:val="0"/>
              <w:spacing w:before="0" w:beforeAutospacing="0" w:after="0" w:afterAutospacing="0"/>
              <w:ind w:left="0" w:right="0"/>
              <w:rPr>
                <w:rFonts w:hint="default" w:ascii="Arial" w:hAnsi="Arial" w:cs="Arial"/>
                <w:b w:val="0"/>
                <w:bCs w:val="0"/>
              </w:rPr>
            </w:pPr>
          </w:p>
        </w:tc>
        <w:tc>
          <w:tcPr>
            <w:tcW w:w="7371" w:type="dxa"/>
            <w:vMerge w:val="continue"/>
            <w:tcBorders>
              <w:tl2br w:val="nil"/>
              <w:tr2bl w:val="nil"/>
            </w:tcBorders>
          </w:tcPr>
          <w:p w14:paraId="0E5CE0BF">
            <w:pPr>
              <w:keepNext w:val="0"/>
              <w:keepLines w:val="0"/>
              <w:suppressLineNumbers w:val="0"/>
              <w:spacing w:before="0" w:beforeAutospacing="0" w:after="0" w:afterAutospacing="0"/>
              <w:ind w:left="0" w:right="0"/>
              <w:rPr>
                <w:rFonts w:hint="default" w:ascii="Arial" w:hAnsi="Arial" w:cs="Arial"/>
                <w:b w:val="0"/>
                <w:bCs w:val="0"/>
              </w:rPr>
            </w:pPr>
          </w:p>
        </w:tc>
      </w:tr>
      <w:tr w14:paraId="32A078A1">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10" w:hRule="atLeast"/>
          <w:jc w:val="center"/>
        </w:trPr>
        <w:tc>
          <w:tcPr>
            <w:tcW w:w="1242" w:type="dxa"/>
            <w:vMerge w:val="continue"/>
            <w:tcBorders>
              <w:tl2br w:val="nil"/>
              <w:tr2bl w:val="nil"/>
            </w:tcBorders>
          </w:tcPr>
          <w:p w14:paraId="6704334D">
            <w:pPr>
              <w:keepNext w:val="0"/>
              <w:keepLines w:val="0"/>
              <w:suppressLineNumbers w:val="0"/>
              <w:spacing w:before="0" w:beforeAutospacing="0" w:after="0" w:afterAutospacing="0"/>
              <w:ind w:left="0" w:right="0"/>
              <w:rPr>
                <w:rFonts w:hint="default" w:ascii="Arial" w:hAnsi="Arial" w:cs="Arial"/>
                <w:b w:val="0"/>
                <w:bCs w:val="0"/>
              </w:rPr>
            </w:pPr>
          </w:p>
        </w:tc>
        <w:tc>
          <w:tcPr>
            <w:tcW w:w="7371" w:type="dxa"/>
            <w:vMerge w:val="continue"/>
            <w:tcBorders>
              <w:tl2br w:val="nil"/>
              <w:tr2bl w:val="nil"/>
            </w:tcBorders>
          </w:tcPr>
          <w:p w14:paraId="79BEA8F1">
            <w:pPr>
              <w:keepNext w:val="0"/>
              <w:keepLines w:val="0"/>
              <w:suppressLineNumbers w:val="0"/>
              <w:spacing w:before="0" w:beforeAutospacing="0" w:after="0" w:afterAutospacing="0"/>
              <w:ind w:left="0" w:right="0"/>
              <w:rPr>
                <w:rFonts w:hint="default" w:ascii="Arial" w:hAnsi="Arial" w:cs="Arial"/>
                <w:b w:val="0"/>
                <w:bCs w:val="0"/>
              </w:rPr>
            </w:pPr>
          </w:p>
        </w:tc>
      </w:tr>
    </w:tbl>
    <w:p w14:paraId="20EECD97">
      <w:pPr>
        <w:jc w:val="center"/>
        <w:rPr>
          <w:rFonts w:hint="default" w:ascii="Arial" w:hAnsi="Arial" w:cs="Arial" w:eastAsiaTheme="minorEastAsia"/>
          <w:b w:val="0"/>
          <w:bCs w:val="0"/>
          <w:sz w:val="21"/>
          <w:szCs w:val="21"/>
          <w:lang w:val="en-US" w:eastAsia="zh-CN"/>
        </w:rPr>
      </w:pPr>
      <w:r>
        <w:rPr>
          <w:rFonts w:hint="default" w:ascii="Times New Roman Bold" w:hAnsi="Times New Roman Bold" w:eastAsia="宋体" w:cs="Times New Roman Bold"/>
          <w:b/>
          <w:bCs/>
          <w:kern w:val="2"/>
          <w:sz w:val="21"/>
          <w:szCs w:val="21"/>
          <w:lang w:val="en-US" w:eastAsia="zh-CN" w:bidi="ar"/>
        </w:rPr>
        <w:t>Supplementary Table S</w:t>
      </w:r>
      <w:r>
        <w:rPr>
          <w:rFonts w:hint="eastAsia" w:ascii="Times New Roman Bold" w:hAnsi="Times New Roman Bold" w:eastAsia="宋体" w:cs="Times New Roman Bold"/>
          <w:b/>
          <w:bCs/>
          <w:kern w:val="2"/>
          <w:sz w:val="21"/>
          <w:szCs w:val="21"/>
          <w:lang w:val="en-US" w:eastAsia="zh-CN" w:bidi="ar"/>
        </w:rPr>
        <w:t>1</w:t>
      </w:r>
      <w:r>
        <w:rPr>
          <w:rFonts w:hint="default" w:ascii="Arial" w:hAnsi="Arial" w:cs="Arial"/>
          <w:b/>
          <w:bCs/>
          <w:sz w:val="21"/>
          <w:szCs w:val="21"/>
        </w:rPr>
        <w:t xml:space="preserve"> </w:t>
      </w:r>
      <w:r>
        <w:rPr>
          <w:rFonts w:hint="default" w:ascii="Times New Roman Bold" w:hAnsi="Times New Roman Bold" w:eastAsia="宋体" w:cs="Times New Roman Bold"/>
          <w:b w:val="0"/>
          <w:bCs w:val="0"/>
          <w:kern w:val="2"/>
          <w:sz w:val="21"/>
          <w:szCs w:val="21"/>
          <w:lang w:val="en-US" w:eastAsia="zh-CN" w:bidi="ar"/>
        </w:rPr>
        <w:t>DNA sequences used in this work</w:t>
      </w:r>
    </w:p>
    <w:p w14:paraId="0A6C96D6">
      <w:pPr>
        <w:rPr>
          <w:b w:val="0"/>
          <w:bCs w:val="0"/>
        </w:rPr>
      </w:pPr>
    </w:p>
    <w:p w14:paraId="31E42980">
      <w:pPr>
        <w:rPr>
          <w:b w:val="0"/>
          <w:bCs w:val="0"/>
        </w:rPr>
      </w:pPr>
    </w:p>
    <w:p w14:paraId="0C714A07">
      <w:pPr>
        <w:jc w:val="both"/>
        <w:rPr>
          <w:rFonts w:hint="default" w:ascii="Times New Roman Bold" w:hAnsi="Times New Roman Bold" w:eastAsia="宋体" w:cs="Times New Roman Bold"/>
          <w:b/>
          <w:bCs/>
          <w:kern w:val="2"/>
          <w:sz w:val="21"/>
          <w:szCs w:val="21"/>
          <w:lang w:val="en-US" w:eastAsia="zh-CN" w:bidi="ar"/>
        </w:rPr>
      </w:pPr>
    </w:p>
    <w:p w14:paraId="071944A7">
      <w:pPr>
        <w:jc w:val="both"/>
        <w:rPr>
          <w:b w:val="0"/>
          <w:bCs w:val="0"/>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2020803070505020304"/>
    <w:charset w:val="00"/>
    <w:family w:val="auto"/>
    <w:pitch w:val="default"/>
    <w:sig w:usb0="00000000" w:usb1="00000000"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2D6"/>
    <w:rsid w:val="001C647B"/>
    <w:rsid w:val="0025725E"/>
    <w:rsid w:val="003252E7"/>
    <w:rsid w:val="003A7E44"/>
    <w:rsid w:val="00460D75"/>
    <w:rsid w:val="004B49E0"/>
    <w:rsid w:val="004D1241"/>
    <w:rsid w:val="005A2AF7"/>
    <w:rsid w:val="005B0640"/>
    <w:rsid w:val="005C5C3C"/>
    <w:rsid w:val="00657486"/>
    <w:rsid w:val="006A6D33"/>
    <w:rsid w:val="006E6FB6"/>
    <w:rsid w:val="0082059F"/>
    <w:rsid w:val="00890A55"/>
    <w:rsid w:val="00921DC5"/>
    <w:rsid w:val="00C2029D"/>
    <w:rsid w:val="00D5004D"/>
    <w:rsid w:val="00FF02D6"/>
    <w:rsid w:val="02E80AFB"/>
    <w:rsid w:val="094620D8"/>
    <w:rsid w:val="0C3152C1"/>
    <w:rsid w:val="1225707E"/>
    <w:rsid w:val="13453400"/>
    <w:rsid w:val="139B23DB"/>
    <w:rsid w:val="187A7FF0"/>
    <w:rsid w:val="1BEA2D97"/>
    <w:rsid w:val="1F884DA0"/>
    <w:rsid w:val="206D3F96"/>
    <w:rsid w:val="2ECA5FCC"/>
    <w:rsid w:val="31633AF2"/>
    <w:rsid w:val="330B38C7"/>
    <w:rsid w:val="46CE1383"/>
    <w:rsid w:val="49926698"/>
    <w:rsid w:val="4C2757BD"/>
    <w:rsid w:val="524D13AE"/>
    <w:rsid w:val="5940726D"/>
    <w:rsid w:val="680227E3"/>
    <w:rsid w:val="6D3276C6"/>
    <w:rsid w:val="78607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character" w:customStyle="1" w:styleId="10">
    <w:name w:val="批注框文本 字符"/>
    <w:basedOn w:val="7"/>
    <w:link w:val="2"/>
    <w:semiHidden/>
    <w:qFormat/>
    <w:uiPriority w:val="99"/>
    <w:rPr>
      <w:sz w:val="18"/>
      <w:szCs w:val="18"/>
    </w:rPr>
  </w:style>
  <w:style w:type="paragraph" w:customStyle="1" w:styleId="11">
    <w:name w:val="p1"/>
    <w:basedOn w:val="1"/>
    <w:autoRedefine/>
    <w:qFormat/>
    <w:uiPriority w:val="0"/>
    <w:rPr>
      <w:rFonts w:ascii="Helvetica" w:hAnsi="Helvetica" w:eastAsiaTheme="minorEastAsia"/>
      <w:sz w:val="9"/>
      <w:szCs w:val="9"/>
    </w:rPr>
  </w:style>
  <w:style w:type="paragraph" w:styleId="12">
    <w:name w:val="No Spacing"/>
    <w:autoRedefine/>
    <w:qFormat/>
    <w:uiPriority w:val="1"/>
    <w:rPr>
      <w:rFonts w:asciiTheme="minorHAnsi" w:hAnsiTheme="minorHAnsi" w:eastAsiaTheme="minorEastAsia" w:cstheme="minorBidi"/>
      <w:sz w:val="24"/>
      <w:szCs w:val="24"/>
      <w:lang w:val="en-US" w:eastAsia="zh-CN" w:bidi="ar-SA"/>
    </w:rPr>
  </w:style>
  <w:style w:type="character" w:customStyle="1" w:styleId="13">
    <w:name w:val="font01"/>
    <w:basedOn w:val="7"/>
    <w:qFormat/>
    <w:uiPriority w:val="0"/>
    <w:rPr>
      <w:rFonts w:hint="eastAsia" w:ascii="等线" w:hAnsi="等线" w:eastAsia="等线" w:cs="等线"/>
      <w:color w:val="000000"/>
      <w:sz w:val="22"/>
      <w:szCs w:val="22"/>
      <w:u w:val="none"/>
    </w:rPr>
  </w:style>
  <w:style w:type="character" w:customStyle="1" w:styleId="14">
    <w:name w:val="font31"/>
    <w:basedOn w:val="7"/>
    <w:qFormat/>
    <w:uiPriority w:val="0"/>
    <w:rPr>
      <w:rFonts w:hint="eastAsia" w:ascii="等线" w:hAnsi="等线" w:eastAsia="等线" w:cs="等线"/>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11.tiff"/><Relationship Id="rId13" Type="http://schemas.openxmlformats.org/officeDocument/2006/relationships/image" Target="media/image10.tiff"/><Relationship Id="rId12" Type="http://schemas.openxmlformats.org/officeDocument/2006/relationships/image" Target="media/image9.tiff"/><Relationship Id="rId11" Type="http://schemas.openxmlformats.org/officeDocument/2006/relationships/image" Target="media/image8.tiff"/><Relationship Id="rId10" Type="http://schemas.openxmlformats.org/officeDocument/2006/relationships/image" Target="media/image7.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1256</Words>
  <Characters>8545</Characters>
  <Lines>9</Lines>
  <Paragraphs>2</Paragraphs>
  <TotalTime>1</TotalTime>
  <ScaleCrop>false</ScaleCrop>
  <LinksUpToDate>false</LinksUpToDate>
  <CharactersWithSpaces>9773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2021-11-17T13:25:00Z</dcterms:created>
  <dc:creator>tyy</dc:creator>
  <cp:lastModifiedBy>Tian Yuanyuan</cp:lastModifiedBy>
  <dcterms:modified xsi:type="dcterms:W3CDTF">2025-03-28T12:13:24Z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eyJoZGlkIjoiMzEwNTM5NzYwMDRjMzkwZTVkZjY2ODkwMGIxNGU0OTUiLCJ1c2VySWQiOiI4MTEzOTc5ODUifQ==</vt:lpwstr>
  </property>
  <property fmtid="{D5CDD505-2E9C-101B-9397-08002B2CF9AE}" pid="3" name="KSOProductBuildVer">
    <vt:lpwstr>2052-12.1.0.20305</vt:lpwstr>
  </property>
  <property fmtid="{D5CDD505-2E9C-101B-9397-08002B2CF9AE}" pid="4" name="ICV">
    <vt:lpwstr>ABC12D6159D14690B8B01E9269CA4350_12</vt:lpwstr>
  </property>
</Properties>
</file>