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0F903A">
      <w:pPr>
        <w:rPr>
          <w:rFonts w:ascii="Times New Roman" w:hAnsi="Times New Roman" w:cs="Times New Roman"/>
          <w:b/>
          <w:bCs/>
          <w:sz w:val="22"/>
          <w:szCs w:val="22"/>
        </w:rPr>
      </w:pPr>
    </w:p>
    <w:p w14:paraId="131CFD14">
      <w:pPr>
        <w:spacing w:line="360" w:lineRule="auto"/>
        <w:rPr>
          <w:rFonts w:ascii="Times New Roman" w:hAnsi="Times New Roman" w:cs="Times New Roman"/>
          <w:b/>
          <w:bCs/>
          <w:sz w:val="22"/>
          <w:szCs w:val="22"/>
        </w:rPr>
      </w:pPr>
      <w:r>
        <w:rPr>
          <w:rFonts w:ascii="Times New Roman" w:hAnsi="Times New Roman" w:cs="Times New Roman"/>
          <w:b/>
          <w:bCs/>
          <w:sz w:val="22"/>
          <w:szCs w:val="22"/>
        </w:rPr>
        <w:drawing>
          <wp:inline distT="0" distB="0" distL="0" distR="0">
            <wp:extent cx="5274310" cy="5274310"/>
            <wp:effectExtent l="0" t="0" r="0" b="0"/>
            <wp:docPr id="18367995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99593" name="图片 1"/>
                    <pic:cNvPicPr>
                      <a:picLocks noChangeAspect="1"/>
                    </pic:cNvPicPr>
                  </pic:nvPicPr>
                  <pic:blipFill>
                    <a:blip r:embed="rId4"/>
                    <a:stretch>
                      <a:fillRect/>
                    </a:stretch>
                  </pic:blipFill>
                  <pic:spPr>
                    <a:xfrm>
                      <a:off x="0" y="0"/>
                      <a:ext cx="5274310" cy="5274310"/>
                    </a:xfrm>
                    <a:prstGeom prst="rect">
                      <a:avLst/>
                    </a:prstGeom>
                  </pic:spPr>
                </pic:pic>
              </a:graphicData>
            </a:graphic>
          </wp:inline>
        </w:drawing>
      </w:r>
    </w:p>
    <w:p w14:paraId="5A25B36B">
      <w:pPr>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Figure S1 </w:t>
      </w:r>
      <w:r>
        <w:rPr>
          <w:rFonts w:ascii="Times New Roman" w:hAnsi="Times New Roman" w:cs="Times New Roman"/>
          <w:b w:val="0"/>
          <w:bCs/>
          <w:sz w:val="22"/>
          <w:szCs w:val="22"/>
        </w:rPr>
        <w:t xml:space="preserve">Age-dependent sex differences for metabolic risk factors among those without medication usage. </w:t>
      </w:r>
      <w:r>
        <w:rPr>
          <w:rFonts w:ascii="Times New Roman" w:hAnsi="Times New Roman" w:cs="Times New Roman"/>
          <w:sz w:val="22"/>
          <w:szCs w:val="22"/>
        </w:rPr>
        <w:t xml:space="preserve">Lines correspond to the fitted GAMs: the blue line represents men, and the red line represents women. Confidence intervals (± 1.96 SE) are plotted around the lines in a more transparent hue.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reflects the effect size of the age-by-sex interaction. GAM interaction </w:t>
      </w:r>
      <w:r>
        <w:rPr>
          <w:rFonts w:ascii="Times New Roman" w:hAnsi="Times New Roman" w:cs="Times New Roman"/>
          <w:i/>
          <w:sz w:val="22"/>
          <w:szCs w:val="22"/>
        </w:rPr>
        <w:t>P</w:t>
      </w:r>
      <w:r>
        <w:rPr>
          <w:rFonts w:ascii="Times New Roman" w:hAnsi="Times New Roman" w:cs="Times New Roman"/>
          <w:sz w:val="22"/>
          <w:szCs w:val="22"/>
        </w:rPr>
        <w:t xml:space="preserve"> represents the significance of the age-by-sex interaction term.</w:t>
      </w:r>
    </w:p>
    <w:p w14:paraId="7360F0D3">
      <w:pPr>
        <w:spacing w:line="360" w:lineRule="auto"/>
        <w:rPr>
          <w:rFonts w:ascii="Times New Roman" w:hAnsi="Times New Roman" w:cs="Times New Roman"/>
          <w:sz w:val="22"/>
          <w:szCs w:val="22"/>
        </w:rPr>
      </w:pPr>
    </w:p>
    <w:p w14:paraId="648F7A72">
      <w:pPr>
        <w:spacing w:line="360" w:lineRule="auto"/>
        <w:rPr>
          <w:rFonts w:ascii="Times New Roman" w:hAnsi="Times New Roman" w:cs="Times New Roman"/>
          <w:b/>
          <w:bCs/>
          <w:sz w:val="22"/>
          <w:szCs w:val="22"/>
        </w:rPr>
        <w:sectPr>
          <w:pgSz w:w="11906" w:h="16838"/>
          <w:pgMar w:top="1440" w:right="1800" w:bottom="1440" w:left="1800" w:header="851" w:footer="992" w:gutter="0"/>
          <w:cols w:space="425" w:num="1"/>
          <w:docGrid w:type="lines" w:linePitch="312" w:charSpace="0"/>
        </w:sectPr>
      </w:pPr>
    </w:p>
    <w:p w14:paraId="5262B676">
      <w:pPr>
        <w:spacing w:line="360" w:lineRule="auto"/>
        <w:rPr>
          <w:rFonts w:ascii="Times New Roman" w:hAnsi="Times New Roman" w:cs="Times New Roman"/>
          <w:b/>
          <w:bCs/>
          <w:sz w:val="22"/>
          <w:szCs w:val="22"/>
        </w:rPr>
      </w:pPr>
    </w:p>
    <w:p w14:paraId="2FFE9F4A">
      <w:pPr>
        <w:spacing w:line="360" w:lineRule="auto"/>
        <w:rPr>
          <w:rFonts w:ascii="Times New Roman" w:hAnsi="Times New Roman" w:cs="Times New Roman"/>
          <w:b/>
          <w:bCs/>
          <w:sz w:val="22"/>
          <w:szCs w:val="22"/>
        </w:rPr>
      </w:pPr>
      <w:r>
        <w:rPr>
          <w:rFonts w:ascii="Times New Roman" w:hAnsi="Times New Roman" w:cs="Times New Roman"/>
          <w:b/>
          <w:bCs/>
          <w:sz w:val="22"/>
          <w:szCs w:val="22"/>
        </w:rPr>
        <w:drawing>
          <wp:inline distT="0" distB="0" distL="0" distR="0">
            <wp:extent cx="5274310" cy="6423025"/>
            <wp:effectExtent l="0" t="0" r="0" b="3175"/>
            <wp:docPr id="19868354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35420" name="图片 2"/>
                    <pic:cNvPicPr>
                      <a:picLocks noChangeAspect="1"/>
                    </pic:cNvPicPr>
                  </pic:nvPicPr>
                  <pic:blipFill>
                    <a:blip r:embed="rId5"/>
                    <a:stretch>
                      <a:fillRect/>
                    </a:stretch>
                  </pic:blipFill>
                  <pic:spPr>
                    <a:xfrm>
                      <a:off x="0" y="0"/>
                      <a:ext cx="5274310" cy="6423025"/>
                    </a:xfrm>
                    <a:prstGeom prst="rect">
                      <a:avLst/>
                    </a:prstGeom>
                  </pic:spPr>
                </pic:pic>
              </a:graphicData>
            </a:graphic>
          </wp:inline>
        </w:drawing>
      </w:r>
    </w:p>
    <w:p w14:paraId="5631AC3A">
      <w:pPr>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Figure S2 </w:t>
      </w:r>
      <w:r>
        <w:rPr>
          <w:rFonts w:ascii="Times New Roman" w:hAnsi="Times New Roman" w:cs="Times New Roman"/>
          <w:b w:val="0"/>
          <w:bCs/>
          <w:sz w:val="22"/>
          <w:szCs w:val="22"/>
        </w:rPr>
        <w:t>Age-dependent sex differences for serum lipidomic traits.</w:t>
      </w:r>
      <w:r>
        <w:rPr>
          <w:rFonts w:ascii="Times New Roman" w:hAnsi="Times New Roman" w:cs="Times New Roman"/>
          <w:sz w:val="22"/>
          <w:szCs w:val="22"/>
        </w:rPr>
        <w:t xml:space="preserve"> For each phenotype, the plots show the density of observations for men (blue contours) and women (red contours) and fitted lines obtained using GAM: men (blue) and women (red). Confidence intervals (± 1.96 SE) around the lines are depicted in a more transparent hue.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i/>
          <w:sz w:val="22"/>
          <w:szCs w:val="22"/>
        </w:rPr>
        <w:t xml:space="preserve"> </w:t>
      </w:r>
      <w:r>
        <w:rPr>
          <w:rFonts w:ascii="Times New Roman" w:hAnsi="Times New Roman" w:cs="Times New Roman"/>
          <w:sz w:val="22"/>
          <w:szCs w:val="22"/>
        </w:rPr>
        <w:t xml:space="preserve">reflects the effect size of the age-by-sex interaction. GAM interaction </w:t>
      </w:r>
      <w:r>
        <w:rPr>
          <w:rFonts w:ascii="Times New Roman" w:hAnsi="Times New Roman" w:cs="Times New Roman"/>
          <w:i/>
          <w:sz w:val="22"/>
          <w:szCs w:val="22"/>
        </w:rPr>
        <w:t>P</w:t>
      </w:r>
      <w:r>
        <w:rPr>
          <w:rFonts w:ascii="Times New Roman" w:hAnsi="Times New Roman" w:cs="Times New Roman"/>
          <w:sz w:val="22"/>
          <w:szCs w:val="22"/>
        </w:rPr>
        <w:t xml:space="preserve"> indicates the significance of the age-by-sex interaction term.</w:t>
      </w:r>
    </w:p>
    <w:p w14:paraId="62F499BA">
      <w:pPr>
        <w:spacing w:line="360" w:lineRule="auto"/>
        <w:rPr>
          <w:rFonts w:ascii="Times New Roman" w:hAnsi="Times New Roman" w:cs="Times New Roman"/>
          <w:b/>
          <w:bCs/>
          <w:sz w:val="22"/>
          <w:szCs w:val="22"/>
        </w:rPr>
        <w:sectPr>
          <w:pgSz w:w="11906" w:h="16838"/>
          <w:pgMar w:top="1440" w:right="1800" w:bottom="1440" w:left="1800" w:header="851" w:footer="992" w:gutter="0"/>
          <w:cols w:space="425" w:num="1"/>
          <w:docGrid w:type="lines" w:linePitch="312" w:charSpace="0"/>
        </w:sectPr>
      </w:pPr>
    </w:p>
    <w:p w14:paraId="550FE10F">
      <w:pPr>
        <w:spacing w:line="360" w:lineRule="auto"/>
        <w:rPr>
          <w:rFonts w:ascii="Times New Roman" w:hAnsi="Times New Roman" w:cs="Times New Roman"/>
          <w:b/>
          <w:bCs/>
          <w:sz w:val="22"/>
          <w:szCs w:val="22"/>
        </w:rPr>
      </w:pPr>
    </w:p>
    <w:p w14:paraId="5D39F1EF">
      <w:pPr>
        <w:spacing w:line="360" w:lineRule="auto"/>
        <w:rPr>
          <w:rFonts w:ascii="Times New Roman" w:hAnsi="Times New Roman" w:cs="Times New Roman"/>
          <w:b/>
          <w:bCs/>
          <w:sz w:val="22"/>
          <w:szCs w:val="22"/>
        </w:rPr>
      </w:pPr>
      <w:r>
        <w:rPr>
          <w:rFonts w:ascii="Times New Roman" w:hAnsi="Times New Roman" w:cs="Times New Roman"/>
          <w:b/>
          <w:bCs/>
          <w:sz w:val="22"/>
          <w:szCs w:val="22"/>
        </w:rPr>
        <w:drawing>
          <wp:inline distT="0" distB="0" distL="0" distR="0">
            <wp:extent cx="5274310" cy="4777740"/>
            <wp:effectExtent l="0" t="0" r="0" b="0"/>
            <wp:docPr id="21329037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03777" name="图片 3"/>
                    <pic:cNvPicPr>
                      <a:picLocks noChangeAspect="1"/>
                    </pic:cNvPicPr>
                  </pic:nvPicPr>
                  <pic:blipFill>
                    <a:blip r:embed="rId6"/>
                    <a:stretch>
                      <a:fillRect/>
                    </a:stretch>
                  </pic:blipFill>
                  <pic:spPr>
                    <a:xfrm>
                      <a:off x="0" y="0"/>
                      <a:ext cx="5274310" cy="4777740"/>
                    </a:xfrm>
                    <a:prstGeom prst="rect">
                      <a:avLst/>
                    </a:prstGeom>
                  </pic:spPr>
                </pic:pic>
              </a:graphicData>
            </a:graphic>
          </wp:inline>
        </w:drawing>
      </w:r>
    </w:p>
    <w:p w14:paraId="130356D6">
      <w:pPr>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Figure S3 </w:t>
      </w:r>
      <w:r>
        <w:rPr>
          <w:rFonts w:ascii="Times New Roman" w:hAnsi="Times New Roman" w:cs="Times New Roman"/>
          <w:b w:val="0"/>
          <w:bCs/>
          <w:sz w:val="22"/>
          <w:szCs w:val="22"/>
        </w:rPr>
        <w:t>Variance in serum lipidomic traits explained by age, sex</w:t>
      </w:r>
      <w:r>
        <w:rPr>
          <w:rFonts w:ascii="Times New Roman" w:hAnsi="Times New Roman" w:cs="Times New Roman"/>
          <w:b w:val="0"/>
          <w:bCs/>
          <w:sz w:val="22"/>
          <w:szCs w:val="22"/>
        </w:rPr>
        <w:t>,</w:t>
      </w:r>
      <w:r>
        <w:rPr>
          <w:rFonts w:ascii="Times New Roman" w:hAnsi="Times New Roman" w:cs="Times New Roman"/>
          <w:b w:val="0"/>
          <w:bCs/>
          <w:sz w:val="22"/>
          <w:szCs w:val="22"/>
        </w:rPr>
        <w:t xml:space="preserve"> and their interaction.</w:t>
      </w:r>
      <w:r>
        <w:rPr>
          <w:rFonts w:ascii="Times New Roman" w:hAnsi="Times New Roman" w:cs="Times New Roman"/>
          <w:sz w:val="22"/>
          <w:szCs w:val="22"/>
        </w:rPr>
        <w:t xml:space="preserve"> The fraction of total variance explained by sex (green), age (orange), and age-by-sex interaction (blue) in addition to covariates (grey) is visualized in the circular bar plot for each lipid. Bar height reflects the explained variance proportion. The inner part of the plot represents hierarchical clustering of age-dependent patterns of sex differences.</w:t>
      </w:r>
    </w:p>
    <w:p w14:paraId="022710A2">
      <w:pPr>
        <w:widowControl/>
        <w:jc w:val="left"/>
        <w:rPr>
          <w:rFonts w:ascii="Times New Roman" w:hAnsi="Times New Roman" w:cs="Times New Roman"/>
          <w:sz w:val="22"/>
          <w:szCs w:val="22"/>
        </w:rPr>
      </w:pPr>
      <w:r>
        <w:rPr>
          <w:rFonts w:ascii="Times New Roman" w:hAnsi="Times New Roman" w:cs="Times New Roman"/>
          <w:sz w:val="22"/>
          <w:szCs w:val="22"/>
        </w:rPr>
        <w:br w:type="page"/>
      </w:r>
    </w:p>
    <w:p w14:paraId="2FB5D5DE">
      <w:pPr>
        <w:tabs>
          <w:tab w:val="left" w:pos="1234"/>
        </w:tabs>
        <w:spacing w:line="360" w:lineRule="auto"/>
        <w:rPr>
          <w:rFonts w:ascii="Times New Roman" w:hAnsi="Times New Roman" w:cs="Times New Roman"/>
          <w:b/>
          <w:bCs/>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Table S1</w:t>
      </w:r>
      <w:r>
        <w:rPr>
          <w:rFonts w:hint="eastAsia" w:ascii="Times New Roman" w:hAnsi="Times New Roman" w:cs="Times New Roman"/>
          <w:b/>
          <w:bCs/>
          <w:sz w:val="22"/>
          <w:szCs w:val="22"/>
        </w:rPr>
        <w:t xml:space="preserve"> </w:t>
      </w:r>
      <w:r>
        <w:rPr>
          <w:rFonts w:ascii="Times New Roman" w:hAnsi="Times New Roman" w:cs="Times New Roman"/>
          <w:b w:val="0"/>
          <w:bCs/>
          <w:sz w:val="22"/>
          <w:szCs w:val="22"/>
        </w:rPr>
        <w:t>Characteristics of phenotype traits used in the current study.</w:t>
      </w:r>
      <w:r>
        <w:rPr>
          <w:rFonts w:hint="eastAsia" w:ascii="Times New Roman" w:hAnsi="Times New Roman" w:cs="Times New Roman"/>
          <w:b w:val="0"/>
          <w:bCs/>
          <w:sz w:val="22"/>
          <w:szCs w:val="22"/>
        </w:rPr>
        <w:t xml:space="preserve"> </w:t>
      </w:r>
      <w:r>
        <w:rPr>
          <w:rFonts w:ascii="Times New Roman" w:hAnsi="Times New Roman" w:cs="Times New Roman"/>
          <w:sz w:val="22"/>
          <w:szCs w:val="22"/>
        </w:rPr>
        <w:t>For each phenotype</w:t>
      </w:r>
      <w:r>
        <w:rPr>
          <w:rFonts w:hint="eastAsia" w:ascii="Times New Roman" w:hAnsi="Times New Roman" w:cs="Times New Roman"/>
          <w:sz w:val="22"/>
          <w:szCs w:val="22"/>
        </w:rPr>
        <w:t>,</w:t>
      </w:r>
      <w:r>
        <w:rPr>
          <w:rFonts w:ascii="Times New Roman" w:hAnsi="Times New Roman" w:cs="Times New Roman"/>
          <w:sz w:val="22"/>
          <w:szCs w:val="22"/>
        </w:rPr>
        <w:t xml:space="preserve"> basic statistics are given for all samples and stratified by sex: mean, standard deviations (SD), and median are shown.</w:t>
      </w:r>
    </w:p>
    <w:p w14:paraId="6DDA7645">
      <w:pPr>
        <w:tabs>
          <w:tab w:val="left" w:pos="1234"/>
        </w:tabs>
        <w:spacing w:line="360" w:lineRule="auto"/>
        <w:rPr>
          <w:rFonts w:ascii="Times New Roman" w:hAnsi="Times New Roman" w:cs="Times New Roman"/>
          <w:b/>
          <w:bCs/>
          <w:sz w:val="22"/>
          <w:szCs w:val="22"/>
        </w:rPr>
      </w:pPr>
    </w:p>
    <w:p w14:paraId="70F836FD">
      <w:pPr>
        <w:tabs>
          <w:tab w:val="left" w:pos="1234"/>
        </w:tabs>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Table S2</w:t>
      </w:r>
      <w:r>
        <w:rPr>
          <w:rFonts w:hint="eastAsia" w:ascii="Times New Roman" w:hAnsi="Times New Roman" w:cs="Times New Roman"/>
          <w:b/>
          <w:bCs/>
          <w:sz w:val="22"/>
          <w:szCs w:val="22"/>
        </w:rPr>
        <w:t xml:space="preserve"> </w:t>
      </w:r>
      <w:r>
        <w:rPr>
          <w:rFonts w:ascii="Times New Roman" w:hAnsi="Times New Roman" w:cs="Times New Roman"/>
          <w:b w:val="0"/>
          <w:bCs/>
          <w:sz w:val="22"/>
          <w:szCs w:val="22"/>
        </w:rPr>
        <w:t>Age-dependent sex differences in general phenotypes based on the Generalized Additive Model (GAM) fitting,</w:t>
      </w:r>
      <w:r>
        <w:rPr>
          <w:rFonts w:ascii="Times New Roman" w:hAnsi="Times New Roman" w:cs="Times New Roman"/>
          <w:b w:val="0"/>
          <w:bCs/>
          <w:color w:val="000000" w:themeColor="text1"/>
          <w:sz w:val="22"/>
          <w:szCs w:val="22"/>
          <w14:textFill>
            <w14:solidFill>
              <w14:schemeClr w14:val="tx1"/>
            </w14:solidFill>
          </w14:textFill>
        </w:rPr>
        <w:t xml:space="preserve"> with and withou</w:t>
      </w:r>
      <w:r>
        <w:rPr>
          <w:rFonts w:ascii="Times New Roman" w:hAnsi="Times New Roman" w:cs="Times New Roman"/>
          <w:b w:val="0"/>
          <w:bCs/>
          <w:sz w:val="22"/>
          <w:szCs w:val="22"/>
        </w:rPr>
        <w:t>t covariate adjustment.</w:t>
      </w:r>
      <w:r>
        <w:rPr>
          <w:rFonts w:hint="eastAsia" w:ascii="Times New Roman" w:hAnsi="Times New Roman" w:cs="Times New Roman"/>
          <w:sz w:val="22"/>
          <w:szCs w:val="22"/>
        </w:rPr>
        <w:t xml:space="preserve"> </w:t>
      </w:r>
      <w:r>
        <w:rPr>
          <w:rFonts w:ascii="Times New Roman" w:hAnsi="Times New Roman" w:cs="Times New Roman"/>
          <w:sz w:val="22"/>
          <w:szCs w:val="22"/>
        </w:rPr>
        <w:t xml:space="preserve">GAM fitting results including the GAM age-by-sex interaction term </w:t>
      </w:r>
      <w:r>
        <w:rPr>
          <w:rFonts w:ascii="Times New Roman" w:hAnsi="Times New Roman" w:cs="Times New Roman"/>
          <w:i/>
          <w:sz w:val="22"/>
          <w:szCs w:val="22"/>
        </w:rPr>
        <w:t>P</w:t>
      </w:r>
      <w:r>
        <w:rPr>
          <w:rFonts w:ascii="Times New Roman" w:hAnsi="Times New Roman" w:cs="Times New Roman"/>
          <w:sz w:val="22"/>
          <w:szCs w:val="22"/>
        </w:rPr>
        <w:t xml:space="preserve"> value and effect size estimated using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are provided for each phenotype. Linear sex differences over the whole age span were studied using linear models, where sex was the single predictor; both the sex term significance and effect size are given.</w:t>
      </w:r>
      <w:bookmarkStart w:id="0" w:name="_GoBack"/>
      <w:bookmarkEnd w:id="0"/>
      <w:r>
        <w:rPr>
          <w:rFonts w:ascii="Times New Roman" w:hAnsi="Times New Roman" w:cs="Times New Roman"/>
          <w:sz w:val="22"/>
          <w:szCs w:val="22"/>
        </w:rPr>
        <w:t xml:space="preserve"> Non-linear sex differences over the whole age span were studied using GAMs, where the interaction term was omitted; both the sex term significance and effect size are given. The right part of the table shows similar parameters after adjusting for the major metabolic risk factors: BMI, fasting plasma glucose, total cholesterol, HDL cholesterol, systolic blood pressure, current smoking, and type 2 diabetes.</w:t>
      </w:r>
    </w:p>
    <w:p w14:paraId="7D6286E9">
      <w:pPr>
        <w:tabs>
          <w:tab w:val="left" w:pos="1234"/>
        </w:tabs>
        <w:spacing w:line="360" w:lineRule="auto"/>
        <w:rPr>
          <w:rFonts w:ascii="Times New Roman" w:hAnsi="Times New Roman" w:cs="Times New Roman"/>
          <w:sz w:val="22"/>
          <w:szCs w:val="22"/>
        </w:rPr>
      </w:pPr>
    </w:p>
    <w:p w14:paraId="47DE945A">
      <w:pPr>
        <w:tabs>
          <w:tab w:val="left" w:pos="1234"/>
        </w:tabs>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Table S3 </w:t>
      </w:r>
      <w:r>
        <w:rPr>
          <w:rFonts w:ascii="Times New Roman" w:hAnsi="Times New Roman" w:cs="Times New Roman"/>
          <w:b w:val="0"/>
          <w:bCs/>
          <w:sz w:val="22"/>
          <w:szCs w:val="22"/>
        </w:rPr>
        <w:t xml:space="preserve">Age-dependent sex differences for metabolic </w:t>
      </w:r>
      <w:r>
        <w:rPr>
          <w:rFonts w:ascii="Times New Roman" w:hAnsi="Times New Roman" w:cs="Times New Roman"/>
          <w:b w:val="0"/>
          <w:bCs/>
          <w:sz w:val="22"/>
          <w:szCs w:val="22"/>
        </w:rPr>
        <w:t xml:space="preserve">disease </w:t>
      </w:r>
      <w:r>
        <w:rPr>
          <w:rFonts w:ascii="Times New Roman" w:hAnsi="Times New Roman" w:cs="Times New Roman"/>
          <w:b w:val="0"/>
          <w:bCs/>
          <w:sz w:val="22"/>
          <w:szCs w:val="22"/>
        </w:rPr>
        <w:t xml:space="preserve">risk factors among those without medication usage. </w:t>
      </w:r>
      <w:r>
        <w:rPr>
          <w:rFonts w:ascii="Times New Roman" w:hAnsi="Times New Roman" w:cs="Times New Roman"/>
          <w:sz w:val="22"/>
          <w:szCs w:val="22"/>
        </w:rPr>
        <w:t xml:space="preserve">GAM fitting results including the GAM age by sex interaction term </w:t>
      </w:r>
      <w:r>
        <w:rPr>
          <w:rFonts w:ascii="Times New Roman" w:hAnsi="Times New Roman" w:cs="Times New Roman"/>
          <w:i/>
          <w:sz w:val="22"/>
          <w:szCs w:val="22"/>
        </w:rPr>
        <w:t>P</w:t>
      </w:r>
      <w:r>
        <w:rPr>
          <w:rFonts w:ascii="Times New Roman" w:hAnsi="Times New Roman" w:cs="Times New Roman"/>
          <w:sz w:val="22"/>
          <w:szCs w:val="22"/>
        </w:rPr>
        <w:t xml:space="preserve"> value and effect size estimated using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are provided for each phenotype. Linear sex differences over the whole age span were studied using linear models, where sex was the single predictor; both the sex term significance and effect size are given. Non-linear sex differences over the whole age span were studied using GAMs, where the interaction term was omitted; both the sex term significance and effect size are given.</w:t>
      </w:r>
    </w:p>
    <w:p w14:paraId="40EE1657">
      <w:pPr>
        <w:tabs>
          <w:tab w:val="left" w:pos="1234"/>
        </w:tabs>
        <w:spacing w:line="360" w:lineRule="auto"/>
        <w:rPr>
          <w:rFonts w:ascii="Times New Roman" w:hAnsi="Times New Roman" w:cs="Times New Roman"/>
          <w:sz w:val="22"/>
          <w:szCs w:val="22"/>
        </w:rPr>
      </w:pPr>
    </w:p>
    <w:p w14:paraId="08DBD2B0">
      <w:pPr>
        <w:tabs>
          <w:tab w:val="left" w:pos="1234"/>
        </w:tabs>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Table S4 </w:t>
      </w:r>
      <w:r>
        <w:rPr>
          <w:rFonts w:ascii="Times New Roman" w:hAnsi="Times New Roman" w:cs="Times New Roman"/>
          <w:b w:val="0"/>
          <w:bCs/>
          <w:sz w:val="22"/>
          <w:szCs w:val="22"/>
        </w:rPr>
        <w:t>Age-dependent sex differences in phenotypes excluding the age of menopause.</w:t>
      </w:r>
      <w:r>
        <w:rPr>
          <w:rFonts w:ascii="Times New Roman" w:hAnsi="Times New Roman" w:cs="Times New Roman"/>
          <w:sz w:val="22"/>
          <w:szCs w:val="22"/>
        </w:rPr>
        <w:t xml:space="preserve"> GAM fitting results are reported for two age groups that exclude the age of menopause: before 45 years old (left table) and after 55 years old (right table). The GAM age by sex interaction term </w:t>
      </w:r>
      <w:r>
        <w:rPr>
          <w:rFonts w:ascii="Times New Roman" w:hAnsi="Times New Roman" w:cs="Times New Roman"/>
          <w:i/>
          <w:sz w:val="22"/>
          <w:szCs w:val="22"/>
        </w:rPr>
        <w:t>P</w:t>
      </w:r>
      <w:r>
        <w:rPr>
          <w:rFonts w:ascii="Times New Roman" w:hAnsi="Times New Roman" w:cs="Times New Roman"/>
          <w:sz w:val="22"/>
          <w:szCs w:val="22"/>
        </w:rPr>
        <w:t xml:space="preserve"> value and effect size estimated using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are provided for each phenotype.</w:t>
      </w:r>
    </w:p>
    <w:p w14:paraId="742E5D8F">
      <w:pPr>
        <w:tabs>
          <w:tab w:val="left" w:pos="1234"/>
        </w:tabs>
        <w:spacing w:line="360" w:lineRule="auto"/>
        <w:rPr>
          <w:rFonts w:ascii="Times New Roman" w:hAnsi="Times New Roman" w:cs="Times New Roman"/>
          <w:sz w:val="22"/>
          <w:szCs w:val="22"/>
        </w:rPr>
      </w:pPr>
    </w:p>
    <w:p w14:paraId="31C83CEC">
      <w:pPr>
        <w:tabs>
          <w:tab w:val="left" w:pos="1234"/>
        </w:tabs>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Table S5 </w:t>
      </w:r>
      <w:r>
        <w:rPr>
          <w:rFonts w:ascii="Times New Roman" w:hAnsi="Times New Roman" w:cs="Times New Roman"/>
          <w:b w:val="0"/>
          <w:bCs/>
          <w:sz w:val="22"/>
          <w:szCs w:val="22"/>
        </w:rPr>
        <w:t xml:space="preserve">Age-dependent sex differences in serum lipidomic </w:t>
      </w:r>
      <w:r>
        <w:rPr>
          <w:rFonts w:hint="eastAsia" w:ascii="Times New Roman" w:hAnsi="Times New Roman" w:cs="Times New Roman"/>
          <w:b w:val="0"/>
          <w:bCs/>
          <w:sz w:val="22"/>
          <w:szCs w:val="22"/>
        </w:rPr>
        <w:t>traits</w:t>
      </w:r>
      <w:r>
        <w:rPr>
          <w:rFonts w:ascii="Times New Roman" w:hAnsi="Times New Roman" w:cs="Times New Roman"/>
          <w:b w:val="0"/>
          <w:bCs/>
          <w:sz w:val="22"/>
          <w:szCs w:val="22"/>
        </w:rPr>
        <w:t xml:space="preserve"> based on the GAM fitting.</w:t>
      </w:r>
      <w:r>
        <w:rPr>
          <w:rFonts w:ascii="Times New Roman" w:hAnsi="Times New Roman" w:cs="Times New Roman"/>
          <w:sz w:val="22"/>
          <w:szCs w:val="22"/>
        </w:rPr>
        <w:t xml:space="preserve"> Age-dependent sex differences for each lipidomic trait are provided based on GAM age-by-sex interaction </w:t>
      </w:r>
      <w:r>
        <w:rPr>
          <w:rFonts w:ascii="Times New Roman" w:hAnsi="Times New Roman" w:cs="Times New Roman"/>
          <w:i/>
          <w:sz w:val="22"/>
          <w:szCs w:val="22"/>
        </w:rPr>
        <w:t>P</w:t>
      </w:r>
      <w:r>
        <w:rPr>
          <w:rFonts w:ascii="Times New Roman" w:hAnsi="Times New Roman" w:cs="Times New Roman"/>
          <w:sz w:val="22"/>
          <w:szCs w:val="22"/>
        </w:rPr>
        <w:t xml:space="preserve"> value significance and effect size estimated using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Non-linear sex differences over the whole age span were estimated using GAMs, where the interaction term was omitted; the sex term significance and effect size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xml:space="preserve">) are provided. The non-linear age effect for both sexes combined was estimated using GAMs, where the interaction term was omitted; the age term significance and effect size (Cohen's </w:t>
      </w:r>
      <w:r>
        <w:rPr>
          <w:rFonts w:ascii="Times New Roman" w:hAnsi="Times New Roman" w:cs="Times New Roman"/>
          <w:i/>
          <w:sz w:val="22"/>
          <w:szCs w:val="22"/>
        </w:rPr>
        <w:t>f</w:t>
      </w:r>
      <w:r>
        <w:rPr>
          <w:rFonts w:ascii="Times New Roman" w:hAnsi="Times New Roman" w:cs="Times New Roman"/>
          <w:i/>
          <w:sz w:val="22"/>
          <w:szCs w:val="22"/>
          <w:vertAlign w:val="superscript"/>
        </w:rPr>
        <w:t>2</w:t>
      </w:r>
      <w:r>
        <w:rPr>
          <w:rFonts w:ascii="Times New Roman" w:hAnsi="Times New Roman" w:cs="Times New Roman"/>
          <w:sz w:val="22"/>
          <w:szCs w:val="22"/>
        </w:rPr>
        <w:t>) are provided.</w:t>
      </w:r>
    </w:p>
    <w:p w14:paraId="69D5FAE1">
      <w:pPr>
        <w:tabs>
          <w:tab w:val="left" w:pos="1234"/>
        </w:tabs>
        <w:spacing w:line="360" w:lineRule="auto"/>
        <w:rPr>
          <w:rFonts w:ascii="Times New Roman" w:hAnsi="Times New Roman" w:cs="Times New Roman"/>
          <w:sz w:val="22"/>
          <w:szCs w:val="22"/>
        </w:rPr>
      </w:pPr>
    </w:p>
    <w:p w14:paraId="51067F13">
      <w:pPr>
        <w:tabs>
          <w:tab w:val="left" w:pos="1234"/>
        </w:tabs>
        <w:spacing w:line="360" w:lineRule="auto"/>
        <w:rPr>
          <w:rFonts w:ascii="Times New Roman" w:hAnsi="Times New Roman" w:cs="Times New Roman"/>
          <w:sz w:val="22"/>
          <w:szCs w:val="22"/>
        </w:rPr>
      </w:pPr>
      <w:r>
        <w:rPr>
          <w:rFonts w:ascii="Times New Roman" w:hAnsi="Times New Roman" w:cs="Times New Roman"/>
          <w:b/>
          <w:bCs/>
          <w:sz w:val="22"/>
          <w:szCs w:val="22"/>
        </w:rPr>
        <w:t>Supplementary</w:t>
      </w:r>
      <w:r>
        <w:rPr>
          <w:rFonts w:hint="eastAsia" w:ascii="Times New Roman" w:hAnsi="Times New Roman" w:cs="Times New Roman"/>
          <w:b/>
          <w:bCs/>
          <w:sz w:val="22"/>
          <w:szCs w:val="22"/>
        </w:rPr>
        <w:t xml:space="preserve"> </w:t>
      </w:r>
      <w:r>
        <w:rPr>
          <w:rFonts w:ascii="Times New Roman" w:hAnsi="Times New Roman" w:cs="Times New Roman"/>
          <w:b/>
          <w:bCs/>
          <w:sz w:val="22"/>
          <w:szCs w:val="22"/>
        </w:rPr>
        <w:t xml:space="preserve">Table S6 </w:t>
      </w:r>
      <w:r>
        <w:rPr>
          <w:rFonts w:ascii="Times New Roman" w:hAnsi="Times New Roman" w:cs="Times New Roman"/>
          <w:b w:val="0"/>
          <w:bCs/>
          <w:sz w:val="22"/>
          <w:szCs w:val="22"/>
        </w:rPr>
        <w:t xml:space="preserve">The proportion of lipid variance </w:t>
      </w:r>
      <w:r>
        <w:rPr>
          <w:rFonts w:ascii="Times New Roman" w:hAnsi="Times New Roman" w:cs="Times New Roman"/>
          <w:b w:val="0"/>
          <w:bCs/>
          <w:sz w:val="22"/>
          <w:szCs w:val="22"/>
        </w:rPr>
        <w:t xml:space="preserve">is </w:t>
      </w:r>
      <w:r>
        <w:rPr>
          <w:rFonts w:ascii="Times New Roman" w:hAnsi="Times New Roman" w:cs="Times New Roman"/>
          <w:b w:val="0"/>
          <w:bCs/>
          <w:sz w:val="22"/>
          <w:szCs w:val="22"/>
        </w:rPr>
        <w:t>explained by age, sex</w:t>
      </w:r>
      <w:r>
        <w:rPr>
          <w:rFonts w:ascii="Times New Roman" w:hAnsi="Times New Roman" w:cs="Times New Roman"/>
          <w:b w:val="0"/>
          <w:bCs/>
          <w:sz w:val="22"/>
          <w:szCs w:val="22"/>
        </w:rPr>
        <w:t>,</w:t>
      </w:r>
      <w:r>
        <w:rPr>
          <w:rFonts w:ascii="Times New Roman" w:hAnsi="Times New Roman" w:cs="Times New Roman"/>
          <w:b w:val="0"/>
          <w:bCs/>
          <w:sz w:val="22"/>
          <w:szCs w:val="22"/>
        </w:rPr>
        <w:t xml:space="preserve"> and their interaction and </w:t>
      </w:r>
      <w:r>
        <w:rPr>
          <w:rFonts w:ascii="Times New Roman" w:hAnsi="Times New Roman" w:cs="Times New Roman"/>
          <w:bCs/>
          <w:sz w:val="22"/>
          <w:szCs w:val="22"/>
        </w:rPr>
        <w:t>K</w:t>
      </w:r>
      <w:r>
        <w:rPr>
          <w:rFonts w:ascii="Times New Roman" w:hAnsi="Times New Roman" w:cs="Times New Roman"/>
          <w:b w:val="0"/>
          <w:bCs/>
          <w:sz w:val="22"/>
          <w:szCs w:val="22"/>
        </w:rPr>
        <w:t>-means clustering for distinguished patterns.</w:t>
      </w:r>
      <w:r>
        <w:rPr>
          <w:rFonts w:hint="eastAsia" w:ascii="Times New Roman" w:hAnsi="Times New Roman" w:cs="Times New Roman"/>
          <w:sz w:val="22"/>
          <w:szCs w:val="22"/>
        </w:rPr>
        <w:t xml:space="preserve"> </w:t>
      </w:r>
      <w:r>
        <w:rPr>
          <w:rFonts w:ascii="Times New Roman" w:hAnsi="Times New Roman" w:cs="Times New Roman"/>
          <w:sz w:val="22"/>
          <w:szCs w:val="22"/>
        </w:rPr>
        <w:t>The table provides the explained variance (</w:t>
      </w:r>
      <w:r>
        <w:rPr>
          <w:rFonts w:ascii="Times New Roman" w:hAnsi="Times New Roman" w:cs="Times New Roman"/>
          <w:i/>
          <w:sz w:val="22"/>
          <w:szCs w:val="22"/>
        </w:rPr>
        <w:t>R</w:t>
      </w:r>
      <w:r>
        <w:rPr>
          <w:rFonts w:ascii="Times New Roman" w:hAnsi="Times New Roman" w:cs="Times New Roman"/>
          <w:i/>
          <w:sz w:val="22"/>
          <w:szCs w:val="22"/>
          <w:vertAlign w:val="superscript"/>
        </w:rPr>
        <w:t>2</w:t>
      </w:r>
      <w:r>
        <w:rPr>
          <w:rFonts w:ascii="Times New Roman" w:hAnsi="Times New Roman" w:cs="Times New Roman"/>
          <w:sz w:val="22"/>
          <w:szCs w:val="22"/>
        </w:rPr>
        <w:t>) of each serum lipidomic trait by covariates (null_model), sex, age, and age-by-sex interaction estimated using GAMs. In addition, it shows the position of each lipoprotein in the hierarchical clustering and the cluster group, as presented in Supplementary Figure S</w:t>
      </w:r>
      <w:r>
        <w:rPr>
          <w:rFonts w:hint="eastAsia" w:ascii="Times New Roman" w:hAnsi="Times New Roman" w:cs="Times New Roman"/>
          <w:sz w:val="22"/>
          <w:szCs w:val="22"/>
        </w:rPr>
        <w:t>3</w:t>
      </w:r>
      <w:r>
        <w:rPr>
          <w:rFonts w:ascii="Times New Roman" w:hAnsi="Times New Roman" w:cs="Times New Roman"/>
          <w:sz w:val="22"/>
          <w:szCs w:val="22"/>
        </w:rPr>
        <w:t>.</w:t>
      </w:r>
    </w:p>
    <w:p w14:paraId="0145E6FB">
      <w:pPr>
        <w:spacing w:line="360" w:lineRule="auto"/>
        <w:rPr>
          <w:rFonts w:ascii="Times New Roman" w:hAnsi="Times New Roman" w:cs="Times New Roman"/>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0D2"/>
    <w:rsid w:val="000127B8"/>
    <w:rsid w:val="00063D61"/>
    <w:rsid w:val="0008454A"/>
    <w:rsid w:val="000A6900"/>
    <w:rsid w:val="000B79A7"/>
    <w:rsid w:val="002F5684"/>
    <w:rsid w:val="00306394"/>
    <w:rsid w:val="00323566"/>
    <w:rsid w:val="00337DEA"/>
    <w:rsid w:val="0036524B"/>
    <w:rsid w:val="00371B84"/>
    <w:rsid w:val="00397B28"/>
    <w:rsid w:val="003F0FF6"/>
    <w:rsid w:val="003F271E"/>
    <w:rsid w:val="00433E88"/>
    <w:rsid w:val="00445044"/>
    <w:rsid w:val="004552F1"/>
    <w:rsid w:val="0046232E"/>
    <w:rsid w:val="00481A9A"/>
    <w:rsid w:val="00496979"/>
    <w:rsid w:val="004B38F1"/>
    <w:rsid w:val="0055376C"/>
    <w:rsid w:val="005830D2"/>
    <w:rsid w:val="00626630"/>
    <w:rsid w:val="0066588A"/>
    <w:rsid w:val="0067107B"/>
    <w:rsid w:val="006817B8"/>
    <w:rsid w:val="00683B5E"/>
    <w:rsid w:val="00685B92"/>
    <w:rsid w:val="006B0AC1"/>
    <w:rsid w:val="006C069A"/>
    <w:rsid w:val="006C25FC"/>
    <w:rsid w:val="00700334"/>
    <w:rsid w:val="00730E02"/>
    <w:rsid w:val="007665B6"/>
    <w:rsid w:val="00776995"/>
    <w:rsid w:val="007A2A33"/>
    <w:rsid w:val="007D2D24"/>
    <w:rsid w:val="007E50E6"/>
    <w:rsid w:val="008049FC"/>
    <w:rsid w:val="00835ABF"/>
    <w:rsid w:val="00844341"/>
    <w:rsid w:val="00847A2D"/>
    <w:rsid w:val="0089039C"/>
    <w:rsid w:val="008B205C"/>
    <w:rsid w:val="008D4D47"/>
    <w:rsid w:val="008E7933"/>
    <w:rsid w:val="00914A63"/>
    <w:rsid w:val="00926ED5"/>
    <w:rsid w:val="00957FCB"/>
    <w:rsid w:val="00975EE3"/>
    <w:rsid w:val="00A23DFD"/>
    <w:rsid w:val="00A410A9"/>
    <w:rsid w:val="00A71BD1"/>
    <w:rsid w:val="00AD1724"/>
    <w:rsid w:val="00B21999"/>
    <w:rsid w:val="00B24670"/>
    <w:rsid w:val="00B73A3B"/>
    <w:rsid w:val="00B95113"/>
    <w:rsid w:val="00B96FD1"/>
    <w:rsid w:val="00BA2D6E"/>
    <w:rsid w:val="00BB7A1B"/>
    <w:rsid w:val="00BE1449"/>
    <w:rsid w:val="00BF48BF"/>
    <w:rsid w:val="00C30C4D"/>
    <w:rsid w:val="00CE192A"/>
    <w:rsid w:val="00CF05D7"/>
    <w:rsid w:val="00CF607B"/>
    <w:rsid w:val="00D00128"/>
    <w:rsid w:val="00DB70E8"/>
    <w:rsid w:val="00DF1FA5"/>
    <w:rsid w:val="00E27A34"/>
    <w:rsid w:val="00EA7083"/>
    <w:rsid w:val="00EB65F5"/>
    <w:rsid w:val="00EE4536"/>
    <w:rsid w:val="00F12107"/>
    <w:rsid w:val="00F52328"/>
    <w:rsid w:val="00F806CE"/>
    <w:rsid w:val="00FA6765"/>
    <w:rsid w:val="00FB0A1F"/>
    <w:rsid w:val="00FC6662"/>
    <w:rsid w:val="00FD6AC0"/>
    <w:rsid w:val="FDDEA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14:ligatures w14:val="standardContextual"/>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semiHidden/>
    <w:unhideWhenUsed/>
    <w:uiPriority w:val="99"/>
    <w:pPr>
      <w:jc w:val="left"/>
    </w:pPr>
  </w:style>
  <w:style w:type="paragraph" w:styleId="3">
    <w:name w:val="Balloon Text"/>
    <w:basedOn w:val="1"/>
    <w:link w:val="14"/>
    <w:semiHidden/>
    <w:unhideWhenUsed/>
    <w:uiPriority w:val="99"/>
    <w:rPr>
      <w:sz w:val="18"/>
      <w:szCs w:val="18"/>
    </w:rPr>
  </w:style>
  <w:style w:type="paragraph" w:styleId="4">
    <w:name w:val="footer"/>
    <w:basedOn w:val="1"/>
    <w:link w:val="13"/>
    <w:unhideWhenUsed/>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eastAsia="宋体" w:cs="宋体"/>
      <w:kern w:val="0"/>
      <w:sz w:val="24"/>
      <w14:ligatures w14:val="none"/>
    </w:rPr>
  </w:style>
  <w:style w:type="paragraph" w:styleId="7">
    <w:name w:val="annotation subject"/>
    <w:basedOn w:val="2"/>
    <w:next w:val="2"/>
    <w:link w:val="16"/>
    <w:semiHidden/>
    <w:unhideWhenUsed/>
    <w:uiPriority w:val="99"/>
    <w:rPr>
      <w:b/>
      <w:bCs/>
    </w:rPr>
  </w:style>
  <w:style w:type="character" w:styleId="10">
    <w:name w:val="annotation reference"/>
    <w:basedOn w:val="9"/>
    <w:semiHidden/>
    <w:unhideWhenUsed/>
    <w:uiPriority w:val="99"/>
    <w:rPr>
      <w:sz w:val="21"/>
      <w:szCs w:val="21"/>
    </w:rPr>
  </w:style>
  <w:style w:type="paragraph" w:customStyle="1" w:styleId="11">
    <w:name w:val="Revision"/>
    <w:hidden/>
    <w:semiHidden/>
    <w:uiPriority w:val="99"/>
    <w:rPr>
      <w:rFonts w:asciiTheme="minorHAnsi" w:hAnsiTheme="minorHAnsi" w:eastAsiaTheme="minorEastAsia" w:cstheme="minorBidi"/>
      <w:kern w:val="2"/>
      <w:sz w:val="21"/>
      <w:szCs w:val="24"/>
      <w:lang w:val="en-US" w:eastAsia="zh-CN" w:bidi="ar-SA"/>
      <w14:ligatures w14:val="standardContextual"/>
    </w:rPr>
  </w:style>
  <w:style w:type="character" w:customStyle="1" w:styleId="12">
    <w:name w:val="页眉 Char"/>
    <w:basedOn w:val="9"/>
    <w:link w:val="5"/>
    <w:uiPriority w:val="99"/>
    <w:rPr>
      <w:sz w:val="18"/>
      <w:szCs w:val="18"/>
    </w:rPr>
  </w:style>
  <w:style w:type="character" w:customStyle="1" w:styleId="13">
    <w:name w:val="页脚 Char"/>
    <w:basedOn w:val="9"/>
    <w:link w:val="4"/>
    <w:uiPriority w:val="99"/>
    <w:rPr>
      <w:sz w:val="18"/>
      <w:szCs w:val="18"/>
    </w:rPr>
  </w:style>
  <w:style w:type="character" w:customStyle="1" w:styleId="14">
    <w:name w:val="批注框文本 Char"/>
    <w:basedOn w:val="9"/>
    <w:link w:val="3"/>
    <w:semiHidden/>
    <w:uiPriority w:val="99"/>
    <w:rPr>
      <w:sz w:val="18"/>
      <w:szCs w:val="18"/>
    </w:rPr>
  </w:style>
  <w:style w:type="character" w:customStyle="1" w:styleId="15">
    <w:name w:val="批注文字 Char"/>
    <w:basedOn w:val="9"/>
    <w:link w:val="2"/>
    <w:semiHidden/>
    <w:uiPriority w:val="99"/>
  </w:style>
  <w:style w:type="character" w:customStyle="1" w:styleId="16">
    <w:name w:val="批注主题 Char"/>
    <w:basedOn w:val="15"/>
    <w:link w:val="7"/>
    <w:semiHidden/>
    <w:uiPriority w:val="99"/>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726</Words>
  <Characters>4143</Characters>
  <Lines>34</Lines>
  <Paragraphs>9</Paragraphs>
  <TotalTime>83</TotalTime>
  <ScaleCrop>false</ScaleCrop>
  <LinksUpToDate>false</LinksUpToDate>
  <CharactersWithSpaces>4860</CharactersWithSpaces>
  <Application>WPS Office_6.8.2.8850_F1E327BC-269C-435d-A152-05C5408002CA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2023-12-25T19:32:00Z</dcterms:created>
  <dc:creator>晓静 贾</dc:creator>
  <cp:lastModifiedBy>zhx</cp:lastModifiedBy>
  <dcterms:modified xsi:type="dcterms:W3CDTF">2024-07-28T12:09:25Z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10c8f89192cc851d3d2e8a45e76a9593322d46c36ebc26dae710e7bd8a9645c4</vt:lpwstr>
  </property>
  <property fmtid="{D5CDD505-2E9C-101B-9397-08002B2CF9AE}" pid="3" name="KSOProductBuildVer">
    <vt:lpwstr>2052-6.8.2.8850</vt:lpwstr>
  </property>
  <property fmtid="{D5CDD505-2E9C-101B-9397-08002B2CF9AE}" pid="4" name="ICV">
    <vt:lpwstr>9D63E709EDFC21AC75C4A56606F2C9C4_42</vt:lpwstr>
  </property>
</Properties>
</file>