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06AB" w14:textId="77777777" w:rsidR="0032236B" w:rsidRDefault="00000000">
      <w:pPr>
        <w:spacing w:line="360" w:lineRule="auto"/>
        <w:jc w:val="center"/>
        <w:rPr>
          <w:rFonts w:ascii="Arial" w:eastAsia="宋体" w:hAnsi="Arial" w:cs="Arial"/>
          <w:b/>
          <w:color w:val="000000" w:themeColor="text1"/>
          <w:sz w:val="28"/>
          <w:szCs w:val="28"/>
          <w14:ligatures w14:val="none"/>
        </w:rPr>
      </w:pPr>
      <w:bookmarkStart w:id="0" w:name="_Hlk157022424"/>
      <w:r>
        <w:rPr>
          <w:rFonts w:ascii="Arial" w:eastAsia="宋体" w:hAnsi="Arial" w:cs="Arial"/>
          <w:b/>
          <w:color w:val="000000" w:themeColor="text1"/>
          <w:sz w:val="28"/>
          <w:szCs w:val="28"/>
          <w14:ligatures w14:val="none"/>
        </w:rPr>
        <w:t xml:space="preserve"> </w:t>
      </w:r>
      <w:r>
        <w:rPr>
          <w:rFonts w:ascii="Arial" w:eastAsia="宋体" w:hAnsi="Arial" w:cs="Arial" w:hint="eastAsia"/>
          <w:b/>
          <w:color w:val="000000" w:themeColor="text1"/>
          <w:sz w:val="28"/>
          <w:szCs w:val="28"/>
          <w14:ligatures w14:val="none"/>
        </w:rPr>
        <w:t>Supplementary Information</w:t>
      </w:r>
      <w:r>
        <w:rPr>
          <w:rFonts w:ascii="Arial" w:eastAsia="宋体" w:hAnsi="Arial" w:cs="Arial"/>
          <w:b/>
          <w:color w:val="000000" w:themeColor="text1"/>
          <w:sz w:val="28"/>
          <w:szCs w:val="28"/>
          <w14:ligatures w14:val="none"/>
        </w:rPr>
        <w:t xml:space="preserve"> for</w:t>
      </w:r>
    </w:p>
    <w:p w14:paraId="7E7B2A72" w14:textId="77777777" w:rsidR="0032236B" w:rsidRDefault="0032236B">
      <w:pPr>
        <w:widowControl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977FB7" w14:textId="77777777" w:rsidR="0032236B" w:rsidRDefault="00000000">
      <w:pPr>
        <w:widowControl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Energy stress-induced </w:t>
      </w:r>
      <w:bookmarkStart w:id="1" w:name="_Hlk156202962"/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PKCζ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S-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glutathionylation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is essential for </w:t>
      </w:r>
    </w:p>
    <w:p w14:paraId="6D0B651F" w14:textId="77777777" w:rsidR="0032236B" w:rsidRDefault="00000000">
      <w:pPr>
        <w:widowControl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LKB1 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cytoplasmic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translocation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and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AMPK activation</w:t>
      </w:r>
      <w:bookmarkEnd w:id="0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bookmarkEnd w:id="1"/>
    <w:p w14:paraId="693347B3" w14:textId="77777777" w:rsidR="0032236B" w:rsidRDefault="0032236B">
      <w:pPr>
        <w:widowControl/>
        <w:jc w:val="left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529E87" w14:textId="77777777" w:rsidR="0032236B" w:rsidRDefault="00000000">
      <w:pPr>
        <w:spacing w:line="360" w:lineRule="auto"/>
        <w:jc w:val="center"/>
        <w:rPr>
          <w:rFonts w:ascii="Arial" w:eastAsia="宋体" w:hAnsi="Arial" w:cs="Arial"/>
          <w:bCs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Junjie Fei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Shuhan Yu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Mingzhe Xu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Yang Liu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Guoqiang Wang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 xml:space="preserve">, </w:t>
      </w:r>
      <w:bookmarkStart w:id="2" w:name="OLE_LINK1"/>
      <w:proofErr w:type="spellStart"/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>Xueqing</w:t>
      </w:r>
      <w:proofErr w:type="spellEnd"/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 xml:space="preserve"> Li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>, Xinyue Yu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>,</w:t>
      </w:r>
      <w:bookmarkEnd w:id="2"/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 xml:space="preserve"> 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Y</w:t>
      </w:r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>i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fan Zhang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W</w:t>
      </w:r>
      <w:r>
        <w:rPr>
          <w:rFonts w:ascii="Arial" w:eastAsia="宋体" w:hAnsi="Arial" w:cs="Arial" w:hint="eastAsia"/>
          <w:bCs/>
          <w:color w:val="000000" w:themeColor="text1"/>
          <w:sz w:val="24"/>
          <w:szCs w:val="24"/>
        </w:rPr>
        <w:t>en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hua Zhang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Yang Wang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Mengmeng</w:t>
      </w:r>
      <w:proofErr w:type="spellEnd"/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 xml:space="preserve"> Niu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 xml:space="preserve"> 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Yujun Zhang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Yang Cao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1,*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Zhi-Xiong Jim Xiao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1,2,*,</w:t>
      </w:r>
      <w:r>
        <w:rPr>
          <w:rFonts w:ascii="Arial" w:eastAsia="宋体" w:hAnsi="Arial" w:cs="Arial" w:hint="eastAsia"/>
          <w:color w:val="000000" w:themeColor="text1"/>
          <w:sz w:val="24"/>
          <w:szCs w:val="24"/>
          <w:vertAlign w:val="superscript"/>
        </w:rPr>
        <w:t>†</w:t>
      </w:r>
      <w:r>
        <w:rPr>
          <w:rFonts w:ascii="Arial" w:eastAsia="宋体" w:hAnsi="Arial" w:cs="Arial"/>
          <w:bCs/>
          <w:color w:val="000000" w:themeColor="text1"/>
          <w:sz w:val="24"/>
          <w:szCs w:val="24"/>
        </w:rPr>
        <w:t>, Yong Yi</w:t>
      </w:r>
      <w:r>
        <w:rPr>
          <w:rFonts w:ascii="Arial" w:eastAsia="宋体" w:hAnsi="Arial" w:cs="Arial"/>
          <w:bCs/>
          <w:color w:val="000000" w:themeColor="text1"/>
          <w:sz w:val="24"/>
          <w:szCs w:val="24"/>
          <w:vertAlign w:val="superscript"/>
        </w:rPr>
        <w:t>1,*</w:t>
      </w:r>
    </w:p>
    <w:p w14:paraId="4F988E96" w14:textId="77777777" w:rsidR="0032236B" w:rsidRDefault="00000000">
      <w:pPr>
        <w:spacing w:line="360" w:lineRule="auto"/>
        <w:rPr>
          <w:rFonts w:ascii="Arial" w:eastAsia="宋体" w:hAnsi="Arial" w:cs="Arial"/>
          <w:b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b/>
          <w:color w:val="000000" w:themeColor="text1"/>
          <w:sz w:val="24"/>
          <w:szCs w:val="24"/>
        </w:rPr>
        <w:t>Affiliations</w:t>
      </w:r>
    </w:p>
    <w:p w14:paraId="2AA2FFEA" w14:textId="77777777" w:rsidR="0032236B" w:rsidRDefault="00000000">
      <w:pPr>
        <w:widowControl/>
        <w:spacing w:line="360" w:lineRule="auto"/>
        <w:rPr>
          <w:rFonts w:ascii="Arial" w:eastAsia="宋体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color w:val="000000" w:themeColor="text1"/>
          <w:sz w:val="24"/>
          <w:szCs w:val="24"/>
          <w:vertAlign w:val="superscript"/>
        </w:rPr>
        <w:t>1</w:t>
      </w:r>
      <w:r>
        <w:rPr>
          <w:rFonts w:ascii="Arial" w:eastAsia="宋体" w:hAnsi="Arial" w:cs="Arial"/>
          <w:color w:val="000000" w:themeColor="text1"/>
          <w:sz w:val="24"/>
          <w:szCs w:val="24"/>
        </w:rPr>
        <w:t>Center of Growth, Metabolism and Aging, Key Laboratory of Bio-Resource and Eco-Environment of Ministry of Education, College of Life Sciences, Sichuan University, Chengdu, Sichuan 610064, China</w:t>
      </w:r>
    </w:p>
    <w:p w14:paraId="4A406B4E" w14:textId="77777777" w:rsidR="0032236B" w:rsidRDefault="00000000">
      <w:pPr>
        <w:widowControl/>
        <w:spacing w:line="360" w:lineRule="auto"/>
        <w:ind w:firstLine="1"/>
        <w:rPr>
          <w:rFonts w:ascii="Arial" w:eastAsia="宋体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color w:val="000000" w:themeColor="text1"/>
          <w:sz w:val="24"/>
          <w:szCs w:val="24"/>
          <w:vertAlign w:val="superscript"/>
        </w:rPr>
        <w:t>2</w:t>
      </w:r>
      <w:r>
        <w:rPr>
          <w:rFonts w:ascii="Arial" w:eastAsia="宋体" w:hAnsi="Arial" w:cs="Arial"/>
          <w:color w:val="000000" w:themeColor="text1"/>
          <w:sz w:val="24"/>
          <w:szCs w:val="24"/>
        </w:rPr>
        <w:t>State Key Laboratory of Biotherapy, West China Hospital, Sichuan University, Chengdu, Sichuan 610041, China</w:t>
      </w:r>
    </w:p>
    <w:p w14:paraId="485771A8" w14:textId="77777777" w:rsidR="0032236B" w:rsidRDefault="00000000">
      <w:pPr>
        <w:spacing w:line="360" w:lineRule="auto"/>
        <w:rPr>
          <w:rFonts w:ascii="Arial" w:eastAsia="宋体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color w:val="000000" w:themeColor="text1"/>
          <w:sz w:val="24"/>
          <w:szCs w:val="24"/>
          <w:vertAlign w:val="superscript"/>
        </w:rPr>
        <w:t>*</w:t>
      </w:r>
      <w:r>
        <w:rPr>
          <w:rFonts w:ascii="Arial" w:eastAsia="宋体" w:hAnsi="Arial" w:cs="Arial"/>
          <w:color w:val="000000" w:themeColor="text1"/>
          <w:sz w:val="24"/>
          <w:szCs w:val="24"/>
        </w:rPr>
        <w:t>Corresponding authors. Center of Growth, Metabolism and Aging, Key Laboratory of Bio-Resource and Eco-Environment of Ministry of Education, College of Life Sciences, Sichuan University, Chengdu, Sichuan 610064, China. E-mail: yy-yiyong@scu.edu.cn (Y.Y.); jimzx@scu.edu.cn (Z.X.J.X.); cao@scu.edu.cn (Y.C.)</w:t>
      </w:r>
    </w:p>
    <w:p w14:paraId="67B2F8D2" w14:textId="77777777" w:rsidR="0032236B" w:rsidRDefault="00000000">
      <w:pPr>
        <w:widowControl/>
        <w:spacing w:line="360" w:lineRule="auto"/>
        <w:ind w:firstLine="1"/>
        <w:rPr>
          <w:rFonts w:ascii="Arial" w:eastAsia="宋体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 w:hint="eastAsia"/>
          <w:color w:val="000000" w:themeColor="text1"/>
          <w:sz w:val="24"/>
          <w:szCs w:val="24"/>
          <w:vertAlign w:val="superscript"/>
        </w:rPr>
        <w:t>†</w:t>
      </w:r>
      <w:r>
        <w:rPr>
          <w:rFonts w:ascii="Arial" w:eastAsia="宋体" w:hAnsi="Arial" w:cs="Arial" w:hint="eastAsia"/>
          <w:color w:val="000000" w:themeColor="text1"/>
          <w:sz w:val="24"/>
          <w:szCs w:val="24"/>
        </w:rPr>
        <w:t>Lead contact</w:t>
      </w:r>
      <w:r>
        <w:rPr>
          <w:rFonts w:ascii="Arial" w:eastAsia="宋体" w:hAnsi="Arial" w:cs="Arial"/>
          <w:color w:val="000000" w:themeColor="text1"/>
          <w:sz w:val="24"/>
          <w:szCs w:val="24"/>
        </w:rPr>
        <w:t>.</w:t>
      </w:r>
    </w:p>
    <w:p w14:paraId="310014B0" w14:textId="77777777" w:rsidR="0032236B" w:rsidRDefault="0032236B">
      <w:pPr>
        <w:widowControl/>
        <w:jc w:val="left"/>
        <w:rPr>
          <w:rFonts w:ascii="Arial" w:eastAsia="宋体" w:hAnsi="Arial" w:cs="Arial"/>
          <w:color w:val="000000" w:themeColor="text1"/>
          <w:sz w:val="24"/>
          <w:szCs w:val="24"/>
        </w:rPr>
      </w:pPr>
    </w:p>
    <w:p w14:paraId="6597DE8A" w14:textId="77777777" w:rsidR="0032236B" w:rsidRDefault="00000000">
      <w:pPr>
        <w:widowControl/>
        <w:jc w:val="left"/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 Figures S1−</w:t>
      </w:r>
      <w:r>
        <w:rPr>
          <w:rFonts w:ascii="Arial" w:eastAsia="宋体" w:hAnsi="Arial" w:cs="Arial" w:hint="eastAsia"/>
          <w:b/>
          <w:bCs/>
          <w:color w:val="000000" w:themeColor="text1"/>
          <w:sz w:val="24"/>
          <w:szCs w:val="24"/>
        </w:rPr>
        <w:t>7</w:t>
      </w:r>
    </w:p>
    <w:p w14:paraId="57BFD17E" w14:textId="77777777" w:rsidR="0032236B" w:rsidRDefault="00000000">
      <w:pPr>
        <w:widowControl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512CAFE" w14:textId="77777777" w:rsidR="0032236B" w:rsidRDefault="00000000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>
            <wp:extent cx="5274310" cy="58947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9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3C0CD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bookmarkStart w:id="3" w:name="_Hlk193987290"/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Figure S1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Reduction of ROS suppresses energy stress-induced activation of AMPK.</w:t>
      </w:r>
      <w:bookmarkEnd w:id="3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 (a−d)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FaDu</w:t>
      </w:r>
      <w:proofErr w:type="spellEnd"/>
      <w:r>
        <w:rPr>
          <w:rFonts w:ascii="Arial" w:hAnsi="Arial" w:cs="Arial" w:hint="eastAsia"/>
          <w:color w:val="000000" w:themeColor="text1"/>
          <w:sz w:val="24"/>
          <w:szCs w:val="24"/>
        </w:rPr>
        <w:t>, 293T, or MEF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cells were treated with or without </w:t>
      </w:r>
      <w:bookmarkStart w:id="4" w:name="_Hlk193987787"/>
      <w:r>
        <w:rPr>
          <w:rFonts w:ascii="Arial" w:hAnsi="Arial" w:cs="Arial"/>
          <w:color w:val="000000" w:themeColor="text1"/>
          <w:sz w:val="24"/>
          <w:szCs w:val="24"/>
        </w:rPr>
        <w:t xml:space="preserve">N-Acetylcysteine (NAC, 10 mmol/L, and hereafter) </w:t>
      </w:r>
      <w:bookmarkStart w:id="5" w:name="_Hlk172124784"/>
      <w:bookmarkEnd w:id="4"/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for 10 h, </w:t>
      </w:r>
      <w:r>
        <w:rPr>
          <w:rFonts w:ascii="Arial" w:hAnsi="Arial" w:cs="Arial"/>
          <w:color w:val="000000" w:themeColor="text1"/>
          <w:sz w:val="24"/>
          <w:szCs w:val="24"/>
        </w:rPr>
        <w:t>followed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by culture in </w:t>
      </w:r>
      <w:bookmarkStart w:id="6" w:name="_Hlk193987467"/>
      <w:r>
        <w:rPr>
          <w:rFonts w:ascii="Arial" w:hAnsi="Arial" w:cs="Arial"/>
          <w:color w:val="000000" w:themeColor="text1"/>
          <w:sz w:val="24"/>
          <w:szCs w:val="24"/>
        </w:rPr>
        <w:t>0 mg/mL glucose condition (glucose starvation, GS)</w:t>
      </w:r>
      <w:bookmarkEnd w:id="6"/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in the presence or absence of NAC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for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an additional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2 h </w:t>
      </w:r>
      <w:bookmarkEnd w:id="5"/>
      <w:r>
        <w:rPr>
          <w:rFonts w:ascii="Arial" w:hAnsi="Arial" w:cs="Arial"/>
          <w:color w:val="000000" w:themeColor="text1"/>
          <w:sz w:val="24"/>
          <w:szCs w:val="24"/>
        </w:rPr>
        <w:t>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b</w:t>
      </w:r>
      <w:r>
        <w:rPr>
          <w:rFonts w:ascii="Arial" w:hAnsi="Arial" w:cs="Arial"/>
          <w:color w:val="000000" w:themeColor="text1"/>
          <w:sz w:val="24"/>
          <w:szCs w:val="24"/>
        </w:rPr>
        <w:t>)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or were treated with</w:t>
      </w:r>
      <w:bookmarkStart w:id="7" w:name="OLE_LINK23"/>
      <w:r>
        <w:rPr>
          <w:rFonts w:ascii="Arial" w:hAnsi="Arial" w:cs="Arial"/>
          <w:color w:val="000000" w:themeColor="text1"/>
          <w:sz w:val="24"/>
          <w:szCs w:val="24"/>
        </w:rPr>
        <w:t xml:space="preserve"> metformin (Met, 10 </w:t>
      </w:r>
      <w:bookmarkEnd w:id="7"/>
      <w:r>
        <w:rPr>
          <w:rFonts w:ascii="Arial" w:hAnsi="Arial" w:cs="Arial"/>
          <w:color w:val="000000" w:themeColor="text1"/>
          <w:sz w:val="24"/>
          <w:szCs w:val="24"/>
        </w:rPr>
        <w:t>mmol/L, and hereafter)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in the presence or absence of NAC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under 4.5 mg/mL glucose condition for 12 h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(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c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and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d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). Cells were subjected to measurement of ROS levels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(a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and c) or western blot analyses (b and d)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.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(e and f)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FaDu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cells were treated with or without vitamin E (200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μmol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/L,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e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) or glutathione (GSH, 1 mmol/L,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f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)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for 10 h, followed by culture in GS condition in the presence or absence of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vitamin 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or GSH for additional 2 h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. Cells were subjected to western blot analyses.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(g and h)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FaDu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cells were treated with or without Met in the presence or absence of vitamin E (200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μmol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/L,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g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) or GSH (1 mmol/L,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h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) </w:t>
      </w:r>
      <w:r>
        <w:rPr>
          <w:rFonts w:ascii="Arial" w:hAnsi="Arial" w:cs="Arial"/>
          <w:color w:val="000000" w:themeColor="text1"/>
          <w:sz w:val="24"/>
          <w:szCs w:val="24"/>
        </w:rPr>
        <w:t>under 4.5 mg/mL glucose condition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for 12 h.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lastRenderedPageBreak/>
        <w:t>Cells were subjected to western blot analyses.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i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The 6-week-old male C57BL/6 mice (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= 3/group) were intraperitoneally (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)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daily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(NAC pre-treatment)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. On day 7 after injection, mice were fasted for 16 h before being sacrificed. Mouse livers were subjected to western blot analyses.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(j)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The 6-week-old male C57BL/6 mice (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= 3/group) were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and/or Met (50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daily. On day 14 after injection, mice were sacrificed. Mouse livers were subjected to western blot analyses.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(k)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The 6-week-old male C57BL/6 mice (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= 3/group) were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fasted and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for 16 h before being sacrificed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(NAC acute treatment)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. Mouse livers were subjected to western blot analyses.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Comparisons were performed with one-way ANOVA with Tukey’s test (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a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and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c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).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pAMPK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: phospho-AMPK (Thr172);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pACC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: phospho-ACC (Ser79).  </w:t>
      </w:r>
    </w:p>
    <w:p w14:paraId="09B21043" w14:textId="77777777" w:rsidR="0032236B" w:rsidRDefault="0032236B">
      <w:pP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</w:pPr>
    </w:p>
    <w:p w14:paraId="0F7A6035" w14:textId="77777777" w:rsidR="0032236B" w:rsidRDefault="00000000">
      <w:pPr>
        <w:jc w:val="center"/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>
            <wp:extent cx="4839970" cy="36144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0224" cy="361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4FCF7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Figure S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>2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LKB1 is indispensable for ROS-mediated AMPK activation.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(a)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A549 cells were treated with or without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NAC (10 mmol/L, and hereafter)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for 10 h</w:t>
      </w:r>
      <w:bookmarkStart w:id="8" w:name="_Hlk172125564"/>
      <w:r>
        <w:rPr>
          <w:rFonts w:ascii="Arial" w:hAnsi="Arial" w:cs="Arial" w:hint="eastAsia"/>
          <w:color w:val="000000" w:themeColor="text1"/>
          <w:sz w:val="24"/>
          <w:szCs w:val="24"/>
        </w:rPr>
        <w:t>,</w:t>
      </w:r>
      <w:bookmarkStart w:id="9" w:name="OLE_LINK25"/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followed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by culture in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GS condition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in the presence or absence of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NAC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an additional </w:t>
      </w:r>
      <w:r>
        <w:rPr>
          <w:rFonts w:ascii="Arial" w:hAnsi="Arial" w:cs="Arial"/>
          <w:color w:val="000000" w:themeColor="text1"/>
          <w:sz w:val="24"/>
          <w:szCs w:val="24"/>
        </w:rPr>
        <w:t>2 h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.</w:t>
      </w:r>
      <w:bookmarkEnd w:id="8"/>
      <w:bookmarkEnd w:id="9"/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Cells were subjected to western blot analyses.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(b)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A549 cells were treated with or without </w:t>
      </w:r>
      <w:r>
        <w:rPr>
          <w:rFonts w:ascii="Arial" w:hAnsi="Arial" w:cs="Arial"/>
          <w:color w:val="000000" w:themeColor="text1"/>
          <w:kern w:val="0"/>
          <w:sz w:val="24"/>
          <w:szCs w:val="24"/>
          <w14:ligatures w14:val="none"/>
        </w:rPr>
        <w:t>Met (10 mmol/L</w:t>
      </w:r>
      <w:r>
        <w:rPr>
          <w:rFonts w:ascii="Arial" w:hAnsi="Arial" w:cs="Arial" w:hint="eastAsia"/>
          <w:color w:val="000000" w:themeColor="text1"/>
          <w:kern w:val="0"/>
          <w:sz w:val="24"/>
          <w:szCs w:val="24"/>
          <w14:ligatures w14:val="none"/>
        </w:rPr>
        <w:t>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under 4.5 mg/mL glucose condition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in the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presence or absence of </w:t>
      </w:r>
      <w:r>
        <w:rPr>
          <w:rFonts w:ascii="Arial" w:hAnsi="Arial" w:cs="Arial"/>
          <w:color w:val="000000" w:themeColor="text1"/>
          <w:sz w:val="24"/>
          <w:szCs w:val="24"/>
        </w:rPr>
        <w:t>NAC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for 12 h. Cells were subjected to western blot analyses.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(c)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A549 cells were treated with or without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CaCl</w:t>
      </w:r>
      <w:r>
        <w:rPr>
          <w:rFonts w:ascii="Arial" w:hAnsi="Arial" w:cs="Arial" w:hint="eastAsia"/>
          <w:color w:val="000000" w:themeColor="text1"/>
          <w:sz w:val="24"/>
          <w:szCs w:val="24"/>
          <w:vertAlign w:val="subscript"/>
          <w14:ligatures w14:val="none"/>
        </w:rPr>
        <w:t>2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(1 m</w:t>
      </w:r>
      <w:r>
        <w:rPr>
          <w:rFonts w:ascii="Arial" w:hAnsi="Arial" w:cs="Arial"/>
          <w:color w:val="000000" w:themeColor="text1"/>
          <w:sz w:val="24"/>
          <w:szCs w:val="24"/>
        </w:rPr>
        <w:t>mol/L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 the presence or absence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of NAC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for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1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2 h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.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Cells were subjected to western blot analyses.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(d)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A549 cells were treated with or without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A23187 (0.5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μ</w:t>
      </w:r>
      <w:r>
        <w:rPr>
          <w:rFonts w:ascii="Arial" w:hAnsi="Arial" w:cs="Arial"/>
          <w:color w:val="000000" w:themeColor="text1"/>
          <w:sz w:val="24"/>
          <w:szCs w:val="24"/>
        </w:rPr>
        <w:t>mol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/L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 the presence or absence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of NAC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for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1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2 h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.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Cells were subjected to western blot analyses.</w:t>
      </w:r>
      <w:bookmarkStart w:id="10" w:name="OLE_LINK24"/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(e)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293T cells express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ing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lastRenderedPageBreak/>
        <w:t>constitutively active mutant, Flag-AMPKα1-T172D (F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lag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-Aα1-CA),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were treated with or without NAC for 12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h.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Cells were subjected to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western blot analyses.</w:t>
      </w:r>
      <w:bookmarkStart w:id="11" w:name="_Hlk193987261"/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 xml:space="preserve"> </w:t>
      </w:r>
      <w:bookmarkEnd w:id="10"/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pAMPK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: phospho-AMPK (Thr172);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pACC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: phospho-ACC (Ser79).  </w:t>
      </w:r>
    </w:p>
    <w:bookmarkEnd w:id="11"/>
    <w:p w14:paraId="7F70B2B5" w14:textId="77777777" w:rsidR="0032236B" w:rsidRDefault="0032236B">
      <w:pPr>
        <w:rPr>
          <w:color w:val="000000" w:themeColor="text1"/>
        </w:rPr>
      </w:pPr>
    </w:p>
    <w:p w14:paraId="65216FCB" w14:textId="77777777" w:rsidR="0032236B" w:rsidRDefault="00000000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>
            <wp:extent cx="5274310" cy="434911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4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6F3ED" w14:textId="77777777" w:rsidR="0032236B" w:rsidRDefault="00000000">
      <w:pP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Figure S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>3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Energy stress-induced ROS is required for LKB1 phosphorylation at Ser428 and cytoplasmic translocation.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(a)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FaDu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cells were treated with or without </w:t>
      </w:r>
      <w:bookmarkStart w:id="12" w:name="_Hlk149854027"/>
      <w:r>
        <w:rPr>
          <w:rFonts w:ascii="Arial" w:hAnsi="Arial" w:cs="Arial"/>
          <w:color w:val="000000" w:themeColor="text1"/>
          <w:sz w:val="24"/>
          <w:szCs w:val="24"/>
        </w:rPr>
        <w:t xml:space="preserve">NAC (10 mmol/L)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for 10 h, </w:t>
      </w:r>
      <w:r>
        <w:rPr>
          <w:rFonts w:ascii="Arial" w:hAnsi="Arial" w:cs="Arial"/>
          <w:color w:val="000000" w:themeColor="text1"/>
          <w:sz w:val="24"/>
          <w:szCs w:val="24"/>
        </w:rPr>
        <w:t>followed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by culture in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GS condition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in the presence or absence of NAC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for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an additional </w:t>
      </w:r>
      <w:r>
        <w:rPr>
          <w:rFonts w:ascii="Arial" w:hAnsi="Arial" w:cs="Arial"/>
          <w:color w:val="000000" w:themeColor="text1"/>
          <w:sz w:val="24"/>
          <w:szCs w:val="24"/>
        </w:rPr>
        <w:t>2 h</w:t>
      </w:r>
      <w:bookmarkEnd w:id="12"/>
      <w:r>
        <w:rPr>
          <w:rFonts w:ascii="Arial" w:hAnsi="Arial" w:cs="Arial"/>
          <w:color w:val="000000" w:themeColor="text1"/>
          <w:sz w:val="24"/>
          <w:szCs w:val="24"/>
        </w:rPr>
        <w:t xml:space="preserve">. Cells were subjected to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cell fractionation and western blot analyses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bookmarkStart w:id="13" w:name="_Hlk149912747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(b and c)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The 6-week-old male C57BL/6 mice (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= 3/group) were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daily. On day 7 after injection, mice were fasted for 16 h before being sacrificed. Mouse liver sections were subjected to immunofluorescence staining analyses.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(d and e)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The 6-week-old male C57BL/6 mice (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n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= 3/group) were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mg/kg) and/or Met (50</w:t>
      </w:r>
      <w:r>
        <w:rPr>
          <w:rFonts w:ascii="Arial" w:eastAsia="MS Gothic" w:hAnsi="Arial" w:cs="Arial"/>
          <w:color w:val="000000" w:themeColor="text1"/>
          <w:sz w:val="24"/>
          <w:szCs w:val="24"/>
          <w14:ligatures w14:val="none"/>
        </w:rPr>
        <w:t> 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mg/kg) daily. On day 14 after injection, mice were sacrificed. Mouse liver sections were subjected to immunofluorescence staining analyses. </w:t>
      </w:r>
      <w:bookmarkEnd w:id="13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Data were presented as mean ± SEM (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c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and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e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).</w:t>
      </w:r>
      <w:bookmarkStart w:id="14" w:name="_Hlk193987227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Comparisons were performed with one-way ANOVA with Tukey’s test (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c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and </w:t>
      </w:r>
      <w:r>
        <w:rPr>
          <w:rFonts w:ascii="Arial" w:hAnsi="Arial" w:cs="Arial" w:hint="eastAsia"/>
          <w:color w:val="000000" w:themeColor="text1"/>
          <w:sz w:val="24"/>
          <w:szCs w:val="24"/>
          <w14:ligatures w14:val="none"/>
        </w:rPr>
        <w:t>e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). </w:t>
      </w:r>
      <w:bookmarkEnd w:id="14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Scale bar, 25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μm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. pS428-LKB1: phospho-LKB1 (Ser428).</w:t>
      </w:r>
    </w:p>
    <w:p w14:paraId="111EE290" w14:textId="77777777" w:rsidR="0032236B" w:rsidRDefault="0032236B">
      <w:pP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</w:pPr>
    </w:p>
    <w:p w14:paraId="59DA9E58" w14:textId="77777777" w:rsidR="0032236B" w:rsidRDefault="00000000">
      <w:pPr>
        <w:jc w:val="center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>
            <wp:extent cx="4337050" cy="332803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304" cy="332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F1F95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Figure S4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Glucose starvation </w:t>
      </w:r>
      <w:bookmarkStart w:id="15" w:name="_Hlk149855657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could not promote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PKCζ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 </w:t>
      </w:r>
      <w:bookmarkEnd w:id="15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dimerization/polymerization. (a)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PKCζ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 bears a classical nuclear localization signal sequence (NLS). The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cNLS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 xml:space="preserve"> Mapper database (https://nls-mapper.iab.keio.ac.jp/cgi-bin/NLS_Mapper_help.cgi) was used for this analysis. (b)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FaDu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cells stably expressing </w:t>
      </w:r>
      <w:r>
        <w:rPr>
          <w:rFonts w:ascii="Arial" w:hAnsi="Arial" w:cs="Arial"/>
          <w:i/>
          <w:color w:val="000000" w:themeColor="text1"/>
          <w:sz w:val="24"/>
          <w:szCs w:val="24"/>
          <w14:ligatures w14:val="none"/>
        </w:rPr>
        <w:t>shKPNA2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or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shGFP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were subjected to western blot analyses.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  <w14:ligatures w14:val="none"/>
        </w:rPr>
        <w:t>(c)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HEK 293T cells were treated with or without NAC (10 m</w:t>
      </w:r>
      <w:r>
        <w:rPr>
          <w:rFonts w:ascii="Arial" w:hAnsi="Arial" w:cs="Arial"/>
          <w:color w:val="000000" w:themeColor="text1"/>
          <w:sz w:val="24"/>
          <w:szCs w:val="24"/>
        </w:rPr>
        <w:t>mol/L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) for 10 h</w:t>
      </w:r>
      <w:r>
        <w:rPr>
          <w:rFonts w:ascii="Arial" w:hAnsi="Arial" w:cs="Arial"/>
          <w:color w:val="000000" w:themeColor="text1"/>
          <w:sz w:val="24"/>
          <w:szCs w:val="24"/>
        </w:rPr>
        <w:t>, followed by culture in GS condition in the presence or absence of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 NAC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for an additional 2 h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 xml:space="preserve">. Cells were subjected to SDS-PAGE with or without DTT followed by western blot analyses. </w:t>
      </w:r>
    </w:p>
    <w:p w14:paraId="0E36DFA5" w14:textId="77777777" w:rsidR="0032236B" w:rsidRDefault="0032236B">
      <w:pPr>
        <w:jc w:val="center"/>
        <w:rPr>
          <w:color w:val="000000" w:themeColor="text1"/>
        </w:rPr>
      </w:pPr>
    </w:p>
    <w:p w14:paraId="29682360" w14:textId="77777777" w:rsidR="0032236B" w:rsidRDefault="00000000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867275" cy="787908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656" cy="787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1BAD5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Figure S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5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Cys48 is critical for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PKCζ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nuclear translocation upon energy stress.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FaDu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cells transiently express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ing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HA-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PKCζ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-WT, HA-PKCζ-C48A, HA-PKCζ-C86A, HA-PKCζ-C398A, HA-PKCζ-C412A, or HA-PKCζ-C503A were subjected to western blot analyses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or were </w:t>
      </w:r>
      <w:bookmarkStart w:id="16" w:name="_Hlk200541869"/>
      <w:r>
        <w:rPr>
          <w:rFonts w:ascii="Arial" w:hAnsi="Arial" w:cs="Arial"/>
          <w:color w:val="000000" w:themeColor="text1"/>
          <w:sz w:val="24"/>
          <w:szCs w:val="24"/>
        </w:rPr>
        <w:t xml:space="preserve">grown in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GS condition for 2h followed by immunofluorescence staining analyses</w:t>
      </w:r>
      <w:bookmarkEnd w:id="16"/>
      <w:r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b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5BB29998" w14:textId="77777777" w:rsidR="0032236B" w:rsidRDefault="00000000">
      <w:pPr>
        <w:ind w:leftChars="-67" w:left="-141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5001260" cy="411162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768" cy="411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8892F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Figure S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6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Diminished ROS levels impair the hypoglycemic effectiveness of Met.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(a and b)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Establishing the mouse model of type 2 diabetes (T2D). The 6-week-old male C57BL/6 mice were fed with a high-fat diet for 60 days, followed by </w: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  <w:t>intraperitoneal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injection with</w:t>
      </w:r>
      <w:r>
        <w:rPr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streptozotocin (STZ, 60 mg/kg) daily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a</w:t>
      </w:r>
      <w:r>
        <w:rPr>
          <w:rFonts w:ascii="Arial" w:hAnsi="Arial" w:cs="Arial"/>
          <w:color w:val="000000" w:themeColor="text1"/>
          <w:sz w:val="24"/>
          <w:szCs w:val="24"/>
        </w:rPr>
        <w:t>). On day 5 after injection, mice were subjected to examining fasting blood glucose levels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b</w:t>
      </w:r>
      <w:r>
        <w:rPr>
          <w:rFonts w:ascii="Arial" w:hAnsi="Arial" w:cs="Arial"/>
          <w:color w:val="000000" w:themeColor="text1"/>
          <w:sz w:val="24"/>
          <w:szCs w:val="24"/>
        </w:rPr>
        <w:t>), insulin-tolerance test (ITT)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c</w:t>
      </w:r>
      <w:r>
        <w:rPr>
          <w:rFonts w:ascii="Arial" w:hAnsi="Arial" w:cs="Arial"/>
          <w:color w:val="000000" w:themeColor="text1"/>
          <w:sz w:val="24"/>
          <w:szCs w:val="24"/>
        </w:rPr>
        <w:t>), or glucose tolerance test (GTT)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(e)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T2D mice were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injected with NAC (200</w:t>
      </w:r>
      <w:r>
        <w:rPr>
          <w:rFonts w:ascii="Arial" w:eastAsia="MS Gothic" w:hAnsi="Arial" w:cs="Arial"/>
          <w:color w:val="000000" w:themeColor="text1"/>
          <w:sz w:val="24"/>
          <w:szCs w:val="24"/>
        </w:rPr>
        <w:t> 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mg/kg) daily. On day 7 after injection, mice were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i.p.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injected with Met (200</w:t>
      </w:r>
      <w:r>
        <w:rPr>
          <w:rFonts w:ascii="Arial" w:eastAsia="MS Gothic" w:hAnsi="Arial" w:cs="Arial"/>
          <w:color w:val="000000" w:themeColor="text1"/>
          <w:sz w:val="24"/>
          <w:szCs w:val="24"/>
        </w:rPr>
        <w:t> </w:t>
      </w:r>
      <w:r>
        <w:rPr>
          <w:rFonts w:ascii="Arial" w:hAnsi="Arial" w:cs="Arial"/>
          <w:color w:val="000000" w:themeColor="text1"/>
          <w:sz w:val="24"/>
          <w:szCs w:val="24"/>
        </w:rPr>
        <w:t>mg/kg) for indicated time points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Mice were subjected to examining blood glucose levels.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Data were presented as mean ± SEM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). Comparisons were performed with unpaired two-tailed Student’s </w:t>
      </w:r>
      <w:r>
        <w:rPr>
          <w:rFonts w:ascii="Arial" w:hAnsi="Arial" w:cs="Arial"/>
          <w:i/>
          <w:color w:val="000000" w:themeColor="text1"/>
          <w:sz w:val="24"/>
          <w:szCs w:val="24"/>
        </w:rPr>
        <w:t>t</w:t>
      </w:r>
      <w:r>
        <w:rPr>
          <w:rFonts w:ascii="Arial" w:hAnsi="Arial" w:cs="Arial"/>
          <w:color w:val="000000" w:themeColor="text1"/>
          <w:sz w:val="24"/>
          <w:szCs w:val="24"/>
        </w:rPr>
        <w:t>-test (</w:t>
      </w:r>
      <w:r>
        <w:rPr>
          <w:rFonts w:ascii="Arial" w:hAnsi="Arial" w:cs="Arial" w:hint="eastAsia"/>
          <w:color w:val="000000" w:themeColor="text1"/>
          <w:sz w:val="24"/>
          <w:szCs w:val="24"/>
        </w:rPr>
        <w:t>c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0B236E00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1DE1284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E1F27D0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BE8DC52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1D4F293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20EF38A" w14:textId="77777777" w:rsidR="0032236B" w:rsidRDefault="0000000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3837305" cy="173101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432" cy="173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DDFAD" w14:textId="77777777" w:rsidR="0032236B" w:rsidRDefault="00000000">
      <w:pPr>
        <w:rPr>
          <w:rFonts w:ascii="Arial" w:hAnsi="Arial" w:cs="Arial"/>
          <w:color w:val="000000" w:themeColor="text1"/>
          <w:sz w:val="24"/>
          <w:szCs w:val="24"/>
        </w:rPr>
      </w:pPr>
      <w:bookmarkStart w:id="17" w:name="OLE_LINK28"/>
      <w:r>
        <w:rPr>
          <w:rFonts w:ascii="Arial" w:eastAsia="宋体" w:hAnsi="Arial" w:cs="Arial"/>
          <w:b/>
          <w:bCs/>
          <w:color w:val="000000" w:themeColor="text1"/>
          <w:sz w:val="24"/>
          <w:szCs w:val="24"/>
        </w:rPr>
        <w:t>Supplementary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Figure S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>7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AMPK activation is more robust in A549 cells expressing wild-type LKB1 than the S428A mutant.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(a)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Western blot analysis of AMPK activation in A549 cells stably expressing wild-type LKB1 or the LKB1-S428A mutant under basal </w:t>
      </w:r>
      <w:r>
        <w:rPr>
          <w:rFonts w:ascii="Arial" w:hAnsi="Arial" w:cs="Arial"/>
          <w:color w:val="000000" w:themeColor="text1"/>
          <w:sz w:val="24"/>
          <w:szCs w:val="24"/>
        </w:rPr>
        <w:t>conditions.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(b)</w:t>
      </w:r>
      <w:r>
        <w:rPr>
          <w:rFonts w:ascii="Arial" w:hAnsi="Arial" w:cs="Arial" w:hint="eastAsia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Western blot analysis of AMPK activation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A549 cells stably expressing wild-type LKB1 or LKB1-S428A mutant grown in </w:t>
      </w:r>
      <w:r>
        <w:rPr>
          <w:rFonts w:ascii="Arial" w:hAnsi="Arial" w:cs="Arial"/>
          <w:color w:val="000000" w:themeColor="text1"/>
          <w:sz w:val="24"/>
          <w:szCs w:val="24"/>
        </w:rPr>
        <w:t>GS</w:t>
      </w:r>
      <w:r>
        <w:rPr>
          <w:rFonts w:ascii="Arial" w:hAnsi="Arial" w:cs="Arial" w:hint="eastAsia"/>
          <w:color w:val="000000" w:themeColor="text1"/>
          <w:sz w:val="24"/>
          <w:szCs w:val="24"/>
        </w:rPr>
        <w:t xml:space="preserve"> condition for 2h.</w:t>
      </w:r>
    </w:p>
    <w:bookmarkEnd w:id="17"/>
    <w:p w14:paraId="7A2564E1" w14:textId="77777777" w:rsidR="0032236B" w:rsidRDefault="0032236B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32236B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A0szQ2MTA0tzQ3NbdQ0lEKTi0uzszPAykwMqoFAN/QXc4tAAAA"/>
  </w:docVars>
  <w:rsids>
    <w:rsidRoot w:val="00555AEE"/>
    <w:rsid w:val="00007230"/>
    <w:rsid w:val="000136BB"/>
    <w:rsid w:val="00021B96"/>
    <w:rsid w:val="00027218"/>
    <w:rsid w:val="00041FFC"/>
    <w:rsid w:val="000664B8"/>
    <w:rsid w:val="00077F9F"/>
    <w:rsid w:val="00086C33"/>
    <w:rsid w:val="000A2D1D"/>
    <w:rsid w:val="000B093F"/>
    <w:rsid w:val="000B3C04"/>
    <w:rsid w:val="000E7DF2"/>
    <w:rsid w:val="000F2C52"/>
    <w:rsid w:val="001018F2"/>
    <w:rsid w:val="00103FA9"/>
    <w:rsid w:val="00104210"/>
    <w:rsid w:val="00114944"/>
    <w:rsid w:val="00120F48"/>
    <w:rsid w:val="00137E73"/>
    <w:rsid w:val="001805C1"/>
    <w:rsid w:val="0018138C"/>
    <w:rsid w:val="001A224C"/>
    <w:rsid w:val="001A4A6B"/>
    <w:rsid w:val="001B3266"/>
    <w:rsid w:val="001B6565"/>
    <w:rsid w:val="001B76D8"/>
    <w:rsid w:val="001C72B5"/>
    <w:rsid w:val="001C763D"/>
    <w:rsid w:val="001D32BA"/>
    <w:rsid w:val="001E45FA"/>
    <w:rsid w:val="002003A5"/>
    <w:rsid w:val="00203F5A"/>
    <w:rsid w:val="00205A3F"/>
    <w:rsid w:val="0022526F"/>
    <w:rsid w:val="00243013"/>
    <w:rsid w:val="00247D57"/>
    <w:rsid w:val="00261C2C"/>
    <w:rsid w:val="00266CDB"/>
    <w:rsid w:val="00271281"/>
    <w:rsid w:val="00297ADD"/>
    <w:rsid w:val="002A4083"/>
    <w:rsid w:val="002B4977"/>
    <w:rsid w:val="002C0FB5"/>
    <w:rsid w:val="002D7C69"/>
    <w:rsid w:val="002E0A03"/>
    <w:rsid w:val="002E2F7F"/>
    <w:rsid w:val="003130A5"/>
    <w:rsid w:val="0031431B"/>
    <w:rsid w:val="0032236B"/>
    <w:rsid w:val="003244DB"/>
    <w:rsid w:val="0033479D"/>
    <w:rsid w:val="003616B2"/>
    <w:rsid w:val="0036270F"/>
    <w:rsid w:val="00381F73"/>
    <w:rsid w:val="00381FF5"/>
    <w:rsid w:val="00382A2A"/>
    <w:rsid w:val="003B17D2"/>
    <w:rsid w:val="003B38CA"/>
    <w:rsid w:val="003C4C04"/>
    <w:rsid w:val="003E04A5"/>
    <w:rsid w:val="003E1538"/>
    <w:rsid w:val="00447292"/>
    <w:rsid w:val="00451BD1"/>
    <w:rsid w:val="00454835"/>
    <w:rsid w:val="004744BD"/>
    <w:rsid w:val="004916E5"/>
    <w:rsid w:val="004B2E63"/>
    <w:rsid w:val="004C1BD0"/>
    <w:rsid w:val="004D4598"/>
    <w:rsid w:val="004D722D"/>
    <w:rsid w:val="004E60AC"/>
    <w:rsid w:val="004F15EC"/>
    <w:rsid w:val="004F672E"/>
    <w:rsid w:val="00514BBE"/>
    <w:rsid w:val="00532C76"/>
    <w:rsid w:val="00537F85"/>
    <w:rsid w:val="005477D9"/>
    <w:rsid w:val="00552D1F"/>
    <w:rsid w:val="00555AEE"/>
    <w:rsid w:val="00560385"/>
    <w:rsid w:val="00561913"/>
    <w:rsid w:val="0058443F"/>
    <w:rsid w:val="005851FC"/>
    <w:rsid w:val="00593D8A"/>
    <w:rsid w:val="005B2370"/>
    <w:rsid w:val="005B2F8D"/>
    <w:rsid w:val="005C2FDC"/>
    <w:rsid w:val="005D7424"/>
    <w:rsid w:val="005F30CD"/>
    <w:rsid w:val="005F7648"/>
    <w:rsid w:val="006067B9"/>
    <w:rsid w:val="0060748F"/>
    <w:rsid w:val="00621E84"/>
    <w:rsid w:val="00623F09"/>
    <w:rsid w:val="00624175"/>
    <w:rsid w:val="00646A1F"/>
    <w:rsid w:val="00654817"/>
    <w:rsid w:val="00676D13"/>
    <w:rsid w:val="00683EC4"/>
    <w:rsid w:val="00687721"/>
    <w:rsid w:val="006A0938"/>
    <w:rsid w:val="006B11C1"/>
    <w:rsid w:val="006B2851"/>
    <w:rsid w:val="006E5B6F"/>
    <w:rsid w:val="006F0F2E"/>
    <w:rsid w:val="006F4870"/>
    <w:rsid w:val="006F6F92"/>
    <w:rsid w:val="00715595"/>
    <w:rsid w:val="007357D8"/>
    <w:rsid w:val="007621B0"/>
    <w:rsid w:val="0077635A"/>
    <w:rsid w:val="00783924"/>
    <w:rsid w:val="007967EF"/>
    <w:rsid w:val="007A66C8"/>
    <w:rsid w:val="007C2DC8"/>
    <w:rsid w:val="007D1437"/>
    <w:rsid w:val="007D2F3A"/>
    <w:rsid w:val="007E7753"/>
    <w:rsid w:val="0080394F"/>
    <w:rsid w:val="0081155B"/>
    <w:rsid w:val="00814A25"/>
    <w:rsid w:val="0081670B"/>
    <w:rsid w:val="00834CBF"/>
    <w:rsid w:val="00857E61"/>
    <w:rsid w:val="00861EE7"/>
    <w:rsid w:val="00863E8E"/>
    <w:rsid w:val="00873344"/>
    <w:rsid w:val="00884C7A"/>
    <w:rsid w:val="008C1ED3"/>
    <w:rsid w:val="008E6087"/>
    <w:rsid w:val="00901990"/>
    <w:rsid w:val="00904C9F"/>
    <w:rsid w:val="0091175D"/>
    <w:rsid w:val="00934DBA"/>
    <w:rsid w:val="00950593"/>
    <w:rsid w:val="00950EC6"/>
    <w:rsid w:val="00954F1A"/>
    <w:rsid w:val="0096022D"/>
    <w:rsid w:val="00981D69"/>
    <w:rsid w:val="009D766E"/>
    <w:rsid w:val="009F20C9"/>
    <w:rsid w:val="00A03B12"/>
    <w:rsid w:val="00A33C97"/>
    <w:rsid w:val="00A3715D"/>
    <w:rsid w:val="00A42F74"/>
    <w:rsid w:val="00A446FC"/>
    <w:rsid w:val="00A70B5C"/>
    <w:rsid w:val="00A73DA0"/>
    <w:rsid w:val="00A76C93"/>
    <w:rsid w:val="00A80346"/>
    <w:rsid w:val="00A80449"/>
    <w:rsid w:val="00A87FFD"/>
    <w:rsid w:val="00A9124F"/>
    <w:rsid w:val="00AB06D3"/>
    <w:rsid w:val="00AB644F"/>
    <w:rsid w:val="00AC34CB"/>
    <w:rsid w:val="00AC5D1E"/>
    <w:rsid w:val="00AD0D9C"/>
    <w:rsid w:val="00AF221F"/>
    <w:rsid w:val="00AF46F9"/>
    <w:rsid w:val="00B27EE2"/>
    <w:rsid w:val="00B37E2B"/>
    <w:rsid w:val="00B8060C"/>
    <w:rsid w:val="00B9333A"/>
    <w:rsid w:val="00BB30A5"/>
    <w:rsid w:val="00BB314E"/>
    <w:rsid w:val="00BD3CDB"/>
    <w:rsid w:val="00BE44F6"/>
    <w:rsid w:val="00BE7766"/>
    <w:rsid w:val="00C126E7"/>
    <w:rsid w:val="00C15E50"/>
    <w:rsid w:val="00C44692"/>
    <w:rsid w:val="00C723EA"/>
    <w:rsid w:val="00C803E4"/>
    <w:rsid w:val="00C805F2"/>
    <w:rsid w:val="00C9029E"/>
    <w:rsid w:val="00CA517F"/>
    <w:rsid w:val="00CB64A1"/>
    <w:rsid w:val="00CC2D4D"/>
    <w:rsid w:val="00CE0D52"/>
    <w:rsid w:val="00CE357D"/>
    <w:rsid w:val="00CE6356"/>
    <w:rsid w:val="00CF3A8D"/>
    <w:rsid w:val="00D20298"/>
    <w:rsid w:val="00D23B17"/>
    <w:rsid w:val="00D25F38"/>
    <w:rsid w:val="00D30587"/>
    <w:rsid w:val="00D3576E"/>
    <w:rsid w:val="00D62515"/>
    <w:rsid w:val="00D65430"/>
    <w:rsid w:val="00D822A9"/>
    <w:rsid w:val="00DA2057"/>
    <w:rsid w:val="00DA4429"/>
    <w:rsid w:val="00DB0C54"/>
    <w:rsid w:val="00DB3F2D"/>
    <w:rsid w:val="00DB4DDF"/>
    <w:rsid w:val="00DC3949"/>
    <w:rsid w:val="00DF4899"/>
    <w:rsid w:val="00E038CC"/>
    <w:rsid w:val="00E12187"/>
    <w:rsid w:val="00E24DD7"/>
    <w:rsid w:val="00E35372"/>
    <w:rsid w:val="00E370B3"/>
    <w:rsid w:val="00E476E6"/>
    <w:rsid w:val="00E529E9"/>
    <w:rsid w:val="00E63DCA"/>
    <w:rsid w:val="00E8200F"/>
    <w:rsid w:val="00E837BE"/>
    <w:rsid w:val="00E87D82"/>
    <w:rsid w:val="00E91DB0"/>
    <w:rsid w:val="00E93323"/>
    <w:rsid w:val="00E957A5"/>
    <w:rsid w:val="00EA5E94"/>
    <w:rsid w:val="00EC7EFC"/>
    <w:rsid w:val="00ED3BC3"/>
    <w:rsid w:val="00EF12CF"/>
    <w:rsid w:val="00EF51FA"/>
    <w:rsid w:val="00EF6BCC"/>
    <w:rsid w:val="00F27C9F"/>
    <w:rsid w:val="00F50DA2"/>
    <w:rsid w:val="00F73245"/>
    <w:rsid w:val="00F85961"/>
    <w:rsid w:val="00FC2D91"/>
    <w:rsid w:val="00FD196F"/>
    <w:rsid w:val="00FD2DC0"/>
    <w:rsid w:val="00FE3CE9"/>
    <w:rsid w:val="00FF5824"/>
    <w:rsid w:val="7BAD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C8057C98-E454-5149-95B8-59127C80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line number"/>
    <w:basedOn w:val="a0"/>
    <w:uiPriority w:val="99"/>
    <w:semiHidden/>
    <w:unhideWhenUsed/>
  </w:style>
  <w:style w:type="character" w:styleId="ae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paragraph" w:customStyle="1" w:styleId="10">
    <w:name w:val="修订1"/>
    <w:hidden/>
    <w:uiPriority w:val="99"/>
    <w:semiHidden/>
    <w:rPr>
      <w:kern w:val="2"/>
      <w:sz w:val="21"/>
      <w:szCs w:val="22"/>
      <w14:ligatures w14:val="standardContextual"/>
    </w:rPr>
  </w:style>
  <w:style w:type="character" w:customStyle="1" w:styleId="a4">
    <w:name w:val="批注文字 字符"/>
    <w:basedOn w:val="a0"/>
    <w:link w:val="a3"/>
    <w:uiPriority w:val="99"/>
    <w:semiHidden/>
  </w:style>
  <w:style w:type="character" w:customStyle="1" w:styleId="ac">
    <w:name w:val="批注主题 字符"/>
    <w:basedOn w:val="a4"/>
    <w:link w:val="ab"/>
    <w:uiPriority w:val="99"/>
    <w:semiHidden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sz w:val="18"/>
      <w:szCs w:val="18"/>
    </w:rPr>
  </w:style>
  <w:style w:type="paragraph" w:styleId="af0">
    <w:name w:val="Revision"/>
    <w:hidden/>
    <w:uiPriority w:val="99"/>
    <w:unhideWhenUsed/>
    <w:rsid w:val="00137E73"/>
    <w:rPr>
      <w:kern w:val="2"/>
      <w:sz w:val="21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8</Pages>
  <Words>1084</Words>
  <Characters>6182</Characters>
  <Application>Microsoft Office Word</Application>
  <DocSecurity>0</DocSecurity>
  <Lines>51</Lines>
  <Paragraphs>14</Paragraphs>
  <ScaleCrop>false</ScaleCrop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 勇</dc:creator>
  <cp:lastModifiedBy>Xiaolei</cp:lastModifiedBy>
  <cp:revision>157</cp:revision>
  <dcterms:created xsi:type="dcterms:W3CDTF">2024-01-29T10:35:00Z</dcterms:created>
  <dcterms:modified xsi:type="dcterms:W3CDTF">2025-07-06T13:54:00Z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C6860B9CADFF0554903667687AB61720_42</vt:lpwstr>
  </property>
</Properties>
</file>