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FE954C">
      <w:pPr>
        <w:adjustRightInd w:val="0"/>
        <w:snapToGrid w:val="0"/>
        <w:spacing w:line="360" w:lineRule="auto"/>
        <w:jc w:val="both"/>
        <w:rPr>
          <w:rFonts w:ascii="Times New Roman" w:hAnsi="Times New Roman" w:cs="Times New Roman"/>
          <w:b/>
          <w:szCs w:val="21"/>
        </w:rPr>
      </w:pPr>
      <w:r>
        <w:rPr>
          <w:rFonts w:hint="eastAsia" w:ascii="Times New Roman" w:hAnsi="Times New Roman" w:cs="Times New Roman"/>
          <w:b/>
          <w:szCs w:val="21"/>
        </w:rPr>
        <w:t>S</w:t>
      </w:r>
      <w:r>
        <w:rPr>
          <w:rFonts w:ascii="Times New Roman" w:hAnsi="Times New Roman" w:cs="Times New Roman"/>
          <w:b/>
          <w:szCs w:val="21"/>
        </w:rPr>
        <w:t>upplementary Figures</w:t>
      </w:r>
    </w:p>
    <w:p w14:paraId="2CB27D78">
      <w:pPr>
        <w:adjustRightInd w:val="0"/>
        <w:snapToGrid w:val="0"/>
        <w:spacing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6843DE8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drawing>
          <wp:inline distT="0" distB="0" distL="0" distR="0">
            <wp:extent cx="4106545" cy="3343275"/>
            <wp:effectExtent l="0" t="0" r="8255" b="9525"/>
            <wp:docPr id="15" name="图片 15" descr="F:\HEP\期刊\Life Metabolism\Life Metab\LIFEMETA-2023-0068.R3\LIFEMETA-2023-0068.R3\Figures\Figure S1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F:\HEP\期刊\Life Metabolism\Life Metab\LIFEMETA-2023-0068.R3\LIFEMETA-2023-0068.R3\Figures\Figure S1 - tu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654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7DAE7">
      <w:pPr>
        <w:adjustRightInd w:val="0"/>
        <w:snapToGrid w:val="0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Supplementary Figure S1 </w:t>
      </w:r>
      <w:r>
        <w:rPr>
          <w:rFonts w:ascii="Times New Roman" w:hAnsi="Times New Roman" w:cs="Times New Roman"/>
          <w:sz w:val="21"/>
          <w:szCs w:val="21"/>
        </w:rPr>
        <w:t xml:space="preserve">Reduced body weight and fat mass of WT and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−/− </w:t>
      </w:r>
      <w:r>
        <w:rPr>
          <w:rFonts w:ascii="Times New Roman" w:hAnsi="Times New Roman" w:cs="Times New Roman"/>
          <w:sz w:val="21"/>
          <w:szCs w:val="21"/>
        </w:rPr>
        <w:t xml:space="preserve">mice after high-fat diet (HFD) treatment.  (a and b) Weight of gonadal WAT (gWAT) (a) and subcutaneous WAT (sWAT) (b) from WT and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−/−</w:t>
      </w:r>
      <w:r>
        <w:rPr>
          <w:rFonts w:ascii="Times New Roman" w:hAnsi="Times New Roman" w:cs="Times New Roman"/>
          <w:sz w:val="21"/>
          <w:szCs w:val="21"/>
        </w:rPr>
        <w:t xml:space="preserve"> mice fed with a chow diet or an HFD for three months. (c) Thoracic perivascular adipose tissue (tPVAT) from mice described in (a) (</w:t>
      </w:r>
      <w:r>
        <w:rPr>
          <w:rFonts w:ascii="Times New Roman" w:hAnsi="Times New Roman" w:cs="Times New Roman"/>
          <w:i/>
          <w:sz w:val="21"/>
          <w:szCs w:val="21"/>
        </w:rPr>
        <w:t>n</w:t>
      </w:r>
      <w:r>
        <w:rPr>
          <w:rFonts w:ascii="Times New Roman" w:hAnsi="Times New Roman" w:cs="Times New Roman"/>
          <w:sz w:val="21"/>
          <w:szCs w:val="21"/>
        </w:rPr>
        <w:t xml:space="preserve"> = 5).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Data are presented as the means ± SEM. Significance was established using two-way ANOVA with Bonferroni test. ns, not significant.</w:t>
      </w:r>
    </w:p>
    <w:p w14:paraId="21A59FCB">
      <w:pPr>
        <w:adjustRightInd w:val="0"/>
        <w:snapToGrid w:val="0"/>
        <w:spacing w:line="360" w:lineRule="auto"/>
        <w:jc w:val="both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14:paraId="69EFFA59">
      <w:pPr>
        <w:adjustRightInd w:val="0"/>
        <w:snapToGrid w:val="0"/>
        <w:spacing w:line="360" w:lineRule="auto"/>
        <w:jc w:val="both"/>
        <w:rPr>
          <w:rFonts w:ascii="Times New Roman" w:hAnsi="Times New Roman" w:cs="Times New Roman"/>
          <w:b/>
          <w:szCs w:val="21"/>
        </w:rPr>
      </w:pPr>
    </w:p>
    <w:p w14:paraId="36640CBD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Cs w:val="21"/>
        </w:rPr>
        <w:drawing>
          <wp:inline distT="0" distB="0" distL="0" distR="0">
            <wp:extent cx="2305685" cy="1974850"/>
            <wp:effectExtent l="0" t="0" r="0" b="6350"/>
            <wp:docPr id="12" name="图片 12" descr="F:\HEP\期刊\Life Metabolism\Life Metab\LIFEMETA-2023-0068.R3\LIFEMETA-2023-0068.R3\Figures\Figure S2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:\HEP\期刊\Life Metabolism\Life Metab\LIFEMETA-2023-0068.R3\LIFEMETA-2023-0068.R3\Figures\Figure S2 - t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568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9716C">
      <w:pPr>
        <w:adjustRightInd w:val="0"/>
        <w:snapToGrid w:val="0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Supplementary Figure S2 </w:t>
      </w:r>
      <w:r>
        <w:rPr>
          <w:rFonts w:ascii="Times New Roman" w:hAnsi="Times New Roman" w:cs="Times New Roman"/>
          <w:sz w:val="21"/>
          <w:szCs w:val="21"/>
        </w:rPr>
        <w:t xml:space="preserve">Systolic blood pressure of WT and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−/− </w:t>
      </w:r>
      <w:r>
        <w:rPr>
          <w:rFonts w:ascii="Times New Roman" w:hAnsi="Times New Roman" w:cs="Times New Roman"/>
          <w:sz w:val="21"/>
          <w:szCs w:val="21"/>
        </w:rPr>
        <w:t>mice after HFD treatment with or without Ang II infusion.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WT and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−/−</w:t>
      </w:r>
      <w:r>
        <w:rPr>
          <w:rFonts w:ascii="Times New Roman" w:hAnsi="Times New Roman" w:cs="Times New Roman"/>
          <w:sz w:val="21"/>
          <w:szCs w:val="21"/>
        </w:rPr>
        <w:t xml:space="preserve"> mice were fed with a chow diet or an HFD for three months and infused with Ang II (1 μg/kg/min). Significance was established using Student’s </w:t>
      </w:r>
      <w:r>
        <w:rPr>
          <w:rFonts w:ascii="Times New Roman" w:hAnsi="Times New Roman" w:cs="Times New Roman"/>
          <w:i/>
          <w:sz w:val="21"/>
          <w:szCs w:val="21"/>
        </w:rPr>
        <w:t>t</w:t>
      </w:r>
      <w:r>
        <w:rPr>
          <w:rFonts w:ascii="Times New Roman" w:hAnsi="Times New Roman" w:cs="Times New Roman"/>
          <w:sz w:val="21"/>
          <w:szCs w:val="21"/>
        </w:rPr>
        <w:t>-test. ns, not significant.</w:t>
      </w:r>
      <w:r>
        <w:rPr>
          <w:rFonts w:ascii="Times New Roman" w:hAnsi="Times New Roman" w:cs="Times New Roman"/>
          <w:sz w:val="21"/>
          <w:szCs w:val="21"/>
        </w:rPr>
        <w:br w:type="page"/>
      </w:r>
    </w:p>
    <w:p w14:paraId="17911002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drawing>
          <wp:inline distT="0" distB="0" distL="0" distR="0">
            <wp:extent cx="4409440" cy="3063240"/>
            <wp:effectExtent l="0" t="0" r="0" b="3810"/>
            <wp:docPr id="13" name="图片 13" descr="F:\HEP\期刊\Life Metabolism\Life Metab\LIFEMETA-2023-0068.R3\LIFEMETA-2023-0068.R3\Figures\Figure S3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:\HEP\期刊\Life Metabolism\Life Metab\LIFEMETA-2023-0068.R3\LIFEMETA-2023-0068.R3\Figures\Figure S3 - t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0944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FD30D">
      <w:pPr>
        <w:adjustRightInd w:val="0"/>
        <w:snapToGrid w:val="0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6F067A5">
      <w:pPr>
        <w:adjustRightInd w:val="0"/>
        <w:snapToGrid w:val="0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Supplementary Figure S3</w:t>
      </w:r>
      <w:r>
        <w:rPr>
          <w:rFonts w:ascii="Times New Roman" w:hAnsi="Times New Roman" w:cs="Times New Roman"/>
          <w:sz w:val="21"/>
          <w:szCs w:val="21"/>
        </w:rPr>
        <w:t xml:space="preserve"> Adipocyte-specific FSP27 deficiency results in reduced body weight and decreased weight of abdominal PVAT. (a) Relative mRNA expression levels of 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</w:rPr>
        <w:t xml:space="preserve"> in abdominal PVAT of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fl/fl</w:t>
      </w:r>
      <w:r>
        <w:rPr>
          <w:rFonts w:ascii="Times New Roman" w:hAnsi="Times New Roman" w:cs="Times New Roman"/>
          <w:sz w:val="21"/>
          <w:szCs w:val="21"/>
        </w:rPr>
        <w:t xml:space="preserve"> and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AKO</w:t>
      </w:r>
      <w:r>
        <w:rPr>
          <w:rFonts w:ascii="Times New Roman" w:hAnsi="Times New Roman" w:cs="Times New Roman"/>
          <w:sz w:val="21"/>
          <w:szCs w:val="21"/>
        </w:rPr>
        <w:t xml:space="preserve"> mice fed with an HFD for four months (</w:t>
      </w:r>
      <w:r>
        <w:rPr>
          <w:rFonts w:ascii="Times New Roman" w:hAnsi="Times New Roman" w:cs="Times New Roman"/>
          <w:i/>
          <w:sz w:val="21"/>
          <w:szCs w:val="21"/>
        </w:rPr>
        <w:t>n</w:t>
      </w:r>
      <w:r>
        <w:rPr>
          <w:rFonts w:ascii="Times New Roman" w:hAnsi="Times New Roman" w:cs="Times New Roman"/>
          <w:sz w:val="21"/>
          <w:szCs w:val="21"/>
        </w:rPr>
        <w:t xml:space="preserve"> = 4 per group). (b) Western blot analysis of FSP27expression in abdominal PVAT from mice as described in (a). Corresponding densitometry analysis is shown on the right. (c) Body weight of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fl/fl</w:t>
      </w:r>
      <w:r>
        <w:rPr>
          <w:rFonts w:ascii="Times New Roman" w:hAnsi="Times New Roman" w:cs="Times New Roman"/>
          <w:sz w:val="21"/>
          <w:szCs w:val="21"/>
        </w:rPr>
        <w:t xml:space="preserve"> and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AKO</w:t>
      </w:r>
      <w:r>
        <w:rPr>
          <w:rFonts w:ascii="Times New Roman" w:hAnsi="Times New Roman" w:cs="Times New Roman"/>
          <w:sz w:val="21"/>
          <w:szCs w:val="21"/>
        </w:rPr>
        <w:t xml:space="preserve"> mice as described in (a). (d) Weight of abdominal PVAT from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fl/fl</w:t>
      </w:r>
      <w:r>
        <w:rPr>
          <w:rFonts w:ascii="Times New Roman" w:hAnsi="Times New Roman" w:cs="Times New Roman"/>
          <w:sz w:val="21"/>
          <w:szCs w:val="21"/>
        </w:rPr>
        <w:t xml:space="preserve"> and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AKO</w:t>
      </w:r>
      <w:r>
        <w:rPr>
          <w:rFonts w:ascii="Times New Roman" w:hAnsi="Times New Roman" w:cs="Times New Roman"/>
          <w:sz w:val="21"/>
          <w:szCs w:val="21"/>
        </w:rPr>
        <w:t xml:space="preserve"> mice as described in (a).</w:t>
      </w:r>
      <w:r>
        <w:rPr>
          <w:rFonts w:hint="eastAsia"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Data are presented as the means ± SEM. Significance was established using Student’s </w:t>
      </w:r>
      <w:r>
        <w:rPr>
          <w:rFonts w:ascii="Times New Roman" w:hAnsi="Times New Roman" w:cs="Times New Roman"/>
          <w:i/>
          <w:sz w:val="21"/>
          <w:szCs w:val="21"/>
        </w:rPr>
        <w:t>t</w:t>
      </w:r>
      <w:r>
        <w:rPr>
          <w:rFonts w:ascii="Times New Roman" w:hAnsi="Times New Roman" w:cs="Times New Roman"/>
          <w:sz w:val="21"/>
          <w:szCs w:val="21"/>
        </w:rPr>
        <w:t xml:space="preserve">-test. 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*</w:t>
      </w:r>
      <w:r>
        <w:rPr>
          <w:rFonts w:ascii="Times New Roman" w:hAnsi="Times New Roman" w:cs="Times New Roman"/>
          <w:i/>
          <w:sz w:val="21"/>
          <w:szCs w:val="21"/>
        </w:rPr>
        <w:t xml:space="preserve">P </w:t>
      </w:r>
      <w:r>
        <w:rPr>
          <w:rFonts w:ascii="Times New Roman" w:hAnsi="Times New Roman" w:cs="Times New Roman"/>
          <w:sz w:val="21"/>
          <w:szCs w:val="21"/>
        </w:rPr>
        <w:t xml:space="preserve">&lt; 0.05, 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***</w:t>
      </w:r>
      <w:r>
        <w:rPr>
          <w:rFonts w:ascii="Times New Roman" w:hAnsi="Times New Roman" w:cs="Times New Roman"/>
          <w:i/>
          <w:sz w:val="21"/>
          <w:szCs w:val="21"/>
        </w:rPr>
        <w:t xml:space="preserve">P </w:t>
      </w:r>
      <w:r>
        <w:rPr>
          <w:rFonts w:ascii="Times New Roman" w:hAnsi="Times New Roman" w:cs="Times New Roman"/>
          <w:sz w:val="21"/>
          <w:szCs w:val="21"/>
        </w:rPr>
        <w:t>&lt; 0.001. ns, not significant.</w:t>
      </w:r>
    </w:p>
    <w:p w14:paraId="2FC5218C">
      <w:pPr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  <w:r>
        <w:rPr>
          <w:rFonts w:ascii="Times New Roman" w:hAnsi="Times New Roman" w:cs="Times New Roman"/>
          <w:sz w:val="21"/>
          <w:szCs w:val="21"/>
        </w:rPr>
        <w:drawing>
          <wp:inline distT="0" distB="0" distL="0" distR="0">
            <wp:extent cx="4521200" cy="1542415"/>
            <wp:effectExtent l="0" t="0" r="0" b="635"/>
            <wp:docPr id="14" name="图片 14" descr="F:\HEP\期刊\Life Metabolism\Life Metab\LIFEMETA-2023-0068.R3\LIFEMETA-2023-0068.R3\Figures\Figure S4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F:\HEP\期刊\Life Metabolism\Life Metab\LIFEMETA-2023-0068.R3\LIFEMETA-2023-0068.R3\Figures\Figure S4 - t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120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22D2D">
      <w:pPr>
        <w:widowControl w:val="0"/>
        <w:suppressAutoHyphens/>
        <w:spacing w:line="360" w:lineRule="auto"/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Supplementary Figure S4 </w:t>
      </w:r>
      <w:r>
        <w:rPr>
          <w:rFonts w:ascii="Times New Roman" w:hAnsi="Times New Roman" w:cs="Times New Roman"/>
          <w:sz w:val="21"/>
          <w:szCs w:val="21"/>
        </w:rPr>
        <w:t xml:space="preserve">Histology of formed aneurysms from WT and </w:t>
      </w:r>
      <w:r>
        <w:rPr>
          <w:rFonts w:ascii="Times New Roman" w:hAnsi="Times New Roman" w:cs="Times New Roman"/>
          <w:i/>
          <w:sz w:val="21"/>
          <w:szCs w:val="21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−/−</w:t>
      </w:r>
      <w:r>
        <w:rPr>
          <w:rFonts w:ascii="Times New Roman" w:hAnsi="Times New Roman" w:cs="Times New Roman"/>
          <w:sz w:val="21"/>
          <w:szCs w:val="21"/>
        </w:rPr>
        <w:t xml:space="preserve"> mice. 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WT and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−/−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mice fed with a HFD for three months were administered with angiotensin II (Ang II) for four weeks. Hematoxylin and eosin (H&amp;E) staining of the formed aneurysms from WT and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−/−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mice were shown. Scale bar, 200 μm.</w:t>
      </w:r>
    </w:p>
    <w:p w14:paraId="053BD398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14:paraId="63312331">
      <w:pPr>
        <w:jc w:val="both"/>
        <w:rPr>
          <w:rFonts w:ascii="Times New Roman" w:hAnsi="Times New Roman" w:cs="Times New Roman"/>
          <w:sz w:val="21"/>
          <w:szCs w:val="21"/>
        </w:rPr>
      </w:pPr>
    </w:p>
    <w:p w14:paraId="575586BE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drawing>
          <wp:inline distT="0" distB="0" distL="0" distR="0">
            <wp:extent cx="4942205" cy="2546985"/>
            <wp:effectExtent l="0" t="0" r="0" b="5715"/>
            <wp:docPr id="16" name="图片 16" descr="F:\HEP\期刊\Life Metabolism\Life Metab\LIFEMETA-2023-0068.R3\LIFEMETA-2023-0068.R3\Figures\Figure S5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F:\HEP\期刊\Life Metabolism\Life Metab\LIFEMETA-2023-0068.R3\LIFEMETA-2023-0068.R3\Figures\Figure S5 - tu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2205" cy="2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6B172">
      <w:pPr>
        <w:widowControl w:val="0"/>
        <w:suppressAutoHyphens/>
        <w:spacing w:line="360" w:lineRule="auto"/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b/>
          <w:kern w:val="2"/>
          <w:sz w:val="21"/>
          <w:szCs w:val="22"/>
        </w:rPr>
        <w:t xml:space="preserve">Supplementary Figure S5 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The effect of FSP27 on thoracic aortic aneurysms and dissection (TAAD). WT and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−/−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mice fed a chow diet or an HFD for 3 months were administered with Ang II for four weeks. (a) The luminal diameters of the thoracic aortas in WT and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−/−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mice were echocardiographyically measured. Asc, ascending; Desc, descending thoracic; Arch, aortic arch. </w:t>
      </w:r>
      <w:bookmarkStart w:id="0" w:name="_GoBack"/>
      <w:bookmarkEnd w:id="0"/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(b) H&amp;E staining of the descending aorta from WT and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Fsp27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−/−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mice. Scale bar (Top panel, 200 μm; bottom panel, 50 μm).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Data are expressed as means ± SEM. </w:t>
      </w:r>
      <w:r>
        <w:rPr>
          <w:rFonts w:ascii="Times New Roman" w:hAnsi="Times New Roman" w:eastAsia="等线" w:cs="Times New Roman"/>
          <w:i/>
          <w:iCs/>
          <w:color w:val="000000"/>
          <w:kern w:val="24"/>
          <w:sz w:val="21"/>
          <w:szCs w:val="21"/>
        </w:rPr>
        <w:t xml:space="preserve">P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values were calculated by Student’s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t-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>test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>. ns, not significant.</w:t>
      </w:r>
    </w:p>
    <w:p w14:paraId="08223836">
      <w:pPr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kern w:val="2"/>
          <w:sz w:val="21"/>
          <w:szCs w:val="22"/>
        </w:rPr>
        <w:br w:type="page"/>
      </w:r>
    </w:p>
    <w:p w14:paraId="23D32245">
      <w:pPr>
        <w:jc w:val="center"/>
        <w:rPr>
          <w:rFonts w:ascii="Times New Roman" w:hAnsi="Times New Roman" w:eastAsia="等线 Light" w:cs="Times New Roman"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kern w:val="2"/>
          <w:sz w:val="21"/>
          <w:szCs w:val="22"/>
        </w:rPr>
        <w:drawing>
          <wp:inline distT="0" distB="0" distL="0" distR="0">
            <wp:extent cx="5727700" cy="1852930"/>
            <wp:effectExtent l="0" t="0" r="6350" b="0"/>
            <wp:docPr id="17" name="图片 17" descr="F:\HEP\期刊\Life Metabolism\Life Metab\LIFEMETA-2023-0068.R3\LIFEMETA-2023-0068.R3\Figures\Figure S6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F:\HEP\期刊\Life Metabolism\Life Metab\LIFEMETA-2023-0068.R3\LIFEMETA-2023-0068.R3\Figures\Figure S6 - t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85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682CF">
      <w:pPr>
        <w:jc w:val="both"/>
        <w:rPr>
          <w:rFonts w:ascii="Times New Roman" w:hAnsi="Times New Roman" w:eastAsia="等线 Light" w:cs="Times New Roman"/>
          <w:b/>
          <w:kern w:val="2"/>
          <w:sz w:val="21"/>
          <w:szCs w:val="22"/>
        </w:rPr>
      </w:pPr>
    </w:p>
    <w:p w14:paraId="416545EC">
      <w:pPr>
        <w:spacing w:line="400" w:lineRule="exact"/>
        <w:jc w:val="both"/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</w:pPr>
      <w:r>
        <w:rPr>
          <w:rFonts w:ascii="Times New Roman" w:hAnsi="Times New Roman" w:eastAsia="等线 Light" w:cs="Times New Roman"/>
          <w:b/>
          <w:kern w:val="2"/>
          <w:sz w:val="21"/>
          <w:szCs w:val="21"/>
        </w:rPr>
        <w:t xml:space="preserve">Supplementary Figure S6 </w:t>
      </w:r>
      <w:r>
        <w:rPr>
          <w:rFonts w:ascii="Times New Roman" w:hAnsi="Times New Roman" w:eastAsia="等线 Light" w:cs="Times New Roman"/>
          <w:kern w:val="2"/>
          <w:sz w:val="21"/>
          <w:szCs w:val="21"/>
        </w:rPr>
        <w:t xml:space="preserve">Relative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>mRNA expression levels of 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Mmp2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,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Mmp9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, and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 xml:space="preserve">Mmp12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in the aortas of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Fsp27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  <w:vertAlign w:val="superscript"/>
        </w:rPr>
        <w:t xml:space="preserve">AKO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>mice. Relative mRNA expression levels of 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Mmp2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,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Mmp9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, and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Mmp12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 were determined in the aneurysmal tissues of </w:t>
      </w:r>
      <w:r>
        <w:rPr>
          <w:rFonts w:ascii="Times New Roman" w:hAnsi="Times New Roman" w:eastAsia="等线" w:cs="Times New Roman"/>
          <w:i/>
          <w:iCs/>
          <w:color w:val="000000"/>
          <w:kern w:val="24"/>
          <w:sz w:val="21"/>
          <w:szCs w:val="21"/>
        </w:rPr>
        <w:t>Fsp27</w:t>
      </w:r>
      <w:r>
        <w:rPr>
          <w:rFonts w:ascii="Times New Roman" w:hAnsi="Times New Roman" w:eastAsia="等线" w:cs="Times New Roman"/>
          <w:color w:val="000000"/>
          <w:kern w:val="24"/>
          <w:position w:val="7"/>
          <w:sz w:val="21"/>
          <w:szCs w:val="21"/>
          <w:vertAlign w:val="superscript"/>
        </w:rPr>
        <w:t>fl/fl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 and </w:t>
      </w:r>
      <w:r>
        <w:rPr>
          <w:rFonts w:ascii="Times New Roman" w:hAnsi="Times New Roman" w:eastAsia="等线" w:cs="Times New Roman"/>
          <w:i/>
          <w:iCs/>
          <w:color w:val="000000"/>
          <w:kern w:val="24"/>
          <w:sz w:val="21"/>
          <w:szCs w:val="21"/>
        </w:rPr>
        <w:t>Fsp27</w:t>
      </w:r>
      <w:r>
        <w:rPr>
          <w:rFonts w:ascii="Times New Roman" w:hAnsi="Times New Roman" w:eastAsia="等线" w:cs="Times New Roman"/>
          <w:color w:val="000000"/>
          <w:kern w:val="24"/>
          <w:position w:val="7"/>
          <w:sz w:val="21"/>
          <w:szCs w:val="21"/>
          <w:vertAlign w:val="superscript"/>
        </w:rPr>
        <w:t>AKO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 mice fed with a chow diet or a HFD and then infused with or without Ang II (</w:t>
      </w:r>
      <w:r>
        <w:rPr>
          <w:rFonts w:ascii="Times New Roman" w:hAnsi="Times New Roman" w:eastAsia="等线" w:cs="Times New Roman"/>
          <w:i/>
          <w:iCs/>
          <w:color w:val="000000"/>
          <w:kern w:val="24"/>
          <w:sz w:val="21"/>
          <w:szCs w:val="21"/>
        </w:rPr>
        <w:t>n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 = 5). Data are presented as the means ± SEM.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P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 values were calculated by Student’s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t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-test. </w:t>
      </w:r>
    </w:p>
    <w:p w14:paraId="653838FD">
      <w:pPr>
        <w:spacing w:line="400" w:lineRule="exact"/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kern w:val="2"/>
          <w:sz w:val="21"/>
          <w:szCs w:val="22"/>
        </w:rPr>
        <w:br w:type="page"/>
      </w:r>
    </w:p>
    <w:p w14:paraId="38EF1BFA">
      <w:pPr>
        <w:widowControl w:val="0"/>
        <w:suppressAutoHyphens/>
        <w:spacing w:line="360" w:lineRule="auto"/>
        <w:jc w:val="center"/>
        <w:rPr>
          <w:rFonts w:ascii="Times New Roman" w:hAnsi="Times New Roman" w:eastAsia="等线 Light" w:cs="Times New Roman"/>
          <w:b/>
          <w:kern w:val="2"/>
          <w:sz w:val="21"/>
          <w:szCs w:val="22"/>
        </w:rPr>
      </w:pPr>
      <w:r>
        <w:rPr>
          <w:rFonts w:ascii="Times New Roman" w:hAnsi="Times New Roman" w:cs="Times New Roman" w:eastAsiaTheme="majorEastAsia"/>
        </w:rPr>
        <w:drawing>
          <wp:inline distT="0" distB="0" distL="0" distR="0">
            <wp:extent cx="5026660" cy="1918335"/>
            <wp:effectExtent l="0" t="0" r="2540" b="5715"/>
            <wp:docPr id="18" name="图片 18" descr="F:\HEP\期刊\Life Metabolism\Life Metab\LIFEMETA-2023-0068.R3\LIFEMETA-2023-0068.R3\Figures\Figure S7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F:\HEP\期刊\Life Metabolism\Life Metab\LIFEMETA-2023-0068.R3\LIFEMETA-2023-0068.R3\Figures\Figure S7 - t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666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10609">
      <w:pPr>
        <w:widowControl w:val="0"/>
        <w:suppressAutoHyphens/>
        <w:spacing w:line="360" w:lineRule="auto"/>
        <w:jc w:val="both"/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</w:pPr>
      <w:r>
        <w:rPr>
          <w:rFonts w:ascii="Times New Roman" w:hAnsi="Times New Roman" w:eastAsia="等线 Light" w:cs="Times New Roman"/>
          <w:b/>
          <w:kern w:val="2"/>
          <w:sz w:val="21"/>
          <w:szCs w:val="22"/>
        </w:rPr>
        <w:t>Supplementary Figure S7 FSP27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deficiency decreases the capacity of PVAT to induce macrophage migration. (a) Schematic illustration of the transwell coculture assay. PVAT is placed in the bottom chamber of the transwell,</w:t>
      </w:r>
      <w:r>
        <w:rPr>
          <w:rFonts w:hint="eastAsia" w:ascii="Times New Roman" w:hAnsi="Times New Roman" w:eastAsia="等线 Light" w:cs="Times New Roman"/>
          <w:kern w:val="2"/>
          <w:sz w:val="21"/>
          <w:szCs w:val="22"/>
        </w:rPr>
        <w:t xml:space="preserve"> 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>while RAW264.7 cells are placed in the upper chamber and allowed to migrate towards the PVAT explant, followed by staining with crystal violet. (b) T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he capacity of RAW264.7 cell migration assessed by a transwell assay. 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>Three fields from each chamber were counted and averaged. Scale bar, 50 μm (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n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= 4).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Data are expressed as means ± SEM. </w:t>
      </w:r>
      <w:r>
        <w:rPr>
          <w:rFonts w:ascii="Times New Roman" w:hAnsi="Times New Roman" w:eastAsia="等线" w:cs="Times New Roman"/>
          <w:i/>
          <w:iCs/>
          <w:color w:val="000000"/>
          <w:kern w:val="24"/>
          <w:sz w:val="21"/>
          <w:szCs w:val="21"/>
        </w:rPr>
        <w:t xml:space="preserve">P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 xml:space="preserve">values were calculated by Student’s </w:t>
      </w:r>
      <w:r>
        <w:rPr>
          <w:rFonts w:ascii="Times New Roman" w:hAnsi="Times New Roman" w:eastAsia="等线" w:cs="Times New Roman"/>
          <w:i/>
          <w:color w:val="000000"/>
          <w:kern w:val="24"/>
          <w:sz w:val="21"/>
          <w:szCs w:val="21"/>
        </w:rPr>
        <w:t>t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>-test.</w:t>
      </w:r>
      <w:r>
        <w:t xml:space="preserve"> </w:t>
      </w:r>
    </w:p>
    <w:p w14:paraId="5021544C">
      <w:pPr>
        <w:widowControl w:val="0"/>
        <w:suppressAutoHyphens/>
        <w:spacing w:line="360" w:lineRule="auto"/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</w:p>
    <w:p w14:paraId="29ABB6F6">
      <w:pPr>
        <w:jc w:val="both"/>
      </w:pPr>
      <w:r>
        <w:br w:type="page"/>
      </w:r>
    </w:p>
    <w:p w14:paraId="3B96BC8E">
      <w:pPr>
        <w:widowControl w:val="0"/>
        <w:suppressAutoHyphens/>
        <w:spacing w:line="360" w:lineRule="auto"/>
        <w:jc w:val="center"/>
        <w:rPr>
          <w:rFonts w:ascii="Times New Roman" w:hAnsi="Times New Roman" w:eastAsia="等线 Light" w:cs="Times New Roman"/>
          <w:b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b/>
          <w:kern w:val="2"/>
          <w:sz w:val="21"/>
          <w:szCs w:val="22"/>
        </w:rPr>
        <w:drawing>
          <wp:inline distT="0" distB="0" distL="0" distR="0">
            <wp:extent cx="4352925" cy="3333750"/>
            <wp:effectExtent l="0" t="0" r="9525" b="0"/>
            <wp:docPr id="19" name="图片 19" descr="F:\HEP\期刊\Life Metabolism\Life Metab\LIFEMETA-2023-0068.R3\LIFEMETA-2023-0068.R3\Figures\Figure S8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F:\HEP\期刊\Life Metabolism\Life Metab\LIFEMETA-2023-0068.R3\LIFEMETA-2023-0068.R3\Figures\Figure S8 - tu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C6E7A">
      <w:pPr>
        <w:widowControl w:val="0"/>
        <w:suppressAutoHyphens/>
        <w:spacing w:line="360" w:lineRule="auto"/>
        <w:jc w:val="both"/>
        <w:rPr>
          <w:rFonts w:ascii="Times New Roman" w:hAnsi="Times New Roman" w:eastAsia="等线 Light" w:cs="Times New Roman"/>
          <w:b/>
          <w:color w:val="FF0000"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b/>
          <w:kern w:val="2"/>
          <w:sz w:val="21"/>
          <w:szCs w:val="22"/>
        </w:rPr>
        <w:t xml:space="preserve">Supplementary Figure S8 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The effect of WT or </w:t>
      </w:r>
      <w:r>
        <w:rPr>
          <w:rFonts w:ascii="Times New Roman" w:hAnsi="Times New Roman" w:eastAsia="等线 Light" w:cs="Times New Roman"/>
          <w:i/>
          <w:iCs/>
          <w:kern w:val="2"/>
          <w:sz w:val="21"/>
          <w:szCs w:val="22"/>
        </w:rPr>
        <w:t>Fsp27</w:t>
      </w:r>
      <w:r>
        <w:rPr>
          <w:rFonts w:ascii="Times New Roman" w:hAnsi="Times New Roman" w:cs="Times New Roman"/>
          <w:b/>
          <w:sz w:val="21"/>
          <w:szCs w:val="21"/>
          <w:vertAlign w:val="superscript"/>
        </w:rPr>
        <w:t>−/−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PVAT on CCL2 secretion from vascular smooth muscle cells (VSMCs).</w:t>
      </w:r>
      <w:r>
        <w:rPr>
          <w:rFonts w:ascii="Times New Roman" w:hAnsi="Times New Roman" w:eastAsia="等线 Light" w:cs="Times New Roman"/>
          <w:color w:val="FF0000"/>
          <w:kern w:val="2"/>
          <w:sz w:val="21"/>
          <w:szCs w:val="22"/>
        </w:rPr>
        <w:t xml:space="preserve"> </w:t>
      </w:r>
      <w:r>
        <w:rPr>
          <w:rFonts w:ascii="Times New Roman" w:hAnsi="Times New Roman" w:eastAsia="等线 Light" w:cs="Times New Roman"/>
          <w:bCs/>
          <w:kern w:val="2"/>
          <w:sz w:val="21"/>
          <w:szCs w:val="22"/>
        </w:rPr>
        <w:t xml:space="preserve">(a) 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Schematic illustration of experimental design. Primary mouse VSMCs were treated with conditioned medium collected from WT or </w:t>
      </w:r>
      <w:r>
        <w:rPr>
          <w:rFonts w:ascii="Times New Roman" w:hAnsi="Times New Roman" w:eastAsia="等线 Light" w:cs="Times New Roman"/>
          <w:i/>
          <w:iCs/>
          <w:kern w:val="2"/>
          <w:sz w:val="21"/>
          <w:szCs w:val="22"/>
        </w:rPr>
        <w:t>Fsp27</w:t>
      </w:r>
      <w:r>
        <w:rPr>
          <w:rFonts w:ascii="Times New Roman" w:hAnsi="Times New Roman" w:cs="Times New Roman"/>
          <w:b/>
          <w:sz w:val="21"/>
          <w:szCs w:val="21"/>
          <w:vertAlign w:val="superscript"/>
        </w:rPr>
        <w:t>−/−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PVAT. </w:t>
      </w:r>
      <w:r>
        <w:rPr>
          <w:rFonts w:ascii="Times New Roman" w:hAnsi="Times New Roman" w:eastAsia="等线 Light" w:cs="Times New Roman"/>
          <w:bCs/>
          <w:kern w:val="2"/>
          <w:sz w:val="21"/>
          <w:szCs w:val="22"/>
        </w:rPr>
        <w:t>(b)</w:t>
      </w:r>
      <w:r>
        <w:rPr>
          <w:rFonts w:ascii="Times New Roman" w:hAnsi="Times New Roman" w:eastAsia="等线 Light" w:cs="Times New Roman"/>
          <w:b/>
          <w:color w:val="FF0000"/>
          <w:kern w:val="2"/>
          <w:sz w:val="21"/>
          <w:szCs w:val="22"/>
        </w:rPr>
        <w:t xml:space="preserve"> 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Relative mRNA expression level of </w:t>
      </w:r>
      <w:r>
        <w:rPr>
          <w:rFonts w:ascii="Times New Roman" w:hAnsi="Times New Roman" w:eastAsia="等线 Light" w:cs="Times New Roman"/>
          <w:i/>
          <w:iCs/>
          <w:kern w:val="2"/>
          <w:sz w:val="21"/>
          <w:szCs w:val="22"/>
        </w:rPr>
        <w:t>Ccl2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in VSMCs was determined by quantitative real-time PCR (qPCR) . (c) Levels of CCL2 in the supernatant collected from PVAT-derived conditioned medium treated VSMCs were determined by enzyme-linked immunosorbent assay (ELISA). </w:t>
      </w:r>
      <w:r>
        <w:rPr>
          <w:rFonts w:ascii="Times New Roman" w:hAnsi="Times New Roman" w:eastAsia="等线" w:cs="Times New Roman"/>
          <w:i/>
          <w:iCs/>
          <w:color w:val="000000"/>
          <w:kern w:val="24"/>
          <w:sz w:val="21"/>
          <w:szCs w:val="21"/>
        </w:rPr>
        <w:t xml:space="preserve">P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>values were calculated by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two-tailed unpaired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 xml:space="preserve"> t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>-test. ns, not significant.</w:t>
      </w:r>
    </w:p>
    <w:p w14:paraId="5DB6FE75">
      <w:pPr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kern w:val="2"/>
          <w:sz w:val="21"/>
          <w:szCs w:val="22"/>
        </w:rPr>
        <w:br w:type="page"/>
      </w:r>
    </w:p>
    <w:p w14:paraId="504CBAED">
      <w:pPr>
        <w:widowControl w:val="0"/>
        <w:suppressAutoHyphens/>
        <w:spacing w:line="360" w:lineRule="auto"/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</w:p>
    <w:p w14:paraId="2AABE992">
      <w:pPr>
        <w:jc w:val="both"/>
      </w:pPr>
    </w:p>
    <w:p w14:paraId="202C46DB">
      <w:pPr>
        <w:jc w:val="center"/>
      </w:pPr>
      <w:r>
        <w:drawing>
          <wp:inline distT="0" distB="0" distL="0" distR="0">
            <wp:extent cx="2924175" cy="2276475"/>
            <wp:effectExtent l="0" t="0" r="9525" b="9525"/>
            <wp:docPr id="20" name="图片 20" descr="F:\HEP\期刊\Life Metabolism\Life Metab\LIFEMETA-2023-0068.R3\LIFEMETA-2023-0068.R3\Figures\Figure S9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F:\HEP\期刊\Life Metabolism\Life Metab\LIFEMETA-2023-0068.R3\LIFEMETA-2023-0068.R3\Figures\Figure S9 - tu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6F79A">
      <w:pPr>
        <w:widowControl w:val="0"/>
        <w:suppressAutoHyphens/>
        <w:spacing w:line="360" w:lineRule="auto"/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b/>
          <w:kern w:val="2"/>
          <w:sz w:val="21"/>
          <w:szCs w:val="22"/>
        </w:rPr>
        <w:t xml:space="preserve">Supplementary Figure S9 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Upregulated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CIDEC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and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CCL2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in human AAAs. Gene expression data including 10 control organ donors (Control), 20 patients with small AAAs (small AAA), and 29 patients with large AAAs (large AAA) were obtained from a public study (GSE57961). Normalized abundances of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CIDEC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and 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CCL2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with means are displayed (red). </w:t>
      </w:r>
      <w:r>
        <w:rPr>
          <w:rFonts w:ascii="Times New Roman" w:hAnsi="Times New Roman" w:eastAsia="等线" w:cs="Times New Roman"/>
          <w:i/>
          <w:iCs/>
          <w:color w:val="000000"/>
          <w:kern w:val="24"/>
          <w:sz w:val="21"/>
          <w:szCs w:val="21"/>
        </w:rPr>
        <w:t xml:space="preserve">P </w:t>
      </w:r>
      <w:r>
        <w:rPr>
          <w:rFonts w:ascii="Times New Roman" w:hAnsi="Times New Roman" w:eastAsia="等线" w:cs="Times New Roman"/>
          <w:color w:val="000000"/>
          <w:kern w:val="24"/>
          <w:sz w:val="21"/>
          <w:szCs w:val="21"/>
        </w:rPr>
        <w:t>values were calculated by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 Two-tailed tunpaired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 xml:space="preserve"> t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-test. </w:t>
      </w:r>
      <w:r>
        <w:rPr>
          <w:rFonts w:ascii="Times New Roman" w:hAnsi="Times New Roman" w:eastAsia="等线 Light" w:cs="Times New Roman"/>
          <w:kern w:val="2"/>
          <w:sz w:val="21"/>
          <w:szCs w:val="22"/>
          <w:vertAlign w:val="superscript"/>
        </w:rPr>
        <w:t>*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P</w:t>
      </w:r>
      <w:r>
        <w:rPr>
          <w:rFonts w:ascii="Times New Roman" w:hAnsi="Times New Roman" w:eastAsia="MS Gothic" w:cs="Times New Roman"/>
          <w:kern w:val="2"/>
          <w:sz w:val="21"/>
          <w:szCs w:val="22"/>
        </w:rPr>
        <w:t> 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>&lt;</w:t>
      </w:r>
      <w:r>
        <w:rPr>
          <w:rFonts w:ascii="Times New Roman" w:hAnsi="Times New Roman" w:eastAsia="MS Gothic" w:cs="Times New Roman"/>
          <w:kern w:val="2"/>
          <w:sz w:val="21"/>
          <w:szCs w:val="22"/>
        </w:rPr>
        <w:t> 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 xml:space="preserve">0.05; </w:t>
      </w:r>
      <w:r>
        <w:rPr>
          <w:rFonts w:ascii="Times New Roman" w:hAnsi="Times New Roman" w:eastAsia="等线 Light" w:cs="Times New Roman"/>
          <w:kern w:val="2"/>
          <w:sz w:val="21"/>
          <w:szCs w:val="22"/>
          <w:vertAlign w:val="superscript"/>
        </w:rPr>
        <w:t>**</w:t>
      </w:r>
      <w:r>
        <w:rPr>
          <w:rFonts w:ascii="Times New Roman" w:hAnsi="Times New Roman" w:eastAsia="等线 Light" w:cs="Times New Roman"/>
          <w:i/>
          <w:kern w:val="2"/>
          <w:sz w:val="21"/>
          <w:szCs w:val="22"/>
        </w:rPr>
        <w:t>P</w:t>
      </w:r>
      <w:r>
        <w:rPr>
          <w:rFonts w:ascii="Times New Roman" w:hAnsi="Times New Roman" w:eastAsia="MS Gothic" w:cs="Times New Roman"/>
          <w:kern w:val="2"/>
          <w:sz w:val="21"/>
          <w:szCs w:val="22"/>
        </w:rPr>
        <w:t> 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>&lt;</w:t>
      </w:r>
      <w:r>
        <w:rPr>
          <w:rFonts w:ascii="Times New Roman" w:hAnsi="Times New Roman" w:eastAsia="MS Gothic" w:cs="Times New Roman"/>
          <w:kern w:val="2"/>
          <w:sz w:val="21"/>
          <w:szCs w:val="22"/>
        </w:rPr>
        <w:t> </w:t>
      </w:r>
      <w:r>
        <w:rPr>
          <w:rFonts w:ascii="Times New Roman" w:hAnsi="Times New Roman" w:eastAsia="等线 Light" w:cs="Times New Roman"/>
          <w:kern w:val="2"/>
          <w:sz w:val="21"/>
          <w:szCs w:val="22"/>
        </w:rPr>
        <w:t>0.01.</w:t>
      </w:r>
    </w:p>
    <w:p w14:paraId="6975CA0D">
      <w:pPr>
        <w:jc w:val="both"/>
        <w:rPr>
          <w:rFonts w:ascii="Times New Roman" w:hAnsi="Times New Roman" w:eastAsia="等线 Light" w:cs="Times New Roman"/>
          <w:kern w:val="2"/>
          <w:sz w:val="21"/>
          <w:szCs w:val="22"/>
        </w:rPr>
      </w:pPr>
      <w:r>
        <w:rPr>
          <w:rFonts w:ascii="Times New Roman" w:hAnsi="Times New Roman" w:eastAsia="等线 Light" w:cs="Times New Roman"/>
          <w:kern w:val="2"/>
          <w:sz w:val="21"/>
          <w:szCs w:val="22"/>
        </w:rPr>
        <w:br w:type="page"/>
      </w:r>
    </w:p>
    <w:p w14:paraId="66D53F45">
      <w:pPr>
        <w:jc w:val="both"/>
      </w:pPr>
    </w:p>
    <w:p w14:paraId="1DE91F26">
      <w:pPr>
        <w:snapToGrid w:val="0"/>
        <w:spacing w:after="120" w:afterLines="50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Supplementary Table S1 </w:t>
      </w:r>
      <w:r>
        <w:rPr>
          <w:rFonts w:ascii="Times New Roman" w:hAnsi="Times New Roman" w:cs="Times New Roman"/>
          <w:sz w:val="21"/>
          <w:szCs w:val="21"/>
        </w:rPr>
        <w:t>Primer sequences of qPCR.</w:t>
      </w:r>
    </w:p>
    <w:tbl>
      <w:tblPr>
        <w:tblStyle w:val="1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8"/>
        <w:gridCol w:w="5552"/>
      </w:tblGrid>
      <w:tr w14:paraId="3A36DD8C">
        <w:trPr>
          <w:trHeight w:val="335" w:hRule="atLeast"/>
          <w:jc w:val="center"/>
        </w:trPr>
        <w:tc>
          <w:tcPr>
            <w:tcW w:w="2868" w:type="dxa"/>
            <w:tcBorders>
              <w:top w:val="single" w:color="auto" w:sz="12" w:space="0"/>
              <w:bottom w:val="single" w:color="auto" w:sz="6" w:space="0"/>
            </w:tcBorders>
          </w:tcPr>
          <w:p w14:paraId="135CA98F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Primer name</w:t>
            </w:r>
          </w:p>
        </w:tc>
        <w:tc>
          <w:tcPr>
            <w:tcW w:w="5552" w:type="dxa"/>
            <w:tcBorders>
              <w:top w:val="single" w:color="auto" w:sz="12" w:space="0"/>
              <w:bottom w:val="single" w:color="auto" w:sz="6" w:space="0"/>
            </w:tcBorders>
          </w:tcPr>
          <w:p w14:paraId="64E181A1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Sequence (5' to 3')</w:t>
            </w:r>
          </w:p>
        </w:tc>
      </w:tr>
      <w:tr w14:paraId="4D731112">
        <w:trPr>
          <w:trHeight w:val="245" w:hRule="atLeast"/>
          <w:jc w:val="center"/>
        </w:trPr>
        <w:tc>
          <w:tcPr>
            <w:tcW w:w="2868" w:type="dxa"/>
          </w:tcPr>
          <w:p w14:paraId="65DE1874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β-actin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_Forward</w:t>
            </w:r>
          </w:p>
        </w:tc>
        <w:tc>
          <w:tcPr>
            <w:tcW w:w="5552" w:type="dxa"/>
          </w:tcPr>
          <w:p w14:paraId="145CF6C1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ACACTGTGCCCATCTACGAG</w:t>
            </w:r>
          </w:p>
        </w:tc>
      </w:tr>
      <w:tr w14:paraId="20809C45">
        <w:trPr>
          <w:trHeight w:val="254" w:hRule="atLeast"/>
          <w:jc w:val="center"/>
        </w:trPr>
        <w:tc>
          <w:tcPr>
            <w:tcW w:w="2868" w:type="dxa"/>
          </w:tcPr>
          <w:p w14:paraId="5262B9E7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β-actin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_Reverse</w:t>
            </w:r>
          </w:p>
        </w:tc>
        <w:tc>
          <w:tcPr>
            <w:tcW w:w="5552" w:type="dxa"/>
          </w:tcPr>
          <w:p w14:paraId="3082AF02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CAGCACTGTGTTGGCATAGAG</w:t>
            </w:r>
          </w:p>
        </w:tc>
      </w:tr>
      <w:tr w14:paraId="3E9EA427">
        <w:trPr>
          <w:trHeight w:val="245" w:hRule="atLeast"/>
          <w:jc w:val="center"/>
        </w:trPr>
        <w:tc>
          <w:tcPr>
            <w:tcW w:w="2868" w:type="dxa"/>
          </w:tcPr>
          <w:p w14:paraId="00F7D3EB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Fsp27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_Forward</w:t>
            </w:r>
          </w:p>
        </w:tc>
        <w:tc>
          <w:tcPr>
            <w:tcW w:w="5552" w:type="dxa"/>
          </w:tcPr>
          <w:p w14:paraId="3E899179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GTGTCCACTTGTGCCGTCTT</w:t>
            </w:r>
          </w:p>
        </w:tc>
      </w:tr>
      <w:tr w14:paraId="4EE3C449">
        <w:trPr>
          <w:trHeight w:val="254" w:hRule="atLeast"/>
          <w:jc w:val="center"/>
        </w:trPr>
        <w:tc>
          <w:tcPr>
            <w:tcW w:w="2868" w:type="dxa"/>
          </w:tcPr>
          <w:p w14:paraId="670C3F43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Fsp27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 Reverse</w:t>
            </w:r>
          </w:p>
        </w:tc>
        <w:tc>
          <w:tcPr>
            <w:tcW w:w="5552" w:type="dxa"/>
          </w:tcPr>
          <w:p w14:paraId="5BE3D809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CTCGCTTGGTTGTCTTGATT</w:t>
            </w:r>
          </w:p>
        </w:tc>
      </w:tr>
      <w:tr w14:paraId="6A8AB746">
        <w:trPr>
          <w:trHeight w:val="254" w:hRule="atLeast"/>
          <w:jc w:val="center"/>
        </w:trPr>
        <w:tc>
          <w:tcPr>
            <w:tcW w:w="2868" w:type="dxa"/>
          </w:tcPr>
          <w:p w14:paraId="12EDF765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Ccl2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_Forward</w:t>
            </w:r>
          </w:p>
        </w:tc>
        <w:tc>
          <w:tcPr>
            <w:tcW w:w="5552" w:type="dxa"/>
          </w:tcPr>
          <w:p w14:paraId="4E388D1F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GCCTGCTGTTCACAGTTGC</w:t>
            </w:r>
          </w:p>
        </w:tc>
      </w:tr>
      <w:tr w14:paraId="1BDDB1E1">
        <w:trPr>
          <w:trHeight w:val="245" w:hRule="atLeast"/>
          <w:jc w:val="center"/>
        </w:trPr>
        <w:tc>
          <w:tcPr>
            <w:tcW w:w="2868" w:type="dxa"/>
          </w:tcPr>
          <w:p w14:paraId="66A5F08A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Ccl2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 Reverse</w:t>
            </w:r>
          </w:p>
        </w:tc>
        <w:tc>
          <w:tcPr>
            <w:tcW w:w="5552" w:type="dxa"/>
          </w:tcPr>
          <w:p w14:paraId="0709BE7F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GAGTGGGGCGTTAACTGCAT</w:t>
            </w:r>
          </w:p>
        </w:tc>
      </w:tr>
      <w:tr w14:paraId="5C91E116">
        <w:trPr>
          <w:trHeight w:val="254" w:hRule="atLeast"/>
          <w:jc w:val="center"/>
        </w:trPr>
        <w:tc>
          <w:tcPr>
            <w:tcW w:w="2868" w:type="dxa"/>
          </w:tcPr>
          <w:p w14:paraId="22FDD0DE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Mmp2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_Forward</w:t>
            </w:r>
          </w:p>
        </w:tc>
        <w:tc>
          <w:tcPr>
            <w:tcW w:w="5552" w:type="dxa"/>
          </w:tcPr>
          <w:p w14:paraId="7E429D1A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AACGGTCGGGAATACAGCAG</w:t>
            </w:r>
          </w:p>
        </w:tc>
      </w:tr>
      <w:tr w14:paraId="29E2B3ED">
        <w:trPr>
          <w:trHeight w:val="245" w:hRule="atLeast"/>
          <w:jc w:val="center"/>
        </w:trPr>
        <w:tc>
          <w:tcPr>
            <w:tcW w:w="2868" w:type="dxa"/>
          </w:tcPr>
          <w:p w14:paraId="6374DF88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Mmp2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_Reverse</w:t>
            </w:r>
          </w:p>
        </w:tc>
        <w:tc>
          <w:tcPr>
            <w:tcW w:w="5552" w:type="dxa"/>
          </w:tcPr>
          <w:p w14:paraId="15B05CBE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GTAAACAAGGCTTCATGGGGG</w:t>
            </w:r>
          </w:p>
        </w:tc>
      </w:tr>
      <w:tr w14:paraId="1758E064">
        <w:trPr>
          <w:trHeight w:val="254" w:hRule="atLeast"/>
          <w:jc w:val="center"/>
        </w:trPr>
        <w:tc>
          <w:tcPr>
            <w:tcW w:w="2868" w:type="dxa"/>
          </w:tcPr>
          <w:p w14:paraId="791D48D6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Mmp9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_Forward</w:t>
            </w:r>
          </w:p>
        </w:tc>
        <w:tc>
          <w:tcPr>
            <w:tcW w:w="5552" w:type="dxa"/>
          </w:tcPr>
          <w:p w14:paraId="73802D5B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CCAGCCGACTTTTGTGGTCT</w:t>
            </w:r>
          </w:p>
        </w:tc>
      </w:tr>
      <w:tr w14:paraId="02995F60">
        <w:trPr>
          <w:trHeight w:val="254" w:hRule="atLeast"/>
          <w:jc w:val="center"/>
        </w:trPr>
        <w:tc>
          <w:tcPr>
            <w:tcW w:w="2868" w:type="dxa"/>
          </w:tcPr>
          <w:p w14:paraId="47A51832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Mmp9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_Reverse</w:t>
            </w:r>
          </w:p>
        </w:tc>
        <w:tc>
          <w:tcPr>
            <w:tcW w:w="5552" w:type="dxa"/>
          </w:tcPr>
          <w:p w14:paraId="239E1506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CTTCTCTCCCATCATCTGGGC</w:t>
            </w:r>
          </w:p>
        </w:tc>
      </w:tr>
      <w:tr w14:paraId="21883B3E">
        <w:trPr>
          <w:trHeight w:val="245" w:hRule="atLeast"/>
          <w:jc w:val="center"/>
        </w:trPr>
        <w:tc>
          <w:tcPr>
            <w:tcW w:w="2868" w:type="dxa"/>
          </w:tcPr>
          <w:p w14:paraId="50EC9155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Mmp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12_Forward</w:t>
            </w:r>
          </w:p>
        </w:tc>
        <w:tc>
          <w:tcPr>
            <w:tcW w:w="5552" w:type="dxa"/>
          </w:tcPr>
          <w:p w14:paraId="1E905136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GCTGTCACAACAGTGGGAGA</w:t>
            </w:r>
          </w:p>
        </w:tc>
      </w:tr>
      <w:tr w14:paraId="4FF63C96">
        <w:trPr>
          <w:trHeight w:val="254" w:hRule="atLeast"/>
          <w:jc w:val="center"/>
        </w:trPr>
        <w:tc>
          <w:tcPr>
            <w:tcW w:w="2868" w:type="dxa"/>
          </w:tcPr>
          <w:p w14:paraId="02557CF7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Mmp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12_Reverse</w:t>
            </w:r>
          </w:p>
        </w:tc>
        <w:tc>
          <w:tcPr>
            <w:tcW w:w="5552" w:type="dxa"/>
          </w:tcPr>
          <w:p w14:paraId="24A7AF21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TACCAGATGGGATGCTTGGC</w:t>
            </w:r>
          </w:p>
        </w:tc>
      </w:tr>
      <w:tr w14:paraId="54048582">
        <w:trPr>
          <w:trHeight w:val="254" w:hRule="atLeast"/>
          <w:jc w:val="center"/>
        </w:trPr>
        <w:tc>
          <w:tcPr>
            <w:tcW w:w="2868" w:type="dxa"/>
          </w:tcPr>
          <w:p w14:paraId="347F2ECB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Il1b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_Forward</w:t>
            </w:r>
          </w:p>
        </w:tc>
        <w:tc>
          <w:tcPr>
            <w:tcW w:w="5552" w:type="dxa"/>
          </w:tcPr>
          <w:p w14:paraId="0E32F598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GCAACTGTTCCTGAACTCAACT</w:t>
            </w:r>
          </w:p>
        </w:tc>
      </w:tr>
      <w:tr w14:paraId="76A9C0A3">
        <w:trPr>
          <w:trHeight w:val="245" w:hRule="atLeast"/>
          <w:jc w:val="center"/>
        </w:trPr>
        <w:tc>
          <w:tcPr>
            <w:tcW w:w="2868" w:type="dxa"/>
          </w:tcPr>
          <w:p w14:paraId="4C82BC65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Il1b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_Reverse</w:t>
            </w:r>
          </w:p>
        </w:tc>
        <w:tc>
          <w:tcPr>
            <w:tcW w:w="5552" w:type="dxa"/>
          </w:tcPr>
          <w:p w14:paraId="4E82454F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ATCTTTTGGGGTCCGTCAACT</w:t>
            </w:r>
          </w:p>
        </w:tc>
      </w:tr>
      <w:tr w14:paraId="1BE1D09B">
        <w:trPr>
          <w:trHeight w:val="254" w:hRule="atLeast"/>
          <w:jc w:val="center"/>
        </w:trPr>
        <w:tc>
          <w:tcPr>
            <w:tcW w:w="2868" w:type="dxa"/>
          </w:tcPr>
          <w:p w14:paraId="69501E5B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Il6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_Forward</w:t>
            </w:r>
          </w:p>
        </w:tc>
        <w:tc>
          <w:tcPr>
            <w:tcW w:w="5552" w:type="dxa"/>
          </w:tcPr>
          <w:p w14:paraId="41A96DB0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CCAGAGATACAAAGAAATGATGG</w:t>
            </w:r>
          </w:p>
        </w:tc>
      </w:tr>
      <w:tr w14:paraId="7CA1BB9A">
        <w:trPr>
          <w:trHeight w:val="254" w:hRule="atLeast"/>
          <w:jc w:val="center"/>
        </w:trPr>
        <w:tc>
          <w:tcPr>
            <w:tcW w:w="2868" w:type="dxa"/>
          </w:tcPr>
          <w:p w14:paraId="410C91B7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Il6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_Reverse</w:t>
            </w:r>
          </w:p>
        </w:tc>
        <w:tc>
          <w:tcPr>
            <w:tcW w:w="5552" w:type="dxa"/>
          </w:tcPr>
          <w:p w14:paraId="1A3EF74B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ACTCCAGAAGACCAGAGGAAAT</w:t>
            </w:r>
          </w:p>
        </w:tc>
      </w:tr>
      <w:tr w14:paraId="043148F2">
        <w:trPr>
          <w:trHeight w:val="245" w:hRule="atLeast"/>
          <w:jc w:val="center"/>
        </w:trPr>
        <w:tc>
          <w:tcPr>
            <w:tcW w:w="2868" w:type="dxa"/>
          </w:tcPr>
          <w:p w14:paraId="63A70E76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F4/80_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Forward</w:t>
            </w:r>
          </w:p>
        </w:tc>
        <w:tc>
          <w:tcPr>
            <w:tcW w:w="5552" w:type="dxa"/>
          </w:tcPr>
          <w:p w14:paraId="1AE2A71A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CTTTGGCTATGGGCTTCCAGTC</w:t>
            </w:r>
          </w:p>
        </w:tc>
      </w:tr>
      <w:tr w14:paraId="50B0ECCB">
        <w:trPr>
          <w:trHeight w:val="254" w:hRule="atLeast"/>
          <w:jc w:val="center"/>
        </w:trPr>
        <w:tc>
          <w:tcPr>
            <w:tcW w:w="2868" w:type="dxa"/>
          </w:tcPr>
          <w:p w14:paraId="71C81DBD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F4/80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_Reverse</w:t>
            </w:r>
          </w:p>
        </w:tc>
        <w:tc>
          <w:tcPr>
            <w:tcW w:w="5552" w:type="dxa"/>
          </w:tcPr>
          <w:p w14:paraId="2529D3D9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GCAAGGAGGACAGAGTTTATCGTG</w:t>
            </w:r>
          </w:p>
        </w:tc>
      </w:tr>
      <w:tr w14:paraId="2BDCB4A5">
        <w:trPr>
          <w:trHeight w:val="245" w:hRule="atLeast"/>
          <w:jc w:val="center"/>
        </w:trPr>
        <w:tc>
          <w:tcPr>
            <w:tcW w:w="2868" w:type="dxa"/>
          </w:tcPr>
          <w:p w14:paraId="2E791418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Tnfa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_Forward</w:t>
            </w:r>
          </w:p>
        </w:tc>
        <w:tc>
          <w:tcPr>
            <w:tcW w:w="5552" w:type="dxa"/>
          </w:tcPr>
          <w:p w14:paraId="7604A938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CCAGACCCTCACACTCAGATC</w:t>
            </w:r>
          </w:p>
        </w:tc>
      </w:tr>
      <w:tr w14:paraId="452B22C3">
        <w:trPr>
          <w:trHeight w:val="254" w:hRule="atLeast"/>
          <w:jc w:val="center"/>
        </w:trPr>
        <w:tc>
          <w:tcPr>
            <w:tcW w:w="2868" w:type="dxa"/>
          </w:tcPr>
          <w:p w14:paraId="4D0AD59D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2"/>
              </w:rPr>
              <w:t>Tnfa</w:t>
            </w:r>
            <w:r>
              <w:rPr>
                <w:rFonts w:ascii="Times New Roman" w:hAnsi="Times New Roman" w:cs="Times New Roman"/>
                <w:kern w:val="2"/>
                <w:sz w:val="22"/>
              </w:rPr>
              <w:t>_Reverse</w:t>
            </w:r>
          </w:p>
        </w:tc>
        <w:tc>
          <w:tcPr>
            <w:tcW w:w="5552" w:type="dxa"/>
          </w:tcPr>
          <w:p w14:paraId="33B1C04D">
            <w:pPr>
              <w:snapToGrid w:val="0"/>
              <w:jc w:val="both"/>
              <w:rPr>
                <w:rFonts w:ascii="Times New Roman" w:hAnsi="Times New Roman" w:cs="Times New Roman"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</w:rPr>
              <w:t>CACTTGGTGGTTTGCTACGAC</w:t>
            </w:r>
          </w:p>
        </w:tc>
      </w:tr>
      <w:tr w14:paraId="7A430BD2">
        <w:trPr>
          <w:trHeight w:val="87" w:hRule="atLeast"/>
          <w:jc w:val="center"/>
        </w:trPr>
        <w:tc>
          <w:tcPr>
            <w:tcW w:w="2868" w:type="dxa"/>
            <w:tcBorders>
              <w:top w:val="single" w:color="auto" w:sz="12" w:space="0"/>
            </w:tcBorders>
          </w:tcPr>
          <w:p w14:paraId="22E1760C">
            <w:pPr>
              <w:snapToGrid w:val="0"/>
              <w:jc w:val="both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5552" w:type="dxa"/>
            <w:tcBorders>
              <w:top w:val="single" w:color="auto" w:sz="12" w:space="0"/>
            </w:tcBorders>
          </w:tcPr>
          <w:p w14:paraId="3E7A70B8">
            <w:pPr>
              <w:snapToGrid w:val="0"/>
              <w:jc w:val="both"/>
              <w:rPr>
                <w:rFonts w:ascii="Times New Roman" w:hAnsi="Times New Roman" w:eastAsia="宋体" w:cs="Times New Roman"/>
                <w:kern w:val="2"/>
              </w:rPr>
            </w:pPr>
          </w:p>
        </w:tc>
      </w:tr>
    </w:tbl>
    <w:p w14:paraId="79297457">
      <w:pPr>
        <w:snapToGrid w:val="0"/>
        <w:jc w:val="both"/>
        <w:rPr>
          <w:rFonts w:ascii="Times New Roman" w:hAnsi="Times New Roman" w:cs="Times New Roman"/>
          <w:b/>
        </w:rPr>
      </w:pPr>
    </w:p>
    <w:p w14:paraId="466133F4">
      <w:pPr>
        <w:jc w:val="both"/>
      </w:pPr>
    </w:p>
    <w:p w14:paraId="1A12E558">
      <w:pPr>
        <w:jc w:val="both"/>
        <w:rPr>
          <w:rFonts w:ascii="Times New Roman" w:hAnsi="Times New Roman" w:cs="Times New Roman"/>
        </w:rPr>
      </w:pPr>
    </w:p>
    <w:p w14:paraId="61F5224E">
      <w:pPr>
        <w:jc w:val="both"/>
        <w:rPr>
          <w:rFonts w:ascii="Times New Roman" w:hAnsi="Times New Roman" w:cs="Times New Roman"/>
        </w:rPr>
      </w:pPr>
    </w:p>
    <w:sectPr>
      <w:pgSz w:w="11900" w:h="16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MS Gothic">
    <w:altName w:val="Hiragino Sans"/>
    <w:panose1 w:val="020B0609070205080204"/>
    <w:charset w:val="80"/>
    <w:family w:val="modern"/>
    <w:pitch w:val="default"/>
    <w:sig w:usb0="00000000" w:usb1="00000000" w:usb2="00000010" w:usb3="00000000" w:csb0="0002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displayBackgroundShape w:val="1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I4NTQ2MDdjMzQwMzQ5NzRkYTJiZjA1NjYxZDM0NjQ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Diabetes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a5t9asxpee5rsweszwax02s4ps50rwsxxzvs&quot;&gt;PVAT&lt;record-ids&gt;&lt;item&gt;26&lt;/item&gt;&lt;item&gt;32&lt;/item&gt;&lt;/record-ids&gt;&lt;/item&gt;&lt;/Libraries&gt;"/>
  </w:docVars>
  <w:rsids>
    <w:rsidRoot w:val="000D4A8A"/>
    <w:rsid w:val="00003CCE"/>
    <w:rsid w:val="00005EC5"/>
    <w:rsid w:val="00006AF8"/>
    <w:rsid w:val="00021F3A"/>
    <w:rsid w:val="0002263D"/>
    <w:rsid w:val="00024B3F"/>
    <w:rsid w:val="00027100"/>
    <w:rsid w:val="00027BBD"/>
    <w:rsid w:val="0003244A"/>
    <w:rsid w:val="00032EFB"/>
    <w:rsid w:val="000337C2"/>
    <w:rsid w:val="000339CF"/>
    <w:rsid w:val="00033B67"/>
    <w:rsid w:val="00035CC4"/>
    <w:rsid w:val="00040A12"/>
    <w:rsid w:val="00040A64"/>
    <w:rsid w:val="000417D6"/>
    <w:rsid w:val="000525D7"/>
    <w:rsid w:val="00052A40"/>
    <w:rsid w:val="00070A64"/>
    <w:rsid w:val="00074711"/>
    <w:rsid w:val="00076F37"/>
    <w:rsid w:val="000770C7"/>
    <w:rsid w:val="000775C8"/>
    <w:rsid w:val="00077D35"/>
    <w:rsid w:val="000801B4"/>
    <w:rsid w:val="000806B4"/>
    <w:rsid w:val="00082304"/>
    <w:rsid w:val="000839BF"/>
    <w:rsid w:val="00083FAC"/>
    <w:rsid w:val="00084588"/>
    <w:rsid w:val="00084E3A"/>
    <w:rsid w:val="0008576A"/>
    <w:rsid w:val="00086331"/>
    <w:rsid w:val="00086F1C"/>
    <w:rsid w:val="0009179F"/>
    <w:rsid w:val="00091B3A"/>
    <w:rsid w:val="000959B9"/>
    <w:rsid w:val="00096934"/>
    <w:rsid w:val="000978A8"/>
    <w:rsid w:val="00097B05"/>
    <w:rsid w:val="000A01EB"/>
    <w:rsid w:val="000A2DAE"/>
    <w:rsid w:val="000B3CD5"/>
    <w:rsid w:val="000C4C4E"/>
    <w:rsid w:val="000C6322"/>
    <w:rsid w:val="000D4A8A"/>
    <w:rsid w:val="000D64B8"/>
    <w:rsid w:val="000E74D7"/>
    <w:rsid w:val="000E763E"/>
    <w:rsid w:val="000E7B48"/>
    <w:rsid w:val="000F10BB"/>
    <w:rsid w:val="000F1D43"/>
    <w:rsid w:val="000F22C5"/>
    <w:rsid w:val="000F2A34"/>
    <w:rsid w:val="000F6307"/>
    <w:rsid w:val="000F6FEE"/>
    <w:rsid w:val="00101AA2"/>
    <w:rsid w:val="0010252F"/>
    <w:rsid w:val="001050B0"/>
    <w:rsid w:val="00106191"/>
    <w:rsid w:val="00106766"/>
    <w:rsid w:val="001102D7"/>
    <w:rsid w:val="001110A2"/>
    <w:rsid w:val="00111EA3"/>
    <w:rsid w:val="00112F78"/>
    <w:rsid w:val="00113221"/>
    <w:rsid w:val="00114750"/>
    <w:rsid w:val="001155B8"/>
    <w:rsid w:val="001170F0"/>
    <w:rsid w:val="001209F9"/>
    <w:rsid w:val="00121783"/>
    <w:rsid w:val="0012343B"/>
    <w:rsid w:val="00131A81"/>
    <w:rsid w:val="00135543"/>
    <w:rsid w:val="00137E94"/>
    <w:rsid w:val="00137FE6"/>
    <w:rsid w:val="00141AB0"/>
    <w:rsid w:val="00141C3D"/>
    <w:rsid w:val="00142728"/>
    <w:rsid w:val="001429C8"/>
    <w:rsid w:val="001433B1"/>
    <w:rsid w:val="001450AE"/>
    <w:rsid w:val="00147075"/>
    <w:rsid w:val="00147958"/>
    <w:rsid w:val="001508CD"/>
    <w:rsid w:val="00150C0E"/>
    <w:rsid w:val="001541E7"/>
    <w:rsid w:val="00155C09"/>
    <w:rsid w:val="00157770"/>
    <w:rsid w:val="00165ACB"/>
    <w:rsid w:val="00166910"/>
    <w:rsid w:val="00170700"/>
    <w:rsid w:val="00175FF7"/>
    <w:rsid w:val="00180354"/>
    <w:rsid w:val="0018176B"/>
    <w:rsid w:val="00183B61"/>
    <w:rsid w:val="001851F9"/>
    <w:rsid w:val="00192E91"/>
    <w:rsid w:val="00195C30"/>
    <w:rsid w:val="00195F9C"/>
    <w:rsid w:val="001A2E3F"/>
    <w:rsid w:val="001A3122"/>
    <w:rsid w:val="001A4147"/>
    <w:rsid w:val="001A75F3"/>
    <w:rsid w:val="001B0591"/>
    <w:rsid w:val="001B281A"/>
    <w:rsid w:val="001B6631"/>
    <w:rsid w:val="001C3184"/>
    <w:rsid w:val="001C4270"/>
    <w:rsid w:val="001C4EE0"/>
    <w:rsid w:val="001D5F95"/>
    <w:rsid w:val="001D6FBC"/>
    <w:rsid w:val="001D74FD"/>
    <w:rsid w:val="001E57CF"/>
    <w:rsid w:val="001E628A"/>
    <w:rsid w:val="001E76CD"/>
    <w:rsid w:val="001F215E"/>
    <w:rsid w:val="001F429E"/>
    <w:rsid w:val="001F55D4"/>
    <w:rsid w:val="001F5B7B"/>
    <w:rsid w:val="001F6864"/>
    <w:rsid w:val="002003CB"/>
    <w:rsid w:val="00206092"/>
    <w:rsid w:val="002060DD"/>
    <w:rsid w:val="00206213"/>
    <w:rsid w:val="00206A6D"/>
    <w:rsid w:val="002104DA"/>
    <w:rsid w:val="00210CAF"/>
    <w:rsid w:val="00217599"/>
    <w:rsid w:val="00232479"/>
    <w:rsid w:val="00234F6C"/>
    <w:rsid w:val="00237AC4"/>
    <w:rsid w:val="00237D24"/>
    <w:rsid w:val="00240E52"/>
    <w:rsid w:val="00240FD5"/>
    <w:rsid w:val="002444D6"/>
    <w:rsid w:val="002448D2"/>
    <w:rsid w:val="00245545"/>
    <w:rsid w:val="0024712E"/>
    <w:rsid w:val="0025494E"/>
    <w:rsid w:val="002565AE"/>
    <w:rsid w:val="00261050"/>
    <w:rsid w:val="00261C6E"/>
    <w:rsid w:val="00266CEE"/>
    <w:rsid w:val="00270DB7"/>
    <w:rsid w:val="00272672"/>
    <w:rsid w:val="00273652"/>
    <w:rsid w:val="00273B3E"/>
    <w:rsid w:val="00273EEE"/>
    <w:rsid w:val="00280992"/>
    <w:rsid w:val="00282188"/>
    <w:rsid w:val="00290A4C"/>
    <w:rsid w:val="00292955"/>
    <w:rsid w:val="002A3EC9"/>
    <w:rsid w:val="002A4936"/>
    <w:rsid w:val="002A4A19"/>
    <w:rsid w:val="002A4DB5"/>
    <w:rsid w:val="002A5A3C"/>
    <w:rsid w:val="002A5CD9"/>
    <w:rsid w:val="002A7308"/>
    <w:rsid w:val="002A7C1C"/>
    <w:rsid w:val="002B1141"/>
    <w:rsid w:val="002B39F4"/>
    <w:rsid w:val="002B4327"/>
    <w:rsid w:val="002C48E8"/>
    <w:rsid w:val="002C49DB"/>
    <w:rsid w:val="002C5390"/>
    <w:rsid w:val="002C6331"/>
    <w:rsid w:val="002E27D7"/>
    <w:rsid w:val="002E5C09"/>
    <w:rsid w:val="002E776B"/>
    <w:rsid w:val="002F0E8B"/>
    <w:rsid w:val="002F2BBE"/>
    <w:rsid w:val="002F2C28"/>
    <w:rsid w:val="002F583C"/>
    <w:rsid w:val="00300915"/>
    <w:rsid w:val="00305AF8"/>
    <w:rsid w:val="00310048"/>
    <w:rsid w:val="00311999"/>
    <w:rsid w:val="00315717"/>
    <w:rsid w:val="00320B3A"/>
    <w:rsid w:val="003229B8"/>
    <w:rsid w:val="00322B19"/>
    <w:rsid w:val="003243FD"/>
    <w:rsid w:val="00325AE0"/>
    <w:rsid w:val="00327EB8"/>
    <w:rsid w:val="0033262C"/>
    <w:rsid w:val="00332A0F"/>
    <w:rsid w:val="003355C3"/>
    <w:rsid w:val="003357F1"/>
    <w:rsid w:val="00335FE0"/>
    <w:rsid w:val="00336EE8"/>
    <w:rsid w:val="00337E7F"/>
    <w:rsid w:val="00337F50"/>
    <w:rsid w:val="003414E7"/>
    <w:rsid w:val="00342EFF"/>
    <w:rsid w:val="00346163"/>
    <w:rsid w:val="0034783A"/>
    <w:rsid w:val="00352A95"/>
    <w:rsid w:val="003549A8"/>
    <w:rsid w:val="00357F77"/>
    <w:rsid w:val="003602E9"/>
    <w:rsid w:val="0036110A"/>
    <w:rsid w:val="003618DC"/>
    <w:rsid w:val="00362174"/>
    <w:rsid w:val="00362C6A"/>
    <w:rsid w:val="00366723"/>
    <w:rsid w:val="00376A05"/>
    <w:rsid w:val="00377B14"/>
    <w:rsid w:val="00380324"/>
    <w:rsid w:val="00380973"/>
    <w:rsid w:val="0038186F"/>
    <w:rsid w:val="003858A7"/>
    <w:rsid w:val="003864AC"/>
    <w:rsid w:val="00390381"/>
    <w:rsid w:val="0039060B"/>
    <w:rsid w:val="003946BB"/>
    <w:rsid w:val="00396281"/>
    <w:rsid w:val="003A4271"/>
    <w:rsid w:val="003B223C"/>
    <w:rsid w:val="003B3897"/>
    <w:rsid w:val="003B5E39"/>
    <w:rsid w:val="003B721B"/>
    <w:rsid w:val="003C2EEE"/>
    <w:rsid w:val="003D75DB"/>
    <w:rsid w:val="003D7B54"/>
    <w:rsid w:val="003E05CA"/>
    <w:rsid w:val="003E5AC3"/>
    <w:rsid w:val="003E7CB4"/>
    <w:rsid w:val="003F2EE3"/>
    <w:rsid w:val="00400BF8"/>
    <w:rsid w:val="0040415B"/>
    <w:rsid w:val="00404219"/>
    <w:rsid w:val="00405BFD"/>
    <w:rsid w:val="00406110"/>
    <w:rsid w:val="0040693E"/>
    <w:rsid w:val="00410559"/>
    <w:rsid w:val="004111F3"/>
    <w:rsid w:val="004120BE"/>
    <w:rsid w:val="00412C32"/>
    <w:rsid w:val="004137AD"/>
    <w:rsid w:val="00413BC8"/>
    <w:rsid w:val="00414FC9"/>
    <w:rsid w:val="00415C91"/>
    <w:rsid w:val="00420C42"/>
    <w:rsid w:val="00422B02"/>
    <w:rsid w:val="00424F0F"/>
    <w:rsid w:val="00430265"/>
    <w:rsid w:val="00430AE4"/>
    <w:rsid w:val="004333D1"/>
    <w:rsid w:val="00433612"/>
    <w:rsid w:val="00440E32"/>
    <w:rsid w:val="0044694B"/>
    <w:rsid w:val="00450195"/>
    <w:rsid w:val="00452339"/>
    <w:rsid w:val="00452596"/>
    <w:rsid w:val="00452AE3"/>
    <w:rsid w:val="00456B63"/>
    <w:rsid w:val="00460D31"/>
    <w:rsid w:val="00462A18"/>
    <w:rsid w:val="00463F4C"/>
    <w:rsid w:val="0046475D"/>
    <w:rsid w:val="004716F9"/>
    <w:rsid w:val="00471EE3"/>
    <w:rsid w:val="00476556"/>
    <w:rsid w:val="00480678"/>
    <w:rsid w:val="00481303"/>
    <w:rsid w:val="00481563"/>
    <w:rsid w:val="00482070"/>
    <w:rsid w:val="00494424"/>
    <w:rsid w:val="0049779D"/>
    <w:rsid w:val="004A01F2"/>
    <w:rsid w:val="004A0B6E"/>
    <w:rsid w:val="004A369D"/>
    <w:rsid w:val="004A553B"/>
    <w:rsid w:val="004B15D1"/>
    <w:rsid w:val="004B5097"/>
    <w:rsid w:val="004B74AC"/>
    <w:rsid w:val="004C459A"/>
    <w:rsid w:val="004C637E"/>
    <w:rsid w:val="004C7A9A"/>
    <w:rsid w:val="004D2D5B"/>
    <w:rsid w:val="004D3A34"/>
    <w:rsid w:val="004D4E8E"/>
    <w:rsid w:val="004D7A15"/>
    <w:rsid w:val="004E078D"/>
    <w:rsid w:val="004E3D94"/>
    <w:rsid w:val="004E4979"/>
    <w:rsid w:val="004E5A12"/>
    <w:rsid w:val="004E713C"/>
    <w:rsid w:val="004F171B"/>
    <w:rsid w:val="004F591E"/>
    <w:rsid w:val="0050159B"/>
    <w:rsid w:val="005050C6"/>
    <w:rsid w:val="00505221"/>
    <w:rsid w:val="0051076A"/>
    <w:rsid w:val="0051156B"/>
    <w:rsid w:val="00511786"/>
    <w:rsid w:val="00515E5D"/>
    <w:rsid w:val="00515E8B"/>
    <w:rsid w:val="00524360"/>
    <w:rsid w:val="0052571B"/>
    <w:rsid w:val="00527FF6"/>
    <w:rsid w:val="00536D33"/>
    <w:rsid w:val="00544143"/>
    <w:rsid w:val="00545F11"/>
    <w:rsid w:val="005461AC"/>
    <w:rsid w:val="00547B81"/>
    <w:rsid w:val="005635A2"/>
    <w:rsid w:val="0056426D"/>
    <w:rsid w:val="0057274F"/>
    <w:rsid w:val="00572936"/>
    <w:rsid w:val="00572AD1"/>
    <w:rsid w:val="00572DDC"/>
    <w:rsid w:val="00576973"/>
    <w:rsid w:val="0057745F"/>
    <w:rsid w:val="0057751D"/>
    <w:rsid w:val="00577989"/>
    <w:rsid w:val="00580553"/>
    <w:rsid w:val="00583927"/>
    <w:rsid w:val="00586457"/>
    <w:rsid w:val="00590996"/>
    <w:rsid w:val="005933FD"/>
    <w:rsid w:val="00595195"/>
    <w:rsid w:val="00595788"/>
    <w:rsid w:val="00596281"/>
    <w:rsid w:val="005A7D89"/>
    <w:rsid w:val="005B2945"/>
    <w:rsid w:val="005B47E1"/>
    <w:rsid w:val="005B6497"/>
    <w:rsid w:val="005B6DF6"/>
    <w:rsid w:val="005C190B"/>
    <w:rsid w:val="005D192F"/>
    <w:rsid w:val="005D502B"/>
    <w:rsid w:val="005D5F7A"/>
    <w:rsid w:val="005D6FEA"/>
    <w:rsid w:val="005E0BB3"/>
    <w:rsid w:val="005E1DFB"/>
    <w:rsid w:val="005E291B"/>
    <w:rsid w:val="005E3085"/>
    <w:rsid w:val="005E5E18"/>
    <w:rsid w:val="005F0C68"/>
    <w:rsid w:val="005F21AC"/>
    <w:rsid w:val="005F23BF"/>
    <w:rsid w:val="005F3412"/>
    <w:rsid w:val="005F3733"/>
    <w:rsid w:val="005F4D16"/>
    <w:rsid w:val="005F50DB"/>
    <w:rsid w:val="0060038D"/>
    <w:rsid w:val="0060260B"/>
    <w:rsid w:val="00602715"/>
    <w:rsid w:val="00605143"/>
    <w:rsid w:val="006065CE"/>
    <w:rsid w:val="00615592"/>
    <w:rsid w:val="006156B6"/>
    <w:rsid w:val="00617542"/>
    <w:rsid w:val="0062011F"/>
    <w:rsid w:val="00623574"/>
    <w:rsid w:val="0062372B"/>
    <w:rsid w:val="00624F24"/>
    <w:rsid w:val="0062702A"/>
    <w:rsid w:val="00632C5E"/>
    <w:rsid w:val="006331D9"/>
    <w:rsid w:val="006376F2"/>
    <w:rsid w:val="00637F70"/>
    <w:rsid w:val="006409D4"/>
    <w:rsid w:val="00644647"/>
    <w:rsid w:val="00645773"/>
    <w:rsid w:val="00646F7A"/>
    <w:rsid w:val="006476F4"/>
    <w:rsid w:val="0065207D"/>
    <w:rsid w:val="00655B6D"/>
    <w:rsid w:val="00663CEA"/>
    <w:rsid w:val="00672674"/>
    <w:rsid w:val="00674081"/>
    <w:rsid w:val="00675CF5"/>
    <w:rsid w:val="0068000C"/>
    <w:rsid w:val="00683552"/>
    <w:rsid w:val="0068421A"/>
    <w:rsid w:val="00690F06"/>
    <w:rsid w:val="00691F7C"/>
    <w:rsid w:val="006A08E6"/>
    <w:rsid w:val="006A2006"/>
    <w:rsid w:val="006A429B"/>
    <w:rsid w:val="006A48D8"/>
    <w:rsid w:val="006A5253"/>
    <w:rsid w:val="006A6178"/>
    <w:rsid w:val="006B162E"/>
    <w:rsid w:val="006B2155"/>
    <w:rsid w:val="006B216C"/>
    <w:rsid w:val="006B297A"/>
    <w:rsid w:val="006B32AA"/>
    <w:rsid w:val="006B77C4"/>
    <w:rsid w:val="006C0507"/>
    <w:rsid w:val="006C2F4A"/>
    <w:rsid w:val="006C37C3"/>
    <w:rsid w:val="006C3A11"/>
    <w:rsid w:val="006C3D60"/>
    <w:rsid w:val="006D216B"/>
    <w:rsid w:val="006D25C7"/>
    <w:rsid w:val="006D355D"/>
    <w:rsid w:val="006D452F"/>
    <w:rsid w:val="006D64CA"/>
    <w:rsid w:val="006D6A81"/>
    <w:rsid w:val="006E0B29"/>
    <w:rsid w:val="006E1700"/>
    <w:rsid w:val="006F0F62"/>
    <w:rsid w:val="006F182A"/>
    <w:rsid w:val="006F56F5"/>
    <w:rsid w:val="006F57A7"/>
    <w:rsid w:val="006F5BE4"/>
    <w:rsid w:val="007015EF"/>
    <w:rsid w:val="00704B94"/>
    <w:rsid w:val="00713A00"/>
    <w:rsid w:val="0071755F"/>
    <w:rsid w:val="00720230"/>
    <w:rsid w:val="007236CD"/>
    <w:rsid w:val="00725622"/>
    <w:rsid w:val="007306CE"/>
    <w:rsid w:val="00730B4F"/>
    <w:rsid w:val="00734210"/>
    <w:rsid w:val="007413AB"/>
    <w:rsid w:val="00741FCF"/>
    <w:rsid w:val="0074257A"/>
    <w:rsid w:val="007517B2"/>
    <w:rsid w:val="0075397C"/>
    <w:rsid w:val="00753F0B"/>
    <w:rsid w:val="00754154"/>
    <w:rsid w:val="00756E37"/>
    <w:rsid w:val="007629EA"/>
    <w:rsid w:val="00762DEC"/>
    <w:rsid w:val="00765A39"/>
    <w:rsid w:val="007674DD"/>
    <w:rsid w:val="00767B9B"/>
    <w:rsid w:val="00770842"/>
    <w:rsid w:val="00770C19"/>
    <w:rsid w:val="00770D7B"/>
    <w:rsid w:val="00771D34"/>
    <w:rsid w:val="00772B8D"/>
    <w:rsid w:val="007745C9"/>
    <w:rsid w:val="00775F18"/>
    <w:rsid w:val="007763B4"/>
    <w:rsid w:val="00777C0B"/>
    <w:rsid w:val="007875BD"/>
    <w:rsid w:val="00791E86"/>
    <w:rsid w:val="00792C3D"/>
    <w:rsid w:val="007A1055"/>
    <w:rsid w:val="007A1D5D"/>
    <w:rsid w:val="007A33D3"/>
    <w:rsid w:val="007B2E98"/>
    <w:rsid w:val="007B6416"/>
    <w:rsid w:val="007B6BF5"/>
    <w:rsid w:val="007C097C"/>
    <w:rsid w:val="007C1A02"/>
    <w:rsid w:val="007C43CB"/>
    <w:rsid w:val="007C6A86"/>
    <w:rsid w:val="007C7DA6"/>
    <w:rsid w:val="007D0612"/>
    <w:rsid w:val="007D4EA3"/>
    <w:rsid w:val="007D53F5"/>
    <w:rsid w:val="007D56AE"/>
    <w:rsid w:val="007D5A2A"/>
    <w:rsid w:val="007D5C30"/>
    <w:rsid w:val="007D641E"/>
    <w:rsid w:val="007D6970"/>
    <w:rsid w:val="007E0115"/>
    <w:rsid w:val="007E0818"/>
    <w:rsid w:val="007E19F7"/>
    <w:rsid w:val="007E26DF"/>
    <w:rsid w:val="007E5EC8"/>
    <w:rsid w:val="007E7CB1"/>
    <w:rsid w:val="007E7DB5"/>
    <w:rsid w:val="007F16A0"/>
    <w:rsid w:val="007F34A9"/>
    <w:rsid w:val="007F3D13"/>
    <w:rsid w:val="008002C7"/>
    <w:rsid w:val="00801C87"/>
    <w:rsid w:val="00805D9B"/>
    <w:rsid w:val="00807FD6"/>
    <w:rsid w:val="00810013"/>
    <w:rsid w:val="00810F7F"/>
    <w:rsid w:val="00810F98"/>
    <w:rsid w:val="008136DB"/>
    <w:rsid w:val="0081474D"/>
    <w:rsid w:val="00814CDD"/>
    <w:rsid w:val="008156C4"/>
    <w:rsid w:val="00816117"/>
    <w:rsid w:val="008229F5"/>
    <w:rsid w:val="00823212"/>
    <w:rsid w:val="008236C9"/>
    <w:rsid w:val="00823FA5"/>
    <w:rsid w:val="00825059"/>
    <w:rsid w:val="008312BD"/>
    <w:rsid w:val="00832CFA"/>
    <w:rsid w:val="00835A7E"/>
    <w:rsid w:val="00836741"/>
    <w:rsid w:val="00840AE1"/>
    <w:rsid w:val="00844690"/>
    <w:rsid w:val="0084485E"/>
    <w:rsid w:val="00844BA6"/>
    <w:rsid w:val="00844E59"/>
    <w:rsid w:val="00846E3F"/>
    <w:rsid w:val="008506CD"/>
    <w:rsid w:val="00853807"/>
    <w:rsid w:val="008548F2"/>
    <w:rsid w:val="008558E4"/>
    <w:rsid w:val="008566B5"/>
    <w:rsid w:val="0086028E"/>
    <w:rsid w:val="008676BA"/>
    <w:rsid w:val="00870E25"/>
    <w:rsid w:val="00873119"/>
    <w:rsid w:val="00875D79"/>
    <w:rsid w:val="00880F86"/>
    <w:rsid w:val="00881055"/>
    <w:rsid w:val="00881351"/>
    <w:rsid w:val="00881A81"/>
    <w:rsid w:val="008821CB"/>
    <w:rsid w:val="00882F8A"/>
    <w:rsid w:val="008876B5"/>
    <w:rsid w:val="00892D8B"/>
    <w:rsid w:val="00893A2D"/>
    <w:rsid w:val="00897011"/>
    <w:rsid w:val="008A1FEB"/>
    <w:rsid w:val="008A34F6"/>
    <w:rsid w:val="008A7875"/>
    <w:rsid w:val="008B1CEF"/>
    <w:rsid w:val="008B645C"/>
    <w:rsid w:val="008C0302"/>
    <w:rsid w:val="008C1794"/>
    <w:rsid w:val="008C1CDD"/>
    <w:rsid w:val="008C2EE9"/>
    <w:rsid w:val="008C5301"/>
    <w:rsid w:val="008C562A"/>
    <w:rsid w:val="008C6B9C"/>
    <w:rsid w:val="008C7345"/>
    <w:rsid w:val="008D06D3"/>
    <w:rsid w:val="008D0AC6"/>
    <w:rsid w:val="008D637E"/>
    <w:rsid w:val="008D7809"/>
    <w:rsid w:val="008E284A"/>
    <w:rsid w:val="008E3DBA"/>
    <w:rsid w:val="009011DB"/>
    <w:rsid w:val="00902F23"/>
    <w:rsid w:val="00905957"/>
    <w:rsid w:val="00905CB1"/>
    <w:rsid w:val="0090660A"/>
    <w:rsid w:val="00907545"/>
    <w:rsid w:val="009076A9"/>
    <w:rsid w:val="0091070A"/>
    <w:rsid w:val="00913E07"/>
    <w:rsid w:val="00915932"/>
    <w:rsid w:val="009178C1"/>
    <w:rsid w:val="00921692"/>
    <w:rsid w:val="00921C88"/>
    <w:rsid w:val="00923904"/>
    <w:rsid w:val="009272D0"/>
    <w:rsid w:val="00927D59"/>
    <w:rsid w:val="009324DB"/>
    <w:rsid w:val="00932A9D"/>
    <w:rsid w:val="00932D49"/>
    <w:rsid w:val="009368D8"/>
    <w:rsid w:val="00937857"/>
    <w:rsid w:val="00941C8E"/>
    <w:rsid w:val="00943B6C"/>
    <w:rsid w:val="00951355"/>
    <w:rsid w:val="00952580"/>
    <w:rsid w:val="00952899"/>
    <w:rsid w:val="009531ED"/>
    <w:rsid w:val="00961D20"/>
    <w:rsid w:val="00967608"/>
    <w:rsid w:val="009713FD"/>
    <w:rsid w:val="00971CB8"/>
    <w:rsid w:val="00975A9D"/>
    <w:rsid w:val="0097632B"/>
    <w:rsid w:val="0097784F"/>
    <w:rsid w:val="009849A9"/>
    <w:rsid w:val="00986EC0"/>
    <w:rsid w:val="00987DFD"/>
    <w:rsid w:val="00991618"/>
    <w:rsid w:val="00993E1B"/>
    <w:rsid w:val="009943C3"/>
    <w:rsid w:val="00994C68"/>
    <w:rsid w:val="00997927"/>
    <w:rsid w:val="009A3D92"/>
    <w:rsid w:val="009A4B15"/>
    <w:rsid w:val="009A6749"/>
    <w:rsid w:val="009B4876"/>
    <w:rsid w:val="009B7460"/>
    <w:rsid w:val="009C10F9"/>
    <w:rsid w:val="009C2F92"/>
    <w:rsid w:val="009C3D23"/>
    <w:rsid w:val="009C5040"/>
    <w:rsid w:val="009C7D9C"/>
    <w:rsid w:val="009C7E25"/>
    <w:rsid w:val="009C7FC0"/>
    <w:rsid w:val="009D090A"/>
    <w:rsid w:val="009D78B6"/>
    <w:rsid w:val="009E1491"/>
    <w:rsid w:val="009E1EAF"/>
    <w:rsid w:val="009E34C3"/>
    <w:rsid w:val="009E6533"/>
    <w:rsid w:val="009F1AC0"/>
    <w:rsid w:val="009F30A2"/>
    <w:rsid w:val="009F5212"/>
    <w:rsid w:val="00A01C42"/>
    <w:rsid w:val="00A06648"/>
    <w:rsid w:val="00A07408"/>
    <w:rsid w:val="00A07682"/>
    <w:rsid w:val="00A076B1"/>
    <w:rsid w:val="00A13702"/>
    <w:rsid w:val="00A13984"/>
    <w:rsid w:val="00A13A85"/>
    <w:rsid w:val="00A15454"/>
    <w:rsid w:val="00A16B54"/>
    <w:rsid w:val="00A175AE"/>
    <w:rsid w:val="00A272AB"/>
    <w:rsid w:val="00A40800"/>
    <w:rsid w:val="00A47EDC"/>
    <w:rsid w:val="00A54E7E"/>
    <w:rsid w:val="00A5540C"/>
    <w:rsid w:val="00A55BCB"/>
    <w:rsid w:val="00A578E1"/>
    <w:rsid w:val="00A602F3"/>
    <w:rsid w:val="00A649D2"/>
    <w:rsid w:val="00A66337"/>
    <w:rsid w:val="00A67C6E"/>
    <w:rsid w:val="00A71B01"/>
    <w:rsid w:val="00A738AC"/>
    <w:rsid w:val="00A757EA"/>
    <w:rsid w:val="00A77726"/>
    <w:rsid w:val="00A846F9"/>
    <w:rsid w:val="00A857CA"/>
    <w:rsid w:val="00A86704"/>
    <w:rsid w:val="00A91CC6"/>
    <w:rsid w:val="00A92D1F"/>
    <w:rsid w:val="00AA0641"/>
    <w:rsid w:val="00AA2D33"/>
    <w:rsid w:val="00AA46C4"/>
    <w:rsid w:val="00AA570F"/>
    <w:rsid w:val="00AA65EA"/>
    <w:rsid w:val="00AB09F4"/>
    <w:rsid w:val="00AB7108"/>
    <w:rsid w:val="00AB77EF"/>
    <w:rsid w:val="00AC023E"/>
    <w:rsid w:val="00AC0A82"/>
    <w:rsid w:val="00AC1DF5"/>
    <w:rsid w:val="00AC4C0E"/>
    <w:rsid w:val="00AC5798"/>
    <w:rsid w:val="00AC59B3"/>
    <w:rsid w:val="00AC7398"/>
    <w:rsid w:val="00AC7440"/>
    <w:rsid w:val="00AD00E6"/>
    <w:rsid w:val="00AD0309"/>
    <w:rsid w:val="00AD4263"/>
    <w:rsid w:val="00AD693A"/>
    <w:rsid w:val="00AE0EFA"/>
    <w:rsid w:val="00AE26DF"/>
    <w:rsid w:val="00AE37CA"/>
    <w:rsid w:val="00AE4B4D"/>
    <w:rsid w:val="00AE635E"/>
    <w:rsid w:val="00AE69C7"/>
    <w:rsid w:val="00AF30D0"/>
    <w:rsid w:val="00AF3166"/>
    <w:rsid w:val="00AF5708"/>
    <w:rsid w:val="00AF6504"/>
    <w:rsid w:val="00B00F4F"/>
    <w:rsid w:val="00B10C4D"/>
    <w:rsid w:val="00B117FC"/>
    <w:rsid w:val="00B1368A"/>
    <w:rsid w:val="00B1617B"/>
    <w:rsid w:val="00B23736"/>
    <w:rsid w:val="00B24411"/>
    <w:rsid w:val="00B24D68"/>
    <w:rsid w:val="00B26CD7"/>
    <w:rsid w:val="00B26E52"/>
    <w:rsid w:val="00B27403"/>
    <w:rsid w:val="00B308F7"/>
    <w:rsid w:val="00B3196E"/>
    <w:rsid w:val="00B33334"/>
    <w:rsid w:val="00B40B16"/>
    <w:rsid w:val="00B42726"/>
    <w:rsid w:val="00B42EE2"/>
    <w:rsid w:val="00B42FEF"/>
    <w:rsid w:val="00B4364E"/>
    <w:rsid w:val="00B4408C"/>
    <w:rsid w:val="00B461E3"/>
    <w:rsid w:val="00B5387E"/>
    <w:rsid w:val="00B54BC7"/>
    <w:rsid w:val="00B61B08"/>
    <w:rsid w:val="00B61EAE"/>
    <w:rsid w:val="00B63AE3"/>
    <w:rsid w:val="00B72696"/>
    <w:rsid w:val="00B73FCC"/>
    <w:rsid w:val="00B8070A"/>
    <w:rsid w:val="00B82973"/>
    <w:rsid w:val="00B836A2"/>
    <w:rsid w:val="00B92A9B"/>
    <w:rsid w:val="00B95BED"/>
    <w:rsid w:val="00B96026"/>
    <w:rsid w:val="00B96A0F"/>
    <w:rsid w:val="00BA45AE"/>
    <w:rsid w:val="00BA49FC"/>
    <w:rsid w:val="00BA6A18"/>
    <w:rsid w:val="00BA72AB"/>
    <w:rsid w:val="00BA76CE"/>
    <w:rsid w:val="00BB3061"/>
    <w:rsid w:val="00BB4A50"/>
    <w:rsid w:val="00BB5983"/>
    <w:rsid w:val="00BC123B"/>
    <w:rsid w:val="00BC1D63"/>
    <w:rsid w:val="00BC2BFD"/>
    <w:rsid w:val="00BC47D9"/>
    <w:rsid w:val="00BC564B"/>
    <w:rsid w:val="00BC7B64"/>
    <w:rsid w:val="00BC7C0E"/>
    <w:rsid w:val="00BD5B91"/>
    <w:rsid w:val="00BE18B3"/>
    <w:rsid w:val="00BE1EE1"/>
    <w:rsid w:val="00BE5B6E"/>
    <w:rsid w:val="00BE60F7"/>
    <w:rsid w:val="00BE715A"/>
    <w:rsid w:val="00BF1D48"/>
    <w:rsid w:val="00BF269D"/>
    <w:rsid w:val="00BF5933"/>
    <w:rsid w:val="00BF6A98"/>
    <w:rsid w:val="00C0004A"/>
    <w:rsid w:val="00C11163"/>
    <w:rsid w:val="00C129D6"/>
    <w:rsid w:val="00C1435D"/>
    <w:rsid w:val="00C16F1A"/>
    <w:rsid w:val="00C21004"/>
    <w:rsid w:val="00C21C02"/>
    <w:rsid w:val="00C22393"/>
    <w:rsid w:val="00C263C3"/>
    <w:rsid w:val="00C30CB3"/>
    <w:rsid w:val="00C3106A"/>
    <w:rsid w:val="00C32358"/>
    <w:rsid w:val="00C3266C"/>
    <w:rsid w:val="00C33663"/>
    <w:rsid w:val="00C360BC"/>
    <w:rsid w:val="00C36723"/>
    <w:rsid w:val="00C37624"/>
    <w:rsid w:val="00C4012F"/>
    <w:rsid w:val="00C423B6"/>
    <w:rsid w:val="00C63867"/>
    <w:rsid w:val="00C64B6C"/>
    <w:rsid w:val="00C73573"/>
    <w:rsid w:val="00C7370B"/>
    <w:rsid w:val="00C73892"/>
    <w:rsid w:val="00C74769"/>
    <w:rsid w:val="00C75271"/>
    <w:rsid w:val="00C76DE2"/>
    <w:rsid w:val="00C77C66"/>
    <w:rsid w:val="00C83234"/>
    <w:rsid w:val="00C8474D"/>
    <w:rsid w:val="00C8519D"/>
    <w:rsid w:val="00C85E98"/>
    <w:rsid w:val="00C90A71"/>
    <w:rsid w:val="00C937A4"/>
    <w:rsid w:val="00C94829"/>
    <w:rsid w:val="00CA277E"/>
    <w:rsid w:val="00CA6168"/>
    <w:rsid w:val="00CA71FC"/>
    <w:rsid w:val="00CB58D7"/>
    <w:rsid w:val="00CB6773"/>
    <w:rsid w:val="00CC088E"/>
    <w:rsid w:val="00CC4E46"/>
    <w:rsid w:val="00CC524C"/>
    <w:rsid w:val="00CC6D20"/>
    <w:rsid w:val="00CC6E33"/>
    <w:rsid w:val="00CD01E8"/>
    <w:rsid w:val="00CD095A"/>
    <w:rsid w:val="00CD2F55"/>
    <w:rsid w:val="00CD508A"/>
    <w:rsid w:val="00CD5DDC"/>
    <w:rsid w:val="00CD6597"/>
    <w:rsid w:val="00CE5E7E"/>
    <w:rsid w:val="00CF34F5"/>
    <w:rsid w:val="00CF3914"/>
    <w:rsid w:val="00D01762"/>
    <w:rsid w:val="00D0599B"/>
    <w:rsid w:val="00D07428"/>
    <w:rsid w:val="00D1160D"/>
    <w:rsid w:val="00D14D27"/>
    <w:rsid w:val="00D17D8D"/>
    <w:rsid w:val="00D21719"/>
    <w:rsid w:val="00D22D03"/>
    <w:rsid w:val="00D237FA"/>
    <w:rsid w:val="00D25D14"/>
    <w:rsid w:val="00D264E4"/>
    <w:rsid w:val="00D33896"/>
    <w:rsid w:val="00D35DB5"/>
    <w:rsid w:val="00D46D8E"/>
    <w:rsid w:val="00D46FC7"/>
    <w:rsid w:val="00D471F7"/>
    <w:rsid w:val="00D549CB"/>
    <w:rsid w:val="00D612E8"/>
    <w:rsid w:val="00D64D1A"/>
    <w:rsid w:val="00D66F90"/>
    <w:rsid w:val="00D71DBA"/>
    <w:rsid w:val="00D724A8"/>
    <w:rsid w:val="00D72EF1"/>
    <w:rsid w:val="00D7323B"/>
    <w:rsid w:val="00D7494D"/>
    <w:rsid w:val="00D801E0"/>
    <w:rsid w:val="00D831CC"/>
    <w:rsid w:val="00D85CC9"/>
    <w:rsid w:val="00D907F2"/>
    <w:rsid w:val="00D90B0B"/>
    <w:rsid w:val="00D90E61"/>
    <w:rsid w:val="00D94719"/>
    <w:rsid w:val="00D947C2"/>
    <w:rsid w:val="00D952FA"/>
    <w:rsid w:val="00D96E1E"/>
    <w:rsid w:val="00DA3AD4"/>
    <w:rsid w:val="00DA5A24"/>
    <w:rsid w:val="00DA6D58"/>
    <w:rsid w:val="00DB2065"/>
    <w:rsid w:val="00DC2AA3"/>
    <w:rsid w:val="00DC6213"/>
    <w:rsid w:val="00DD1FD2"/>
    <w:rsid w:val="00DD5AC7"/>
    <w:rsid w:val="00DD5CEC"/>
    <w:rsid w:val="00DE4C7F"/>
    <w:rsid w:val="00DE4C9C"/>
    <w:rsid w:val="00DE781B"/>
    <w:rsid w:val="00DF03E8"/>
    <w:rsid w:val="00DF230F"/>
    <w:rsid w:val="00DF380F"/>
    <w:rsid w:val="00DF4515"/>
    <w:rsid w:val="00DF4690"/>
    <w:rsid w:val="00DF7781"/>
    <w:rsid w:val="00E00CD0"/>
    <w:rsid w:val="00E14CB4"/>
    <w:rsid w:val="00E1677C"/>
    <w:rsid w:val="00E20E08"/>
    <w:rsid w:val="00E237CD"/>
    <w:rsid w:val="00E24906"/>
    <w:rsid w:val="00E26B98"/>
    <w:rsid w:val="00E2772D"/>
    <w:rsid w:val="00E3133A"/>
    <w:rsid w:val="00E37B29"/>
    <w:rsid w:val="00E37EF6"/>
    <w:rsid w:val="00E40226"/>
    <w:rsid w:val="00E410D1"/>
    <w:rsid w:val="00E44B95"/>
    <w:rsid w:val="00E45F04"/>
    <w:rsid w:val="00E47B9C"/>
    <w:rsid w:val="00E47F92"/>
    <w:rsid w:val="00E52034"/>
    <w:rsid w:val="00E54409"/>
    <w:rsid w:val="00E555B4"/>
    <w:rsid w:val="00E61815"/>
    <w:rsid w:val="00E63216"/>
    <w:rsid w:val="00E65933"/>
    <w:rsid w:val="00E70449"/>
    <w:rsid w:val="00E71192"/>
    <w:rsid w:val="00E727DE"/>
    <w:rsid w:val="00E76B02"/>
    <w:rsid w:val="00E845FD"/>
    <w:rsid w:val="00E86B3A"/>
    <w:rsid w:val="00E87F45"/>
    <w:rsid w:val="00E87FB7"/>
    <w:rsid w:val="00E9167A"/>
    <w:rsid w:val="00E94332"/>
    <w:rsid w:val="00E9728B"/>
    <w:rsid w:val="00EA00E9"/>
    <w:rsid w:val="00EA02ED"/>
    <w:rsid w:val="00EA1720"/>
    <w:rsid w:val="00EA4183"/>
    <w:rsid w:val="00EA6889"/>
    <w:rsid w:val="00EB019F"/>
    <w:rsid w:val="00EB0301"/>
    <w:rsid w:val="00EB0CC6"/>
    <w:rsid w:val="00EB4F30"/>
    <w:rsid w:val="00EC660F"/>
    <w:rsid w:val="00EC6D5C"/>
    <w:rsid w:val="00ED0218"/>
    <w:rsid w:val="00ED1C8A"/>
    <w:rsid w:val="00ED20F5"/>
    <w:rsid w:val="00ED33E2"/>
    <w:rsid w:val="00ED5394"/>
    <w:rsid w:val="00EE606A"/>
    <w:rsid w:val="00EF276B"/>
    <w:rsid w:val="00EF2C47"/>
    <w:rsid w:val="00EF4056"/>
    <w:rsid w:val="00EF4E8F"/>
    <w:rsid w:val="00EF6794"/>
    <w:rsid w:val="00EF7E7B"/>
    <w:rsid w:val="00EF7E7C"/>
    <w:rsid w:val="00F00E51"/>
    <w:rsid w:val="00F039BF"/>
    <w:rsid w:val="00F05B9A"/>
    <w:rsid w:val="00F116FD"/>
    <w:rsid w:val="00F12834"/>
    <w:rsid w:val="00F12D48"/>
    <w:rsid w:val="00F12FE4"/>
    <w:rsid w:val="00F16AF8"/>
    <w:rsid w:val="00F26FCE"/>
    <w:rsid w:val="00F32DCF"/>
    <w:rsid w:val="00F34AFD"/>
    <w:rsid w:val="00F35E4B"/>
    <w:rsid w:val="00F415AE"/>
    <w:rsid w:val="00F447CD"/>
    <w:rsid w:val="00F47994"/>
    <w:rsid w:val="00F5344F"/>
    <w:rsid w:val="00F64789"/>
    <w:rsid w:val="00F647A2"/>
    <w:rsid w:val="00F64D6E"/>
    <w:rsid w:val="00F6620D"/>
    <w:rsid w:val="00F73D34"/>
    <w:rsid w:val="00F743F6"/>
    <w:rsid w:val="00F7647D"/>
    <w:rsid w:val="00F77B62"/>
    <w:rsid w:val="00F80594"/>
    <w:rsid w:val="00F84389"/>
    <w:rsid w:val="00F84672"/>
    <w:rsid w:val="00F905BF"/>
    <w:rsid w:val="00F9117A"/>
    <w:rsid w:val="00F91B9E"/>
    <w:rsid w:val="00F91CD7"/>
    <w:rsid w:val="00F91EB9"/>
    <w:rsid w:val="00F92053"/>
    <w:rsid w:val="00F9274C"/>
    <w:rsid w:val="00F92B9F"/>
    <w:rsid w:val="00F943E1"/>
    <w:rsid w:val="00F94DEF"/>
    <w:rsid w:val="00FA3275"/>
    <w:rsid w:val="00FA396D"/>
    <w:rsid w:val="00FA5DE8"/>
    <w:rsid w:val="00FB24FB"/>
    <w:rsid w:val="00FB3697"/>
    <w:rsid w:val="00FB4409"/>
    <w:rsid w:val="00FB683F"/>
    <w:rsid w:val="00FB72CD"/>
    <w:rsid w:val="00FB76E7"/>
    <w:rsid w:val="00FC03CC"/>
    <w:rsid w:val="00FC12C7"/>
    <w:rsid w:val="00FC36D4"/>
    <w:rsid w:val="00FC4705"/>
    <w:rsid w:val="00FC4F56"/>
    <w:rsid w:val="00FC692C"/>
    <w:rsid w:val="00FD1058"/>
    <w:rsid w:val="00FD2735"/>
    <w:rsid w:val="00FD54C3"/>
    <w:rsid w:val="00FD5D92"/>
    <w:rsid w:val="00FE45E7"/>
    <w:rsid w:val="00FE73F0"/>
    <w:rsid w:val="00FE7A7A"/>
    <w:rsid w:val="00FF4B85"/>
    <w:rsid w:val="0A4932AA"/>
    <w:rsid w:val="0FF76A61"/>
    <w:rsid w:val="11A264BB"/>
    <w:rsid w:val="11AE16A0"/>
    <w:rsid w:val="1DD36FAD"/>
    <w:rsid w:val="21171601"/>
    <w:rsid w:val="227566A0"/>
    <w:rsid w:val="22844826"/>
    <w:rsid w:val="23BFBD3D"/>
    <w:rsid w:val="2FDF05E8"/>
    <w:rsid w:val="30CE387D"/>
    <w:rsid w:val="35EDA88E"/>
    <w:rsid w:val="3AEE70E2"/>
    <w:rsid w:val="3BBC4269"/>
    <w:rsid w:val="3BDA1544"/>
    <w:rsid w:val="3BDD94FC"/>
    <w:rsid w:val="3BE06738"/>
    <w:rsid w:val="3EFF0898"/>
    <w:rsid w:val="3F8F41CA"/>
    <w:rsid w:val="3FA237E5"/>
    <w:rsid w:val="42FD3401"/>
    <w:rsid w:val="47273494"/>
    <w:rsid w:val="5CBE143F"/>
    <w:rsid w:val="5D2A70DB"/>
    <w:rsid w:val="5EFDFD3F"/>
    <w:rsid w:val="5F7A35A2"/>
    <w:rsid w:val="65B6351D"/>
    <w:rsid w:val="6CCBD3B9"/>
    <w:rsid w:val="6DBF0245"/>
    <w:rsid w:val="6FB7D3CD"/>
    <w:rsid w:val="76BF65B0"/>
    <w:rsid w:val="77F70E89"/>
    <w:rsid w:val="7EDBA708"/>
    <w:rsid w:val="7EF7F09B"/>
    <w:rsid w:val="7FD74C0A"/>
    <w:rsid w:val="7FFB8D5A"/>
    <w:rsid w:val="9EED29CE"/>
    <w:rsid w:val="ADB758CB"/>
    <w:rsid w:val="BBD70408"/>
    <w:rsid w:val="BBFF6924"/>
    <w:rsid w:val="BFFB3D51"/>
    <w:rsid w:val="C9BE9E7F"/>
    <w:rsid w:val="D897F51B"/>
    <w:rsid w:val="DE39F804"/>
    <w:rsid w:val="DF6FA7D2"/>
    <w:rsid w:val="DFB3C557"/>
    <w:rsid w:val="DFC773E0"/>
    <w:rsid w:val="E5E69950"/>
    <w:rsid w:val="ECFF9CF5"/>
    <w:rsid w:val="EFFC5FE9"/>
    <w:rsid w:val="F35766C0"/>
    <w:rsid w:val="F3AF9036"/>
    <w:rsid w:val="F3B7C9F8"/>
    <w:rsid w:val="F5BD511B"/>
    <w:rsid w:val="F7ED8AA9"/>
    <w:rsid w:val="F9FC6428"/>
    <w:rsid w:val="FB7FC3A4"/>
    <w:rsid w:val="FCDD9B2A"/>
    <w:rsid w:val="FCF3EFDC"/>
    <w:rsid w:val="FD381C56"/>
    <w:rsid w:val="FDEF7AEA"/>
    <w:rsid w:val="FE7B82A3"/>
    <w:rsid w:val="FFA71C3B"/>
    <w:rsid w:val="FFDDE1D3"/>
    <w:rsid w:val="FFE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3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9"/>
    <w:qFormat/>
    <w:uiPriority w:val="9"/>
    <w:pPr>
      <w:spacing w:before="100" w:beforeAutospacing="1" w:after="100" w:afterAutospacing="1"/>
      <w:outlineLvl w:val="1"/>
    </w:pPr>
    <w:rPr>
      <w:rFonts w:ascii="宋体" w:hAnsi="宋体" w:eastAsia="宋体" w:cs="宋体"/>
      <w:b/>
      <w:bCs/>
      <w:sz w:val="36"/>
      <w:szCs w:val="36"/>
    </w:rPr>
  </w:style>
  <w:style w:type="paragraph" w:styleId="4">
    <w:name w:val="heading 3"/>
    <w:basedOn w:val="1"/>
    <w:next w:val="1"/>
    <w:link w:val="32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30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link w:val="35"/>
    <w:semiHidden/>
    <w:unhideWhenUsed/>
    <w:uiPriority w:val="99"/>
  </w:style>
  <w:style w:type="paragraph" w:styleId="7">
    <w:name w:val="Balloon Text"/>
    <w:basedOn w:val="1"/>
    <w:link w:val="34"/>
    <w:semiHidden/>
    <w:unhideWhenUsed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annotation subject"/>
    <w:basedOn w:val="6"/>
    <w:next w:val="6"/>
    <w:link w:val="36"/>
    <w:semiHidden/>
    <w:unhideWhenUsed/>
    <w:uiPriority w:val="99"/>
    <w:rPr>
      <w:b/>
      <w:bCs/>
    </w:rPr>
  </w:style>
  <w:style w:type="table" w:styleId="12">
    <w:name w:val="Table Grid"/>
    <w:basedOn w:val="11"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800080"/>
      <w:u w:val="single"/>
    </w:rPr>
  </w:style>
  <w:style w:type="character" w:styleId="16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7">
    <w:name w:val="annotation reference"/>
    <w:basedOn w:val="13"/>
    <w:semiHidden/>
    <w:unhideWhenUsed/>
    <w:uiPriority w:val="99"/>
    <w:rPr>
      <w:sz w:val="21"/>
      <w:szCs w:val="21"/>
    </w:rPr>
  </w:style>
  <w:style w:type="character" w:customStyle="1" w:styleId="18">
    <w:name w:val="period"/>
    <w:basedOn w:val="13"/>
    <w:qFormat/>
    <w:uiPriority w:val="0"/>
  </w:style>
  <w:style w:type="character" w:customStyle="1" w:styleId="19">
    <w:name w:val="cit"/>
    <w:basedOn w:val="13"/>
    <w:qFormat/>
    <w:uiPriority w:val="0"/>
  </w:style>
  <w:style w:type="character" w:customStyle="1" w:styleId="20">
    <w:name w:val="页眉 字符"/>
    <w:basedOn w:val="13"/>
    <w:link w:val="9"/>
    <w:qFormat/>
    <w:uiPriority w:val="99"/>
    <w:rPr>
      <w:sz w:val="18"/>
      <w:szCs w:val="18"/>
    </w:rPr>
  </w:style>
  <w:style w:type="character" w:customStyle="1" w:styleId="21">
    <w:name w:val="页脚 字符"/>
    <w:basedOn w:val="13"/>
    <w:link w:val="8"/>
    <w:qFormat/>
    <w:uiPriority w:val="99"/>
    <w:rPr>
      <w:sz w:val="18"/>
      <w:szCs w:val="18"/>
    </w:rPr>
  </w:style>
  <w:style w:type="character" w:customStyle="1" w:styleId="22">
    <w:name w:val="未处理的提及1"/>
    <w:basedOn w:val="13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3">
    <w:name w:val="references__article-title"/>
    <w:basedOn w:val="13"/>
    <w:qFormat/>
    <w:uiPriority w:val="0"/>
  </w:style>
  <w:style w:type="character" w:customStyle="1" w:styleId="24">
    <w:name w:val="references__year"/>
    <w:basedOn w:val="13"/>
    <w:qFormat/>
    <w:uiPriority w:val="0"/>
  </w:style>
  <w:style w:type="paragraph" w:customStyle="1" w:styleId="25">
    <w:name w:val="EndNote Bibliography Title"/>
    <w:basedOn w:val="1"/>
    <w:link w:val="26"/>
    <w:qFormat/>
    <w:uiPriority w:val="0"/>
    <w:pPr>
      <w:jc w:val="center"/>
    </w:pPr>
    <w:rPr>
      <w:rFonts w:ascii="Calibri" w:hAnsi="Calibri" w:cs="Calibri"/>
    </w:rPr>
  </w:style>
  <w:style w:type="character" w:customStyle="1" w:styleId="26">
    <w:name w:val="EndNote Bibliography Title 字符"/>
    <w:basedOn w:val="13"/>
    <w:link w:val="25"/>
    <w:qFormat/>
    <w:uiPriority w:val="0"/>
    <w:rPr>
      <w:rFonts w:ascii="Calibri" w:hAnsi="Calibri" w:cs="Calibri"/>
      <w:sz w:val="24"/>
      <w:szCs w:val="24"/>
    </w:rPr>
  </w:style>
  <w:style w:type="paragraph" w:customStyle="1" w:styleId="27">
    <w:name w:val="EndNote Bibliography"/>
    <w:basedOn w:val="1"/>
    <w:link w:val="28"/>
    <w:qFormat/>
    <w:uiPriority w:val="0"/>
    <w:rPr>
      <w:rFonts w:ascii="Calibri" w:hAnsi="Calibri" w:cs="Calibri"/>
    </w:rPr>
  </w:style>
  <w:style w:type="character" w:customStyle="1" w:styleId="28">
    <w:name w:val="EndNote Bibliography 字符"/>
    <w:basedOn w:val="13"/>
    <w:link w:val="27"/>
    <w:qFormat/>
    <w:uiPriority w:val="0"/>
    <w:rPr>
      <w:rFonts w:ascii="Calibri" w:hAnsi="Calibri" w:cs="Calibri"/>
      <w:sz w:val="24"/>
      <w:szCs w:val="24"/>
    </w:rPr>
  </w:style>
  <w:style w:type="character" w:customStyle="1" w:styleId="29">
    <w:name w:val="标题 2 字符"/>
    <w:basedOn w:val="13"/>
    <w:link w:val="3"/>
    <w:qFormat/>
    <w:uiPriority w:val="9"/>
    <w:rPr>
      <w:rFonts w:ascii="宋体" w:hAnsi="宋体" w:eastAsia="宋体" w:cs="宋体"/>
      <w:b/>
      <w:bCs/>
      <w:sz w:val="36"/>
      <w:szCs w:val="36"/>
    </w:rPr>
  </w:style>
  <w:style w:type="character" w:customStyle="1" w:styleId="30">
    <w:name w:val="标题 4 字符"/>
    <w:basedOn w:val="13"/>
    <w:link w:val="5"/>
    <w:semiHidden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1">
    <w:name w:val="未处理的提及2"/>
    <w:basedOn w:val="13"/>
    <w:semiHidden/>
    <w:unhideWhenUsed/>
    <w:uiPriority w:val="99"/>
    <w:rPr>
      <w:color w:val="605E5C"/>
      <w:shd w:val="clear" w:color="auto" w:fill="E1DFDD"/>
    </w:rPr>
  </w:style>
  <w:style w:type="character" w:customStyle="1" w:styleId="32">
    <w:name w:val="标题 3 字符"/>
    <w:basedOn w:val="13"/>
    <w:link w:val="4"/>
    <w:semiHidden/>
    <w:uiPriority w:val="9"/>
    <w:rPr>
      <w:b/>
      <w:bCs/>
      <w:sz w:val="32"/>
      <w:szCs w:val="32"/>
    </w:rPr>
  </w:style>
  <w:style w:type="character" w:customStyle="1" w:styleId="33">
    <w:name w:val="标题 1 字符"/>
    <w:basedOn w:val="13"/>
    <w:link w:val="2"/>
    <w:uiPriority w:val="9"/>
    <w:rPr>
      <w:b/>
      <w:bCs/>
      <w:kern w:val="44"/>
      <w:sz w:val="44"/>
      <w:szCs w:val="44"/>
    </w:rPr>
  </w:style>
  <w:style w:type="character" w:customStyle="1" w:styleId="34">
    <w:name w:val="批注框文本 字符"/>
    <w:basedOn w:val="13"/>
    <w:link w:val="7"/>
    <w:semiHidden/>
    <w:uiPriority w:val="99"/>
    <w:rPr>
      <w:sz w:val="18"/>
      <w:szCs w:val="18"/>
    </w:rPr>
  </w:style>
  <w:style w:type="character" w:customStyle="1" w:styleId="35">
    <w:name w:val="批注文字 字符"/>
    <w:basedOn w:val="13"/>
    <w:link w:val="6"/>
    <w:semiHidden/>
    <w:uiPriority w:val="99"/>
    <w:rPr>
      <w:sz w:val="24"/>
      <w:szCs w:val="24"/>
    </w:rPr>
  </w:style>
  <w:style w:type="character" w:customStyle="1" w:styleId="36">
    <w:name w:val="批注主题 字符"/>
    <w:basedOn w:val="35"/>
    <w:link w:val="10"/>
    <w:semiHidden/>
    <w:uiPriority w:val="99"/>
    <w:rPr>
      <w:b/>
      <w:bCs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799</Words>
  <Characters>4557</Characters>
  <Lines>37</Lines>
  <Paragraphs>10</Paragraphs>
  <TotalTime>931</TotalTime>
  <ScaleCrop>false</ScaleCrop>
  <LinksUpToDate>false</LinksUpToDate>
  <CharactersWithSpaces>5346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2021-12-05T15:46:00Z</dcterms:created>
  <dc:creator>Microsoft Office User</dc:creator>
  <cp:lastModifiedBy>zhx</cp:lastModifiedBy>
  <dcterms:modified xsi:type="dcterms:W3CDTF">2024-09-05T19:45:13Z</dcterms:modified>
  <cp:revision>773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44D12D59353F420AAD4FA4D5CA4C9EF4</vt:lpwstr>
  </property>
  <property fmtid="{D5CDD505-2E9C-101B-9397-08002B2CF9AE}" pid="4" name="GrammarlyDocumentId">
    <vt:lpwstr>0df3677ff903768797f91e08e644b522c40db90029a07e9e9c94ba4cc778ff70</vt:lpwstr>
  </property>
</Properties>
</file>