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77619" w14:textId="77777777" w:rsidR="00714841" w:rsidRPr="000F2175" w:rsidRDefault="00000000" w:rsidP="00FE7B4A">
      <w:pPr>
        <w:pStyle w:val="a3"/>
        <w:spacing w:beforeLines="50" w:before="156" w:afterLines="50" w:after="156"/>
        <w:ind w:firstLineChars="0" w:firstLine="0"/>
        <w:rPr>
          <w:rFonts w:ascii="Times New Roman" w:hAnsi="Times New Roman" w:cs="Times New Roman"/>
          <w:b/>
          <w:bCs/>
          <w:sz w:val="24"/>
          <w:szCs w:val="24"/>
        </w:rPr>
      </w:pPr>
      <w:r w:rsidRPr="000F2175">
        <w:rPr>
          <w:rFonts w:ascii="Times New Roman" w:hAnsi="Times New Roman" w:cs="Times New Roman"/>
          <w:b/>
          <w:bCs/>
          <w:sz w:val="24"/>
          <w:szCs w:val="24"/>
        </w:rPr>
        <w:t>Supplementary Materials</w:t>
      </w:r>
    </w:p>
    <w:p w14:paraId="7CFA5C65" w14:textId="77777777" w:rsidR="00714841" w:rsidRPr="0059223A" w:rsidRDefault="00000000" w:rsidP="00714841">
      <w:pPr>
        <w:pStyle w:val="a3"/>
        <w:numPr>
          <w:ilvl w:val="0"/>
          <w:numId w:val="4"/>
        </w:numPr>
        <w:ind w:firstLineChars="0"/>
        <w:rPr>
          <w:rFonts w:ascii="Times New Roman" w:hAnsi="Times New Roman" w:cs="Times New Roman"/>
          <w:b/>
          <w:bCs/>
          <w:i/>
          <w:iCs/>
          <w:sz w:val="24"/>
          <w:szCs w:val="24"/>
        </w:rPr>
      </w:pPr>
      <w:r w:rsidRPr="0059223A">
        <w:rPr>
          <w:rFonts w:ascii="Times New Roman" w:hAnsi="Times New Roman" w:cs="Times New Roman" w:hint="eastAsia"/>
          <w:b/>
          <w:bCs/>
          <w:i/>
          <w:iCs/>
          <w:sz w:val="24"/>
          <w:szCs w:val="24"/>
        </w:rPr>
        <w:t>C</w:t>
      </w:r>
      <w:r w:rsidRPr="0059223A">
        <w:rPr>
          <w:rFonts w:ascii="Times New Roman" w:hAnsi="Times New Roman" w:cs="Times New Roman"/>
          <w:b/>
          <w:bCs/>
          <w:i/>
          <w:iCs/>
          <w:sz w:val="24"/>
          <w:szCs w:val="24"/>
        </w:rPr>
        <w:t>ytokines</w:t>
      </w:r>
    </w:p>
    <w:p w14:paraId="2BB77B30" w14:textId="77777777" w:rsidR="00714841" w:rsidRPr="0059223A" w:rsidRDefault="00000000" w:rsidP="00714841">
      <w:pPr>
        <w:rPr>
          <w:rFonts w:ascii="Times New Roman" w:hAnsi="Times New Roman" w:cs="Times New Roman"/>
          <w:sz w:val="24"/>
          <w:szCs w:val="24"/>
        </w:rPr>
      </w:pPr>
      <w:r w:rsidRPr="0059223A">
        <w:rPr>
          <w:rFonts w:ascii="Times New Roman" w:hAnsi="Times New Roman" w:cs="Times New Roman"/>
          <w:sz w:val="24"/>
          <w:szCs w:val="24"/>
        </w:rPr>
        <w:t>The following cytokines were used for cell and erythroid differentiation: human Flt-3 ligand (</w:t>
      </w:r>
      <w:proofErr w:type="spellStart"/>
      <w:r w:rsidRPr="0059223A">
        <w:rPr>
          <w:rFonts w:ascii="Times New Roman" w:hAnsi="Times New Roman" w:cs="Times New Roman"/>
          <w:sz w:val="24"/>
          <w:szCs w:val="24"/>
        </w:rPr>
        <w:t>Peprotech</w:t>
      </w:r>
      <w:proofErr w:type="spellEnd"/>
      <w:r w:rsidRPr="0059223A">
        <w:rPr>
          <w:rFonts w:ascii="Times New Roman" w:hAnsi="Times New Roman" w:cs="Times New Roman"/>
          <w:sz w:val="24"/>
          <w:szCs w:val="24"/>
        </w:rPr>
        <w:t>, 300-19), human TPO (</w:t>
      </w:r>
      <w:proofErr w:type="spellStart"/>
      <w:r w:rsidRPr="0059223A">
        <w:rPr>
          <w:rFonts w:ascii="Times New Roman" w:hAnsi="Times New Roman" w:cs="Times New Roman"/>
          <w:sz w:val="24"/>
          <w:szCs w:val="24"/>
        </w:rPr>
        <w:t>Peprotech</w:t>
      </w:r>
      <w:proofErr w:type="spellEnd"/>
      <w:r w:rsidRPr="0059223A">
        <w:rPr>
          <w:rFonts w:ascii="Times New Roman" w:hAnsi="Times New Roman" w:cs="Times New Roman"/>
          <w:sz w:val="24"/>
          <w:szCs w:val="24"/>
        </w:rPr>
        <w:t>, 300-18), human SCF (</w:t>
      </w:r>
      <w:proofErr w:type="spellStart"/>
      <w:r w:rsidRPr="0059223A">
        <w:rPr>
          <w:rFonts w:ascii="Times New Roman" w:hAnsi="Times New Roman" w:cs="Times New Roman"/>
          <w:sz w:val="24"/>
          <w:szCs w:val="24"/>
        </w:rPr>
        <w:t>Peprotech</w:t>
      </w:r>
      <w:proofErr w:type="spellEnd"/>
      <w:r w:rsidRPr="0059223A">
        <w:rPr>
          <w:rFonts w:ascii="Times New Roman" w:hAnsi="Times New Roman" w:cs="Times New Roman"/>
          <w:sz w:val="24"/>
          <w:szCs w:val="24"/>
        </w:rPr>
        <w:t>, 300-07), human IL-3 (</w:t>
      </w:r>
      <w:proofErr w:type="spellStart"/>
      <w:r w:rsidRPr="0059223A">
        <w:rPr>
          <w:rFonts w:ascii="Times New Roman" w:hAnsi="Times New Roman" w:cs="Times New Roman"/>
          <w:sz w:val="24"/>
          <w:szCs w:val="24"/>
        </w:rPr>
        <w:t>Peprotech</w:t>
      </w:r>
      <w:proofErr w:type="spellEnd"/>
      <w:r w:rsidRPr="0059223A">
        <w:rPr>
          <w:rFonts w:ascii="Times New Roman" w:hAnsi="Times New Roman" w:cs="Times New Roman"/>
          <w:sz w:val="24"/>
          <w:szCs w:val="24"/>
        </w:rPr>
        <w:t>, 200-03-10), and human EPO (</w:t>
      </w:r>
      <w:proofErr w:type="spellStart"/>
      <w:r w:rsidRPr="0059223A">
        <w:rPr>
          <w:rFonts w:ascii="Times New Roman" w:hAnsi="Times New Roman" w:cs="Times New Roman"/>
          <w:sz w:val="24"/>
          <w:szCs w:val="24"/>
        </w:rPr>
        <w:t>PeproTech</w:t>
      </w:r>
      <w:proofErr w:type="spellEnd"/>
      <w:r w:rsidRPr="0059223A">
        <w:rPr>
          <w:rFonts w:ascii="Times New Roman" w:hAnsi="Times New Roman" w:cs="Times New Roman"/>
          <w:sz w:val="24"/>
          <w:szCs w:val="24"/>
        </w:rPr>
        <w:t>, 100-64).</w:t>
      </w:r>
    </w:p>
    <w:p w14:paraId="38FDBAE0" w14:textId="77777777" w:rsidR="00714841" w:rsidRPr="0059223A" w:rsidRDefault="00000000" w:rsidP="00714841">
      <w:pPr>
        <w:numPr>
          <w:ilvl w:val="0"/>
          <w:numId w:val="4"/>
        </w:numPr>
        <w:rPr>
          <w:rFonts w:ascii="Times New Roman" w:hAnsi="Times New Roman" w:cs="Times New Roman"/>
          <w:b/>
          <w:bCs/>
          <w:i/>
          <w:iCs/>
          <w:sz w:val="24"/>
          <w:szCs w:val="24"/>
        </w:rPr>
      </w:pPr>
      <w:r w:rsidRPr="0059223A">
        <w:rPr>
          <w:rFonts w:ascii="Times New Roman" w:hAnsi="Times New Roman" w:cs="Times New Roman" w:hint="eastAsia"/>
          <w:b/>
          <w:bCs/>
          <w:i/>
          <w:iCs/>
          <w:sz w:val="24"/>
          <w:szCs w:val="24"/>
        </w:rPr>
        <w:t>A</w:t>
      </w:r>
      <w:r w:rsidRPr="0059223A">
        <w:rPr>
          <w:rFonts w:ascii="Times New Roman" w:hAnsi="Times New Roman" w:cs="Times New Roman"/>
          <w:b/>
          <w:bCs/>
          <w:i/>
          <w:iCs/>
          <w:sz w:val="24"/>
          <w:szCs w:val="24"/>
        </w:rPr>
        <w:t>ntibodies</w:t>
      </w:r>
    </w:p>
    <w:p w14:paraId="78F7066D" w14:textId="77777777" w:rsidR="00714841" w:rsidRDefault="00000000" w:rsidP="00714841">
      <w:pPr>
        <w:rPr>
          <w:rFonts w:ascii="Times New Roman" w:hAnsi="Times New Roman" w:cs="Times New Roman"/>
          <w:sz w:val="24"/>
          <w:szCs w:val="24"/>
        </w:rPr>
      </w:pPr>
      <w:r w:rsidRPr="0059223A">
        <w:rPr>
          <w:rFonts w:ascii="Times New Roman" w:hAnsi="Times New Roman" w:cs="Times New Roman"/>
          <w:sz w:val="24"/>
          <w:szCs w:val="24"/>
        </w:rPr>
        <w:t>The following antibodies were used for flow cytometry: PE-CD71 (</w:t>
      </w:r>
      <w:proofErr w:type="spellStart"/>
      <w:r w:rsidRPr="0059223A">
        <w:rPr>
          <w:rFonts w:ascii="Times New Roman" w:hAnsi="Times New Roman" w:cs="Times New Roman"/>
          <w:sz w:val="24"/>
          <w:szCs w:val="24"/>
        </w:rPr>
        <w:t>Miltenyi</w:t>
      </w:r>
      <w:proofErr w:type="spellEnd"/>
      <w:r w:rsidRPr="0059223A">
        <w:rPr>
          <w:rFonts w:ascii="Times New Roman" w:hAnsi="Times New Roman" w:cs="Times New Roman"/>
          <w:sz w:val="24"/>
          <w:szCs w:val="24"/>
        </w:rPr>
        <w:t xml:space="preserve"> </w:t>
      </w:r>
      <w:proofErr w:type="spellStart"/>
      <w:r w:rsidRPr="0059223A">
        <w:rPr>
          <w:rFonts w:ascii="Times New Roman" w:hAnsi="Times New Roman" w:cs="Times New Roman"/>
          <w:sz w:val="24"/>
          <w:szCs w:val="24"/>
        </w:rPr>
        <w:t>Biotec</w:t>
      </w:r>
      <w:proofErr w:type="spellEnd"/>
      <w:r w:rsidRPr="0059223A">
        <w:rPr>
          <w:rFonts w:ascii="Times New Roman" w:hAnsi="Times New Roman" w:cs="Times New Roman"/>
          <w:sz w:val="24"/>
          <w:szCs w:val="24"/>
        </w:rPr>
        <w:t>), APC-CD235a (</w:t>
      </w:r>
      <w:proofErr w:type="spellStart"/>
      <w:r w:rsidRPr="0059223A">
        <w:rPr>
          <w:rFonts w:ascii="Times New Roman" w:hAnsi="Times New Roman" w:cs="Times New Roman"/>
          <w:sz w:val="24"/>
          <w:szCs w:val="24"/>
        </w:rPr>
        <w:t>Miltenyi</w:t>
      </w:r>
      <w:proofErr w:type="spellEnd"/>
      <w:r w:rsidRPr="0059223A">
        <w:rPr>
          <w:rFonts w:ascii="Times New Roman" w:hAnsi="Times New Roman" w:cs="Times New Roman"/>
          <w:sz w:val="24"/>
          <w:szCs w:val="24"/>
        </w:rPr>
        <w:t xml:space="preserve"> </w:t>
      </w:r>
      <w:proofErr w:type="spellStart"/>
      <w:r w:rsidRPr="0059223A">
        <w:rPr>
          <w:rFonts w:ascii="Times New Roman" w:hAnsi="Times New Roman" w:cs="Times New Roman"/>
          <w:sz w:val="24"/>
          <w:szCs w:val="24"/>
        </w:rPr>
        <w:t>Biotec</w:t>
      </w:r>
      <w:proofErr w:type="spellEnd"/>
      <w:r w:rsidRPr="0059223A">
        <w:rPr>
          <w:rFonts w:ascii="Times New Roman" w:hAnsi="Times New Roman" w:cs="Times New Roman"/>
          <w:sz w:val="24"/>
          <w:szCs w:val="24"/>
        </w:rPr>
        <w:t>), PE-Band3 (</w:t>
      </w:r>
      <w:proofErr w:type="spellStart"/>
      <w:r w:rsidRPr="0059223A">
        <w:rPr>
          <w:rFonts w:ascii="Times New Roman" w:hAnsi="Times New Roman" w:cs="Times New Roman"/>
          <w:sz w:val="24"/>
          <w:szCs w:val="24"/>
        </w:rPr>
        <w:t>Miltenyi</w:t>
      </w:r>
      <w:proofErr w:type="spellEnd"/>
      <w:r w:rsidRPr="0059223A">
        <w:rPr>
          <w:rFonts w:ascii="Times New Roman" w:hAnsi="Times New Roman" w:cs="Times New Roman"/>
          <w:sz w:val="24"/>
          <w:szCs w:val="24"/>
        </w:rPr>
        <w:t xml:space="preserve"> </w:t>
      </w:r>
      <w:proofErr w:type="spellStart"/>
      <w:r w:rsidRPr="0059223A">
        <w:rPr>
          <w:rFonts w:ascii="Times New Roman" w:hAnsi="Times New Roman" w:cs="Times New Roman"/>
          <w:sz w:val="24"/>
          <w:szCs w:val="24"/>
        </w:rPr>
        <w:t>Biotec</w:t>
      </w:r>
      <w:proofErr w:type="spellEnd"/>
      <w:r w:rsidRPr="0059223A">
        <w:rPr>
          <w:rFonts w:ascii="Times New Roman" w:hAnsi="Times New Roman" w:cs="Times New Roman"/>
          <w:sz w:val="24"/>
          <w:szCs w:val="24"/>
        </w:rPr>
        <w:t>)</w:t>
      </w:r>
      <w:r w:rsidRPr="0059223A">
        <w:rPr>
          <w:rFonts w:ascii="Times New Roman" w:eastAsia="等线" w:hAnsi="Times New Roman" w:cs="Times New Roman"/>
          <w:sz w:val="24"/>
          <w:szCs w:val="24"/>
        </w:rPr>
        <w:t>,</w:t>
      </w:r>
      <w:r w:rsidRPr="0059223A">
        <w:rPr>
          <w:rFonts w:ascii="Times New Roman" w:hAnsi="Times New Roman" w:cs="Times New Roman"/>
          <w:sz w:val="24"/>
          <w:szCs w:val="24"/>
        </w:rPr>
        <w:t xml:space="preserve"> and APC-CD49d (BD</w:t>
      </w:r>
      <w:r w:rsidRPr="0059223A">
        <w:rPr>
          <w:rFonts w:ascii="Times New Roman" w:eastAsia="等线" w:hAnsi="Times New Roman" w:cs="Times New Roman"/>
          <w:sz w:val="24"/>
          <w:szCs w:val="24"/>
        </w:rPr>
        <w:t xml:space="preserve"> Biosciences</w:t>
      </w:r>
      <w:r w:rsidRPr="0059223A">
        <w:rPr>
          <w:rFonts w:ascii="Times New Roman" w:hAnsi="Times New Roman" w:cs="Times New Roman"/>
          <w:sz w:val="24"/>
          <w:szCs w:val="24"/>
        </w:rPr>
        <w:t>).</w:t>
      </w:r>
    </w:p>
    <w:p w14:paraId="37BE88BF" w14:textId="32C23A8D" w:rsidR="00714841" w:rsidRPr="00584D1A" w:rsidRDefault="00000000" w:rsidP="00714841">
      <w:pPr>
        <w:rPr>
          <w:rFonts w:ascii="Times New Roman" w:hAnsi="Times New Roman"/>
          <w:sz w:val="24"/>
        </w:rPr>
      </w:pPr>
      <w:r w:rsidRPr="0059223A">
        <w:rPr>
          <w:rFonts w:ascii="Times New Roman" w:hAnsi="Times New Roman" w:cs="Times New Roman"/>
          <w:sz w:val="24"/>
          <w:szCs w:val="24"/>
        </w:rPr>
        <w:t xml:space="preserve">The following antibodies were used for western blotting: rabbit anti-human GATA1 (Abcam, ab181544), mouse anti-human KLF1 (Abcam, ab175372), rabbit anti-human </w:t>
      </w:r>
      <w:r w:rsidRPr="00DC3DA8">
        <w:rPr>
          <w:rFonts w:ascii="Times New Roman" w:hAnsi="Times New Roman" w:cs="Times New Roman"/>
          <w:sz w:val="24"/>
          <w:szCs w:val="24"/>
        </w:rPr>
        <w:t>A</w:t>
      </w:r>
      <w:r w:rsidR="00255D35" w:rsidRPr="00DC3DA8">
        <w:rPr>
          <w:rFonts w:ascii="Times New Roman" w:hAnsi="Times New Roman" w:cs="Times New Roman"/>
          <w:sz w:val="24"/>
          <w:szCs w:val="24"/>
        </w:rPr>
        <w:t>LAS</w:t>
      </w:r>
      <w:r w:rsidRPr="00DC3DA8">
        <w:rPr>
          <w:rFonts w:ascii="Times New Roman" w:hAnsi="Times New Roman" w:cs="Times New Roman"/>
          <w:sz w:val="24"/>
          <w:szCs w:val="24"/>
        </w:rPr>
        <w:t>2</w:t>
      </w:r>
      <w:r w:rsidRPr="0059223A">
        <w:rPr>
          <w:rFonts w:ascii="Times New Roman" w:hAnsi="Times New Roman" w:cs="Times New Roman"/>
          <w:sz w:val="24"/>
          <w:szCs w:val="24"/>
        </w:rPr>
        <w:t xml:space="preserve"> (Abcam, ab184964), rabbit anti-human HBG (Abcam, ab137096), rabbit anti-human HBB (Abcam, ab214049), and mouse anti-β-</w:t>
      </w:r>
      <w:r w:rsidRPr="0059223A">
        <w:rPr>
          <w:rFonts w:ascii="Times New Roman" w:hAnsi="Times New Roman" w:cs="Times New Roman" w:hint="eastAsia"/>
          <w:sz w:val="24"/>
          <w:szCs w:val="24"/>
        </w:rPr>
        <w:t>actin</w:t>
      </w:r>
      <w:r w:rsidRPr="0059223A">
        <w:rPr>
          <w:rFonts w:ascii="Times New Roman" w:hAnsi="Times New Roman" w:cs="Times New Roman"/>
          <w:sz w:val="24"/>
          <w:szCs w:val="24"/>
        </w:rPr>
        <w:t xml:space="preserve"> (</w:t>
      </w:r>
      <w:proofErr w:type="spellStart"/>
      <w:r w:rsidRPr="0059223A">
        <w:rPr>
          <w:rFonts w:ascii="Times New Roman" w:hAnsi="Times New Roman" w:cs="Times New Roman"/>
          <w:sz w:val="24"/>
          <w:szCs w:val="24"/>
        </w:rPr>
        <w:t>Transgen</w:t>
      </w:r>
      <w:proofErr w:type="spellEnd"/>
      <w:r w:rsidRPr="0059223A">
        <w:rPr>
          <w:rFonts w:ascii="Times New Roman" w:hAnsi="Times New Roman" w:cs="Times New Roman"/>
          <w:sz w:val="24"/>
          <w:szCs w:val="24"/>
        </w:rPr>
        <w:t>, HC201-02)</w:t>
      </w:r>
      <w:r w:rsidRPr="0059223A">
        <w:rPr>
          <w:rFonts w:ascii="Times New Roman" w:hAnsi="Times New Roman" w:cs="Times New Roman" w:hint="eastAsia"/>
          <w:sz w:val="24"/>
          <w:szCs w:val="24"/>
        </w:rPr>
        <w:t>.</w:t>
      </w:r>
    </w:p>
    <w:p w14:paraId="2390D8B0" w14:textId="524E8F59" w:rsidR="00714841" w:rsidRDefault="00EB1830" w:rsidP="00714841">
      <w:pPr>
        <w:autoSpaceDE w:val="0"/>
        <w:autoSpaceDN w:val="0"/>
        <w:spacing w:beforeLines="50" w:before="156" w:afterLines="50" w:after="156"/>
        <w:ind w:leftChars="1" w:left="283" w:hangingChars="117" w:hanging="281"/>
        <w:rPr>
          <w:rFonts w:ascii="Times New Roman" w:eastAsia="宋体" w:hAnsi="Times New Roman" w:cs="Times New Roman"/>
          <w:sz w:val="24"/>
          <w:szCs w:val="24"/>
        </w:rPr>
      </w:pPr>
      <w:r>
        <w:rPr>
          <w:rFonts w:ascii="Times New Roman" w:eastAsia="宋体" w:hAnsi="Times New Roman" w:cs="Times New Roman"/>
          <w:noProof/>
          <w:sz w:val="24"/>
          <w:szCs w:val="24"/>
          <w14:ligatures w14:val="standardContextual"/>
        </w:rPr>
        <w:lastRenderedPageBreak/>
        <w:drawing>
          <wp:inline distT="0" distB="0" distL="0" distR="0" wp14:anchorId="0DB80B4B" wp14:editId="5347BF44">
            <wp:extent cx="5274310" cy="7459345"/>
            <wp:effectExtent l="0" t="0" r="2540" b="8255"/>
            <wp:docPr id="9979763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76305" name="图片 99797630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7459345"/>
                    </a:xfrm>
                    <a:prstGeom prst="rect">
                      <a:avLst/>
                    </a:prstGeom>
                  </pic:spPr>
                </pic:pic>
              </a:graphicData>
            </a:graphic>
          </wp:inline>
        </w:drawing>
      </w:r>
    </w:p>
    <w:p w14:paraId="06D58E7D" w14:textId="77777777" w:rsidR="00714841" w:rsidRPr="00C3651B" w:rsidRDefault="00000000" w:rsidP="00714841">
      <w:pPr>
        <w:widowControl/>
        <w:rPr>
          <w:rFonts w:ascii="Times New Roman" w:eastAsia="宋体" w:hAnsi="Times New Roman" w:cs="Times New Roman"/>
          <w:b/>
          <w:bCs/>
        </w:rPr>
      </w:pPr>
      <w:r w:rsidRPr="0059223A">
        <w:rPr>
          <w:rFonts w:ascii="Times New Roman" w:eastAsia="宋体" w:hAnsi="Times New Roman" w:cs="Times New Roman"/>
          <w:b/>
          <w:bCs/>
        </w:rPr>
        <w:t>Figure S1. Pilot experiments to determine</w:t>
      </w:r>
      <w:r>
        <w:rPr>
          <w:rFonts w:ascii="Times New Roman" w:eastAsia="宋体" w:hAnsi="Times New Roman" w:cs="Times New Roman"/>
          <w:b/>
          <w:bCs/>
        </w:rPr>
        <w:t xml:space="preserve"> a</w:t>
      </w:r>
      <w:r w:rsidRPr="0059223A">
        <w:rPr>
          <w:rFonts w:ascii="Times New Roman" w:eastAsia="宋体" w:hAnsi="Times New Roman" w:cs="Times New Roman"/>
          <w:b/>
          <w:bCs/>
        </w:rPr>
        <w:t xml:space="preserve"> suitable concentration of AA2P.</w:t>
      </w:r>
    </w:p>
    <w:p w14:paraId="49C80DE1" w14:textId="77777777" w:rsidR="00714841" w:rsidRDefault="00000000" w:rsidP="00FE7B4A">
      <w:pPr>
        <w:pStyle w:val="a3"/>
        <w:widowControl/>
        <w:numPr>
          <w:ilvl w:val="0"/>
          <w:numId w:val="3"/>
        </w:numPr>
        <w:autoSpaceDE w:val="0"/>
        <w:autoSpaceDN w:val="0"/>
        <w:spacing w:beforeLines="50" w:before="156" w:afterLines="50" w:after="156"/>
        <w:ind w:left="0" w:firstLineChars="0" w:firstLine="0"/>
        <w:rPr>
          <w:rFonts w:ascii="Times New Roman" w:eastAsia="宋体" w:hAnsi="Times New Roman" w:cs="Times New Roman"/>
        </w:rPr>
      </w:pPr>
      <w:r w:rsidRPr="000F2175">
        <w:rPr>
          <w:rFonts w:ascii="Times New Roman" w:eastAsia="宋体" w:hAnsi="Times New Roman" w:cs="Times New Roman"/>
        </w:rPr>
        <w:t xml:space="preserve">Fluorescence activated cell sorting (FACS) detection of the proportion of cells expressing CD71 and CD235a of erythroid differentiation with the concentration of L-ascorbic acid 2-phosphate </w:t>
      </w:r>
      <w:proofErr w:type="spellStart"/>
      <w:r w:rsidRPr="000F2175">
        <w:rPr>
          <w:rFonts w:ascii="Times New Roman" w:eastAsia="宋体" w:hAnsi="Times New Roman" w:cs="Times New Roman"/>
        </w:rPr>
        <w:t>sesquimagnesium</w:t>
      </w:r>
      <w:proofErr w:type="spellEnd"/>
      <w:r w:rsidRPr="000F2175">
        <w:rPr>
          <w:rFonts w:ascii="Times New Roman" w:eastAsia="宋体" w:hAnsi="Times New Roman" w:cs="Times New Roman"/>
        </w:rPr>
        <w:t xml:space="preserve"> salt hydrate (AA2P) from 50 to 150 </w:t>
      </w:r>
      <w:proofErr w:type="spellStart"/>
      <w:r w:rsidRPr="000F2175">
        <w:rPr>
          <w:rFonts w:ascii="Times New Roman" w:eastAsia="宋体" w:hAnsi="Times New Roman" w:cs="Times New Roman"/>
        </w:rPr>
        <w:t>μg</w:t>
      </w:r>
      <w:proofErr w:type="spellEnd"/>
      <w:r w:rsidRPr="000F2175">
        <w:rPr>
          <w:rFonts w:ascii="Times New Roman" w:eastAsia="宋体" w:hAnsi="Times New Roman" w:cs="Times New Roman"/>
        </w:rPr>
        <w:t xml:space="preserve">/mL on day 7 (first line) and from 150 to 200 </w:t>
      </w:r>
      <w:proofErr w:type="spellStart"/>
      <w:r w:rsidRPr="000F2175">
        <w:rPr>
          <w:rFonts w:ascii="Times New Roman" w:eastAsia="宋体" w:hAnsi="Times New Roman" w:cs="Times New Roman"/>
        </w:rPr>
        <w:t>μg</w:t>
      </w:r>
      <w:proofErr w:type="spellEnd"/>
      <w:r w:rsidRPr="000F2175">
        <w:rPr>
          <w:rFonts w:ascii="Times New Roman" w:eastAsia="宋体" w:hAnsi="Times New Roman" w:cs="Times New Roman"/>
        </w:rPr>
        <w:t>/mL on day 6 (second line). (B) Bar chart showing the proportions of CD71</w:t>
      </w:r>
      <w:r w:rsidRPr="00FB2FF1">
        <w:rPr>
          <w:rFonts w:ascii="Times New Roman" w:eastAsia="宋体" w:hAnsi="Times New Roman" w:cs="Times New Roman"/>
          <w:vertAlign w:val="superscript"/>
        </w:rPr>
        <w:t>+</w:t>
      </w:r>
      <w:r w:rsidRPr="000F2175">
        <w:rPr>
          <w:rFonts w:ascii="Times New Roman" w:eastAsia="宋体" w:hAnsi="Times New Roman" w:cs="Times New Roman"/>
        </w:rPr>
        <w:t xml:space="preserve"> </w:t>
      </w:r>
      <w:r w:rsidRPr="000F2175">
        <w:rPr>
          <w:rFonts w:ascii="Times New Roman" w:eastAsia="宋体" w:hAnsi="Times New Roman" w:cs="Times New Roman"/>
        </w:rPr>
        <w:lastRenderedPageBreak/>
        <w:t>CD235a</w:t>
      </w:r>
      <w:r w:rsidRPr="00FB2FF1">
        <w:rPr>
          <w:rFonts w:ascii="Times New Roman" w:eastAsia="宋体" w:hAnsi="Times New Roman" w:cs="Times New Roman"/>
          <w:vertAlign w:val="superscript"/>
        </w:rPr>
        <w:t>+</w:t>
      </w:r>
      <w:r w:rsidRPr="000F2175">
        <w:rPr>
          <w:rFonts w:ascii="Times New Roman" w:eastAsia="宋体" w:hAnsi="Times New Roman" w:cs="Times New Roman"/>
        </w:rPr>
        <w:t xml:space="preserve"> cells. Paired t-test significance analysis;</w:t>
      </w:r>
      <w:r w:rsidRPr="00C3651B">
        <w:t xml:space="preserve"> </w:t>
      </w:r>
      <w:r w:rsidRPr="000F2175">
        <w:rPr>
          <w:rFonts w:ascii="Times New Roman" w:eastAsia="宋体" w:hAnsi="Times New Roman" w:cs="Times New Roman"/>
        </w:rPr>
        <w:t>*</w:t>
      </w:r>
      <w:r w:rsidRPr="00FB2FF1">
        <w:rPr>
          <w:rFonts w:ascii="Times New Roman" w:eastAsia="宋体" w:hAnsi="Times New Roman" w:cs="Times New Roman"/>
          <w:i/>
          <w:iCs/>
        </w:rPr>
        <w:t>P</w:t>
      </w:r>
      <w:r w:rsidRPr="000F2175">
        <w:rPr>
          <w:rFonts w:ascii="Times New Roman" w:eastAsia="宋体" w:hAnsi="Times New Roman" w:cs="Times New Roman"/>
        </w:rPr>
        <w:t xml:space="preserve"> &lt; 0.05, **</w:t>
      </w:r>
      <w:r w:rsidRPr="00FB2FF1">
        <w:rPr>
          <w:rFonts w:ascii="Times New Roman" w:eastAsia="宋体" w:hAnsi="Times New Roman" w:cs="Times New Roman"/>
          <w:i/>
          <w:iCs/>
        </w:rPr>
        <w:t>P</w:t>
      </w:r>
      <w:r w:rsidRPr="000F2175">
        <w:rPr>
          <w:rFonts w:ascii="Times New Roman" w:eastAsia="宋体" w:hAnsi="Times New Roman" w:cs="Times New Roman"/>
        </w:rPr>
        <w:t xml:space="preserve"> &lt; 0.01; </w:t>
      </w:r>
      <w:r w:rsidRPr="006E15C3">
        <w:rPr>
          <w:rFonts w:ascii="Times New Roman" w:eastAsia="宋体" w:hAnsi="Times New Roman" w:cs="Times New Roman"/>
          <w:i/>
          <w:iCs/>
        </w:rPr>
        <w:t>n</w:t>
      </w:r>
      <w:r w:rsidRPr="000F2175">
        <w:rPr>
          <w:rFonts w:ascii="Times New Roman" w:eastAsia="宋体" w:hAnsi="Times New Roman" w:cs="Times New Roman"/>
        </w:rPr>
        <w:t xml:space="preserve"> = 3. Quantitative polymerase chain reaction (qPCR) detection (C, E, and G) and western blot analysis (D, F, and H) of the expressions of HBG, HBB, GATA1, KLF1, and ALAS2 in the AA2P-treated and control groups on days 7, 10, and 14.</w:t>
      </w:r>
      <w:r w:rsidRPr="00FB2FF1">
        <w:rPr>
          <w:rFonts w:ascii="Times New Roman" w:eastAsia="宋体" w:hAnsi="Times New Roman" w:cs="Times New Roman"/>
          <w:i/>
          <w:iCs/>
        </w:rPr>
        <w:t xml:space="preserve"> ACTB</w:t>
      </w:r>
      <w:r w:rsidRPr="000F2175">
        <w:rPr>
          <w:rFonts w:ascii="Times New Roman" w:eastAsia="宋体" w:hAnsi="Times New Roman" w:cs="Times New Roman"/>
        </w:rPr>
        <w:t xml:space="preserve"> was used as the internal reference gene for qPCR, and β-actin was used as the loading control. The significance was tested using a paired Student’s </w:t>
      </w:r>
      <w:r w:rsidRPr="000F2175">
        <w:rPr>
          <w:rFonts w:ascii="Times New Roman" w:eastAsia="宋体" w:hAnsi="Times New Roman" w:cs="Times New Roman"/>
          <w:i/>
          <w:iCs/>
        </w:rPr>
        <w:t>t</w:t>
      </w:r>
      <w:r w:rsidRPr="000F2175">
        <w:rPr>
          <w:rFonts w:ascii="Times New Roman" w:eastAsia="宋体" w:hAnsi="Times New Roman" w:cs="Times New Roman"/>
        </w:rPr>
        <w:t>-test; *</w:t>
      </w:r>
      <w:r w:rsidRPr="00FB2FF1">
        <w:rPr>
          <w:rFonts w:ascii="Times New Roman" w:eastAsia="宋体" w:hAnsi="Times New Roman" w:cs="Times New Roman"/>
          <w:i/>
          <w:iCs/>
        </w:rPr>
        <w:t>P</w:t>
      </w:r>
      <w:r w:rsidRPr="000F2175">
        <w:rPr>
          <w:rFonts w:ascii="Times New Roman" w:eastAsia="宋体" w:hAnsi="Times New Roman" w:cs="Times New Roman"/>
        </w:rPr>
        <w:t xml:space="preserve"> &lt; 0.05, **</w:t>
      </w:r>
      <w:r w:rsidRPr="00FB2FF1">
        <w:rPr>
          <w:rFonts w:ascii="Times New Roman" w:eastAsia="宋体" w:hAnsi="Times New Roman" w:cs="Times New Roman"/>
          <w:i/>
          <w:iCs/>
        </w:rPr>
        <w:t>P</w:t>
      </w:r>
      <w:r w:rsidRPr="000F2175">
        <w:rPr>
          <w:rFonts w:ascii="Times New Roman" w:eastAsia="宋体" w:hAnsi="Times New Roman" w:cs="Times New Roman"/>
        </w:rPr>
        <w:t xml:space="preserve"> &lt; 0.01; </w:t>
      </w:r>
      <w:r w:rsidRPr="006E15C3">
        <w:rPr>
          <w:rFonts w:ascii="Times New Roman" w:eastAsia="宋体" w:hAnsi="Times New Roman" w:cs="Times New Roman"/>
          <w:i/>
          <w:iCs/>
        </w:rPr>
        <w:t xml:space="preserve">n </w:t>
      </w:r>
      <w:r w:rsidRPr="000F2175">
        <w:rPr>
          <w:rFonts w:ascii="Times New Roman" w:eastAsia="宋体" w:hAnsi="Times New Roman" w:cs="Times New Roman"/>
        </w:rPr>
        <w:t>= 3.</w:t>
      </w:r>
    </w:p>
    <w:p w14:paraId="1AC93A9F" w14:textId="77777777" w:rsidR="00714841" w:rsidRDefault="00000000" w:rsidP="00714841">
      <w:pPr>
        <w:widowControl/>
        <w:jc w:val="left"/>
        <w:rPr>
          <w:rFonts w:ascii="Times New Roman" w:eastAsia="宋体" w:hAnsi="Times New Roman" w:cs="Times New Roman"/>
        </w:rPr>
      </w:pPr>
      <w:r>
        <w:rPr>
          <w:rFonts w:ascii="Times New Roman" w:eastAsia="宋体" w:hAnsi="Times New Roman" w:cs="Times New Roman"/>
        </w:rPr>
        <w:br w:type="page"/>
      </w:r>
    </w:p>
    <w:p w14:paraId="41C5445E" w14:textId="12C03C5D" w:rsidR="00714841" w:rsidRPr="00D91C04" w:rsidRDefault="00EB1830" w:rsidP="00FE7B4A">
      <w:pPr>
        <w:widowControl/>
        <w:autoSpaceDE w:val="0"/>
        <w:autoSpaceDN w:val="0"/>
        <w:spacing w:beforeLines="50" w:before="156" w:afterLines="50" w:after="156"/>
        <w:rPr>
          <w:rFonts w:ascii="Times New Roman" w:eastAsia="宋体" w:hAnsi="Times New Roman" w:cs="Times New Roman"/>
          <w:sz w:val="24"/>
          <w:szCs w:val="24"/>
        </w:rPr>
      </w:pPr>
      <w:r>
        <w:rPr>
          <w:rFonts w:ascii="Times New Roman" w:eastAsia="宋体" w:hAnsi="Times New Roman" w:cs="Times New Roman"/>
          <w:noProof/>
          <w:sz w:val="24"/>
          <w:szCs w:val="24"/>
          <w14:ligatures w14:val="standardContextual"/>
        </w:rPr>
        <w:lastRenderedPageBreak/>
        <w:drawing>
          <wp:inline distT="0" distB="0" distL="0" distR="0" wp14:anchorId="11753DBA" wp14:editId="393221CE">
            <wp:extent cx="5274310" cy="3729355"/>
            <wp:effectExtent l="0" t="0" r="2540" b="4445"/>
            <wp:docPr id="11325834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83454" name="图片 11325834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729355"/>
                    </a:xfrm>
                    <a:prstGeom prst="rect">
                      <a:avLst/>
                    </a:prstGeom>
                  </pic:spPr>
                </pic:pic>
              </a:graphicData>
            </a:graphic>
          </wp:inline>
        </w:drawing>
      </w:r>
    </w:p>
    <w:p w14:paraId="47DC954D" w14:textId="63AFEA44" w:rsidR="00714841" w:rsidRPr="001A1E67" w:rsidRDefault="00000000" w:rsidP="00714841">
      <w:pPr>
        <w:pStyle w:val="a3"/>
        <w:spacing w:beforeLines="50" w:before="156" w:afterLines="50" w:after="156"/>
        <w:ind w:firstLineChars="0" w:firstLine="0"/>
        <w:rPr>
          <w:rFonts w:ascii="Times New Roman" w:eastAsia="宋体" w:hAnsi="Times New Roman" w:cs="Times New Roman"/>
          <w:b/>
          <w:bCs/>
        </w:rPr>
      </w:pPr>
      <w:r w:rsidRPr="001A1E67">
        <w:rPr>
          <w:rFonts w:ascii="Times New Roman" w:eastAsia="宋体" w:hAnsi="Times New Roman" w:cs="Times New Roman"/>
          <w:b/>
          <w:bCs/>
        </w:rPr>
        <w:t xml:space="preserve">Figure S2. Knockdown of </w:t>
      </w:r>
      <w:r w:rsidRPr="00FB2FF1">
        <w:rPr>
          <w:rFonts w:ascii="Times New Roman" w:eastAsia="宋体" w:hAnsi="Times New Roman" w:cs="Times New Roman"/>
          <w:b/>
          <w:bCs/>
          <w:i/>
          <w:iCs/>
        </w:rPr>
        <w:t>CA1</w:t>
      </w:r>
      <w:r w:rsidRPr="001A1E67">
        <w:rPr>
          <w:rFonts w:ascii="Times New Roman" w:eastAsia="宋体" w:hAnsi="Times New Roman" w:cs="Times New Roman"/>
          <w:b/>
          <w:bCs/>
        </w:rPr>
        <w:t xml:space="preserve"> downregulated erythroid differentiation-related genes.</w:t>
      </w:r>
    </w:p>
    <w:p w14:paraId="74588BED" w14:textId="3647A46C" w:rsidR="00714841" w:rsidRPr="00584D1A" w:rsidRDefault="00000000" w:rsidP="00FE7B4A">
      <w:pPr>
        <w:pStyle w:val="a3"/>
        <w:numPr>
          <w:ilvl w:val="0"/>
          <w:numId w:val="7"/>
        </w:numPr>
        <w:spacing w:beforeLines="50" w:before="156" w:afterLines="50" w:after="156"/>
        <w:ind w:left="0" w:firstLineChars="0" w:firstLine="0"/>
        <w:rPr>
          <w:rFonts w:ascii="Times New Roman" w:hAnsi="Times New Roman"/>
          <w:sz w:val="24"/>
        </w:rPr>
      </w:pPr>
      <w:r w:rsidRPr="001A1E67">
        <w:rPr>
          <w:rFonts w:ascii="Times New Roman" w:eastAsia="宋体" w:hAnsi="Times New Roman" w:cs="Times New Roman"/>
        </w:rPr>
        <w:t xml:space="preserve">General workflow for the </w:t>
      </w:r>
      <w:r w:rsidRPr="001A1E67">
        <w:rPr>
          <w:rFonts w:ascii="Times New Roman" w:eastAsia="宋体" w:hAnsi="Times New Roman" w:cs="Times New Roman"/>
          <w:i/>
          <w:iCs/>
        </w:rPr>
        <w:t>in vitro</w:t>
      </w:r>
      <w:r w:rsidRPr="001A1E67">
        <w:rPr>
          <w:rFonts w:ascii="Times New Roman" w:eastAsia="宋体" w:hAnsi="Times New Roman" w:cs="Times New Roman"/>
        </w:rPr>
        <w:t xml:space="preserve"> erythroid differentiation system in the condition of carbonic anhydrase 1 (</w:t>
      </w:r>
      <w:r w:rsidRPr="00FB2FF1">
        <w:rPr>
          <w:rFonts w:ascii="Times New Roman" w:eastAsia="宋体" w:hAnsi="Times New Roman" w:cs="Times New Roman"/>
          <w:i/>
          <w:iCs/>
        </w:rPr>
        <w:t>CA1</w:t>
      </w:r>
      <w:r w:rsidRPr="001A1E67">
        <w:rPr>
          <w:rFonts w:ascii="Times New Roman" w:eastAsia="宋体" w:hAnsi="Times New Roman" w:cs="Times New Roman"/>
        </w:rPr>
        <w:t>) knockdown (</w:t>
      </w:r>
      <w:proofErr w:type="gramStart"/>
      <w:r w:rsidRPr="001A1E67">
        <w:rPr>
          <w:rFonts w:ascii="Times New Roman" w:eastAsia="宋体" w:hAnsi="Times New Roman" w:cs="Times New Roman"/>
        </w:rPr>
        <w:t>similar to</w:t>
      </w:r>
      <w:proofErr w:type="gramEnd"/>
      <w:r w:rsidRPr="001A1E67">
        <w:rPr>
          <w:rFonts w:ascii="Times New Roman" w:eastAsia="宋体" w:hAnsi="Times New Roman" w:cs="Times New Roman"/>
        </w:rPr>
        <w:t xml:space="preserve"> Fig. 1A, but for cells infected with recombinant lentivirus containing </w:t>
      </w:r>
      <w:r w:rsidRPr="00FB2FF1">
        <w:rPr>
          <w:rFonts w:ascii="Times New Roman" w:eastAsia="宋体" w:hAnsi="Times New Roman" w:cs="Times New Roman"/>
          <w:i/>
          <w:iCs/>
        </w:rPr>
        <w:t>CA1</w:t>
      </w:r>
      <w:r w:rsidRPr="001A1E67">
        <w:rPr>
          <w:rFonts w:ascii="Times New Roman" w:eastAsia="宋体" w:hAnsi="Times New Roman" w:cs="Times New Roman"/>
        </w:rPr>
        <w:t xml:space="preserve"> targeted shRNA on day 2</w:t>
      </w:r>
      <w:r>
        <w:rPr>
          <w:rFonts w:ascii="Times New Roman" w:eastAsia="宋体" w:hAnsi="Times New Roman" w:cs="Times New Roman"/>
        </w:rPr>
        <w:t>)</w:t>
      </w:r>
      <w:r w:rsidRPr="001A1E67">
        <w:rPr>
          <w:rFonts w:ascii="Times New Roman" w:eastAsia="宋体" w:hAnsi="Times New Roman" w:cs="Times New Roman"/>
        </w:rPr>
        <w:t>. (B) Quantitative real</w:t>
      </w:r>
      <w:r>
        <w:rPr>
          <w:rFonts w:ascii="Times New Roman" w:eastAsia="宋体" w:hAnsi="Times New Roman" w:cs="Times New Roman"/>
        </w:rPr>
        <w:t>-</w:t>
      </w:r>
      <w:r w:rsidRPr="001A1E67">
        <w:rPr>
          <w:rFonts w:ascii="Times New Roman" w:eastAsia="宋体" w:hAnsi="Times New Roman" w:cs="Times New Roman"/>
        </w:rPr>
        <w:t>time polymerase chain reaction (</w:t>
      </w:r>
      <w:proofErr w:type="spellStart"/>
      <w:r w:rsidRPr="001A1E67">
        <w:rPr>
          <w:rFonts w:ascii="Times New Roman" w:eastAsia="宋体" w:hAnsi="Times New Roman" w:cs="Times New Roman"/>
        </w:rPr>
        <w:t>qRT</w:t>
      </w:r>
      <w:proofErr w:type="spellEnd"/>
      <w:r>
        <w:rPr>
          <w:rFonts w:ascii="Times New Roman" w:eastAsia="宋体" w:hAnsi="Times New Roman" w:cs="Times New Roman"/>
        </w:rPr>
        <w:t>–</w:t>
      </w:r>
      <w:r w:rsidRPr="001A1E67">
        <w:rPr>
          <w:rFonts w:ascii="Times New Roman" w:eastAsia="宋体" w:hAnsi="Times New Roman" w:cs="Times New Roman"/>
        </w:rPr>
        <w:t>PCR) of indicated genes in CD34</w:t>
      </w:r>
      <w:r w:rsidR="00EB1830" w:rsidRPr="004F0114">
        <w:rPr>
          <w:rFonts w:ascii="Times New Roman" w:eastAsia="宋体" w:hAnsi="Times New Roman" w:cs="Times New Roman"/>
          <w:vertAlign w:val="superscript"/>
        </w:rPr>
        <w:t>+</w:t>
      </w:r>
      <w:r w:rsidRPr="001A1E67">
        <w:rPr>
          <w:rFonts w:ascii="Times New Roman" w:eastAsia="宋体" w:hAnsi="Times New Roman" w:cs="Times New Roman"/>
        </w:rPr>
        <w:t xml:space="preserve"> cells on day 7</w:t>
      </w:r>
      <w:r>
        <w:rPr>
          <w:rFonts w:ascii="Times New Roman" w:eastAsia="宋体" w:hAnsi="Times New Roman" w:cs="Times New Roman"/>
        </w:rPr>
        <w:t>.</w:t>
      </w:r>
      <w:r w:rsidRPr="001A1E67">
        <w:rPr>
          <w:rFonts w:ascii="Times New Roman" w:eastAsia="宋体" w:hAnsi="Times New Roman" w:cs="Times New Roman"/>
        </w:rPr>
        <w:t xml:space="preserve"> </w:t>
      </w:r>
      <w:r w:rsidRPr="00FB2FF1">
        <w:rPr>
          <w:rFonts w:ascii="Times New Roman" w:eastAsia="宋体" w:hAnsi="Times New Roman" w:cs="Times New Roman"/>
          <w:i/>
          <w:iCs/>
        </w:rPr>
        <w:t>ACTB</w:t>
      </w:r>
      <w:r w:rsidRPr="001A1E67">
        <w:rPr>
          <w:rFonts w:ascii="Times New Roman" w:eastAsia="宋体" w:hAnsi="Times New Roman" w:cs="Times New Roman"/>
        </w:rPr>
        <w:t xml:space="preserve"> was used as the native control. </w:t>
      </w:r>
      <w:r w:rsidRPr="006E15C3">
        <w:rPr>
          <w:rFonts w:ascii="Times New Roman" w:eastAsia="宋体" w:hAnsi="Times New Roman" w:cs="Times New Roman"/>
          <w:i/>
          <w:iCs/>
        </w:rPr>
        <w:t>n</w:t>
      </w:r>
      <w:r w:rsidRPr="001A1E67">
        <w:rPr>
          <w:rFonts w:ascii="Times New Roman" w:eastAsia="宋体" w:hAnsi="Times New Roman" w:cs="Times New Roman"/>
        </w:rPr>
        <w:t xml:space="preserve"> = 3; bars repr</w:t>
      </w:r>
      <w:r w:rsidRPr="00560072">
        <w:rPr>
          <w:rFonts w:ascii="Times New Roman" w:eastAsia="宋体" w:hAnsi="Times New Roman" w:cs="Times New Roman"/>
        </w:rPr>
        <w:t xml:space="preserve">esent mean ± </w:t>
      </w:r>
      <w:r>
        <w:rPr>
          <w:rFonts w:ascii="Times New Roman" w:eastAsia="宋体" w:hAnsi="Times New Roman" w:cs="Times New Roman"/>
        </w:rPr>
        <w:t>standard deviation (</w:t>
      </w:r>
      <w:r w:rsidRPr="00560072">
        <w:rPr>
          <w:rFonts w:ascii="Times New Roman" w:eastAsia="宋体" w:hAnsi="Times New Roman" w:cs="Times New Roman"/>
        </w:rPr>
        <w:t>SD</w:t>
      </w:r>
      <w:r>
        <w:rPr>
          <w:rFonts w:ascii="Times New Roman" w:eastAsia="宋体" w:hAnsi="Times New Roman" w:cs="Times New Roman"/>
        </w:rPr>
        <w:t>)</w:t>
      </w:r>
      <w:r w:rsidRPr="00560072">
        <w:rPr>
          <w:rFonts w:ascii="Times New Roman" w:eastAsia="宋体" w:hAnsi="Times New Roman" w:cs="Times New Roman"/>
        </w:rPr>
        <w:t>; *</w:t>
      </w:r>
      <w:r w:rsidRPr="00FB2FF1">
        <w:rPr>
          <w:rFonts w:ascii="Times New Roman" w:eastAsia="宋体" w:hAnsi="Times New Roman" w:cs="Times New Roman"/>
          <w:i/>
          <w:iCs/>
        </w:rPr>
        <w:t>P</w:t>
      </w:r>
      <w:r w:rsidRPr="00560072">
        <w:rPr>
          <w:rFonts w:ascii="Times New Roman" w:eastAsia="宋体" w:hAnsi="Times New Roman" w:cs="Times New Roman"/>
        </w:rPr>
        <w:t xml:space="preserve"> &lt; 0.05, **</w:t>
      </w:r>
      <w:r w:rsidRPr="00FB2FF1">
        <w:rPr>
          <w:rFonts w:ascii="Times New Roman" w:eastAsia="宋体" w:hAnsi="Times New Roman" w:cs="Times New Roman"/>
          <w:i/>
          <w:iCs/>
        </w:rPr>
        <w:t>P</w:t>
      </w:r>
      <w:r w:rsidRPr="00560072">
        <w:rPr>
          <w:rFonts w:ascii="Times New Roman" w:eastAsia="宋体" w:hAnsi="Times New Roman" w:cs="Times New Roman"/>
        </w:rPr>
        <w:t xml:space="preserve"> &lt; 0.01, for paired Student’s </w:t>
      </w:r>
      <w:r w:rsidRPr="00560072">
        <w:rPr>
          <w:rFonts w:ascii="Times New Roman" w:eastAsia="宋体" w:hAnsi="Times New Roman" w:cs="Times New Roman"/>
          <w:i/>
          <w:iCs/>
        </w:rPr>
        <w:t>t</w:t>
      </w:r>
      <w:r>
        <w:rPr>
          <w:rFonts w:ascii="Times New Roman" w:eastAsia="宋体" w:hAnsi="Times New Roman" w:cs="Times New Roman"/>
        </w:rPr>
        <w:t>-</w:t>
      </w:r>
      <w:r w:rsidRPr="00560072">
        <w:rPr>
          <w:rFonts w:ascii="Times New Roman" w:eastAsia="宋体" w:hAnsi="Times New Roman" w:cs="Times New Roman"/>
        </w:rPr>
        <w:t>test.</w:t>
      </w:r>
    </w:p>
    <w:p w14:paraId="03FD04F4" w14:textId="77777777" w:rsidR="00714841" w:rsidRDefault="00000000" w:rsidP="00714841">
      <w:pPr>
        <w:widowControl/>
        <w:jc w:val="left"/>
        <w:rPr>
          <w:rFonts w:ascii="Times New Roman" w:hAnsi="Times New Roman"/>
        </w:rPr>
      </w:pPr>
      <w:r>
        <w:rPr>
          <w:rFonts w:ascii="Times New Roman" w:hAnsi="Times New Roman"/>
        </w:rPr>
        <w:br w:type="page"/>
      </w:r>
    </w:p>
    <w:p w14:paraId="346EF6CC" w14:textId="41562845" w:rsidR="00714841" w:rsidRPr="007B20AD" w:rsidRDefault="00000000" w:rsidP="00714841">
      <w:pPr>
        <w:spacing w:beforeLines="50" w:before="156" w:afterLines="50" w:after="156"/>
        <w:rPr>
          <w:rFonts w:ascii="Times New Roman" w:hAnsi="Times New Roman" w:cs="Times New Roman"/>
          <w:b/>
          <w:bCs/>
          <w:sz w:val="24"/>
          <w:szCs w:val="24"/>
        </w:rPr>
      </w:pPr>
      <w:r w:rsidRPr="007B20AD">
        <w:rPr>
          <w:rFonts w:ascii="Times New Roman" w:hAnsi="Times New Roman" w:cs="Times New Roman" w:hint="eastAsia"/>
          <w:b/>
          <w:bCs/>
          <w:sz w:val="24"/>
          <w:szCs w:val="24"/>
        </w:rPr>
        <w:lastRenderedPageBreak/>
        <w:t>S</w:t>
      </w:r>
      <w:r w:rsidRPr="007B20AD">
        <w:rPr>
          <w:rFonts w:ascii="Times New Roman" w:hAnsi="Times New Roman" w:cs="Times New Roman"/>
          <w:b/>
          <w:bCs/>
          <w:sz w:val="24"/>
          <w:szCs w:val="24"/>
        </w:rPr>
        <w:t xml:space="preserve">upplemental </w:t>
      </w:r>
      <w:r>
        <w:rPr>
          <w:rFonts w:ascii="Times New Roman" w:hAnsi="Times New Roman" w:cs="Times New Roman"/>
          <w:b/>
          <w:bCs/>
          <w:sz w:val="24"/>
          <w:szCs w:val="24"/>
        </w:rPr>
        <w:t>t</w:t>
      </w:r>
      <w:r w:rsidRPr="007B20AD">
        <w:rPr>
          <w:rFonts w:ascii="Times New Roman" w:hAnsi="Times New Roman" w:cs="Times New Roman"/>
          <w:b/>
          <w:bCs/>
          <w:sz w:val="24"/>
          <w:szCs w:val="24"/>
        </w:rPr>
        <w:t>able</w:t>
      </w:r>
      <w:r>
        <w:rPr>
          <w:rFonts w:ascii="Times New Roman" w:hAnsi="Times New Roman" w:cs="Times New Roman"/>
          <w:b/>
          <w:bCs/>
          <w:sz w:val="24"/>
          <w:szCs w:val="24"/>
        </w:rPr>
        <w:t xml:space="preserve"> </w:t>
      </w:r>
      <w:r w:rsidRPr="007B20AD">
        <w:rPr>
          <w:rFonts w:ascii="Times New Roman" w:hAnsi="Times New Roman" w:cs="Times New Roman"/>
          <w:b/>
          <w:bCs/>
          <w:sz w:val="24"/>
          <w:szCs w:val="24"/>
        </w:rPr>
        <w:t>caption</w:t>
      </w:r>
      <w:r>
        <w:rPr>
          <w:rFonts w:ascii="Times New Roman" w:hAnsi="Times New Roman" w:cs="Times New Roman"/>
          <w:b/>
          <w:bCs/>
          <w:sz w:val="24"/>
          <w:szCs w:val="24"/>
        </w:rPr>
        <w:t>s</w:t>
      </w:r>
    </w:p>
    <w:p w14:paraId="1FFEC275" w14:textId="1B436F38" w:rsidR="00714841" w:rsidRPr="007D114F" w:rsidRDefault="00000000" w:rsidP="00714841">
      <w:pPr>
        <w:rPr>
          <w:rFonts w:ascii="Times New Roman" w:hAnsi="Times New Roman" w:cs="Times New Roman"/>
          <w:b/>
          <w:bCs/>
          <w:sz w:val="24"/>
          <w:szCs w:val="24"/>
        </w:rPr>
      </w:pPr>
      <w:r w:rsidRPr="007D114F">
        <w:rPr>
          <w:rFonts w:ascii="Times New Roman" w:hAnsi="Times New Roman" w:cs="Times New Roman" w:hint="eastAsia"/>
          <w:b/>
          <w:bCs/>
          <w:sz w:val="24"/>
          <w:szCs w:val="24"/>
        </w:rPr>
        <w:t>T</w:t>
      </w:r>
      <w:r w:rsidRPr="007D114F">
        <w:rPr>
          <w:rFonts w:ascii="Times New Roman" w:hAnsi="Times New Roman" w:cs="Times New Roman"/>
          <w:b/>
          <w:bCs/>
          <w:sz w:val="24"/>
          <w:szCs w:val="24"/>
        </w:rPr>
        <w:t>able S1. DEGs of each sub</w:t>
      </w:r>
      <w:r>
        <w:rPr>
          <w:rFonts w:ascii="Times New Roman" w:hAnsi="Times New Roman" w:cs="Times New Roman"/>
          <w:b/>
          <w:bCs/>
          <w:sz w:val="24"/>
          <w:szCs w:val="24"/>
        </w:rPr>
        <w:t>set of</w:t>
      </w:r>
      <w:r w:rsidRPr="007D114F">
        <w:rPr>
          <w:rFonts w:ascii="Times New Roman" w:hAnsi="Times New Roman" w:cs="Times New Roman"/>
          <w:b/>
          <w:bCs/>
          <w:sz w:val="24"/>
          <w:szCs w:val="24"/>
        </w:rPr>
        <w:t xml:space="preserve"> </w:t>
      </w:r>
      <w:r>
        <w:rPr>
          <w:rFonts w:ascii="Times New Roman" w:hAnsi="Times New Roman" w:cs="Times New Roman"/>
          <w:b/>
          <w:bCs/>
          <w:sz w:val="24"/>
          <w:szCs w:val="24"/>
        </w:rPr>
        <w:t>cells in</w:t>
      </w:r>
      <w:r w:rsidRPr="007D114F">
        <w:rPr>
          <w:rFonts w:ascii="Times New Roman" w:hAnsi="Times New Roman" w:cs="Times New Roman"/>
          <w:b/>
          <w:bCs/>
          <w:sz w:val="24"/>
          <w:szCs w:val="24"/>
        </w:rPr>
        <w:t xml:space="preserve"> </w:t>
      </w:r>
      <w:r w:rsidRPr="007F33A8">
        <w:rPr>
          <w:rFonts w:ascii="Times New Roman" w:hAnsi="Times New Roman" w:cs="Times New Roman"/>
          <w:b/>
          <w:bCs/>
          <w:sz w:val="24"/>
          <w:szCs w:val="24"/>
        </w:rPr>
        <w:t>scRNA-seq data</w:t>
      </w:r>
    </w:p>
    <w:p w14:paraId="6E42978A" w14:textId="355A4F6F" w:rsidR="00DC1107" w:rsidRDefault="00000000">
      <w:pPr>
        <w:rPr>
          <w:rFonts w:hint="eastAsia"/>
        </w:rPr>
      </w:pPr>
      <w:r w:rsidRPr="007D114F">
        <w:rPr>
          <w:rFonts w:ascii="Times New Roman" w:hAnsi="Times New Roman" w:cs="Times New Roman" w:hint="eastAsia"/>
          <w:b/>
          <w:bCs/>
          <w:sz w:val="24"/>
          <w:szCs w:val="24"/>
        </w:rPr>
        <w:t>T</w:t>
      </w:r>
      <w:r w:rsidRPr="007D114F">
        <w:rPr>
          <w:rFonts w:ascii="Times New Roman" w:hAnsi="Times New Roman" w:cs="Times New Roman"/>
          <w:b/>
          <w:bCs/>
          <w:sz w:val="24"/>
          <w:szCs w:val="24"/>
        </w:rPr>
        <w:t xml:space="preserve">able S2. </w:t>
      </w:r>
      <w:proofErr w:type="spellStart"/>
      <w:r w:rsidRPr="007D114F">
        <w:rPr>
          <w:rFonts w:ascii="Times New Roman" w:hAnsi="Times New Roman" w:cs="Times New Roman"/>
          <w:b/>
          <w:bCs/>
          <w:sz w:val="24"/>
          <w:szCs w:val="24"/>
        </w:rPr>
        <w:t>qRT</w:t>
      </w:r>
      <w:proofErr w:type="spellEnd"/>
      <w:r>
        <w:rPr>
          <w:rFonts w:ascii="Times New Roman" w:hAnsi="Times New Roman" w:cs="Times New Roman"/>
          <w:b/>
          <w:bCs/>
          <w:sz w:val="24"/>
          <w:szCs w:val="24"/>
        </w:rPr>
        <w:t>–</w:t>
      </w:r>
      <w:r w:rsidRPr="007D114F">
        <w:rPr>
          <w:rFonts w:ascii="Times New Roman" w:hAnsi="Times New Roman" w:cs="Times New Roman"/>
          <w:b/>
          <w:bCs/>
          <w:sz w:val="24"/>
          <w:szCs w:val="24"/>
        </w:rPr>
        <w:t xml:space="preserve">PCR </w:t>
      </w:r>
      <w:r>
        <w:rPr>
          <w:rFonts w:ascii="Times New Roman" w:hAnsi="Times New Roman" w:cs="Times New Roman"/>
          <w:b/>
          <w:bCs/>
          <w:sz w:val="24"/>
          <w:szCs w:val="24"/>
        </w:rPr>
        <w:t xml:space="preserve">primer </w:t>
      </w:r>
      <w:r w:rsidRPr="007D114F">
        <w:rPr>
          <w:rFonts w:ascii="Times New Roman" w:hAnsi="Times New Roman" w:cs="Times New Roman"/>
          <w:b/>
          <w:bCs/>
          <w:sz w:val="24"/>
          <w:szCs w:val="24"/>
        </w:rPr>
        <w:t>and CA1-shRNA sequences</w:t>
      </w:r>
    </w:p>
    <w:sectPr w:rsidR="00DC1107" w:rsidSect="008B485B">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D0DE3" w14:textId="77777777" w:rsidR="006F1E56" w:rsidRDefault="006F1E56">
      <w:r>
        <w:separator/>
      </w:r>
    </w:p>
  </w:endnote>
  <w:endnote w:type="continuationSeparator" w:id="0">
    <w:p w14:paraId="1F29FCAE" w14:textId="77777777" w:rsidR="006F1E56" w:rsidRDefault="006F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719AC" w14:textId="77777777" w:rsidR="006F1E56" w:rsidRDefault="006F1E56">
      <w:r>
        <w:separator/>
      </w:r>
    </w:p>
  </w:footnote>
  <w:footnote w:type="continuationSeparator" w:id="0">
    <w:p w14:paraId="21E08A79" w14:textId="77777777" w:rsidR="006F1E56" w:rsidRDefault="006F1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4AB3"/>
    <w:multiLevelType w:val="hybridMultilevel"/>
    <w:tmpl w:val="52423964"/>
    <w:lvl w:ilvl="0" w:tplc="A77E1B2A">
      <w:start w:val="1"/>
      <w:numFmt w:val="upperLetter"/>
      <w:lvlText w:val="(%1)"/>
      <w:lvlJc w:val="left"/>
      <w:pPr>
        <w:ind w:left="375" w:hanging="375"/>
      </w:pPr>
      <w:rPr>
        <w:rFonts w:hint="default"/>
      </w:rPr>
    </w:lvl>
    <w:lvl w:ilvl="1" w:tplc="8862ADF0" w:tentative="1">
      <w:start w:val="1"/>
      <w:numFmt w:val="lowerLetter"/>
      <w:lvlText w:val="%2)"/>
      <w:lvlJc w:val="left"/>
      <w:pPr>
        <w:ind w:left="880" w:hanging="440"/>
      </w:pPr>
    </w:lvl>
    <w:lvl w:ilvl="2" w:tplc="4664C5AC" w:tentative="1">
      <w:start w:val="1"/>
      <w:numFmt w:val="lowerRoman"/>
      <w:lvlText w:val="%3."/>
      <w:lvlJc w:val="right"/>
      <w:pPr>
        <w:ind w:left="1320" w:hanging="440"/>
      </w:pPr>
    </w:lvl>
    <w:lvl w:ilvl="3" w:tplc="EC34331C" w:tentative="1">
      <w:start w:val="1"/>
      <w:numFmt w:val="decimal"/>
      <w:lvlText w:val="%4."/>
      <w:lvlJc w:val="left"/>
      <w:pPr>
        <w:ind w:left="1760" w:hanging="440"/>
      </w:pPr>
    </w:lvl>
    <w:lvl w:ilvl="4" w:tplc="0FFEC71E" w:tentative="1">
      <w:start w:val="1"/>
      <w:numFmt w:val="lowerLetter"/>
      <w:lvlText w:val="%5)"/>
      <w:lvlJc w:val="left"/>
      <w:pPr>
        <w:ind w:left="2200" w:hanging="440"/>
      </w:pPr>
    </w:lvl>
    <w:lvl w:ilvl="5" w:tplc="66702C10" w:tentative="1">
      <w:start w:val="1"/>
      <w:numFmt w:val="lowerRoman"/>
      <w:lvlText w:val="%6."/>
      <w:lvlJc w:val="right"/>
      <w:pPr>
        <w:ind w:left="2640" w:hanging="440"/>
      </w:pPr>
    </w:lvl>
    <w:lvl w:ilvl="6" w:tplc="DD9EB38E" w:tentative="1">
      <w:start w:val="1"/>
      <w:numFmt w:val="decimal"/>
      <w:lvlText w:val="%7."/>
      <w:lvlJc w:val="left"/>
      <w:pPr>
        <w:ind w:left="3080" w:hanging="440"/>
      </w:pPr>
    </w:lvl>
    <w:lvl w:ilvl="7" w:tplc="E42646C0" w:tentative="1">
      <w:start w:val="1"/>
      <w:numFmt w:val="lowerLetter"/>
      <w:lvlText w:val="%8)"/>
      <w:lvlJc w:val="left"/>
      <w:pPr>
        <w:ind w:left="3520" w:hanging="440"/>
      </w:pPr>
    </w:lvl>
    <w:lvl w:ilvl="8" w:tplc="BA9A51A8" w:tentative="1">
      <w:start w:val="1"/>
      <w:numFmt w:val="lowerRoman"/>
      <w:lvlText w:val="%9."/>
      <w:lvlJc w:val="right"/>
      <w:pPr>
        <w:ind w:left="3960" w:hanging="440"/>
      </w:pPr>
    </w:lvl>
  </w:abstractNum>
  <w:abstractNum w:abstractNumId="1" w15:restartNumberingAfterBreak="0">
    <w:nsid w:val="110822A6"/>
    <w:multiLevelType w:val="hybridMultilevel"/>
    <w:tmpl w:val="0A5CC3DA"/>
    <w:lvl w:ilvl="0" w:tplc="32CE91DE">
      <w:start w:val="1"/>
      <w:numFmt w:val="decimal"/>
      <w:lvlText w:val="%1."/>
      <w:lvlJc w:val="left"/>
      <w:pPr>
        <w:ind w:left="360" w:hanging="360"/>
      </w:pPr>
      <w:rPr>
        <w:rFonts w:hint="default"/>
      </w:rPr>
    </w:lvl>
    <w:lvl w:ilvl="1" w:tplc="7A5CACC0" w:tentative="1">
      <w:start w:val="1"/>
      <w:numFmt w:val="lowerLetter"/>
      <w:lvlText w:val="%2)"/>
      <w:lvlJc w:val="left"/>
      <w:pPr>
        <w:ind w:left="880" w:hanging="440"/>
      </w:pPr>
    </w:lvl>
    <w:lvl w:ilvl="2" w:tplc="BBD44AE2" w:tentative="1">
      <w:start w:val="1"/>
      <w:numFmt w:val="lowerRoman"/>
      <w:lvlText w:val="%3."/>
      <w:lvlJc w:val="right"/>
      <w:pPr>
        <w:ind w:left="1320" w:hanging="440"/>
      </w:pPr>
    </w:lvl>
    <w:lvl w:ilvl="3" w:tplc="0D48CF8E" w:tentative="1">
      <w:start w:val="1"/>
      <w:numFmt w:val="decimal"/>
      <w:lvlText w:val="%4."/>
      <w:lvlJc w:val="left"/>
      <w:pPr>
        <w:ind w:left="1760" w:hanging="440"/>
      </w:pPr>
    </w:lvl>
    <w:lvl w:ilvl="4" w:tplc="FF02BE20" w:tentative="1">
      <w:start w:val="1"/>
      <w:numFmt w:val="lowerLetter"/>
      <w:lvlText w:val="%5)"/>
      <w:lvlJc w:val="left"/>
      <w:pPr>
        <w:ind w:left="2200" w:hanging="440"/>
      </w:pPr>
    </w:lvl>
    <w:lvl w:ilvl="5" w:tplc="6E0C290C" w:tentative="1">
      <w:start w:val="1"/>
      <w:numFmt w:val="lowerRoman"/>
      <w:lvlText w:val="%6."/>
      <w:lvlJc w:val="right"/>
      <w:pPr>
        <w:ind w:left="2640" w:hanging="440"/>
      </w:pPr>
    </w:lvl>
    <w:lvl w:ilvl="6" w:tplc="40648754" w:tentative="1">
      <w:start w:val="1"/>
      <w:numFmt w:val="decimal"/>
      <w:lvlText w:val="%7."/>
      <w:lvlJc w:val="left"/>
      <w:pPr>
        <w:ind w:left="3080" w:hanging="440"/>
      </w:pPr>
    </w:lvl>
    <w:lvl w:ilvl="7" w:tplc="1BBE9E2E" w:tentative="1">
      <w:start w:val="1"/>
      <w:numFmt w:val="lowerLetter"/>
      <w:lvlText w:val="%8)"/>
      <w:lvlJc w:val="left"/>
      <w:pPr>
        <w:ind w:left="3520" w:hanging="440"/>
      </w:pPr>
    </w:lvl>
    <w:lvl w:ilvl="8" w:tplc="B77A32E8" w:tentative="1">
      <w:start w:val="1"/>
      <w:numFmt w:val="lowerRoman"/>
      <w:lvlText w:val="%9."/>
      <w:lvlJc w:val="right"/>
      <w:pPr>
        <w:ind w:left="3960" w:hanging="440"/>
      </w:pPr>
    </w:lvl>
  </w:abstractNum>
  <w:abstractNum w:abstractNumId="2" w15:restartNumberingAfterBreak="0">
    <w:nsid w:val="1A107F82"/>
    <w:multiLevelType w:val="hybridMultilevel"/>
    <w:tmpl w:val="1BA28D74"/>
    <w:lvl w:ilvl="0" w:tplc="18A0316E">
      <w:start w:val="1"/>
      <w:numFmt w:val="upperLetter"/>
      <w:lvlText w:val="(%1)"/>
      <w:lvlJc w:val="left"/>
      <w:pPr>
        <w:ind w:left="405" w:hanging="405"/>
      </w:pPr>
      <w:rPr>
        <w:rFonts w:hint="default"/>
      </w:rPr>
    </w:lvl>
    <w:lvl w:ilvl="1" w:tplc="A04C2630" w:tentative="1">
      <w:start w:val="1"/>
      <w:numFmt w:val="lowerLetter"/>
      <w:lvlText w:val="%2)"/>
      <w:lvlJc w:val="left"/>
      <w:pPr>
        <w:ind w:left="880" w:hanging="440"/>
      </w:pPr>
    </w:lvl>
    <w:lvl w:ilvl="2" w:tplc="8534B1F0" w:tentative="1">
      <w:start w:val="1"/>
      <w:numFmt w:val="lowerRoman"/>
      <w:lvlText w:val="%3."/>
      <w:lvlJc w:val="right"/>
      <w:pPr>
        <w:ind w:left="1320" w:hanging="440"/>
      </w:pPr>
    </w:lvl>
    <w:lvl w:ilvl="3" w:tplc="EBD62BF2" w:tentative="1">
      <w:start w:val="1"/>
      <w:numFmt w:val="decimal"/>
      <w:lvlText w:val="%4."/>
      <w:lvlJc w:val="left"/>
      <w:pPr>
        <w:ind w:left="1760" w:hanging="440"/>
      </w:pPr>
    </w:lvl>
    <w:lvl w:ilvl="4" w:tplc="52C25822" w:tentative="1">
      <w:start w:val="1"/>
      <w:numFmt w:val="lowerLetter"/>
      <w:lvlText w:val="%5)"/>
      <w:lvlJc w:val="left"/>
      <w:pPr>
        <w:ind w:left="2200" w:hanging="440"/>
      </w:pPr>
    </w:lvl>
    <w:lvl w:ilvl="5" w:tplc="7D70B1C8" w:tentative="1">
      <w:start w:val="1"/>
      <w:numFmt w:val="lowerRoman"/>
      <w:lvlText w:val="%6."/>
      <w:lvlJc w:val="right"/>
      <w:pPr>
        <w:ind w:left="2640" w:hanging="440"/>
      </w:pPr>
    </w:lvl>
    <w:lvl w:ilvl="6" w:tplc="F9D05CF4" w:tentative="1">
      <w:start w:val="1"/>
      <w:numFmt w:val="decimal"/>
      <w:lvlText w:val="%7."/>
      <w:lvlJc w:val="left"/>
      <w:pPr>
        <w:ind w:left="3080" w:hanging="440"/>
      </w:pPr>
    </w:lvl>
    <w:lvl w:ilvl="7" w:tplc="652E1640" w:tentative="1">
      <w:start w:val="1"/>
      <w:numFmt w:val="lowerLetter"/>
      <w:lvlText w:val="%8)"/>
      <w:lvlJc w:val="left"/>
      <w:pPr>
        <w:ind w:left="3520" w:hanging="440"/>
      </w:pPr>
    </w:lvl>
    <w:lvl w:ilvl="8" w:tplc="EAFECE0E" w:tentative="1">
      <w:start w:val="1"/>
      <w:numFmt w:val="lowerRoman"/>
      <w:lvlText w:val="%9."/>
      <w:lvlJc w:val="right"/>
      <w:pPr>
        <w:ind w:left="3960" w:hanging="440"/>
      </w:pPr>
    </w:lvl>
  </w:abstractNum>
  <w:abstractNum w:abstractNumId="3" w15:restartNumberingAfterBreak="0">
    <w:nsid w:val="34CB0876"/>
    <w:multiLevelType w:val="hybridMultilevel"/>
    <w:tmpl w:val="F9F4B6E4"/>
    <w:lvl w:ilvl="0" w:tplc="4F18CF6C">
      <w:start w:val="1"/>
      <w:numFmt w:val="upperLetter"/>
      <w:lvlText w:val="(%1)"/>
      <w:lvlJc w:val="left"/>
      <w:pPr>
        <w:ind w:left="360" w:hanging="360"/>
      </w:pPr>
      <w:rPr>
        <w:rFonts w:eastAsia="宋体" w:cs="Times New Roman"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62B4AC8"/>
    <w:multiLevelType w:val="hybridMultilevel"/>
    <w:tmpl w:val="90D023F4"/>
    <w:lvl w:ilvl="0" w:tplc="6CA0BD6E">
      <w:start w:val="1"/>
      <w:numFmt w:val="upperLetter"/>
      <w:lvlText w:val="(%1)"/>
      <w:lvlJc w:val="left"/>
      <w:pPr>
        <w:ind w:left="360" w:hanging="360"/>
      </w:pPr>
      <w:rPr>
        <w:rFonts w:hint="default"/>
      </w:rPr>
    </w:lvl>
    <w:lvl w:ilvl="1" w:tplc="9FB8EB48" w:tentative="1">
      <w:start w:val="1"/>
      <w:numFmt w:val="lowerLetter"/>
      <w:lvlText w:val="%2)"/>
      <w:lvlJc w:val="left"/>
      <w:pPr>
        <w:ind w:left="880" w:hanging="440"/>
      </w:pPr>
    </w:lvl>
    <w:lvl w:ilvl="2" w:tplc="D5E2B834" w:tentative="1">
      <w:start w:val="1"/>
      <w:numFmt w:val="lowerRoman"/>
      <w:lvlText w:val="%3."/>
      <w:lvlJc w:val="right"/>
      <w:pPr>
        <w:ind w:left="1320" w:hanging="440"/>
      </w:pPr>
    </w:lvl>
    <w:lvl w:ilvl="3" w:tplc="49967E0A" w:tentative="1">
      <w:start w:val="1"/>
      <w:numFmt w:val="decimal"/>
      <w:lvlText w:val="%4."/>
      <w:lvlJc w:val="left"/>
      <w:pPr>
        <w:ind w:left="1760" w:hanging="440"/>
      </w:pPr>
    </w:lvl>
    <w:lvl w:ilvl="4" w:tplc="EA182542" w:tentative="1">
      <w:start w:val="1"/>
      <w:numFmt w:val="lowerLetter"/>
      <w:lvlText w:val="%5)"/>
      <w:lvlJc w:val="left"/>
      <w:pPr>
        <w:ind w:left="2200" w:hanging="440"/>
      </w:pPr>
    </w:lvl>
    <w:lvl w:ilvl="5" w:tplc="B58AF00C" w:tentative="1">
      <w:start w:val="1"/>
      <w:numFmt w:val="lowerRoman"/>
      <w:lvlText w:val="%6."/>
      <w:lvlJc w:val="right"/>
      <w:pPr>
        <w:ind w:left="2640" w:hanging="440"/>
      </w:pPr>
    </w:lvl>
    <w:lvl w:ilvl="6" w:tplc="8A52F896" w:tentative="1">
      <w:start w:val="1"/>
      <w:numFmt w:val="decimal"/>
      <w:lvlText w:val="%7."/>
      <w:lvlJc w:val="left"/>
      <w:pPr>
        <w:ind w:left="3080" w:hanging="440"/>
      </w:pPr>
    </w:lvl>
    <w:lvl w:ilvl="7" w:tplc="5802DBFE" w:tentative="1">
      <w:start w:val="1"/>
      <w:numFmt w:val="lowerLetter"/>
      <w:lvlText w:val="%8)"/>
      <w:lvlJc w:val="left"/>
      <w:pPr>
        <w:ind w:left="3520" w:hanging="440"/>
      </w:pPr>
    </w:lvl>
    <w:lvl w:ilvl="8" w:tplc="31E693CC" w:tentative="1">
      <w:start w:val="1"/>
      <w:numFmt w:val="lowerRoman"/>
      <w:lvlText w:val="%9."/>
      <w:lvlJc w:val="right"/>
      <w:pPr>
        <w:ind w:left="3960" w:hanging="440"/>
      </w:pPr>
    </w:lvl>
  </w:abstractNum>
  <w:abstractNum w:abstractNumId="5" w15:restartNumberingAfterBreak="0">
    <w:nsid w:val="362B4AC9"/>
    <w:multiLevelType w:val="hybridMultilevel"/>
    <w:tmpl w:val="362B4AC9"/>
    <w:lvl w:ilvl="0" w:tplc="D2AED82C">
      <w:start w:val="1"/>
      <w:numFmt w:val="decimal"/>
      <w:lvlText w:val="%1."/>
      <w:lvlJc w:val="left"/>
      <w:pPr>
        <w:tabs>
          <w:tab w:val="num" w:pos="720"/>
        </w:tabs>
        <w:ind w:left="720" w:hanging="720"/>
      </w:pPr>
    </w:lvl>
    <w:lvl w:ilvl="1" w:tplc="AD68FA7A">
      <w:start w:val="1"/>
      <w:numFmt w:val="decimal"/>
      <w:lvlText w:val="%2."/>
      <w:lvlJc w:val="left"/>
      <w:pPr>
        <w:tabs>
          <w:tab w:val="num" w:pos="1440"/>
        </w:tabs>
        <w:ind w:left="1440" w:hanging="720"/>
      </w:pPr>
    </w:lvl>
    <w:lvl w:ilvl="2" w:tplc="D8885FC6">
      <w:start w:val="1"/>
      <w:numFmt w:val="decimal"/>
      <w:lvlText w:val="%3."/>
      <w:lvlJc w:val="left"/>
      <w:pPr>
        <w:tabs>
          <w:tab w:val="num" w:pos="2160"/>
        </w:tabs>
        <w:ind w:left="2160" w:hanging="720"/>
      </w:pPr>
    </w:lvl>
    <w:lvl w:ilvl="3" w:tplc="9650E162">
      <w:start w:val="1"/>
      <w:numFmt w:val="decimal"/>
      <w:lvlText w:val="%4."/>
      <w:lvlJc w:val="left"/>
      <w:pPr>
        <w:tabs>
          <w:tab w:val="num" w:pos="2880"/>
        </w:tabs>
        <w:ind w:left="2880" w:hanging="720"/>
      </w:pPr>
    </w:lvl>
    <w:lvl w:ilvl="4" w:tplc="11EA9242">
      <w:start w:val="1"/>
      <w:numFmt w:val="decimal"/>
      <w:lvlText w:val="%5."/>
      <w:lvlJc w:val="left"/>
      <w:pPr>
        <w:tabs>
          <w:tab w:val="num" w:pos="3600"/>
        </w:tabs>
        <w:ind w:left="3600" w:hanging="720"/>
      </w:pPr>
    </w:lvl>
    <w:lvl w:ilvl="5" w:tplc="554CABC8">
      <w:start w:val="1"/>
      <w:numFmt w:val="decimal"/>
      <w:lvlText w:val="%6."/>
      <w:lvlJc w:val="left"/>
      <w:pPr>
        <w:tabs>
          <w:tab w:val="num" w:pos="4320"/>
        </w:tabs>
        <w:ind w:left="4320" w:hanging="720"/>
      </w:pPr>
    </w:lvl>
    <w:lvl w:ilvl="6" w:tplc="A32C6246">
      <w:start w:val="1"/>
      <w:numFmt w:val="decimal"/>
      <w:lvlText w:val="%7."/>
      <w:lvlJc w:val="left"/>
      <w:pPr>
        <w:tabs>
          <w:tab w:val="num" w:pos="5040"/>
        </w:tabs>
        <w:ind w:left="5040" w:hanging="720"/>
      </w:pPr>
    </w:lvl>
    <w:lvl w:ilvl="7" w:tplc="B3ECDEE8">
      <w:start w:val="1"/>
      <w:numFmt w:val="decimal"/>
      <w:lvlText w:val="%8."/>
      <w:lvlJc w:val="left"/>
      <w:pPr>
        <w:tabs>
          <w:tab w:val="num" w:pos="5760"/>
        </w:tabs>
        <w:ind w:left="5760" w:hanging="720"/>
      </w:pPr>
    </w:lvl>
    <w:lvl w:ilvl="8" w:tplc="F1D87C54">
      <w:start w:val="1"/>
      <w:numFmt w:val="decimal"/>
      <w:lvlText w:val="%9."/>
      <w:lvlJc w:val="left"/>
      <w:pPr>
        <w:tabs>
          <w:tab w:val="num" w:pos="6480"/>
        </w:tabs>
        <w:ind w:left="6480" w:hanging="720"/>
      </w:pPr>
    </w:lvl>
  </w:abstractNum>
  <w:num w:numId="1" w16cid:durableId="1315065006">
    <w:abstractNumId w:val="4"/>
  </w:num>
  <w:num w:numId="2" w16cid:durableId="2139370000">
    <w:abstractNumId w:val="0"/>
  </w:num>
  <w:num w:numId="3" w16cid:durableId="1289583114">
    <w:abstractNumId w:val="2"/>
  </w:num>
  <w:num w:numId="4" w16cid:durableId="575748596">
    <w:abstractNumId w:val="1"/>
  </w:num>
  <w:num w:numId="5" w16cid:durableId="1022704708">
    <w:abstractNumId w:val="5"/>
  </w:num>
  <w:num w:numId="6" w16cid:durableId="1660815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8031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841"/>
    <w:rsid w:val="0003118C"/>
    <w:rsid w:val="000461F4"/>
    <w:rsid w:val="000A3CB4"/>
    <w:rsid w:val="000E668B"/>
    <w:rsid w:val="000F2175"/>
    <w:rsid w:val="001A1E67"/>
    <w:rsid w:val="00255D35"/>
    <w:rsid w:val="003352B8"/>
    <w:rsid w:val="004F0114"/>
    <w:rsid w:val="00560072"/>
    <w:rsid w:val="00584D1A"/>
    <w:rsid w:val="0059223A"/>
    <w:rsid w:val="00601D33"/>
    <w:rsid w:val="006E15C3"/>
    <w:rsid w:val="006F07A2"/>
    <w:rsid w:val="006F1E56"/>
    <w:rsid w:val="00714841"/>
    <w:rsid w:val="007B20AD"/>
    <w:rsid w:val="007D114F"/>
    <w:rsid w:val="007F33A8"/>
    <w:rsid w:val="008459EB"/>
    <w:rsid w:val="008D67FD"/>
    <w:rsid w:val="00AA4C67"/>
    <w:rsid w:val="00C3651B"/>
    <w:rsid w:val="00C4647E"/>
    <w:rsid w:val="00CA1B25"/>
    <w:rsid w:val="00CD08E5"/>
    <w:rsid w:val="00D91C04"/>
    <w:rsid w:val="00DC1107"/>
    <w:rsid w:val="00DC3DA8"/>
    <w:rsid w:val="00EB1830"/>
    <w:rsid w:val="00EE296F"/>
    <w:rsid w:val="00FB2FF1"/>
    <w:rsid w:val="00FE7B4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63AC8"/>
  <w15:chartTrackingRefBased/>
  <w15:docId w15:val="{27AA67FA-CA37-4B6E-BD02-A831A75E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4841"/>
    <w:pPr>
      <w:widowControl w:val="0"/>
      <w:spacing w:after="0" w:line="240" w:lineRule="auto"/>
      <w:jc w:val="both"/>
    </w:pPr>
    <w:rPr>
      <w:sz w:val="21"/>
      <w:lang w:val="en-GB"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841"/>
    <w:pPr>
      <w:ind w:firstLineChars="200" w:firstLine="420"/>
    </w:pPr>
  </w:style>
  <w:style w:type="paragraph" w:styleId="a4">
    <w:name w:val="header"/>
    <w:basedOn w:val="a"/>
    <w:link w:val="a5"/>
    <w:uiPriority w:val="99"/>
    <w:unhideWhenUsed/>
    <w:rsid w:val="0071484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14841"/>
    <w:rPr>
      <w:rFonts w:eastAsiaTheme="minorEastAsia"/>
      <w:sz w:val="18"/>
      <w:szCs w:val="18"/>
      <w:lang w:val="en-GB" w:eastAsia="zh-CN"/>
      <w14:ligatures w14:val="none"/>
    </w:rPr>
  </w:style>
  <w:style w:type="paragraph" w:styleId="a6">
    <w:name w:val="footer"/>
    <w:basedOn w:val="a"/>
    <w:link w:val="a7"/>
    <w:uiPriority w:val="99"/>
    <w:unhideWhenUsed/>
    <w:rsid w:val="00714841"/>
    <w:pPr>
      <w:tabs>
        <w:tab w:val="center" w:pos="4153"/>
        <w:tab w:val="right" w:pos="8306"/>
      </w:tabs>
      <w:snapToGrid w:val="0"/>
      <w:jc w:val="left"/>
    </w:pPr>
    <w:rPr>
      <w:sz w:val="18"/>
      <w:szCs w:val="18"/>
    </w:rPr>
  </w:style>
  <w:style w:type="character" w:customStyle="1" w:styleId="a7">
    <w:name w:val="页脚 字符"/>
    <w:basedOn w:val="a0"/>
    <w:link w:val="a6"/>
    <w:uiPriority w:val="99"/>
    <w:rsid w:val="00714841"/>
    <w:rPr>
      <w:rFonts w:eastAsiaTheme="minorEastAsia"/>
      <w:sz w:val="18"/>
      <w:szCs w:val="18"/>
      <w:lang w:val="en-GB" w:eastAsia="zh-CN"/>
      <w14:ligatures w14:val="none"/>
    </w:rPr>
  </w:style>
  <w:style w:type="character" w:styleId="a8">
    <w:name w:val="annotation reference"/>
    <w:basedOn w:val="a0"/>
    <w:uiPriority w:val="99"/>
    <w:semiHidden/>
    <w:unhideWhenUsed/>
    <w:rsid w:val="00714841"/>
    <w:rPr>
      <w:sz w:val="21"/>
      <w:szCs w:val="21"/>
    </w:rPr>
  </w:style>
  <w:style w:type="paragraph" w:styleId="a9">
    <w:name w:val="annotation text"/>
    <w:aliases w:val="Char11"/>
    <w:basedOn w:val="a"/>
    <w:link w:val="aa"/>
    <w:unhideWhenUsed/>
    <w:qFormat/>
    <w:rsid w:val="00714841"/>
    <w:pPr>
      <w:jc w:val="left"/>
    </w:pPr>
  </w:style>
  <w:style w:type="character" w:customStyle="1" w:styleId="aa">
    <w:name w:val="批注文字 字符"/>
    <w:aliases w:val="Char11 字符"/>
    <w:basedOn w:val="a0"/>
    <w:link w:val="a9"/>
    <w:qFormat/>
    <w:rsid w:val="00714841"/>
    <w:rPr>
      <w:rFonts w:eastAsiaTheme="minorEastAsia"/>
      <w:sz w:val="21"/>
      <w:lang w:val="en-GB" w:eastAsia="zh-CN"/>
      <w14:ligatures w14:val="none"/>
    </w:rPr>
  </w:style>
  <w:style w:type="character" w:styleId="ab">
    <w:name w:val="line number"/>
    <w:basedOn w:val="a0"/>
    <w:uiPriority w:val="99"/>
    <w:semiHidden/>
    <w:unhideWhenUsed/>
    <w:rsid w:val="00714841"/>
  </w:style>
  <w:style w:type="paragraph" w:styleId="ac">
    <w:name w:val="annotation subject"/>
    <w:basedOn w:val="a9"/>
    <w:next w:val="a9"/>
    <w:link w:val="ad"/>
    <w:uiPriority w:val="99"/>
    <w:semiHidden/>
    <w:unhideWhenUsed/>
    <w:rsid w:val="008459EB"/>
    <w:pPr>
      <w:jc w:val="both"/>
    </w:pPr>
    <w:rPr>
      <w:b/>
      <w:bCs/>
      <w:sz w:val="20"/>
      <w:szCs w:val="20"/>
    </w:rPr>
  </w:style>
  <w:style w:type="character" w:customStyle="1" w:styleId="ad">
    <w:name w:val="批注主题 字符"/>
    <w:basedOn w:val="aa"/>
    <w:link w:val="ac"/>
    <w:uiPriority w:val="99"/>
    <w:semiHidden/>
    <w:rsid w:val="008459EB"/>
    <w:rPr>
      <w:rFonts w:eastAsiaTheme="minorEastAsia"/>
      <w:b/>
      <w:bCs/>
      <w:sz w:val="20"/>
      <w:szCs w:val="20"/>
      <w:lang w:val="en-GB" w:eastAsia="zh-CN"/>
      <w14:ligatures w14:val="none"/>
    </w:rPr>
  </w:style>
  <w:style w:type="paragraph" w:styleId="ae">
    <w:name w:val="Revision"/>
    <w:hidden/>
    <w:uiPriority w:val="99"/>
    <w:semiHidden/>
    <w:rsid w:val="00EB1830"/>
    <w:pPr>
      <w:spacing w:after="0" w:line="240" w:lineRule="auto"/>
    </w:pPr>
    <w:rPr>
      <w:sz w:val="21"/>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362</Words>
  <Characters>2066</Characters>
  <Application>Microsoft Office Word</Application>
  <DocSecurity>0</DocSecurity>
  <Lines>17</Lines>
  <Paragraphs>4</Paragraphs>
  <ScaleCrop>false</ScaleCrop>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蒙 李</cp:lastModifiedBy>
  <cp:revision>3</cp:revision>
  <cp:lastPrinted>2023-11-22T19:00:00Z</cp:lastPrinted>
  <dcterms:created xsi:type="dcterms:W3CDTF">2024-01-03T11:28:00Z</dcterms:created>
  <dcterms:modified xsi:type="dcterms:W3CDTF">2024-01-03T11:29:00Z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f8d76f70-41c4-40c2-85f7-ca8d201fe20b</vt:lpwstr>
  </property>
</Properties>
</file>