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984507" w14:textId="31A236A6" w:rsidR="005955AB" w:rsidRPr="00A663DD" w:rsidRDefault="005955AB" w:rsidP="005955AB">
      <w:pPr>
        <w:spacing w:line="480" w:lineRule="auto"/>
        <w:jc w:val="center"/>
        <w:rPr>
          <w:rFonts w:ascii="Arial" w:hAnsi="Arial" w:cs="Arial"/>
          <w:b/>
          <w:color w:val="000000"/>
        </w:rPr>
      </w:pPr>
      <w:r w:rsidRPr="00A663DD">
        <w:rPr>
          <w:rFonts w:ascii="Arial" w:hAnsi="Arial" w:cs="Arial"/>
          <w:b/>
          <w:color w:val="000000"/>
        </w:rPr>
        <w:t>Supplementary Information for “Mosaic somatic HRAS mutation causes unilateral psoriasis”</w:t>
      </w:r>
    </w:p>
    <w:p w14:paraId="37173BF9" w14:textId="77777777" w:rsidR="005E04A3" w:rsidRPr="00A663DD" w:rsidRDefault="005E04A3" w:rsidP="005955AB">
      <w:pPr>
        <w:spacing w:line="480" w:lineRule="auto"/>
        <w:jc w:val="center"/>
        <w:rPr>
          <w:rFonts w:ascii="Arial" w:hAnsi="Arial" w:cs="Arial"/>
          <w:b/>
          <w:color w:val="000000"/>
        </w:rPr>
      </w:pPr>
    </w:p>
    <w:p w14:paraId="72F99D93" w14:textId="48A315C0" w:rsidR="005955AB" w:rsidRPr="00A663DD" w:rsidRDefault="005955AB" w:rsidP="005E04A3">
      <w:pPr>
        <w:ind w:leftChars="-236" w:left="-565" w:hanging="1"/>
        <w:rPr>
          <w:rFonts w:ascii="Arial" w:hAnsi="Arial" w:cs="Arial"/>
          <w:szCs w:val="21"/>
        </w:rPr>
      </w:pPr>
      <w:r w:rsidRPr="00A663DD">
        <w:rPr>
          <w:rFonts w:ascii="Arial" w:hAnsi="Arial" w:cs="Arial"/>
        </w:rPr>
        <w:t xml:space="preserve">Table S1. </w:t>
      </w:r>
      <w:r w:rsidRPr="00A663DD">
        <w:rPr>
          <w:rFonts w:ascii="Arial" w:hAnsi="Arial" w:cs="Arial"/>
          <w:lang w:eastAsia="zh-CN"/>
        </w:rPr>
        <w:t>Quality</w:t>
      </w:r>
      <w:r w:rsidRPr="00A663DD">
        <w:rPr>
          <w:rFonts w:ascii="Arial" w:hAnsi="Arial" w:cs="Arial"/>
        </w:rPr>
        <w:t xml:space="preserve"> control of single cell-RNA seq data.</w:t>
      </w:r>
    </w:p>
    <w:tbl>
      <w:tblPr>
        <w:tblStyle w:val="a3"/>
        <w:tblW w:w="9848" w:type="dxa"/>
        <w:jc w:val="center"/>
        <w:tblLook w:val="04A0" w:firstRow="1" w:lastRow="0" w:firstColumn="1" w:lastColumn="0" w:noHBand="0" w:noVBand="1"/>
      </w:tblPr>
      <w:tblGrid>
        <w:gridCol w:w="2552"/>
        <w:gridCol w:w="1368"/>
        <w:gridCol w:w="1217"/>
        <w:gridCol w:w="1217"/>
        <w:gridCol w:w="1368"/>
        <w:gridCol w:w="1217"/>
        <w:gridCol w:w="1368"/>
      </w:tblGrid>
      <w:tr w:rsidR="005955AB" w:rsidRPr="00A663DD" w14:paraId="3C77928E" w14:textId="77777777" w:rsidTr="005955AB">
        <w:trPr>
          <w:trHeight w:val="278"/>
          <w:jc w:val="center"/>
        </w:trPr>
        <w:tc>
          <w:tcPr>
            <w:tcW w:w="2552" w:type="dxa"/>
            <w:noWrap/>
            <w:vAlign w:val="center"/>
            <w:hideMark/>
          </w:tcPr>
          <w:p w14:paraId="5B9AC596" w14:textId="77777777" w:rsidR="005955AB" w:rsidRPr="00A663DD" w:rsidRDefault="005955AB" w:rsidP="005955AB">
            <w:pPr>
              <w:rPr>
                <w:rFonts w:ascii="Arial" w:eastAsia="Times New Roman" w:hAnsi="Arial" w:cs="Arial"/>
                <w:sz w:val="18"/>
                <w:szCs w:val="18"/>
                <w:lang w:eastAsia="zh-CN"/>
              </w:rPr>
            </w:pPr>
          </w:p>
        </w:tc>
        <w:tc>
          <w:tcPr>
            <w:tcW w:w="1283" w:type="dxa"/>
            <w:noWrap/>
            <w:vAlign w:val="center"/>
            <w:hideMark/>
          </w:tcPr>
          <w:p w14:paraId="5B9AEF85"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CN09-1</w:t>
            </w:r>
          </w:p>
        </w:tc>
        <w:tc>
          <w:tcPr>
            <w:tcW w:w="1149" w:type="dxa"/>
            <w:noWrap/>
            <w:vAlign w:val="center"/>
            <w:hideMark/>
          </w:tcPr>
          <w:p w14:paraId="61E3ADF6"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CN09-2</w:t>
            </w:r>
          </w:p>
        </w:tc>
        <w:tc>
          <w:tcPr>
            <w:tcW w:w="1149" w:type="dxa"/>
            <w:noWrap/>
            <w:vAlign w:val="center"/>
            <w:hideMark/>
          </w:tcPr>
          <w:p w14:paraId="76959EBD"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CN09-3</w:t>
            </w:r>
          </w:p>
        </w:tc>
        <w:tc>
          <w:tcPr>
            <w:tcW w:w="1283" w:type="dxa"/>
            <w:noWrap/>
            <w:vAlign w:val="center"/>
            <w:hideMark/>
          </w:tcPr>
          <w:p w14:paraId="64F7B9D6"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PS04-1</w:t>
            </w:r>
          </w:p>
        </w:tc>
        <w:tc>
          <w:tcPr>
            <w:tcW w:w="1149" w:type="dxa"/>
            <w:noWrap/>
            <w:vAlign w:val="center"/>
            <w:hideMark/>
          </w:tcPr>
          <w:p w14:paraId="0EA12647"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PS04-2</w:t>
            </w:r>
          </w:p>
        </w:tc>
        <w:tc>
          <w:tcPr>
            <w:tcW w:w="1283" w:type="dxa"/>
            <w:noWrap/>
            <w:vAlign w:val="center"/>
            <w:hideMark/>
          </w:tcPr>
          <w:p w14:paraId="57463BF9"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PS04-3</w:t>
            </w:r>
          </w:p>
        </w:tc>
      </w:tr>
      <w:tr w:rsidR="005955AB" w:rsidRPr="00A663DD" w14:paraId="4D5D836B" w14:textId="77777777" w:rsidTr="005955AB">
        <w:trPr>
          <w:trHeight w:val="278"/>
          <w:jc w:val="center"/>
        </w:trPr>
        <w:tc>
          <w:tcPr>
            <w:tcW w:w="2552" w:type="dxa"/>
            <w:noWrap/>
            <w:vAlign w:val="center"/>
            <w:hideMark/>
          </w:tcPr>
          <w:p w14:paraId="523E15EB"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Estimated Number of Cells</w:t>
            </w:r>
          </w:p>
        </w:tc>
        <w:tc>
          <w:tcPr>
            <w:tcW w:w="1283" w:type="dxa"/>
            <w:noWrap/>
            <w:vAlign w:val="center"/>
            <w:hideMark/>
          </w:tcPr>
          <w:p w14:paraId="32DBCB63"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5,377</w:t>
            </w:r>
          </w:p>
        </w:tc>
        <w:tc>
          <w:tcPr>
            <w:tcW w:w="1149" w:type="dxa"/>
            <w:noWrap/>
            <w:vAlign w:val="center"/>
            <w:hideMark/>
          </w:tcPr>
          <w:p w14:paraId="351667D6"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5,601</w:t>
            </w:r>
          </w:p>
        </w:tc>
        <w:tc>
          <w:tcPr>
            <w:tcW w:w="1149" w:type="dxa"/>
            <w:noWrap/>
            <w:vAlign w:val="center"/>
            <w:hideMark/>
          </w:tcPr>
          <w:p w14:paraId="379A5289"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5,376</w:t>
            </w:r>
          </w:p>
        </w:tc>
        <w:tc>
          <w:tcPr>
            <w:tcW w:w="1283" w:type="dxa"/>
            <w:noWrap/>
            <w:vAlign w:val="center"/>
            <w:hideMark/>
          </w:tcPr>
          <w:p w14:paraId="365D2AC9"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18,385</w:t>
            </w:r>
          </w:p>
        </w:tc>
        <w:tc>
          <w:tcPr>
            <w:tcW w:w="1149" w:type="dxa"/>
            <w:noWrap/>
            <w:vAlign w:val="center"/>
            <w:hideMark/>
          </w:tcPr>
          <w:p w14:paraId="2F3F32C5"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17,337</w:t>
            </w:r>
          </w:p>
        </w:tc>
        <w:tc>
          <w:tcPr>
            <w:tcW w:w="1283" w:type="dxa"/>
            <w:noWrap/>
            <w:vAlign w:val="center"/>
            <w:hideMark/>
          </w:tcPr>
          <w:p w14:paraId="268B6990"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16,200</w:t>
            </w:r>
          </w:p>
        </w:tc>
      </w:tr>
      <w:tr w:rsidR="005955AB" w:rsidRPr="00A663DD" w14:paraId="6F67B668" w14:textId="77777777" w:rsidTr="005955AB">
        <w:trPr>
          <w:trHeight w:val="278"/>
          <w:jc w:val="center"/>
        </w:trPr>
        <w:tc>
          <w:tcPr>
            <w:tcW w:w="2552" w:type="dxa"/>
            <w:noWrap/>
            <w:vAlign w:val="center"/>
            <w:hideMark/>
          </w:tcPr>
          <w:p w14:paraId="17876C00"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Mean Reads per Cell</w:t>
            </w:r>
          </w:p>
        </w:tc>
        <w:tc>
          <w:tcPr>
            <w:tcW w:w="1283" w:type="dxa"/>
            <w:noWrap/>
            <w:vAlign w:val="center"/>
            <w:hideMark/>
          </w:tcPr>
          <w:p w14:paraId="41470475"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204,706</w:t>
            </w:r>
          </w:p>
        </w:tc>
        <w:tc>
          <w:tcPr>
            <w:tcW w:w="1149" w:type="dxa"/>
            <w:noWrap/>
            <w:vAlign w:val="center"/>
            <w:hideMark/>
          </w:tcPr>
          <w:p w14:paraId="5C82C8C8"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153,114</w:t>
            </w:r>
          </w:p>
        </w:tc>
        <w:tc>
          <w:tcPr>
            <w:tcW w:w="1149" w:type="dxa"/>
            <w:noWrap/>
            <w:vAlign w:val="center"/>
            <w:hideMark/>
          </w:tcPr>
          <w:p w14:paraId="205D770D"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167,350</w:t>
            </w:r>
          </w:p>
        </w:tc>
        <w:tc>
          <w:tcPr>
            <w:tcW w:w="1283" w:type="dxa"/>
            <w:noWrap/>
            <w:vAlign w:val="center"/>
            <w:hideMark/>
          </w:tcPr>
          <w:p w14:paraId="3CACF1C2"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73,781</w:t>
            </w:r>
          </w:p>
        </w:tc>
        <w:tc>
          <w:tcPr>
            <w:tcW w:w="1149" w:type="dxa"/>
            <w:noWrap/>
            <w:vAlign w:val="center"/>
            <w:hideMark/>
          </w:tcPr>
          <w:p w14:paraId="51C3769E"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55,152</w:t>
            </w:r>
          </w:p>
        </w:tc>
        <w:tc>
          <w:tcPr>
            <w:tcW w:w="1283" w:type="dxa"/>
            <w:noWrap/>
            <w:vAlign w:val="center"/>
            <w:hideMark/>
          </w:tcPr>
          <w:p w14:paraId="52AA6EC1"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65,050</w:t>
            </w:r>
          </w:p>
        </w:tc>
      </w:tr>
      <w:tr w:rsidR="005955AB" w:rsidRPr="00A663DD" w14:paraId="1E0E2D33" w14:textId="77777777" w:rsidTr="005955AB">
        <w:trPr>
          <w:trHeight w:val="278"/>
          <w:jc w:val="center"/>
        </w:trPr>
        <w:tc>
          <w:tcPr>
            <w:tcW w:w="2552" w:type="dxa"/>
            <w:noWrap/>
            <w:vAlign w:val="center"/>
            <w:hideMark/>
          </w:tcPr>
          <w:p w14:paraId="78CD9AE1"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Median Genes per Cell</w:t>
            </w:r>
          </w:p>
        </w:tc>
        <w:tc>
          <w:tcPr>
            <w:tcW w:w="1283" w:type="dxa"/>
            <w:noWrap/>
            <w:vAlign w:val="center"/>
            <w:hideMark/>
          </w:tcPr>
          <w:p w14:paraId="02BBA78C"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2,317</w:t>
            </w:r>
          </w:p>
        </w:tc>
        <w:tc>
          <w:tcPr>
            <w:tcW w:w="1149" w:type="dxa"/>
            <w:noWrap/>
            <w:vAlign w:val="center"/>
            <w:hideMark/>
          </w:tcPr>
          <w:p w14:paraId="7417586F"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2,257</w:t>
            </w:r>
          </w:p>
        </w:tc>
        <w:tc>
          <w:tcPr>
            <w:tcW w:w="1149" w:type="dxa"/>
            <w:noWrap/>
            <w:vAlign w:val="center"/>
            <w:hideMark/>
          </w:tcPr>
          <w:p w14:paraId="3EA88B78"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2,356</w:t>
            </w:r>
          </w:p>
        </w:tc>
        <w:tc>
          <w:tcPr>
            <w:tcW w:w="1283" w:type="dxa"/>
            <w:noWrap/>
            <w:vAlign w:val="center"/>
            <w:hideMark/>
          </w:tcPr>
          <w:p w14:paraId="62FB4FC9"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1,256</w:t>
            </w:r>
          </w:p>
        </w:tc>
        <w:tc>
          <w:tcPr>
            <w:tcW w:w="1149" w:type="dxa"/>
            <w:noWrap/>
            <w:vAlign w:val="center"/>
            <w:hideMark/>
          </w:tcPr>
          <w:p w14:paraId="5E30C003"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1,484</w:t>
            </w:r>
          </w:p>
        </w:tc>
        <w:tc>
          <w:tcPr>
            <w:tcW w:w="1283" w:type="dxa"/>
            <w:noWrap/>
            <w:vAlign w:val="center"/>
            <w:hideMark/>
          </w:tcPr>
          <w:p w14:paraId="0F4325CF"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1,501</w:t>
            </w:r>
          </w:p>
        </w:tc>
      </w:tr>
      <w:tr w:rsidR="005955AB" w:rsidRPr="00A663DD" w14:paraId="315022B9" w14:textId="77777777" w:rsidTr="005955AB">
        <w:trPr>
          <w:trHeight w:val="278"/>
          <w:jc w:val="center"/>
        </w:trPr>
        <w:tc>
          <w:tcPr>
            <w:tcW w:w="2552" w:type="dxa"/>
            <w:noWrap/>
            <w:vAlign w:val="center"/>
            <w:hideMark/>
          </w:tcPr>
          <w:p w14:paraId="20E8BD72"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Number of Reads</w:t>
            </w:r>
          </w:p>
        </w:tc>
        <w:tc>
          <w:tcPr>
            <w:tcW w:w="1283" w:type="dxa"/>
            <w:noWrap/>
            <w:vAlign w:val="center"/>
            <w:hideMark/>
          </w:tcPr>
          <w:p w14:paraId="1BB86F92"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1,100,704,368</w:t>
            </w:r>
          </w:p>
        </w:tc>
        <w:tc>
          <w:tcPr>
            <w:tcW w:w="1149" w:type="dxa"/>
            <w:noWrap/>
            <w:vAlign w:val="center"/>
            <w:hideMark/>
          </w:tcPr>
          <w:p w14:paraId="0D9CED83"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857,593,457</w:t>
            </w:r>
          </w:p>
        </w:tc>
        <w:tc>
          <w:tcPr>
            <w:tcW w:w="1149" w:type="dxa"/>
            <w:noWrap/>
            <w:vAlign w:val="center"/>
            <w:hideMark/>
          </w:tcPr>
          <w:p w14:paraId="58507A47"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899,675,495</w:t>
            </w:r>
          </w:p>
        </w:tc>
        <w:tc>
          <w:tcPr>
            <w:tcW w:w="1283" w:type="dxa"/>
            <w:noWrap/>
            <w:vAlign w:val="center"/>
            <w:hideMark/>
          </w:tcPr>
          <w:p w14:paraId="226FDEC5"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1,356,459,410</w:t>
            </w:r>
          </w:p>
        </w:tc>
        <w:tc>
          <w:tcPr>
            <w:tcW w:w="1149" w:type="dxa"/>
            <w:noWrap/>
            <w:vAlign w:val="center"/>
            <w:hideMark/>
          </w:tcPr>
          <w:p w14:paraId="38C1F166"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956,177,963</w:t>
            </w:r>
          </w:p>
        </w:tc>
        <w:tc>
          <w:tcPr>
            <w:tcW w:w="1283" w:type="dxa"/>
            <w:noWrap/>
            <w:vAlign w:val="center"/>
            <w:hideMark/>
          </w:tcPr>
          <w:p w14:paraId="0356BAFD"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1,053,807,721</w:t>
            </w:r>
          </w:p>
        </w:tc>
      </w:tr>
      <w:tr w:rsidR="005955AB" w:rsidRPr="00A663DD" w14:paraId="0129C601" w14:textId="77777777" w:rsidTr="005955AB">
        <w:trPr>
          <w:trHeight w:val="278"/>
          <w:jc w:val="center"/>
        </w:trPr>
        <w:tc>
          <w:tcPr>
            <w:tcW w:w="2552" w:type="dxa"/>
            <w:noWrap/>
            <w:vAlign w:val="center"/>
            <w:hideMark/>
          </w:tcPr>
          <w:p w14:paraId="6A50F07E"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Valid Barcodes</w:t>
            </w:r>
          </w:p>
        </w:tc>
        <w:tc>
          <w:tcPr>
            <w:tcW w:w="1283" w:type="dxa"/>
            <w:noWrap/>
            <w:vAlign w:val="center"/>
            <w:hideMark/>
          </w:tcPr>
          <w:p w14:paraId="3E26F115"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97.50%</w:t>
            </w:r>
          </w:p>
        </w:tc>
        <w:tc>
          <w:tcPr>
            <w:tcW w:w="1149" w:type="dxa"/>
            <w:noWrap/>
            <w:vAlign w:val="center"/>
            <w:hideMark/>
          </w:tcPr>
          <w:p w14:paraId="76FB8E43"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97.40%</w:t>
            </w:r>
          </w:p>
        </w:tc>
        <w:tc>
          <w:tcPr>
            <w:tcW w:w="1149" w:type="dxa"/>
            <w:noWrap/>
            <w:vAlign w:val="center"/>
            <w:hideMark/>
          </w:tcPr>
          <w:p w14:paraId="2B8DA62A"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97.30%</w:t>
            </w:r>
          </w:p>
        </w:tc>
        <w:tc>
          <w:tcPr>
            <w:tcW w:w="1283" w:type="dxa"/>
            <w:noWrap/>
            <w:vAlign w:val="center"/>
            <w:hideMark/>
          </w:tcPr>
          <w:p w14:paraId="742C5C9E"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97.50%</w:t>
            </w:r>
          </w:p>
        </w:tc>
        <w:tc>
          <w:tcPr>
            <w:tcW w:w="1149" w:type="dxa"/>
            <w:noWrap/>
            <w:vAlign w:val="center"/>
            <w:hideMark/>
          </w:tcPr>
          <w:p w14:paraId="64E9FE8D"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97.50%</w:t>
            </w:r>
          </w:p>
        </w:tc>
        <w:tc>
          <w:tcPr>
            <w:tcW w:w="1283" w:type="dxa"/>
            <w:noWrap/>
            <w:vAlign w:val="center"/>
            <w:hideMark/>
          </w:tcPr>
          <w:p w14:paraId="7FD74973"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97.40%</w:t>
            </w:r>
          </w:p>
        </w:tc>
      </w:tr>
      <w:tr w:rsidR="005955AB" w:rsidRPr="00A663DD" w14:paraId="1BF16545" w14:textId="77777777" w:rsidTr="005955AB">
        <w:trPr>
          <w:trHeight w:val="278"/>
          <w:jc w:val="center"/>
        </w:trPr>
        <w:tc>
          <w:tcPr>
            <w:tcW w:w="2552" w:type="dxa"/>
            <w:noWrap/>
            <w:vAlign w:val="center"/>
            <w:hideMark/>
          </w:tcPr>
          <w:p w14:paraId="3A9DC657"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Sequencing Saturation</w:t>
            </w:r>
          </w:p>
        </w:tc>
        <w:tc>
          <w:tcPr>
            <w:tcW w:w="1283" w:type="dxa"/>
            <w:noWrap/>
            <w:vAlign w:val="center"/>
            <w:hideMark/>
          </w:tcPr>
          <w:p w14:paraId="51CED75D"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86.00%</w:t>
            </w:r>
          </w:p>
        </w:tc>
        <w:tc>
          <w:tcPr>
            <w:tcW w:w="1149" w:type="dxa"/>
            <w:noWrap/>
            <w:vAlign w:val="center"/>
            <w:hideMark/>
          </w:tcPr>
          <w:p w14:paraId="0728F556"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82.60%</w:t>
            </w:r>
          </w:p>
        </w:tc>
        <w:tc>
          <w:tcPr>
            <w:tcW w:w="1149" w:type="dxa"/>
            <w:noWrap/>
            <w:vAlign w:val="center"/>
            <w:hideMark/>
          </w:tcPr>
          <w:p w14:paraId="4958A2F5"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83.10%</w:t>
            </w:r>
          </w:p>
        </w:tc>
        <w:tc>
          <w:tcPr>
            <w:tcW w:w="1283" w:type="dxa"/>
            <w:noWrap/>
            <w:vAlign w:val="center"/>
            <w:hideMark/>
          </w:tcPr>
          <w:p w14:paraId="68706C1D"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72.00%</w:t>
            </w:r>
          </w:p>
        </w:tc>
        <w:tc>
          <w:tcPr>
            <w:tcW w:w="1149" w:type="dxa"/>
            <w:noWrap/>
            <w:vAlign w:val="center"/>
            <w:hideMark/>
          </w:tcPr>
          <w:p w14:paraId="3BF08FF1"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64.80%</w:t>
            </w:r>
          </w:p>
        </w:tc>
        <w:tc>
          <w:tcPr>
            <w:tcW w:w="1283" w:type="dxa"/>
            <w:noWrap/>
            <w:vAlign w:val="center"/>
            <w:hideMark/>
          </w:tcPr>
          <w:p w14:paraId="16CEF09D"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69.30%</w:t>
            </w:r>
          </w:p>
        </w:tc>
      </w:tr>
      <w:tr w:rsidR="005955AB" w:rsidRPr="00A663DD" w14:paraId="6DE172F6" w14:textId="77777777" w:rsidTr="005955AB">
        <w:trPr>
          <w:trHeight w:val="278"/>
          <w:jc w:val="center"/>
        </w:trPr>
        <w:tc>
          <w:tcPr>
            <w:tcW w:w="2552" w:type="dxa"/>
            <w:noWrap/>
            <w:vAlign w:val="center"/>
            <w:hideMark/>
          </w:tcPr>
          <w:p w14:paraId="16C6BE51"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Q30 Bases in Barcode</w:t>
            </w:r>
          </w:p>
        </w:tc>
        <w:tc>
          <w:tcPr>
            <w:tcW w:w="1283" w:type="dxa"/>
            <w:noWrap/>
            <w:vAlign w:val="center"/>
            <w:hideMark/>
          </w:tcPr>
          <w:p w14:paraId="617FF062"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96.00%</w:t>
            </w:r>
          </w:p>
        </w:tc>
        <w:tc>
          <w:tcPr>
            <w:tcW w:w="1149" w:type="dxa"/>
            <w:noWrap/>
            <w:vAlign w:val="center"/>
            <w:hideMark/>
          </w:tcPr>
          <w:p w14:paraId="0435B9F8"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94.90%</w:t>
            </w:r>
          </w:p>
        </w:tc>
        <w:tc>
          <w:tcPr>
            <w:tcW w:w="1149" w:type="dxa"/>
            <w:noWrap/>
            <w:vAlign w:val="center"/>
            <w:hideMark/>
          </w:tcPr>
          <w:p w14:paraId="1C2C14D2"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95.00%</w:t>
            </w:r>
          </w:p>
        </w:tc>
        <w:tc>
          <w:tcPr>
            <w:tcW w:w="1283" w:type="dxa"/>
            <w:noWrap/>
            <w:vAlign w:val="center"/>
            <w:hideMark/>
          </w:tcPr>
          <w:p w14:paraId="622778D4"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96.00%</w:t>
            </w:r>
          </w:p>
        </w:tc>
        <w:tc>
          <w:tcPr>
            <w:tcW w:w="1149" w:type="dxa"/>
            <w:noWrap/>
            <w:vAlign w:val="center"/>
            <w:hideMark/>
          </w:tcPr>
          <w:p w14:paraId="1F53543B"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95.50%</w:t>
            </w:r>
          </w:p>
        </w:tc>
        <w:tc>
          <w:tcPr>
            <w:tcW w:w="1283" w:type="dxa"/>
            <w:noWrap/>
            <w:vAlign w:val="center"/>
            <w:hideMark/>
          </w:tcPr>
          <w:p w14:paraId="5AD30E89"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95.60%</w:t>
            </w:r>
          </w:p>
        </w:tc>
      </w:tr>
      <w:tr w:rsidR="005955AB" w:rsidRPr="00A663DD" w14:paraId="20E538FA" w14:textId="77777777" w:rsidTr="005955AB">
        <w:trPr>
          <w:trHeight w:val="278"/>
          <w:jc w:val="center"/>
        </w:trPr>
        <w:tc>
          <w:tcPr>
            <w:tcW w:w="2552" w:type="dxa"/>
            <w:noWrap/>
            <w:vAlign w:val="center"/>
            <w:hideMark/>
          </w:tcPr>
          <w:p w14:paraId="7D04355C"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Q30 Bases in RNA Read</w:t>
            </w:r>
          </w:p>
        </w:tc>
        <w:tc>
          <w:tcPr>
            <w:tcW w:w="1283" w:type="dxa"/>
            <w:noWrap/>
            <w:vAlign w:val="center"/>
            <w:hideMark/>
          </w:tcPr>
          <w:p w14:paraId="257FFD24"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92.90%</w:t>
            </w:r>
          </w:p>
        </w:tc>
        <w:tc>
          <w:tcPr>
            <w:tcW w:w="1149" w:type="dxa"/>
            <w:noWrap/>
            <w:vAlign w:val="center"/>
            <w:hideMark/>
          </w:tcPr>
          <w:p w14:paraId="3A1F0527"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87.90%</w:t>
            </w:r>
          </w:p>
        </w:tc>
        <w:tc>
          <w:tcPr>
            <w:tcW w:w="1149" w:type="dxa"/>
            <w:noWrap/>
            <w:vAlign w:val="center"/>
            <w:hideMark/>
          </w:tcPr>
          <w:p w14:paraId="5315700D"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87.60%</w:t>
            </w:r>
          </w:p>
        </w:tc>
        <w:tc>
          <w:tcPr>
            <w:tcW w:w="1283" w:type="dxa"/>
            <w:noWrap/>
            <w:vAlign w:val="center"/>
            <w:hideMark/>
          </w:tcPr>
          <w:p w14:paraId="7878761D"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91.50%</w:t>
            </w:r>
          </w:p>
        </w:tc>
        <w:tc>
          <w:tcPr>
            <w:tcW w:w="1149" w:type="dxa"/>
            <w:noWrap/>
            <w:vAlign w:val="center"/>
            <w:hideMark/>
          </w:tcPr>
          <w:p w14:paraId="40583D1B"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90.80%</w:t>
            </w:r>
          </w:p>
        </w:tc>
        <w:tc>
          <w:tcPr>
            <w:tcW w:w="1283" w:type="dxa"/>
            <w:noWrap/>
            <w:vAlign w:val="center"/>
            <w:hideMark/>
          </w:tcPr>
          <w:p w14:paraId="142D1758"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89.60%</w:t>
            </w:r>
          </w:p>
        </w:tc>
      </w:tr>
      <w:tr w:rsidR="005955AB" w:rsidRPr="00A663DD" w14:paraId="22A45349" w14:textId="77777777" w:rsidTr="005955AB">
        <w:trPr>
          <w:trHeight w:val="278"/>
          <w:jc w:val="center"/>
        </w:trPr>
        <w:tc>
          <w:tcPr>
            <w:tcW w:w="2552" w:type="dxa"/>
            <w:noWrap/>
            <w:vAlign w:val="center"/>
            <w:hideMark/>
          </w:tcPr>
          <w:p w14:paraId="14C79688"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Q30 Bases in UMI</w:t>
            </w:r>
          </w:p>
        </w:tc>
        <w:tc>
          <w:tcPr>
            <w:tcW w:w="1283" w:type="dxa"/>
            <w:noWrap/>
            <w:vAlign w:val="center"/>
            <w:hideMark/>
          </w:tcPr>
          <w:p w14:paraId="47E68C5D"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93.90%</w:t>
            </w:r>
          </w:p>
        </w:tc>
        <w:tc>
          <w:tcPr>
            <w:tcW w:w="1149" w:type="dxa"/>
            <w:noWrap/>
            <w:vAlign w:val="center"/>
            <w:hideMark/>
          </w:tcPr>
          <w:p w14:paraId="72A3A506"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93.50%</w:t>
            </w:r>
          </w:p>
        </w:tc>
        <w:tc>
          <w:tcPr>
            <w:tcW w:w="1149" w:type="dxa"/>
            <w:noWrap/>
            <w:vAlign w:val="center"/>
            <w:hideMark/>
          </w:tcPr>
          <w:p w14:paraId="0AFEBDD6"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93.70%</w:t>
            </w:r>
          </w:p>
        </w:tc>
        <w:tc>
          <w:tcPr>
            <w:tcW w:w="1283" w:type="dxa"/>
            <w:noWrap/>
            <w:vAlign w:val="center"/>
            <w:hideMark/>
          </w:tcPr>
          <w:p w14:paraId="69C56885"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94.10%</w:t>
            </w:r>
          </w:p>
        </w:tc>
        <w:tc>
          <w:tcPr>
            <w:tcW w:w="1149" w:type="dxa"/>
            <w:noWrap/>
            <w:vAlign w:val="center"/>
            <w:hideMark/>
          </w:tcPr>
          <w:p w14:paraId="5547B5D8"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94.40%</w:t>
            </w:r>
          </w:p>
        </w:tc>
        <w:tc>
          <w:tcPr>
            <w:tcW w:w="1283" w:type="dxa"/>
            <w:noWrap/>
            <w:vAlign w:val="center"/>
            <w:hideMark/>
          </w:tcPr>
          <w:p w14:paraId="3B17FF27"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94.40%</w:t>
            </w:r>
          </w:p>
        </w:tc>
      </w:tr>
      <w:tr w:rsidR="005955AB" w:rsidRPr="00A663DD" w14:paraId="7A774554" w14:textId="77777777" w:rsidTr="005955AB">
        <w:trPr>
          <w:trHeight w:val="278"/>
          <w:jc w:val="center"/>
        </w:trPr>
        <w:tc>
          <w:tcPr>
            <w:tcW w:w="2552" w:type="dxa"/>
            <w:noWrap/>
            <w:vAlign w:val="center"/>
            <w:hideMark/>
          </w:tcPr>
          <w:p w14:paraId="151BE260"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Reads Mapped to Genome</w:t>
            </w:r>
          </w:p>
        </w:tc>
        <w:tc>
          <w:tcPr>
            <w:tcW w:w="1283" w:type="dxa"/>
            <w:noWrap/>
            <w:vAlign w:val="center"/>
            <w:hideMark/>
          </w:tcPr>
          <w:p w14:paraId="69C841F5"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96.70%</w:t>
            </w:r>
          </w:p>
        </w:tc>
        <w:tc>
          <w:tcPr>
            <w:tcW w:w="1149" w:type="dxa"/>
            <w:noWrap/>
            <w:vAlign w:val="center"/>
            <w:hideMark/>
          </w:tcPr>
          <w:p w14:paraId="42973FFA"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95.40%</w:t>
            </w:r>
          </w:p>
        </w:tc>
        <w:tc>
          <w:tcPr>
            <w:tcW w:w="1149" w:type="dxa"/>
            <w:noWrap/>
            <w:vAlign w:val="center"/>
            <w:hideMark/>
          </w:tcPr>
          <w:p w14:paraId="3F7E29D8"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95.10%</w:t>
            </w:r>
          </w:p>
        </w:tc>
        <w:tc>
          <w:tcPr>
            <w:tcW w:w="1283" w:type="dxa"/>
            <w:noWrap/>
            <w:vAlign w:val="center"/>
            <w:hideMark/>
          </w:tcPr>
          <w:p w14:paraId="66181D02"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96.50%</w:t>
            </w:r>
          </w:p>
        </w:tc>
        <w:tc>
          <w:tcPr>
            <w:tcW w:w="1149" w:type="dxa"/>
            <w:noWrap/>
            <w:vAlign w:val="center"/>
            <w:hideMark/>
          </w:tcPr>
          <w:p w14:paraId="461DB1E3"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96.60%</w:t>
            </w:r>
          </w:p>
        </w:tc>
        <w:tc>
          <w:tcPr>
            <w:tcW w:w="1283" w:type="dxa"/>
            <w:noWrap/>
            <w:vAlign w:val="center"/>
            <w:hideMark/>
          </w:tcPr>
          <w:p w14:paraId="7C3E3B56"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96.30%</w:t>
            </w:r>
          </w:p>
        </w:tc>
      </w:tr>
      <w:tr w:rsidR="005955AB" w:rsidRPr="00A663DD" w14:paraId="7C697698" w14:textId="77777777" w:rsidTr="005955AB">
        <w:trPr>
          <w:trHeight w:val="278"/>
          <w:jc w:val="center"/>
        </w:trPr>
        <w:tc>
          <w:tcPr>
            <w:tcW w:w="2552" w:type="dxa"/>
            <w:noWrap/>
            <w:vAlign w:val="center"/>
            <w:hideMark/>
          </w:tcPr>
          <w:p w14:paraId="4CABA7B8"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Reads Mapped Confidently to Genome</w:t>
            </w:r>
          </w:p>
        </w:tc>
        <w:tc>
          <w:tcPr>
            <w:tcW w:w="1283" w:type="dxa"/>
            <w:noWrap/>
            <w:vAlign w:val="center"/>
            <w:hideMark/>
          </w:tcPr>
          <w:p w14:paraId="704E0F97"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82.10%</w:t>
            </w:r>
          </w:p>
        </w:tc>
        <w:tc>
          <w:tcPr>
            <w:tcW w:w="1149" w:type="dxa"/>
            <w:noWrap/>
            <w:vAlign w:val="center"/>
            <w:hideMark/>
          </w:tcPr>
          <w:p w14:paraId="7DB8F436"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81.80%</w:t>
            </w:r>
          </w:p>
        </w:tc>
        <w:tc>
          <w:tcPr>
            <w:tcW w:w="1149" w:type="dxa"/>
            <w:noWrap/>
            <w:vAlign w:val="center"/>
            <w:hideMark/>
          </w:tcPr>
          <w:p w14:paraId="3B7DAC3C"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81.00%</w:t>
            </w:r>
          </w:p>
        </w:tc>
        <w:tc>
          <w:tcPr>
            <w:tcW w:w="1283" w:type="dxa"/>
            <w:noWrap/>
            <w:vAlign w:val="center"/>
            <w:hideMark/>
          </w:tcPr>
          <w:p w14:paraId="5F4553EF"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86.50%</w:t>
            </w:r>
          </w:p>
        </w:tc>
        <w:tc>
          <w:tcPr>
            <w:tcW w:w="1149" w:type="dxa"/>
            <w:noWrap/>
            <w:vAlign w:val="center"/>
            <w:hideMark/>
          </w:tcPr>
          <w:p w14:paraId="01B1E560"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87.20%</w:t>
            </w:r>
          </w:p>
        </w:tc>
        <w:tc>
          <w:tcPr>
            <w:tcW w:w="1283" w:type="dxa"/>
            <w:noWrap/>
            <w:vAlign w:val="center"/>
            <w:hideMark/>
          </w:tcPr>
          <w:p w14:paraId="20B9366B"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86.60%</w:t>
            </w:r>
          </w:p>
        </w:tc>
      </w:tr>
      <w:tr w:rsidR="005955AB" w:rsidRPr="00A663DD" w14:paraId="51EC849F" w14:textId="77777777" w:rsidTr="005955AB">
        <w:trPr>
          <w:trHeight w:val="278"/>
          <w:jc w:val="center"/>
        </w:trPr>
        <w:tc>
          <w:tcPr>
            <w:tcW w:w="2552" w:type="dxa"/>
            <w:noWrap/>
            <w:vAlign w:val="center"/>
            <w:hideMark/>
          </w:tcPr>
          <w:p w14:paraId="74F7A040"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Reads Mapped Confidently to Intergenic Regions</w:t>
            </w:r>
          </w:p>
        </w:tc>
        <w:tc>
          <w:tcPr>
            <w:tcW w:w="1283" w:type="dxa"/>
            <w:noWrap/>
            <w:vAlign w:val="center"/>
            <w:hideMark/>
          </w:tcPr>
          <w:p w14:paraId="5ACB9AFA"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3.90%</w:t>
            </w:r>
          </w:p>
        </w:tc>
        <w:tc>
          <w:tcPr>
            <w:tcW w:w="1149" w:type="dxa"/>
            <w:noWrap/>
            <w:vAlign w:val="center"/>
            <w:hideMark/>
          </w:tcPr>
          <w:p w14:paraId="50056008"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4.30%</w:t>
            </w:r>
          </w:p>
        </w:tc>
        <w:tc>
          <w:tcPr>
            <w:tcW w:w="1149" w:type="dxa"/>
            <w:noWrap/>
            <w:vAlign w:val="center"/>
            <w:hideMark/>
          </w:tcPr>
          <w:p w14:paraId="7941EC5E"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4.20%</w:t>
            </w:r>
          </w:p>
        </w:tc>
        <w:tc>
          <w:tcPr>
            <w:tcW w:w="1283" w:type="dxa"/>
            <w:noWrap/>
            <w:vAlign w:val="center"/>
            <w:hideMark/>
          </w:tcPr>
          <w:p w14:paraId="7115CDB4"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4.10%</w:t>
            </w:r>
          </w:p>
        </w:tc>
        <w:tc>
          <w:tcPr>
            <w:tcW w:w="1149" w:type="dxa"/>
            <w:noWrap/>
            <w:vAlign w:val="center"/>
            <w:hideMark/>
          </w:tcPr>
          <w:p w14:paraId="6C816075"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4.20%</w:t>
            </w:r>
          </w:p>
        </w:tc>
        <w:tc>
          <w:tcPr>
            <w:tcW w:w="1283" w:type="dxa"/>
            <w:noWrap/>
            <w:vAlign w:val="center"/>
            <w:hideMark/>
          </w:tcPr>
          <w:p w14:paraId="3A5E6243"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4.40%</w:t>
            </w:r>
          </w:p>
        </w:tc>
      </w:tr>
      <w:tr w:rsidR="005955AB" w:rsidRPr="00A663DD" w14:paraId="6C6F0547" w14:textId="77777777" w:rsidTr="005955AB">
        <w:trPr>
          <w:trHeight w:val="278"/>
          <w:jc w:val="center"/>
        </w:trPr>
        <w:tc>
          <w:tcPr>
            <w:tcW w:w="2552" w:type="dxa"/>
            <w:noWrap/>
            <w:vAlign w:val="center"/>
            <w:hideMark/>
          </w:tcPr>
          <w:p w14:paraId="79A8B142"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Reads Mapped Confidently to Intronic Regions</w:t>
            </w:r>
          </w:p>
        </w:tc>
        <w:tc>
          <w:tcPr>
            <w:tcW w:w="1283" w:type="dxa"/>
            <w:noWrap/>
            <w:vAlign w:val="center"/>
            <w:hideMark/>
          </w:tcPr>
          <w:p w14:paraId="57A52796"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18.20%</w:t>
            </w:r>
          </w:p>
        </w:tc>
        <w:tc>
          <w:tcPr>
            <w:tcW w:w="1149" w:type="dxa"/>
            <w:noWrap/>
            <w:vAlign w:val="center"/>
            <w:hideMark/>
          </w:tcPr>
          <w:p w14:paraId="75EC9402"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18.80%</w:t>
            </w:r>
          </w:p>
        </w:tc>
        <w:tc>
          <w:tcPr>
            <w:tcW w:w="1149" w:type="dxa"/>
            <w:noWrap/>
            <w:vAlign w:val="center"/>
            <w:hideMark/>
          </w:tcPr>
          <w:p w14:paraId="0FF70DDC"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18.70%</w:t>
            </w:r>
          </w:p>
        </w:tc>
        <w:tc>
          <w:tcPr>
            <w:tcW w:w="1283" w:type="dxa"/>
            <w:noWrap/>
            <w:vAlign w:val="center"/>
            <w:hideMark/>
          </w:tcPr>
          <w:p w14:paraId="13DB7197"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18.30%</w:t>
            </w:r>
          </w:p>
        </w:tc>
        <w:tc>
          <w:tcPr>
            <w:tcW w:w="1149" w:type="dxa"/>
            <w:noWrap/>
            <w:vAlign w:val="center"/>
            <w:hideMark/>
          </w:tcPr>
          <w:p w14:paraId="64A157F7"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18.40%</w:t>
            </w:r>
          </w:p>
        </w:tc>
        <w:tc>
          <w:tcPr>
            <w:tcW w:w="1283" w:type="dxa"/>
            <w:noWrap/>
            <w:vAlign w:val="center"/>
            <w:hideMark/>
          </w:tcPr>
          <w:p w14:paraId="1CB87BB8"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18.80%</w:t>
            </w:r>
          </w:p>
        </w:tc>
      </w:tr>
      <w:tr w:rsidR="005955AB" w:rsidRPr="00A663DD" w14:paraId="05B6D325" w14:textId="77777777" w:rsidTr="005955AB">
        <w:trPr>
          <w:trHeight w:val="278"/>
          <w:jc w:val="center"/>
        </w:trPr>
        <w:tc>
          <w:tcPr>
            <w:tcW w:w="2552" w:type="dxa"/>
            <w:noWrap/>
            <w:vAlign w:val="center"/>
            <w:hideMark/>
          </w:tcPr>
          <w:p w14:paraId="7A2A60E9"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Reads Mapped Confidently to Exonic Regions</w:t>
            </w:r>
          </w:p>
        </w:tc>
        <w:tc>
          <w:tcPr>
            <w:tcW w:w="1283" w:type="dxa"/>
            <w:noWrap/>
            <w:vAlign w:val="center"/>
            <w:hideMark/>
          </w:tcPr>
          <w:p w14:paraId="46D4CF0B"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60.00%</w:t>
            </w:r>
          </w:p>
        </w:tc>
        <w:tc>
          <w:tcPr>
            <w:tcW w:w="1149" w:type="dxa"/>
            <w:noWrap/>
            <w:vAlign w:val="center"/>
            <w:hideMark/>
          </w:tcPr>
          <w:p w14:paraId="6D17B156"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58.70%</w:t>
            </w:r>
          </w:p>
        </w:tc>
        <w:tc>
          <w:tcPr>
            <w:tcW w:w="1149" w:type="dxa"/>
            <w:noWrap/>
            <w:vAlign w:val="center"/>
            <w:hideMark/>
          </w:tcPr>
          <w:p w14:paraId="40FB1000"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58.10%</w:t>
            </w:r>
          </w:p>
        </w:tc>
        <w:tc>
          <w:tcPr>
            <w:tcW w:w="1283" w:type="dxa"/>
            <w:noWrap/>
            <w:vAlign w:val="center"/>
            <w:hideMark/>
          </w:tcPr>
          <w:p w14:paraId="7AA1AF3B"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64.00%</w:t>
            </w:r>
          </w:p>
        </w:tc>
        <w:tc>
          <w:tcPr>
            <w:tcW w:w="1149" w:type="dxa"/>
            <w:noWrap/>
            <w:vAlign w:val="center"/>
            <w:hideMark/>
          </w:tcPr>
          <w:p w14:paraId="27CC6578"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64.50%</w:t>
            </w:r>
          </w:p>
        </w:tc>
        <w:tc>
          <w:tcPr>
            <w:tcW w:w="1283" w:type="dxa"/>
            <w:noWrap/>
            <w:vAlign w:val="center"/>
            <w:hideMark/>
          </w:tcPr>
          <w:p w14:paraId="675D69F5"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63.40%</w:t>
            </w:r>
          </w:p>
        </w:tc>
      </w:tr>
      <w:tr w:rsidR="005955AB" w:rsidRPr="00A663DD" w14:paraId="455C5C38" w14:textId="77777777" w:rsidTr="005955AB">
        <w:trPr>
          <w:trHeight w:val="278"/>
          <w:jc w:val="center"/>
        </w:trPr>
        <w:tc>
          <w:tcPr>
            <w:tcW w:w="2552" w:type="dxa"/>
            <w:noWrap/>
            <w:vAlign w:val="center"/>
            <w:hideMark/>
          </w:tcPr>
          <w:p w14:paraId="51CEDE93"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Reads Mapped Confidently to Transcriptome</w:t>
            </w:r>
          </w:p>
        </w:tc>
        <w:tc>
          <w:tcPr>
            <w:tcW w:w="1283" w:type="dxa"/>
            <w:noWrap/>
            <w:vAlign w:val="center"/>
            <w:hideMark/>
          </w:tcPr>
          <w:p w14:paraId="083D86B8"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56.80%</w:t>
            </w:r>
          </w:p>
        </w:tc>
        <w:tc>
          <w:tcPr>
            <w:tcW w:w="1149" w:type="dxa"/>
            <w:noWrap/>
            <w:vAlign w:val="center"/>
            <w:hideMark/>
          </w:tcPr>
          <w:p w14:paraId="3B66081A"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55.50%</w:t>
            </w:r>
          </w:p>
        </w:tc>
        <w:tc>
          <w:tcPr>
            <w:tcW w:w="1149" w:type="dxa"/>
            <w:noWrap/>
            <w:vAlign w:val="center"/>
            <w:hideMark/>
          </w:tcPr>
          <w:p w14:paraId="54519D51"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54.90%</w:t>
            </w:r>
          </w:p>
        </w:tc>
        <w:tc>
          <w:tcPr>
            <w:tcW w:w="1283" w:type="dxa"/>
            <w:noWrap/>
            <w:vAlign w:val="center"/>
            <w:hideMark/>
          </w:tcPr>
          <w:p w14:paraId="5A0D1E64"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60.50%</w:t>
            </w:r>
          </w:p>
        </w:tc>
        <w:tc>
          <w:tcPr>
            <w:tcW w:w="1149" w:type="dxa"/>
            <w:noWrap/>
            <w:vAlign w:val="center"/>
            <w:hideMark/>
          </w:tcPr>
          <w:p w14:paraId="4453C6BB"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61.00%</w:t>
            </w:r>
          </w:p>
        </w:tc>
        <w:tc>
          <w:tcPr>
            <w:tcW w:w="1283" w:type="dxa"/>
            <w:noWrap/>
            <w:vAlign w:val="center"/>
            <w:hideMark/>
          </w:tcPr>
          <w:p w14:paraId="5CFBDD0E"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59.90%</w:t>
            </w:r>
          </w:p>
        </w:tc>
      </w:tr>
      <w:tr w:rsidR="005955AB" w:rsidRPr="00A663DD" w14:paraId="5F4A959F" w14:textId="77777777" w:rsidTr="005955AB">
        <w:trPr>
          <w:trHeight w:val="278"/>
          <w:jc w:val="center"/>
        </w:trPr>
        <w:tc>
          <w:tcPr>
            <w:tcW w:w="2552" w:type="dxa"/>
            <w:noWrap/>
            <w:vAlign w:val="center"/>
            <w:hideMark/>
          </w:tcPr>
          <w:p w14:paraId="034AAD09"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Reads Mapped Antisense to Gene</w:t>
            </w:r>
          </w:p>
        </w:tc>
        <w:tc>
          <w:tcPr>
            <w:tcW w:w="1283" w:type="dxa"/>
            <w:noWrap/>
            <w:vAlign w:val="center"/>
            <w:hideMark/>
          </w:tcPr>
          <w:p w14:paraId="62DCD9D4"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1.50%</w:t>
            </w:r>
          </w:p>
        </w:tc>
        <w:tc>
          <w:tcPr>
            <w:tcW w:w="1149" w:type="dxa"/>
            <w:noWrap/>
            <w:vAlign w:val="center"/>
            <w:hideMark/>
          </w:tcPr>
          <w:p w14:paraId="4D9D96A0"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1.50%</w:t>
            </w:r>
          </w:p>
        </w:tc>
        <w:tc>
          <w:tcPr>
            <w:tcW w:w="1149" w:type="dxa"/>
            <w:noWrap/>
            <w:vAlign w:val="center"/>
            <w:hideMark/>
          </w:tcPr>
          <w:p w14:paraId="31A8453A"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1.60%</w:t>
            </w:r>
          </w:p>
        </w:tc>
        <w:tc>
          <w:tcPr>
            <w:tcW w:w="1283" w:type="dxa"/>
            <w:noWrap/>
            <w:vAlign w:val="center"/>
            <w:hideMark/>
          </w:tcPr>
          <w:p w14:paraId="1F749864"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1.60%</w:t>
            </w:r>
          </w:p>
        </w:tc>
        <w:tc>
          <w:tcPr>
            <w:tcW w:w="1149" w:type="dxa"/>
            <w:noWrap/>
            <w:vAlign w:val="center"/>
            <w:hideMark/>
          </w:tcPr>
          <w:p w14:paraId="5706F165"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1.60%</w:t>
            </w:r>
          </w:p>
        </w:tc>
        <w:tc>
          <w:tcPr>
            <w:tcW w:w="1283" w:type="dxa"/>
            <w:noWrap/>
            <w:vAlign w:val="center"/>
            <w:hideMark/>
          </w:tcPr>
          <w:p w14:paraId="40678AF4"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1.60%</w:t>
            </w:r>
          </w:p>
        </w:tc>
      </w:tr>
      <w:tr w:rsidR="005955AB" w:rsidRPr="00A663DD" w14:paraId="27BF17DB" w14:textId="77777777" w:rsidTr="005955AB">
        <w:trPr>
          <w:trHeight w:val="278"/>
          <w:jc w:val="center"/>
        </w:trPr>
        <w:tc>
          <w:tcPr>
            <w:tcW w:w="2552" w:type="dxa"/>
            <w:noWrap/>
            <w:vAlign w:val="center"/>
            <w:hideMark/>
          </w:tcPr>
          <w:p w14:paraId="4B5ACC94"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Fraction Reads in Cells</w:t>
            </w:r>
          </w:p>
        </w:tc>
        <w:tc>
          <w:tcPr>
            <w:tcW w:w="1283" w:type="dxa"/>
            <w:noWrap/>
            <w:vAlign w:val="center"/>
            <w:hideMark/>
          </w:tcPr>
          <w:p w14:paraId="75671F1B"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79.50%</w:t>
            </w:r>
          </w:p>
        </w:tc>
        <w:tc>
          <w:tcPr>
            <w:tcW w:w="1149" w:type="dxa"/>
            <w:noWrap/>
            <w:vAlign w:val="center"/>
            <w:hideMark/>
          </w:tcPr>
          <w:p w14:paraId="10214ABE"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80.10%</w:t>
            </w:r>
          </w:p>
        </w:tc>
        <w:tc>
          <w:tcPr>
            <w:tcW w:w="1149" w:type="dxa"/>
            <w:noWrap/>
            <w:vAlign w:val="center"/>
            <w:hideMark/>
          </w:tcPr>
          <w:p w14:paraId="683D1F48"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79.70%</w:t>
            </w:r>
          </w:p>
        </w:tc>
        <w:tc>
          <w:tcPr>
            <w:tcW w:w="1283" w:type="dxa"/>
            <w:noWrap/>
            <w:vAlign w:val="center"/>
            <w:hideMark/>
          </w:tcPr>
          <w:p w14:paraId="0BE5F935"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76.60%</w:t>
            </w:r>
          </w:p>
        </w:tc>
        <w:tc>
          <w:tcPr>
            <w:tcW w:w="1149" w:type="dxa"/>
            <w:noWrap/>
            <w:vAlign w:val="center"/>
            <w:hideMark/>
          </w:tcPr>
          <w:p w14:paraId="109616E3"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75.80%</w:t>
            </w:r>
          </w:p>
        </w:tc>
        <w:tc>
          <w:tcPr>
            <w:tcW w:w="1283" w:type="dxa"/>
            <w:noWrap/>
            <w:vAlign w:val="center"/>
            <w:hideMark/>
          </w:tcPr>
          <w:p w14:paraId="68F8B185"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75.80%</w:t>
            </w:r>
          </w:p>
        </w:tc>
      </w:tr>
      <w:tr w:rsidR="005955AB" w:rsidRPr="00A663DD" w14:paraId="4709234D" w14:textId="77777777" w:rsidTr="005955AB">
        <w:trPr>
          <w:trHeight w:val="278"/>
          <w:jc w:val="center"/>
        </w:trPr>
        <w:tc>
          <w:tcPr>
            <w:tcW w:w="2552" w:type="dxa"/>
            <w:noWrap/>
            <w:vAlign w:val="center"/>
            <w:hideMark/>
          </w:tcPr>
          <w:p w14:paraId="6902EC8C"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Total Genes Detected</w:t>
            </w:r>
          </w:p>
        </w:tc>
        <w:tc>
          <w:tcPr>
            <w:tcW w:w="1283" w:type="dxa"/>
            <w:noWrap/>
            <w:vAlign w:val="center"/>
            <w:hideMark/>
          </w:tcPr>
          <w:p w14:paraId="30399558"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25,992</w:t>
            </w:r>
          </w:p>
        </w:tc>
        <w:tc>
          <w:tcPr>
            <w:tcW w:w="1149" w:type="dxa"/>
            <w:noWrap/>
            <w:vAlign w:val="center"/>
            <w:hideMark/>
          </w:tcPr>
          <w:p w14:paraId="2C232CAF"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25,987</w:t>
            </w:r>
          </w:p>
        </w:tc>
        <w:tc>
          <w:tcPr>
            <w:tcW w:w="1149" w:type="dxa"/>
            <w:noWrap/>
            <w:vAlign w:val="center"/>
            <w:hideMark/>
          </w:tcPr>
          <w:p w14:paraId="5C75F5A3"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26,018</w:t>
            </w:r>
          </w:p>
        </w:tc>
        <w:tc>
          <w:tcPr>
            <w:tcW w:w="1283" w:type="dxa"/>
            <w:noWrap/>
            <w:vAlign w:val="center"/>
            <w:hideMark/>
          </w:tcPr>
          <w:p w14:paraId="345D53AB"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28,415</w:t>
            </w:r>
          </w:p>
        </w:tc>
        <w:tc>
          <w:tcPr>
            <w:tcW w:w="1149" w:type="dxa"/>
            <w:noWrap/>
            <w:vAlign w:val="center"/>
            <w:hideMark/>
          </w:tcPr>
          <w:p w14:paraId="7B5F9EB5"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27,973</w:t>
            </w:r>
          </w:p>
        </w:tc>
        <w:tc>
          <w:tcPr>
            <w:tcW w:w="1283" w:type="dxa"/>
            <w:noWrap/>
            <w:vAlign w:val="center"/>
            <w:hideMark/>
          </w:tcPr>
          <w:p w14:paraId="1E5892EC"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27,930</w:t>
            </w:r>
          </w:p>
        </w:tc>
      </w:tr>
      <w:tr w:rsidR="005955AB" w:rsidRPr="00A663DD" w14:paraId="10B1638E" w14:textId="77777777" w:rsidTr="005955AB">
        <w:trPr>
          <w:trHeight w:val="278"/>
          <w:jc w:val="center"/>
        </w:trPr>
        <w:tc>
          <w:tcPr>
            <w:tcW w:w="2552" w:type="dxa"/>
            <w:noWrap/>
            <w:vAlign w:val="center"/>
            <w:hideMark/>
          </w:tcPr>
          <w:p w14:paraId="449C2A52"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Median UMI Counts per Cell</w:t>
            </w:r>
          </w:p>
        </w:tc>
        <w:tc>
          <w:tcPr>
            <w:tcW w:w="1283" w:type="dxa"/>
            <w:noWrap/>
            <w:vAlign w:val="center"/>
            <w:hideMark/>
          </w:tcPr>
          <w:p w14:paraId="36107477"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7,800</w:t>
            </w:r>
          </w:p>
        </w:tc>
        <w:tc>
          <w:tcPr>
            <w:tcW w:w="1149" w:type="dxa"/>
            <w:noWrap/>
            <w:vAlign w:val="center"/>
            <w:hideMark/>
          </w:tcPr>
          <w:p w14:paraId="3050C98E"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7,356</w:t>
            </w:r>
          </w:p>
        </w:tc>
        <w:tc>
          <w:tcPr>
            <w:tcW w:w="1149" w:type="dxa"/>
            <w:noWrap/>
            <w:vAlign w:val="center"/>
            <w:hideMark/>
          </w:tcPr>
          <w:p w14:paraId="26511BA3"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8,014</w:t>
            </w:r>
          </w:p>
        </w:tc>
        <w:tc>
          <w:tcPr>
            <w:tcW w:w="1283" w:type="dxa"/>
            <w:noWrap/>
            <w:vAlign w:val="center"/>
            <w:hideMark/>
          </w:tcPr>
          <w:p w14:paraId="109E07E5"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3,389</w:t>
            </w:r>
          </w:p>
        </w:tc>
        <w:tc>
          <w:tcPr>
            <w:tcW w:w="1149" w:type="dxa"/>
            <w:noWrap/>
            <w:vAlign w:val="center"/>
            <w:hideMark/>
          </w:tcPr>
          <w:p w14:paraId="19A1A134"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3,875</w:t>
            </w:r>
          </w:p>
        </w:tc>
        <w:tc>
          <w:tcPr>
            <w:tcW w:w="1283" w:type="dxa"/>
            <w:noWrap/>
            <w:vAlign w:val="center"/>
            <w:hideMark/>
          </w:tcPr>
          <w:p w14:paraId="68B20687"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3,956</w:t>
            </w:r>
          </w:p>
        </w:tc>
      </w:tr>
      <w:tr w:rsidR="005955AB" w:rsidRPr="00A663DD" w14:paraId="16ABBB8A" w14:textId="77777777" w:rsidTr="005955AB">
        <w:trPr>
          <w:trHeight w:val="278"/>
          <w:jc w:val="center"/>
        </w:trPr>
        <w:tc>
          <w:tcPr>
            <w:tcW w:w="2552" w:type="dxa"/>
            <w:noWrap/>
            <w:vAlign w:val="center"/>
            <w:hideMark/>
          </w:tcPr>
          <w:p w14:paraId="0044F164"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Number of Doublet Cells</w:t>
            </w:r>
          </w:p>
        </w:tc>
        <w:tc>
          <w:tcPr>
            <w:tcW w:w="1283" w:type="dxa"/>
            <w:noWrap/>
            <w:vAlign w:val="center"/>
            <w:hideMark/>
          </w:tcPr>
          <w:p w14:paraId="6FED42A5"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124</w:t>
            </w:r>
          </w:p>
        </w:tc>
        <w:tc>
          <w:tcPr>
            <w:tcW w:w="1149" w:type="dxa"/>
            <w:noWrap/>
            <w:vAlign w:val="center"/>
            <w:hideMark/>
          </w:tcPr>
          <w:p w14:paraId="7C22B26B"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161</w:t>
            </w:r>
          </w:p>
        </w:tc>
        <w:tc>
          <w:tcPr>
            <w:tcW w:w="1149" w:type="dxa"/>
            <w:noWrap/>
            <w:vAlign w:val="center"/>
            <w:hideMark/>
          </w:tcPr>
          <w:p w14:paraId="5A23B279"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158</w:t>
            </w:r>
          </w:p>
        </w:tc>
        <w:tc>
          <w:tcPr>
            <w:tcW w:w="1283" w:type="dxa"/>
            <w:noWrap/>
            <w:vAlign w:val="center"/>
            <w:hideMark/>
          </w:tcPr>
          <w:p w14:paraId="2682B2B0"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706</w:t>
            </w:r>
          </w:p>
        </w:tc>
        <w:tc>
          <w:tcPr>
            <w:tcW w:w="1149" w:type="dxa"/>
            <w:noWrap/>
            <w:vAlign w:val="center"/>
            <w:hideMark/>
          </w:tcPr>
          <w:p w14:paraId="7F0DBE89"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726</w:t>
            </w:r>
          </w:p>
        </w:tc>
        <w:tc>
          <w:tcPr>
            <w:tcW w:w="1283" w:type="dxa"/>
            <w:noWrap/>
            <w:vAlign w:val="center"/>
            <w:hideMark/>
          </w:tcPr>
          <w:p w14:paraId="4D537B3D"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594</w:t>
            </w:r>
          </w:p>
        </w:tc>
      </w:tr>
      <w:tr w:rsidR="005955AB" w:rsidRPr="00A663DD" w14:paraId="28AD0668" w14:textId="77777777" w:rsidTr="005955AB">
        <w:trPr>
          <w:trHeight w:val="278"/>
          <w:jc w:val="center"/>
        </w:trPr>
        <w:tc>
          <w:tcPr>
            <w:tcW w:w="2552" w:type="dxa"/>
            <w:noWrap/>
            <w:vAlign w:val="center"/>
            <w:hideMark/>
          </w:tcPr>
          <w:p w14:paraId="55465195" w14:textId="77777777" w:rsidR="005955AB" w:rsidRPr="00A663DD" w:rsidRDefault="005955AB" w:rsidP="005955AB">
            <w:pPr>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Number of Filtered Cells</w:t>
            </w:r>
          </w:p>
        </w:tc>
        <w:tc>
          <w:tcPr>
            <w:tcW w:w="1283" w:type="dxa"/>
            <w:noWrap/>
            <w:vAlign w:val="center"/>
            <w:hideMark/>
          </w:tcPr>
          <w:p w14:paraId="05B4A0AB"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3864</w:t>
            </w:r>
          </w:p>
        </w:tc>
        <w:tc>
          <w:tcPr>
            <w:tcW w:w="1149" w:type="dxa"/>
            <w:noWrap/>
            <w:vAlign w:val="center"/>
            <w:hideMark/>
          </w:tcPr>
          <w:p w14:paraId="7D8463EF"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3961</w:t>
            </w:r>
          </w:p>
        </w:tc>
        <w:tc>
          <w:tcPr>
            <w:tcW w:w="1149" w:type="dxa"/>
            <w:noWrap/>
            <w:vAlign w:val="center"/>
            <w:hideMark/>
          </w:tcPr>
          <w:p w14:paraId="5AFAC148"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3894</w:t>
            </w:r>
          </w:p>
        </w:tc>
        <w:tc>
          <w:tcPr>
            <w:tcW w:w="1283" w:type="dxa"/>
            <w:noWrap/>
            <w:vAlign w:val="center"/>
            <w:hideMark/>
          </w:tcPr>
          <w:p w14:paraId="60D5D1ED"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8584</w:t>
            </w:r>
          </w:p>
        </w:tc>
        <w:tc>
          <w:tcPr>
            <w:tcW w:w="1149" w:type="dxa"/>
            <w:noWrap/>
            <w:vAlign w:val="center"/>
            <w:hideMark/>
          </w:tcPr>
          <w:p w14:paraId="05E36B16"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8821</w:t>
            </w:r>
          </w:p>
        </w:tc>
        <w:tc>
          <w:tcPr>
            <w:tcW w:w="1283" w:type="dxa"/>
            <w:noWrap/>
            <w:vAlign w:val="center"/>
            <w:hideMark/>
          </w:tcPr>
          <w:p w14:paraId="008FD362" w14:textId="77777777" w:rsidR="005955AB" w:rsidRPr="00A663DD" w:rsidRDefault="005955AB" w:rsidP="005955AB">
            <w:pPr>
              <w:jc w:val="right"/>
              <w:rPr>
                <w:rFonts w:ascii="Arial" w:eastAsia="等线" w:hAnsi="Arial" w:cs="Arial"/>
                <w:color w:val="000000"/>
                <w:sz w:val="18"/>
                <w:szCs w:val="18"/>
                <w:lang w:eastAsia="zh-CN"/>
              </w:rPr>
            </w:pPr>
            <w:r w:rsidRPr="00A663DD">
              <w:rPr>
                <w:rFonts w:ascii="Arial" w:eastAsia="等线" w:hAnsi="Arial" w:cs="Arial"/>
                <w:color w:val="000000"/>
                <w:sz w:val="18"/>
                <w:szCs w:val="18"/>
                <w:lang w:eastAsia="zh-CN"/>
              </w:rPr>
              <w:t>8014</w:t>
            </w:r>
          </w:p>
        </w:tc>
      </w:tr>
    </w:tbl>
    <w:p w14:paraId="3728DD54" w14:textId="77777777" w:rsidR="005955AB" w:rsidRPr="00A663DD" w:rsidRDefault="005955AB" w:rsidP="005955AB">
      <w:pPr>
        <w:ind w:leftChars="-236" w:left="-565" w:hanging="1"/>
        <w:rPr>
          <w:rFonts w:ascii="Arial" w:hAnsi="Arial" w:cs="Arial"/>
        </w:rPr>
      </w:pPr>
    </w:p>
    <w:p w14:paraId="421874F4" w14:textId="35BFBAC7" w:rsidR="005955AB" w:rsidRPr="00A663DD" w:rsidRDefault="005955AB" w:rsidP="005E04A3">
      <w:pPr>
        <w:ind w:leftChars="-236" w:left="-565" w:hanging="1"/>
        <w:rPr>
          <w:rFonts w:ascii="Arial" w:hAnsi="Arial" w:cs="Arial"/>
          <w:szCs w:val="21"/>
        </w:rPr>
      </w:pPr>
      <w:r w:rsidRPr="00A663DD">
        <w:rPr>
          <w:rFonts w:ascii="Arial" w:hAnsi="Arial" w:cs="Arial"/>
        </w:rPr>
        <w:t xml:space="preserve">Table S2. </w:t>
      </w:r>
      <w:r w:rsidRPr="00A663DD">
        <w:rPr>
          <w:rFonts w:ascii="Arial" w:hAnsi="Arial" w:cs="Arial"/>
          <w:lang w:eastAsia="zh-CN"/>
        </w:rPr>
        <w:t>Quality</w:t>
      </w:r>
      <w:r w:rsidRPr="00A663DD">
        <w:rPr>
          <w:rFonts w:ascii="Arial" w:hAnsi="Arial" w:cs="Arial"/>
        </w:rPr>
        <w:t xml:space="preserve"> control of single cell-RNA seq data.</w:t>
      </w:r>
    </w:p>
    <w:tbl>
      <w:tblPr>
        <w:tblStyle w:val="a3"/>
        <w:tblW w:w="8420" w:type="dxa"/>
        <w:jc w:val="center"/>
        <w:tblLook w:val="04A0" w:firstRow="1" w:lastRow="0" w:firstColumn="1" w:lastColumn="0" w:noHBand="0" w:noVBand="1"/>
      </w:tblPr>
      <w:tblGrid>
        <w:gridCol w:w="1680"/>
        <w:gridCol w:w="1840"/>
        <w:gridCol w:w="1620"/>
        <w:gridCol w:w="1620"/>
        <w:gridCol w:w="1660"/>
      </w:tblGrid>
      <w:tr w:rsidR="005955AB" w:rsidRPr="00A663DD" w14:paraId="70E7075D" w14:textId="77777777" w:rsidTr="005E04A3">
        <w:trPr>
          <w:trHeight w:val="278"/>
          <w:jc w:val="center"/>
        </w:trPr>
        <w:tc>
          <w:tcPr>
            <w:tcW w:w="1680" w:type="dxa"/>
            <w:noWrap/>
            <w:hideMark/>
          </w:tcPr>
          <w:p w14:paraId="2185C8D9" w14:textId="77777777" w:rsidR="005955AB" w:rsidRPr="00A663DD" w:rsidRDefault="005955AB" w:rsidP="005955AB">
            <w:pPr>
              <w:rPr>
                <w:rFonts w:ascii="Arial" w:eastAsia="Times New Roman" w:hAnsi="Arial" w:cs="Arial"/>
                <w:sz w:val="20"/>
                <w:szCs w:val="20"/>
                <w:lang w:eastAsia="zh-CN"/>
              </w:rPr>
            </w:pPr>
          </w:p>
        </w:tc>
        <w:tc>
          <w:tcPr>
            <w:tcW w:w="1840" w:type="dxa"/>
            <w:noWrap/>
            <w:hideMark/>
          </w:tcPr>
          <w:p w14:paraId="2476EC39" w14:textId="77777777" w:rsidR="005955AB" w:rsidRPr="00A663DD" w:rsidRDefault="005955AB" w:rsidP="005955AB">
            <w:pPr>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total read count</w:t>
            </w:r>
          </w:p>
        </w:tc>
        <w:tc>
          <w:tcPr>
            <w:tcW w:w="1620" w:type="dxa"/>
            <w:noWrap/>
            <w:hideMark/>
          </w:tcPr>
          <w:p w14:paraId="015113D0" w14:textId="77777777" w:rsidR="005955AB" w:rsidRPr="00A663DD" w:rsidRDefault="005955AB" w:rsidP="005955AB">
            <w:pPr>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mapped reads</w:t>
            </w:r>
          </w:p>
        </w:tc>
        <w:tc>
          <w:tcPr>
            <w:tcW w:w="1620" w:type="dxa"/>
            <w:noWrap/>
            <w:hideMark/>
          </w:tcPr>
          <w:p w14:paraId="1E71C285" w14:textId="77777777" w:rsidR="005955AB" w:rsidRPr="00A663DD" w:rsidRDefault="005955AB" w:rsidP="005955AB">
            <w:pPr>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average depth</w:t>
            </w:r>
          </w:p>
        </w:tc>
        <w:tc>
          <w:tcPr>
            <w:tcW w:w="1660" w:type="dxa"/>
            <w:noWrap/>
            <w:hideMark/>
          </w:tcPr>
          <w:p w14:paraId="0D402563" w14:textId="77777777" w:rsidR="005955AB" w:rsidRPr="00A663DD" w:rsidRDefault="005955AB" w:rsidP="005955AB">
            <w:pPr>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coverage (%)</w:t>
            </w:r>
          </w:p>
        </w:tc>
      </w:tr>
      <w:tr w:rsidR="005955AB" w:rsidRPr="00A663DD" w14:paraId="7FFF0AF9" w14:textId="77777777" w:rsidTr="005E04A3">
        <w:trPr>
          <w:trHeight w:val="278"/>
          <w:jc w:val="center"/>
        </w:trPr>
        <w:tc>
          <w:tcPr>
            <w:tcW w:w="1680" w:type="dxa"/>
            <w:noWrap/>
            <w:hideMark/>
          </w:tcPr>
          <w:p w14:paraId="6A126C69" w14:textId="77777777" w:rsidR="005955AB" w:rsidRPr="00A663DD" w:rsidRDefault="005955AB" w:rsidP="005955AB">
            <w:pPr>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L-Normal</w:t>
            </w:r>
          </w:p>
        </w:tc>
        <w:tc>
          <w:tcPr>
            <w:tcW w:w="1840" w:type="dxa"/>
            <w:noWrap/>
            <w:hideMark/>
          </w:tcPr>
          <w:p w14:paraId="5FD5F6D9" w14:textId="77777777" w:rsidR="005955AB" w:rsidRPr="00A663DD" w:rsidRDefault="005955AB" w:rsidP="005955AB">
            <w:pPr>
              <w:jc w:val="right"/>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1560886154</w:t>
            </w:r>
          </w:p>
        </w:tc>
        <w:tc>
          <w:tcPr>
            <w:tcW w:w="1620" w:type="dxa"/>
            <w:noWrap/>
            <w:hideMark/>
          </w:tcPr>
          <w:p w14:paraId="2E6BC297" w14:textId="77777777" w:rsidR="005955AB" w:rsidRPr="00A663DD" w:rsidRDefault="005955AB" w:rsidP="005955AB">
            <w:pPr>
              <w:jc w:val="right"/>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1560886154</w:t>
            </w:r>
          </w:p>
        </w:tc>
        <w:tc>
          <w:tcPr>
            <w:tcW w:w="1620" w:type="dxa"/>
            <w:noWrap/>
            <w:hideMark/>
          </w:tcPr>
          <w:p w14:paraId="7714F9F0" w14:textId="77777777" w:rsidR="005955AB" w:rsidRPr="00A663DD" w:rsidRDefault="005955AB" w:rsidP="005955AB">
            <w:pPr>
              <w:jc w:val="right"/>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72.47</w:t>
            </w:r>
          </w:p>
        </w:tc>
        <w:tc>
          <w:tcPr>
            <w:tcW w:w="1660" w:type="dxa"/>
            <w:noWrap/>
            <w:hideMark/>
          </w:tcPr>
          <w:p w14:paraId="7AC55948" w14:textId="77777777" w:rsidR="005955AB" w:rsidRPr="00A663DD" w:rsidRDefault="005955AB" w:rsidP="005955AB">
            <w:pPr>
              <w:jc w:val="right"/>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88.66</w:t>
            </w:r>
          </w:p>
        </w:tc>
      </w:tr>
      <w:tr w:rsidR="005955AB" w:rsidRPr="00A663DD" w14:paraId="1C4B18B3" w14:textId="77777777" w:rsidTr="005E04A3">
        <w:trPr>
          <w:trHeight w:val="278"/>
          <w:jc w:val="center"/>
        </w:trPr>
        <w:tc>
          <w:tcPr>
            <w:tcW w:w="1680" w:type="dxa"/>
            <w:noWrap/>
            <w:hideMark/>
          </w:tcPr>
          <w:p w14:paraId="76550158" w14:textId="77777777" w:rsidR="005955AB" w:rsidRPr="00A663DD" w:rsidRDefault="005955AB" w:rsidP="005955AB">
            <w:pPr>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K-R-N</w:t>
            </w:r>
          </w:p>
        </w:tc>
        <w:tc>
          <w:tcPr>
            <w:tcW w:w="1840" w:type="dxa"/>
            <w:noWrap/>
            <w:hideMark/>
          </w:tcPr>
          <w:p w14:paraId="362175CB" w14:textId="77777777" w:rsidR="005955AB" w:rsidRPr="00A663DD" w:rsidRDefault="005955AB" w:rsidP="005955AB">
            <w:pPr>
              <w:jc w:val="right"/>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1206458337</w:t>
            </w:r>
          </w:p>
        </w:tc>
        <w:tc>
          <w:tcPr>
            <w:tcW w:w="1620" w:type="dxa"/>
            <w:noWrap/>
            <w:hideMark/>
          </w:tcPr>
          <w:p w14:paraId="3CB0CB15" w14:textId="77777777" w:rsidR="005955AB" w:rsidRPr="00A663DD" w:rsidRDefault="005955AB" w:rsidP="005955AB">
            <w:pPr>
              <w:jc w:val="right"/>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1206458337</w:t>
            </w:r>
          </w:p>
        </w:tc>
        <w:tc>
          <w:tcPr>
            <w:tcW w:w="1620" w:type="dxa"/>
            <w:noWrap/>
            <w:hideMark/>
          </w:tcPr>
          <w:p w14:paraId="656BB267" w14:textId="77777777" w:rsidR="005955AB" w:rsidRPr="00A663DD" w:rsidRDefault="005955AB" w:rsidP="005955AB">
            <w:pPr>
              <w:jc w:val="right"/>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57.36</w:t>
            </w:r>
          </w:p>
        </w:tc>
        <w:tc>
          <w:tcPr>
            <w:tcW w:w="1660" w:type="dxa"/>
            <w:noWrap/>
            <w:hideMark/>
          </w:tcPr>
          <w:p w14:paraId="6FA80816" w14:textId="77777777" w:rsidR="005955AB" w:rsidRPr="00A663DD" w:rsidRDefault="005955AB" w:rsidP="005955AB">
            <w:pPr>
              <w:jc w:val="right"/>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88.67</w:t>
            </w:r>
          </w:p>
        </w:tc>
      </w:tr>
      <w:tr w:rsidR="005955AB" w:rsidRPr="00A663DD" w14:paraId="0CCE4872" w14:textId="77777777" w:rsidTr="005E04A3">
        <w:trPr>
          <w:trHeight w:val="278"/>
          <w:jc w:val="center"/>
        </w:trPr>
        <w:tc>
          <w:tcPr>
            <w:tcW w:w="1680" w:type="dxa"/>
            <w:noWrap/>
            <w:hideMark/>
          </w:tcPr>
          <w:p w14:paraId="07FF434D" w14:textId="77777777" w:rsidR="005955AB" w:rsidRPr="00A663DD" w:rsidRDefault="005955AB" w:rsidP="005955AB">
            <w:pPr>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R-Normal</w:t>
            </w:r>
          </w:p>
        </w:tc>
        <w:tc>
          <w:tcPr>
            <w:tcW w:w="1840" w:type="dxa"/>
            <w:noWrap/>
            <w:hideMark/>
          </w:tcPr>
          <w:p w14:paraId="66C5A442" w14:textId="77777777" w:rsidR="005955AB" w:rsidRPr="00A663DD" w:rsidRDefault="005955AB" w:rsidP="005955AB">
            <w:pPr>
              <w:jc w:val="right"/>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1596999977</w:t>
            </w:r>
          </w:p>
        </w:tc>
        <w:tc>
          <w:tcPr>
            <w:tcW w:w="1620" w:type="dxa"/>
            <w:noWrap/>
            <w:hideMark/>
          </w:tcPr>
          <w:p w14:paraId="473B5629" w14:textId="77777777" w:rsidR="005955AB" w:rsidRPr="00A663DD" w:rsidRDefault="005955AB" w:rsidP="005955AB">
            <w:pPr>
              <w:jc w:val="right"/>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1596999977</w:t>
            </w:r>
          </w:p>
        </w:tc>
        <w:tc>
          <w:tcPr>
            <w:tcW w:w="1620" w:type="dxa"/>
            <w:noWrap/>
            <w:hideMark/>
          </w:tcPr>
          <w:p w14:paraId="4A654919" w14:textId="77777777" w:rsidR="005955AB" w:rsidRPr="00A663DD" w:rsidRDefault="005955AB" w:rsidP="005955AB">
            <w:pPr>
              <w:jc w:val="right"/>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74.21</w:t>
            </w:r>
          </w:p>
        </w:tc>
        <w:tc>
          <w:tcPr>
            <w:tcW w:w="1660" w:type="dxa"/>
            <w:noWrap/>
            <w:hideMark/>
          </w:tcPr>
          <w:p w14:paraId="2AB214A2" w14:textId="77777777" w:rsidR="005955AB" w:rsidRPr="00A663DD" w:rsidRDefault="005955AB" w:rsidP="005955AB">
            <w:pPr>
              <w:jc w:val="right"/>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88.71</w:t>
            </w:r>
          </w:p>
        </w:tc>
      </w:tr>
      <w:tr w:rsidR="005955AB" w:rsidRPr="00A663DD" w14:paraId="26771D31" w14:textId="77777777" w:rsidTr="005E04A3">
        <w:trPr>
          <w:trHeight w:val="278"/>
          <w:jc w:val="center"/>
        </w:trPr>
        <w:tc>
          <w:tcPr>
            <w:tcW w:w="1680" w:type="dxa"/>
            <w:noWrap/>
            <w:hideMark/>
          </w:tcPr>
          <w:p w14:paraId="60BDFCBA" w14:textId="77777777" w:rsidR="005955AB" w:rsidRPr="00A663DD" w:rsidRDefault="005955AB" w:rsidP="005955AB">
            <w:pPr>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K-L-L</w:t>
            </w:r>
          </w:p>
        </w:tc>
        <w:tc>
          <w:tcPr>
            <w:tcW w:w="1840" w:type="dxa"/>
            <w:noWrap/>
            <w:hideMark/>
          </w:tcPr>
          <w:p w14:paraId="73955810" w14:textId="77777777" w:rsidR="005955AB" w:rsidRPr="00A663DD" w:rsidRDefault="005955AB" w:rsidP="005955AB">
            <w:pPr>
              <w:jc w:val="right"/>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1479224911</w:t>
            </w:r>
          </w:p>
        </w:tc>
        <w:tc>
          <w:tcPr>
            <w:tcW w:w="1620" w:type="dxa"/>
            <w:noWrap/>
            <w:hideMark/>
          </w:tcPr>
          <w:p w14:paraId="43605E9D" w14:textId="77777777" w:rsidR="005955AB" w:rsidRPr="00A663DD" w:rsidRDefault="005955AB" w:rsidP="005955AB">
            <w:pPr>
              <w:jc w:val="right"/>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1479224911</w:t>
            </w:r>
          </w:p>
        </w:tc>
        <w:tc>
          <w:tcPr>
            <w:tcW w:w="1620" w:type="dxa"/>
            <w:noWrap/>
            <w:hideMark/>
          </w:tcPr>
          <w:p w14:paraId="631A902A" w14:textId="77777777" w:rsidR="005955AB" w:rsidRPr="00A663DD" w:rsidRDefault="005955AB" w:rsidP="005955AB">
            <w:pPr>
              <w:jc w:val="right"/>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69.71</w:t>
            </w:r>
          </w:p>
        </w:tc>
        <w:tc>
          <w:tcPr>
            <w:tcW w:w="1660" w:type="dxa"/>
            <w:noWrap/>
            <w:hideMark/>
          </w:tcPr>
          <w:p w14:paraId="0D198104" w14:textId="77777777" w:rsidR="005955AB" w:rsidRPr="00A663DD" w:rsidRDefault="005955AB" w:rsidP="005955AB">
            <w:pPr>
              <w:jc w:val="right"/>
              <w:rPr>
                <w:rFonts w:ascii="Arial" w:eastAsia="等线" w:hAnsi="Arial" w:cs="Arial"/>
                <w:color w:val="000000"/>
                <w:sz w:val="20"/>
                <w:szCs w:val="20"/>
                <w:lang w:eastAsia="zh-CN"/>
              </w:rPr>
            </w:pPr>
            <w:r w:rsidRPr="00A663DD">
              <w:rPr>
                <w:rFonts w:ascii="Arial" w:eastAsia="等线" w:hAnsi="Arial" w:cs="Arial"/>
                <w:color w:val="000000"/>
                <w:sz w:val="20"/>
                <w:szCs w:val="20"/>
                <w:lang w:eastAsia="zh-CN"/>
              </w:rPr>
              <w:t>88.74</w:t>
            </w:r>
          </w:p>
        </w:tc>
      </w:tr>
    </w:tbl>
    <w:p w14:paraId="3A55AEF4" w14:textId="77777777" w:rsidR="005955AB" w:rsidRPr="00A663DD" w:rsidRDefault="005955AB" w:rsidP="00F2789D">
      <w:pPr>
        <w:autoSpaceDE w:val="0"/>
        <w:autoSpaceDN w:val="0"/>
        <w:adjustRightInd w:val="0"/>
        <w:spacing w:line="480" w:lineRule="auto"/>
        <w:jc w:val="both"/>
        <w:rPr>
          <w:rFonts w:ascii="Arial" w:hAnsi="Arial" w:cs="Arial"/>
          <w:b/>
          <w:color w:val="000000"/>
        </w:rPr>
      </w:pPr>
    </w:p>
    <w:p w14:paraId="5D799008" w14:textId="042591DF" w:rsidR="00F2789D" w:rsidRPr="00A663DD" w:rsidRDefault="00F2789D" w:rsidP="00A663DD">
      <w:pPr>
        <w:autoSpaceDE w:val="0"/>
        <w:autoSpaceDN w:val="0"/>
        <w:adjustRightInd w:val="0"/>
        <w:spacing w:line="360" w:lineRule="auto"/>
        <w:jc w:val="both"/>
        <w:rPr>
          <w:rFonts w:ascii="Arial" w:hAnsi="Arial" w:cs="Arial"/>
          <w:b/>
          <w:color w:val="000000"/>
        </w:rPr>
      </w:pPr>
      <w:r w:rsidRPr="00A663DD">
        <w:rPr>
          <w:rFonts w:ascii="Arial" w:hAnsi="Arial" w:cs="Arial"/>
          <w:b/>
          <w:color w:val="000000"/>
        </w:rPr>
        <w:lastRenderedPageBreak/>
        <w:t>METHODS DETAILS</w:t>
      </w:r>
    </w:p>
    <w:p w14:paraId="1B9765BD" w14:textId="77777777" w:rsidR="00F2789D" w:rsidRPr="00A663DD" w:rsidRDefault="00F2789D" w:rsidP="00A663DD">
      <w:pPr>
        <w:spacing w:line="360" w:lineRule="auto"/>
        <w:jc w:val="both"/>
        <w:rPr>
          <w:rFonts w:ascii="Arial" w:hAnsi="Arial" w:cs="Arial"/>
          <w:b/>
          <w:color w:val="000000"/>
        </w:rPr>
      </w:pPr>
      <w:r w:rsidRPr="00A663DD">
        <w:rPr>
          <w:rFonts w:ascii="Arial" w:hAnsi="Arial" w:cs="Arial"/>
          <w:b/>
          <w:color w:val="000000"/>
        </w:rPr>
        <w:t xml:space="preserve">Ethics statement </w:t>
      </w:r>
    </w:p>
    <w:p w14:paraId="1A26CD8B" w14:textId="099584F9" w:rsidR="00F2789D" w:rsidRPr="00A663DD" w:rsidRDefault="00F2789D" w:rsidP="00A663DD">
      <w:pPr>
        <w:spacing w:line="360" w:lineRule="auto"/>
        <w:ind w:firstLineChars="200" w:firstLine="480"/>
        <w:jc w:val="both"/>
        <w:rPr>
          <w:rFonts w:ascii="Arial" w:hAnsi="Arial" w:cs="Arial"/>
          <w:bCs/>
          <w:color w:val="000000"/>
        </w:rPr>
      </w:pPr>
      <w:r w:rsidRPr="00A663DD">
        <w:rPr>
          <w:rFonts w:ascii="Arial" w:hAnsi="Arial" w:cs="Arial"/>
          <w:bCs/>
          <w:color w:val="000000"/>
        </w:rPr>
        <w:t>The whole genomic DNA sequencing and scRNA-seq of human skin biopsies study were reviewed and approved by the Medical Science Research Ethics Committee of Peking University Third Hospital. The donor signed the written informed consent for sample collection and data analysis. Before signing the consent, necessary information including the goals and related experimental procedures for the study were provided to the donor. In this study, we collected 1 × 1</w:t>
      </w:r>
      <w:r w:rsidR="00183B01">
        <w:rPr>
          <w:rFonts w:ascii="Arial" w:hAnsi="Arial" w:cs="Arial"/>
          <w:bCs/>
          <w:color w:val="000000"/>
        </w:rPr>
        <w:t xml:space="preserve"> </w:t>
      </w:r>
      <w:r w:rsidRPr="00A663DD">
        <w:rPr>
          <w:rFonts w:ascii="Arial" w:hAnsi="Arial" w:cs="Arial"/>
          <w:bCs/>
          <w:color w:val="000000"/>
        </w:rPr>
        <w:t xml:space="preserve">cm skin biopsies from the psoriasis lesion and contralateral control skin. </w:t>
      </w:r>
    </w:p>
    <w:p w14:paraId="5DA804B7" w14:textId="77777777" w:rsidR="00F2789D" w:rsidRPr="00A663DD" w:rsidRDefault="00F2789D" w:rsidP="00A663DD">
      <w:pPr>
        <w:spacing w:line="360" w:lineRule="auto"/>
        <w:jc w:val="both"/>
        <w:rPr>
          <w:rFonts w:ascii="Arial" w:hAnsi="Arial" w:cs="Arial"/>
          <w:b/>
          <w:color w:val="000000"/>
        </w:rPr>
      </w:pPr>
    </w:p>
    <w:p w14:paraId="11C9DBAA" w14:textId="77777777" w:rsidR="00F2789D" w:rsidRPr="00A663DD" w:rsidRDefault="00F2789D" w:rsidP="00A663DD">
      <w:pPr>
        <w:spacing w:line="360" w:lineRule="auto"/>
        <w:jc w:val="both"/>
        <w:rPr>
          <w:rFonts w:ascii="Arial" w:hAnsi="Arial" w:cs="Arial"/>
          <w:b/>
          <w:color w:val="000000"/>
        </w:rPr>
      </w:pPr>
      <w:r w:rsidRPr="00A663DD">
        <w:rPr>
          <w:rFonts w:ascii="Arial" w:hAnsi="Arial" w:cs="Arial"/>
          <w:b/>
          <w:color w:val="000000"/>
        </w:rPr>
        <w:t>Isolation of cells and Fluorescence-activated Cell Sorting</w:t>
      </w:r>
    </w:p>
    <w:p w14:paraId="07FCD3EA" w14:textId="2CE934A6" w:rsidR="00F2789D" w:rsidRPr="00A663DD" w:rsidRDefault="00F2789D" w:rsidP="00A663DD">
      <w:pPr>
        <w:spacing w:line="360" w:lineRule="auto"/>
        <w:ind w:firstLineChars="200" w:firstLine="480"/>
        <w:jc w:val="both"/>
        <w:rPr>
          <w:rFonts w:ascii="Arial" w:hAnsi="Arial" w:cs="Arial"/>
          <w:color w:val="000000"/>
        </w:rPr>
      </w:pPr>
      <w:r w:rsidRPr="00A663DD">
        <w:rPr>
          <w:rFonts w:ascii="Arial" w:hAnsi="Arial" w:cs="Arial"/>
          <w:color w:val="000000"/>
        </w:rPr>
        <w:t>For the isolation of single-cell suspensions using human skin biopsies, subcutaneous fat was removed from skins with a scalpel. Back skin was cut into pieces and pl</w:t>
      </w:r>
      <w:r w:rsidR="00183B01">
        <w:rPr>
          <w:rFonts w:ascii="Arial" w:hAnsi="Arial" w:cs="Arial"/>
          <w:color w:val="000000"/>
        </w:rPr>
        <w:t>aced dermis side down in 2.4 U/</w:t>
      </w:r>
      <w:r w:rsidRPr="00A663DD">
        <w:rPr>
          <w:rFonts w:ascii="Arial" w:hAnsi="Arial" w:cs="Arial"/>
          <w:color w:val="000000"/>
        </w:rPr>
        <w:t xml:space="preserve">mL dispase II (Gibco, 17105041)) dissolved in PBS for 1 hr at 37˚C on an orbital shaker at 80 rpm. Separate the epidermis from the dermis with fine forceps and float the epidermis on 0.25% trypsin solution at 37˚C with shaking at 80 rpm for 10 min, and afterward 5% FBS medium was added to neutralize trypsin. Put the dermis in collagenase I (Sigma-Aldrich, C2674) at 37 °C with shaking at 80 rpm for 1 hr, afterward 5% FBS medium was added. </w:t>
      </w:r>
    </w:p>
    <w:p w14:paraId="095A729B" w14:textId="77777777" w:rsidR="00F2789D" w:rsidRPr="00A663DD" w:rsidRDefault="00F2789D" w:rsidP="00A663DD">
      <w:pPr>
        <w:spacing w:line="360" w:lineRule="auto"/>
        <w:ind w:firstLineChars="200" w:firstLine="480"/>
        <w:jc w:val="both"/>
        <w:rPr>
          <w:rFonts w:ascii="Arial" w:hAnsi="Arial" w:cs="Arial"/>
          <w:color w:val="000000"/>
        </w:rPr>
      </w:pPr>
      <w:r w:rsidRPr="00A663DD">
        <w:rPr>
          <w:rFonts w:ascii="Arial" w:hAnsi="Arial" w:cs="Arial"/>
          <w:color w:val="000000"/>
        </w:rPr>
        <w:t>Single-cell suspensions from the epidermis or dermis were obtained by pipetting the tissue suspension up and down using 50 mL serological pipets. Cells were then filtered with strainers (70 μm followed by 40 μm), centrifuged, and stained with anti-human CD45 (BD Biosciences, 555485). DAPI staining was used to exclude dead cells.</w:t>
      </w:r>
    </w:p>
    <w:p w14:paraId="6DEB596E" w14:textId="77777777" w:rsidR="00F2789D" w:rsidRPr="00A663DD" w:rsidRDefault="00F2789D" w:rsidP="00A663DD">
      <w:pPr>
        <w:spacing w:line="360" w:lineRule="auto"/>
        <w:ind w:firstLineChars="200" w:firstLine="480"/>
        <w:jc w:val="both"/>
        <w:rPr>
          <w:rFonts w:ascii="Arial" w:hAnsi="Arial" w:cs="Arial"/>
          <w:color w:val="000000"/>
        </w:rPr>
      </w:pPr>
      <w:r w:rsidRPr="00A663DD">
        <w:rPr>
          <w:rFonts w:ascii="Arial" w:hAnsi="Arial" w:cs="Arial"/>
          <w:color w:val="000000"/>
        </w:rPr>
        <w:t xml:space="preserve">On the basis of FACS analysis, single cells of different subtypes, including immune cells (CD45+) from both the epidermis and dermis, epidermal cells (CD45-) from the epidermis, dermal cells (CD45−) from the dermis were sorted into 2% BSA (Takara, 2320) in PBS. Cell analysis and isolation were performed on a BD Arial III cell sorter controlled by FACSDiva software (BD bioscience). For </w:t>
      </w:r>
      <w:r w:rsidRPr="00A663DD">
        <w:rPr>
          <w:rFonts w:ascii="Arial" w:hAnsi="Arial" w:cs="Arial"/>
          <w:color w:val="000000"/>
        </w:rPr>
        <w:lastRenderedPageBreak/>
        <w:t xml:space="preserve">each skin biopsy sample, immune cells, dermal cells, and epidermal cells were pooled together in a 4:5:1 ratio for the next step of single-cell analysis. </w:t>
      </w:r>
    </w:p>
    <w:p w14:paraId="78D2C8D8" w14:textId="77777777" w:rsidR="00F2789D" w:rsidRPr="00A663DD" w:rsidRDefault="00F2789D" w:rsidP="00A663DD">
      <w:pPr>
        <w:spacing w:line="360" w:lineRule="auto"/>
        <w:jc w:val="both"/>
        <w:rPr>
          <w:rFonts w:ascii="Arial" w:hAnsi="Arial" w:cs="Arial"/>
          <w:b/>
          <w:bCs/>
          <w:color w:val="000000"/>
        </w:rPr>
      </w:pPr>
    </w:p>
    <w:p w14:paraId="496FF849" w14:textId="77777777" w:rsidR="00F2789D" w:rsidRPr="00A663DD" w:rsidRDefault="00F2789D" w:rsidP="00A663DD">
      <w:pPr>
        <w:spacing w:line="360" w:lineRule="auto"/>
        <w:jc w:val="both"/>
        <w:rPr>
          <w:rFonts w:ascii="Arial" w:hAnsi="Arial" w:cs="Arial"/>
          <w:b/>
          <w:bCs/>
          <w:color w:val="000000"/>
        </w:rPr>
      </w:pPr>
      <w:r w:rsidRPr="00A663DD">
        <w:rPr>
          <w:rFonts w:ascii="Arial" w:hAnsi="Arial" w:cs="Arial"/>
          <w:b/>
          <w:bCs/>
          <w:color w:val="000000"/>
        </w:rPr>
        <w:t xml:space="preserve">Isolation of Genomic DNA </w:t>
      </w:r>
    </w:p>
    <w:p w14:paraId="6794DF0F" w14:textId="77777777" w:rsidR="00F2789D" w:rsidRPr="00A663DD" w:rsidRDefault="00F2789D" w:rsidP="00A663DD">
      <w:pPr>
        <w:autoSpaceDE w:val="0"/>
        <w:autoSpaceDN w:val="0"/>
        <w:adjustRightInd w:val="0"/>
        <w:spacing w:line="360" w:lineRule="auto"/>
        <w:ind w:firstLineChars="200" w:firstLine="480"/>
        <w:jc w:val="both"/>
        <w:rPr>
          <w:rFonts w:ascii="Arial" w:hAnsi="Arial" w:cs="Arial"/>
          <w:color w:val="000000"/>
        </w:rPr>
      </w:pPr>
      <w:r w:rsidRPr="00A663DD">
        <w:rPr>
          <w:rFonts w:ascii="Arial" w:hAnsi="Arial" w:cs="Arial"/>
          <w:color w:val="000000"/>
        </w:rPr>
        <w:t>Genomic DNA was extracted from human skin biopsies with a genomic DNA isolation kit (Omega) according to the manufacturer’s instructions. Genomic DNA was measured with a NanoDrop instrument (Thermo Fisher Scientific).</w:t>
      </w:r>
    </w:p>
    <w:p w14:paraId="553E3AC8" w14:textId="77777777" w:rsidR="00F2789D" w:rsidRPr="00A663DD" w:rsidRDefault="00F2789D" w:rsidP="00A663DD">
      <w:pPr>
        <w:spacing w:line="360" w:lineRule="auto"/>
        <w:jc w:val="both"/>
        <w:rPr>
          <w:rFonts w:ascii="Arial" w:hAnsi="Arial" w:cs="Arial"/>
          <w:b/>
          <w:color w:val="000000"/>
        </w:rPr>
      </w:pPr>
    </w:p>
    <w:p w14:paraId="4F61FFEB" w14:textId="77777777" w:rsidR="00F2789D" w:rsidRPr="00A663DD" w:rsidRDefault="00F2789D" w:rsidP="00A663DD">
      <w:pPr>
        <w:spacing w:line="360" w:lineRule="auto"/>
        <w:jc w:val="both"/>
        <w:rPr>
          <w:rFonts w:ascii="Arial" w:hAnsi="Arial" w:cs="Arial"/>
          <w:b/>
          <w:color w:val="000000"/>
        </w:rPr>
      </w:pPr>
      <w:r w:rsidRPr="00A663DD">
        <w:rPr>
          <w:rFonts w:ascii="Arial" w:hAnsi="Arial" w:cs="Arial"/>
          <w:b/>
          <w:color w:val="000000"/>
        </w:rPr>
        <w:t>Single cell RNA-seq analysis</w:t>
      </w:r>
    </w:p>
    <w:p w14:paraId="7DA3BE79" w14:textId="77777777" w:rsidR="00F2789D" w:rsidRPr="00A663DD" w:rsidRDefault="00F2789D" w:rsidP="00A663DD">
      <w:pPr>
        <w:spacing w:line="360" w:lineRule="auto"/>
        <w:ind w:firstLineChars="200" w:firstLine="480"/>
        <w:jc w:val="both"/>
        <w:rPr>
          <w:rFonts w:ascii="Arial" w:hAnsi="Arial" w:cs="Arial"/>
          <w:bCs/>
          <w:color w:val="000000"/>
        </w:rPr>
      </w:pPr>
      <w:r w:rsidRPr="00A663DD">
        <w:rPr>
          <w:rFonts w:ascii="Arial" w:hAnsi="Arial" w:cs="Arial"/>
          <w:bCs/>
          <w:color w:val="000000"/>
        </w:rPr>
        <w:t>Single-cell sequencing data were processed using the CellRanger pipeline (version 6.0.2; 10X Genomics). We mapped the raw data of each sample against the human genome reference (GRCh38), and annotated them with GENCODE gene annotations for the GRCh38 genome assembly (GENCODE release 32) to obtain expression matrix.</w:t>
      </w:r>
    </w:p>
    <w:p w14:paraId="0DCF1B93" w14:textId="50C34287" w:rsidR="00F2789D" w:rsidRPr="00A663DD" w:rsidRDefault="00F2789D" w:rsidP="00A663DD">
      <w:pPr>
        <w:spacing w:line="360" w:lineRule="auto"/>
        <w:ind w:firstLineChars="200" w:firstLine="480"/>
        <w:jc w:val="both"/>
        <w:rPr>
          <w:rFonts w:ascii="Arial" w:hAnsi="Arial" w:cs="Arial"/>
          <w:bCs/>
          <w:color w:val="000000"/>
        </w:rPr>
      </w:pPr>
      <w:r w:rsidRPr="00A663DD">
        <w:rPr>
          <w:rFonts w:ascii="Arial" w:hAnsi="Arial" w:cs="Arial"/>
          <w:bCs/>
          <w:color w:val="000000"/>
        </w:rPr>
        <w:t xml:space="preserve">The single cell expression matrices for the 6 samples were then imported to R (4.1.0) using the Read10X() function from the Seurat package (4.0.5) </w:t>
      </w:r>
      <w:r w:rsidRPr="00A663DD">
        <w:rPr>
          <w:rFonts w:ascii="Arial" w:hAnsi="Arial" w:cs="Arial"/>
          <w:bCs/>
          <w:color w:val="000000"/>
        </w:rPr>
        <w:fldChar w:fldCharType="begin">
          <w:fldData xml:space="preserve">PEVuZE5vdGU+PENpdGU+PEF1dGhvcj5IYW88L0F1dGhvcj48WWVhcj4yMDIxPC9ZZWFyPjxSZWNO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</w:fldData>
        </w:fldChar>
      </w:r>
      <w:r w:rsidR="005955AB" w:rsidRPr="00A663DD">
        <w:rPr>
          <w:rFonts w:ascii="Arial" w:hAnsi="Arial" w:cs="Arial"/>
          <w:bCs/>
          <w:color w:val="000000"/>
        </w:rPr>
        <w:instrText xml:space="preserve"> ADDIN EN.CITE </w:instrText>
      </w:r>
      <w:r w:rsidR="005955AB" w:rsidRPr="00A663DD">
        <w:rPr>
          <w:rFonts w:ascii="Arial" w:hAnsi="Arial" w:cs="Arial"/>
          <w:bCs/>
          <w:color w:val="000000"/>
        </w:rPr>
        <w:fldChar w:fldCharType="begin">
          <w:fldData xml:space="preserve">PEVuZE5vdGU+PENpdGU+PEF1dGhvcj5IYW88L0F1dGhvcj48WWVhcj4yMDIxPC9ZZWFyPjxSZWNO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</w:fldData>
        </w:fldChar>
      </w:r>
      <w:r w:rsidR="005955AB" w:rsidRPr="00A663DD">
        <w:rPr>
          <w:rFonts w:ascii="Arial" w:hAnsi="Arial" w:cs="Arial"/>
          <w:bCs/>
          <w:color w:val="000000"/>
        </w:rPr>
        <w:instrText xml:space="preserve"> ADDIN EN.CITE.DATA </w:instrText>
      </w:r>
      <w:r w:rsidR="005955AB" w:rsidRPr="00A663DD">
        <w:rPr>
          <w:rFonts w:ascii="Arial" w:hAnsi="Arial" w:cs="Arial"/>
          <w:bCs/>
          <w:color w:val="000000"/>
        </w:rPr>
      </w:r>
      <w:r w:rsidR="005955AB" w:rsidRPr="00A663DD">
        <w:rPr>
          <w:rFonts w:ascii="Arial" w:hAnsi="Arial" w:cs="Arial"/>
          <w:bCs/>
          <w:color w:val="000000"/>
        </w:rPr>
        <w:fldChar w:fldCharType="end"/>
      </w:r>
      <w:r w:rsidRPr="00A663DD">
        <w:rPr>
          <w:rFonts w:ascii="Arial" w:hAnsi="Arial" w:cs="Arial"/>
          <w:bCs/>
          <w:color w:val="000000"/>
        </w:rPr>
      </w:r>
      <w:r w:rsidRPr="00A663DD">
        <w:rPr>
          <w:rFonts w:ascii="Arial" w:hAnsi="Arial" w:cs="Arial"/>
          <w:bCs/>
          <w:color w:val="000000"/>
        </w:rPr>
        <w:fldChar w:fldCharType="separate"/>
      </w:r>
      <w:r w:rsidR="005955AB" w:rsidRPr="00A663DD">
        <w:rPr>
          <w:rFonts w:ascii="Arial" w:hAnsi="Arial" w:cs="Arial"/>
          <w:bCs/>
          <w:noProof/>
          <w:color w:val="000000"/>
        </w:rPr>
        <w:t>(Hao et al., 2021)</w:t>
      </w:r>
      <w:r w:rsidRPr="00A663DD">
        <w:rPr>
          <w:rFonts w:ascii="Arial" w:hAnsi="Arial" w:cs="Arial"/>
          <w:bCs/>
          <w:color w:val="000000"/>
        </w:rPr>
        <w:fldChar w:fldCharType="end"/>
      </w:r>
      <w:r w:rsidRPr="00A663DD">
        <w:rPr>
          <w:rFonts w:ascii="Arial" w:hAnsi="Arial" w:cs="Arial"/>
          <w:bCs/>
          <w:color w:val="000000"/>
        </w:rPr>
        <w:t xml:space="preserve">. Cells with &lt;500 genes or &lt;2000 unique molecular identifiers (UMIs), and genes expressed in fewer than 200 cells were excluded from the dataset. Cells with over 25% mitochondrial gene expressed were also discarded. Then we normalized </w:t>
      </w:r>
      <w:r w:rsidRPr="00A663DD">
        <w:rPr>
          <w:rFonts w:ascii="Arial" w:hAnsi="Arial" w:cs="Arial"/>
          <w:bCs/>
          <w:color w:val="000000"/>
          <w:lang w:eastAsia="zh-CN"/>
        </w:rPr>
        <w:t>the</w:t>
      </w:r>
      <w:r w:rsidRPr="00A663DD">
        <w:rPr>
          <w:rFonts w:ascii="Arial" w:hAnsi="Arial" w:cs="Arial"/>
          <w:bCs/>
          <w:color w:val="000000"/>
        </w:rPr>
        <w:t xml:space="preserve"> expression matrix of each sample using the LogNormalize() function of Seurat with a scale factor</w:t>
      </w:r>
      <w:r w:rsidR="00183B01">
        <w:rPr>
          <w:rFonts w:ascii="Arial" w:hAnsi="Arial" w:cs="Arial"/>
          <w:bCs/>
          <w:color w:val="000000"/>
        </w:rPr>
        <w:t xml:space="preserve"> </w:t>
      </w:r>
      <w:r w:rsidRPr="00A663DD">
        <w:rPr>
          <w:rFonts w:ascii="Arial" w:hAnsi="Arial" w:cs="Arial"/>
          <w:bCs/>
          <w:color w:val="000000"/>
        </w:rPr>
        <w:t>=</w:t>
      </w:r>
      <w:r w:rsidR="00183B01">
        <w:rPr>
          <w:rFonts w:ascii="Arial" w:hAnsi="Arial" w:cs="Arial"/>
          <w:bCs/>
          <w:color w:val="000000"/>
        </w:rPr>
        <w:t xml:space="preserve"> </w:t>
      </w:r>
      <w:r w:rsidRPr="00A663DD">
        <w:rPr>
          <w:rFonts w:ascii="Arial" w:hAnsi="Arial" w:cs="Arial"/>
          <w:bCs/>
          <w:color w:val="000000"/>
        </w:rPr>
        <w:t xml:space="preserve">10,000, and applied the Scale.Data() function of Seurat with “vars.to.regress” parameter to scale the read count of each </w:t>
      </w:r>
      <w:bookmarkStart w:id="0" w:name="_GoBack"/>
      <w:bookmarkEnd w:id="0"/>
      <w:r w:rsidRPr="00A663DD">
        <w:rPr>
          <w:rFonts w:ascii="Arial" w:hAnsi="Arial" w:cs="Arial"/>
          <w:bCs/>
          <w:color w:val="000000"/>
        </w:rPr>
        <w:t xml:space="preserve">cell. We selected top 2000 genes with highest dispersions using the FindVariableGenes() function. Moreover, we applied DoubletFinder (v2.0.3) with parameters “PCs = 1:30, pN = 0.25” to filter doublets from these expression matrices </w:t>
      </w:r>
      <w:r w:rsidRPr="00A663DD">
        <w:rPr>
          <w:rFonts w:ascii="Arial" w:hAnsi="Arial" w:cs="Arial"/>
          <w:bCs/>
          <w:color w:val="000000"/>
        </w:rPr>
        <w:fldChar w:fldCharType="begin"/>
      </w:r>
      <w:r w:rsidR="005955AB" w:rsidRPr="00A663DD">
        <w:rPr>
          <w:rFonts w:ascii="Arial" w:hAnsi="Arial" w:cs="Arial"/>
          <w:bCs/>
          <w:color w:val="000000"/>
        </w:rPr>
        <w:instrText xml:space="preserve"> ADDIN EN.CITE &lt;EndNote&gt;&lt;Cite&gt;&lt;Author&gt;McGinnis&lt;/Author&gt;&lt;Year&gt;2019&lt;/Year&gt;&lt;RecNum&gt;694&lt;/RecNum&gt;&lt;DisplayText&gt;(McGinnis et al., 2019)&lt;/DisplayText&gt;&lt;record&gt;&lt;rec-number&gt;694&lt;/rec-number&gt;&lt;foreign-keys&gt;&lt;key app="EN" db-id="rd25a09tqxpxz3ed2t3v2d5pareedwrwt2zw" timestamp="1667984952"&gt;694&lt;/key&gt;&lt;/foreign-keys&gt;&lt;ref-type name="Journal Article"&gt;17&lt;/ref-type&gt;&lt;contributors&gt;&lt;authors&gt;&lt;author&gt;McGinnis, C. S.&lt;/author&gt;&lt;author&gt;Murrow, L. M.&lt;/author&gt;&lt;author&gt;Gartner, Z. J.&lt;/author&gt;&lt;/authors&gt;&lt;/contributors&gt;&lt;auth-address&gt;Department of Pharmaceutical Chemistry, University of California, San Francisco, San Francisco, CA, USA.&amp;#xD;Department of Pharmaceutical Chemistry, University of California, San Francisco, San Francisco, CA, USA; Chan Zuckerbeg Biohub, University of California, San Francisco, San Francisco, CA, USA; Center for Cellular Construction, University of California, San Francisco, San Francisco, CA, USA. Electronic address: zev.gartner@ucsf.edu.&lt;/auth-address&gt;&lt;titles&gt;&lt;title&gt;DoubletFinder: Doublet Detection in Single-Cell RNA Sequencing Data Using Artificial Nearest Neighbors&lt;/title&gt;&lt;secondary-title&gt;Cell Syst&lt;/secondary-title&gt;&lt;/titles&gt;&lt;periodical&gt;&lt;full-title&gt;Cell Syst&lt;/full-title&gt;&lt;/periodical&gt;&lt;pages&gt;329-337.e4&lt;/pages&gt;&lt;volume&gt;8&lt;/volume&gt;&lt;number&gt;4&lt;/number&gt;&lt;edition&gt;2019/04/08&lt;/edition&gt;&lt;keywords&gt;&lt;keyword&gt;Humans&lt;/keyword&gt;&lt;keyword&gt;RNA-Seq/*methods/standards&lt;/keyword&gt;&lt;keyword&gt;Single-Cell Analysis/*methods/standards&lt;/keyword&gt;&lt;keyword&gt;*Software&lt;/keyword&gt;&lt;keyword&gt;doublet detection&lt;/keyword&gt;&lt;keyword&gt;machine learning&lt;/keyword&gt;&lt;keyword&gt;quality-control&lt;/keyword&gt;&lt;keyword&gt;single-cell RNA sequencing&lt;/keyword&gt;&lt;/keywords&gt;&lt;dates&gt;&lt;year&gt;2019&lt;/year&gt;&lt;pub-dates&gt;&lt;date&gt;Apr 24&lt;/date&gt;&lt;/pub-dates&gt;&lt;/dates&gt;&lt;isbn&gt;2405-4712 (Print)&amp;#xD;2405-4712&lt;/isbn&gt;&lt;accession-num&gt;30954475&lt;/accession-num&gt;&lt;urls&gt;&lt;/urls&gt;&lt;custom2&gt;PMC6853612&lt;/custom2&gt;&lt;custom6&gt;NIHMS1057471&lt;/custom6&gt;&lt;electronic-resource-num&gt;10.1016/j.cels.2019.03.003&lt;/electronic-resource-num&gt;&lt;remote-database-provider&gt;NLM&lt;/remote-database-provider&gt;&lt;language&gt;eng&lt;/language&gt;&lt;/record&gt;&lt;/Cite&gt;&lt;/EndNote&gt;</w:instrText>
      </w:r>
      <w:r w:rsidRPr="00A663DD">
        <w:rPr>
          <w:rFonts w:ascii="Arial" w:hAnsi="Arial" w:cs="Arial"/>
          <w:bCs/>
          <w:color w:val="000000"/>
        </w:rPr>
        <w:fldChar w:fldCharType="separate"/>
      </w:r>
      <w:r w:rsidR="005955AB" w:rsidRPr="00A663DD">
        <w:rPr>
          <w:rFonts w:ascii="Arial" w:hAnsi="Arial" w:cs="Arial"/>
          <w:bCs/>
          <w:noProof/>
          <w:color w:val="000000"/>
        </w:rPr>
        <w:t>(McGinnis et al., 2019)</w:t>
      </w:r>
      <w:r w:rsidRPr="00A663DD">
        <w:rPr>
          <w:rFonts w:ascii="Arial" w:hAnsi="Arial" w:cs="Arial"/>
          <w:bCs/>
          <w:color w:val="000000"/>
        </w:rPr>
        <w:fldChar w:fldCharType="end"/>
      </w:r>
      <w:r w:rsidRPr="00A663DD">
        <w:rPr>
          <w:rFonts w:ascii="Arial" w:hAnsi="Arial" w:cs="Arial"/>
          <w:bCs/>
          <w:color w:val="000000"/>
        </w:rPr>
        <w:t xml:space="preserve">. </w:t>
      </w:r>
    </w:p>
    <w:p w14:paraId="5D61945E" w14:textId="3DCDEA68" w:rsidR="00F2789D" w:rsidRPr="00A663DD" w:rsidRDefault="00F2789D" w:rsidP="00A663DD">
      <w:pPr>
        <w:spacing w:line="360" w:lineRule="auto"/>
        <w:ind w:firstLineChars="200" w:firstLine="480"/>
        <w:jc w:val="both"/>
        <w:rPr>
          <w:rFonts w:ascii="Arial" w:hAnsi="Arial" w:cs="Arial"/>
          <w:bCs/>
          <w:color w:val="000000"/>
        </w:rPr>
      </w:pPr>
      <w:r w:rsidRPr="00A663DD">
        <w:rPr>
          <w:rFonts w:ascii="Arial" w:hAnsi="Arial" w:cs="Arial"/>
          <w:bCs/>
          <w:color w:val="000000"/>
          <w:lang w:eastAsia="zh-CN"/>
        </w:rPr>
        <w:t>We used the FindIntegrationArchor() and IntegrateData() functions of Seurat to integrate the expression matrices for the 6 samples, and</w:t>
      </w:r>
      <w:r w:rsidRPr="00A663DD">
        <w:rPr>
          <w:rFonts w:ascii="Arial" w:hAnsi="Arial" w:cs="Arial"/>
          <w:bCs/>
          <w:color w:val="000000"/>
        </w:rPr>
        <w:t xml:space="preserve"> applied the FindClusters() function with “resolution</w:t>
      </w:r>
      <w:r w:rsidR="00183B01">
        <w:rPr>
          <w:rFonts w:ascii="Arial" w:hAnsi="Arial" w:cs="Arial"/>
          <w:bCs/>
          <w:color w:val="000000"/>
        </w:rPr>
        <w:t xml:space="preserve"> </w:t>
      </w:r>
      <w:r w:rsidRPr="00A663DD">
        <w:rPr>
          <w:rFonts w:ascii="Arial" w:hAnsi="Arial" w:cs="Arial"/>
          <w:bCs/>
          <w:color w:val="000000"/>
        </w:rPr>
        <w:t>=</w:t>
      </w:r>
      <w:r w:rsidR="00183B01">
        <w:rPr>
          <w:rFonts w:ascii="Arial" w:hAnsi="Arial" w:cs="Arial"/>
          <w:bCs/>
          <w:color w:val="000000"/>
        </w:rPr>
        <w:t xml:space="preserve"> </w:t>
      </w:r>
      <w:r w:rsidRPr="00A663DD">
        <w:rPr>
          <w:rFonts w:ascii="Arial" w:hAnsi="Arial" w:cs="Arial"/>
          <w:bCs/>
          <w:color w:val="000000"/>
        </w:rPr>
        <w:t xml:space="preserve">0.5” to cluster cells of the integrated dataset. All cell clusters were then visualized in a 2-dimensional UMAP plot, and </w:t>
      </w:r>
      <w:r w:rsidRPr="00A663DD">
        <w:rPr>
          <w:rFonts w:ascii="Arial" w:hAnsi="Arial" w:cs="Arial"/>
          <w:bCs/>
          <w:color w:val="000000"/>
        </w:rPr>
        <w:lastRenderedPageBreak/>
        <w:t xml:space="preserve">we annotated these clusters to known cell types using corresponding marker genes. </w:t>
      </w:r>
    </w:p>
    <w:p w14:paraId="0385BC4F" w14:textId="77777777" w:rsidR="00F2789D" w:rsidRPr="00A663DD" w:rsidRDefault="00F2789D" w:rsidP="00A663DD">
      <w:pPr>
        <w:spacing w:line="360" w:lineRule="auto"/>
        <w:ind w:firstLineChars="200" w:firstLine="480"/>
        <w:jc w:val="both"/>
        <w:rPr>
          <w:rFonts w:ascii="Arial" w:hAnsi="Arial" w:cs="Arial"/>
          <w:bCs/>
          <w:color w:val="000000"/>
        </w:rPr>
      </w:pPr>
      <w:r w:rsidRPr="00A663DD">
        <w:rPr>
          <w:rFonts w:ascii="Arial" w:hAnsi="Arial" w:cs="Arial"/>
          <w:bCs/>
          <w:color w:val="000000"/>
          <w:lang w:eastAsia="zh-CN"/>
        </w:rPr>
        <w:t xml:space="preserve">We extracted </w:t>
      </w:r>
      <w:r w:rsidRPr="00A663DD">
        <w:rPr>
          <w:rFonts w:ascii="Arial" w:hAnsi="Arial" w:cs="Arial"/>
          <w:bCs/>
          <w:color w:val="000000"/>
        </w:rPr>
        <w:t xml:space="preserve">Dendritic cells, Langerhans cells, Macrophages, Mast cells, and T cells from the integrated dataset as an immune cell subset, including 14157 cells. </w:t>
      </w:r>
      <w:r w:rsidRPr="00A663DD">
        <w:rPr>
          <w:rFonts w:ascii="Arial" w:hAnsi="Arial" w:cs="Arial"/>
          <w:bCs/>
          <w:color w:val="000000"/>
          <w:lang w:eastAsia="zh-CN"/>
        </w:rPr>
        <w:t>We then re-</w:t>
      </w:r>
      <w:r w:rsidRPr="00A663DD">
        <w:rPr>
          <w:rFonts w:ascii="Arial" w:hAnsi="Arial" w:cs="Arial"/>
          <w:bCs/>
          <w:color w:val="000000"/>
        </w:rPr>
        <w:t xml:space="preserve">clustered the immune cell subset using top 50 principal components and “resolution=1.5”. Differentially expressed genes for each immune cell cluster were generated by the FindAllMarkers() function and two-sided non-parametric Wilcoxon rank sum test (log(fold-change)&gt;0.1, adjusted P-value&lt;0.01). </w:t>
      </w:r>
    </w:p>
    <w:p w14:paraId="3C95D43A" w14:textId="5E78C70A" w:rsidR="00F2789D" w:rsidRPr="00A663DD" w:rsidRDefault="00F2789D" w:rsidP="00A663DD">
      <w:pPr>
        <w:spacing w:line="360" w:lineRule="auto"/>
        <w:ind w:firstLineChars="200" w:firstLine="480"/>
        <w:jc w:val="both"/>
        <w:rPr>
          <w:rFonts w:ascii="Arial" w:hAnsi="Arial" w:cs="Arial"/>
          <w:bCs/>
          <w:color w:val="000000"/>
        </w:rPr>
      </w:pPr>
      <w:r w:rsidRPr="00A663DD">
        <w:rPr>
          <w:rFonts w:ascii="Arial" w:hAnsi="Arial" w:cs="Arial"/>
          <w:bCs/>
          <w:color w:val="000000"/>
        </w:rPr>
        <w:t>We used the clusterProfiler package (version 4.0.2)</w:t>
      </w:r>
      <w:r w:rsidRPr="00A663DD">
        <w:rPr>
          <w:rFonts w:ascii="Arial" w:hAnsi="Arial" w:cs="Arial"/>
          <w:bCs/>
          <w:color w:val="000000"/>
        </w:rPr>
        <w:fldChar w:fldCharType="begin">
          <w:fldData xml:space="preserve">PEVuZE5vdGU+PENpdGU+PEF1dGhvcj5XdTwvQXV0aG9yPjxZZWFyPjIwMjE8L1llYXI+PFJlY051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=
</w:fldData>
        </w:fldChar>
      </w:r>
      <w:r w:rsidR="005955AB" w:rsidRPr="00A663DD">
        <w:rPr>
          <w:rFonts w:ascii="Arial" w:hAnsi="Arial" w:cs="Arial"/>
          <w:bCs/>
          <w:color w:val="000000"/>
        </w:rPr>
        <w:instrText xml:space="preserve"> ADDIN EN.CITE </w:instrText>
      </w:r>
      <w:r w:rsidR="005955AB" w:rsidRPr="00A663DD">
        <w:rPr>
          <w:rFonts w:ascii="Arial" w:hAnsi="Arial" w:cs="Arial"/>
          <w:bCs/>
          <w:color w:val="000000"/>
        </w:rPr>
        <w:fldChar w:fldCharType="begin">
          <w:fldData xml:space="preserve">PEVuZE5vdGU+PENpdGU+PEF1dGhvcj5XdTwvQXV0aG9yPjxZZWFyPjIwMjE8L1llYXI+PFJlY051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=
</w:fldData>
        </w:fldChar>
      </w:r>
      <w:r w:rsidR="005955AB" w:rsidRPr="00A663DD">
        <w:rPr>
          <w:rFonts w:ascii="Arial" w:hAnsi="Arial" w:cs="Arial"/>
          <w:bCs/>
          <w:color w:val="000000"/>
        </w:rPr>
        <w:instrText xml:space="preserve"> ADDIN EN.CITE.DATA </w:instrText>
      </w:r>
      <w:r w:rsidR="005955AB" w:rsidRPr="00A663DD">
        <w:rPr>
          <w:rFonts w:ascii="Arial" w:hAnsi="Arial" w:cs="Arial"/>
          <w:bCs/>
          <w:color w:val="000000"/>
        </w:rPr>
      </w:r>
      <w:r w:rsidR="005955AB" w:rsidRPr="00A663DD">
        <w:rPr>
          <w:rFonts w:ascii="Arial" w:hAnsi="Arial" w:cs="Arial"/>
          <w:bCs/>
          <w:color w:val="000000"/>
        </w:rPr>
        <w:fldChar w:fldCharType="end"/>
      </w:r>
      <w:r w:rsidRPr="00A663DD">
        <w:rPr>
          <w:rFonts w:ascii="Arial" w:hAnsi="Arial" w:cs="Arial"/>
          <w:bCs/>
          <w:color w:val="000000"/>
        </w:rPr>
      </w:r>
      <w:r w:rsidRPr="00A663DD">
        <w:rPr>
          <w:rFonts w:ascii="Arial" w:hAnsi="Arial" w:cs="Arial"/>
          <w:bCs/>
          <w:color w:val="000000"/>
        </w:rPr>
        <w:fldChar w:fldCharType="separate"/>
      </w:r>
      <w:r w:rsidR="005955AB" w:rsidRPr="00A663DD">
        <w:rPr>
          <w:rFonts w:ascii="Arial" w:hAnsi="Arial" w:cs="Arial"/>
          <w:bCs/>
          <w:noProof/>
          <w:color w:val="000000"/>
        </w:rPr>
        <w:t>(Wu et al., 2021)</w:t>
      </w:r>
      <w:r w:rsidRPr="00A663DD">
        <w:rPr>
          <w:rFonts w:ascii="Arial" w:hAnsi="Arial" w:cs="Arial"/>
          <w:bCs/>
          <w:color w:val="000000"/>
        </w:rPr>
        <w:fldChar w:fldCharType="end"/>
      </w:r>
      <w:r w:rsidRPr="00A663DD">
        <w:rPr>
          <w:rFonts w:ascii="Arial" w:hAnsi="Arial" w:cs="Arial"/>
          <w:bCs/>
          <w:color w:val="000000"/>
        </w:rPr>
        <w:t xml:space="preserve"> to determine the GO terms and KEGG pathways enriched for the differentially expressed genes of each cell cluster.</w:t>
      </w:r>
      <w:r w:rsidRPr="00A663DD">
        <w:rPr>
          <w:rFonts w:ascii="Arial" w:hAnsi="Arial" w:cs="Arial"/>
          <w:bCs/>
          <w:color w:val="000000"/>
          <w:lang w:val="en-GB" w:eastAsia="zh-CN"/>
        </w:rPr>
        <w:t xml:space="preserve"> To identify cell-type-specific biological signatures associated with skin lesion, we first categorized all KEGG pathways significantly enriched in keratinocyte to 22 subcategories according to the definition in the GenomeNet Database (https://www.genome.jp/kegg/pathway.html).</w:t>
      </w:r>
      <w:r w:rsidRPr="00A663DD">
        <w:rPr>
          <w:rFonts w:ascii="Arial" w:hAnsi="Arial" w:cs="Arial"/>
        </w:rPr>
        <w:t xml:space="preserve"> </w:t>
      </w:r>
      <w:r w:rsidRPr="00A663DD">
        <w:rPr>
          <w:rFonts w:ascii="Arial" w:hAnsi="Arial" w:cs="Arial"/>
          <w:bCs/>
          <w:color w:val="000000"/>
          <w:lang w:val="en-GB" w:eastAsia="zh-CN"/>
        </w:rPr>
        <w:t xml:space="preserve">We then clustered these 22 subcategories to four main categories based on their biological relevance and calculated the enrichment score for each subcategory. </w:t>
      </w:r>
    </w:p>
    <w:p w14:paraId="5AFB9161" w14:textId="77777777" w:rsidR="00F2789D" w:rsidRPr="00A663DD" w:rsidRDefault="00F2789D" w:rsidP="00A663DD">
      <w:pPr>
        <w:spacing w:line="360" w:lineRule="auto"/>
        <w:jc w:val="both"/>
        <w:rPr>
          <w:rFonts w:ascii="Arial" w:hAnsi="Arial" w:cs="Arial"/>
          <w:b/>
          <w:color w:val="000000"/>
        </w:rPr>
      </w:pPr>
    </w:p>
    <w:p w14:paraId="00052E0E" w14:textId="77777777" w:rsidR="00F2789D" w:rsidRPr="00A663DD" w:rsidRDefault="00F2789D" w:rsidP="00A663DD">
      <w:pPr>
        <w:spacing w:line="360" w:lineRule="auto"/>
        <w:jc w:val="both"/>
        <w:rPr>
          <w:rFonts w:ascii="Arial" w:hAnsi="Arial" w:cs="Arial"/>
          <w:b/>
          <w:color w:val="000000"/>
        </w:rPr>
      </w:pPr>
      <w:r w:rsidRPr="00A663DD">
        <w:rPr>
          <w:rFonts w:ascii="Arial" w:hAnsi="Arial" w:cs="Arial"/>
          <w:b/>
          <w:color w:val="000000"/>
        </w:rPr>
        <w:t>Whole genome sequencing analysis</w:t>
      </w:r>
    </w:p>
    <w:p w14:paraId="61C46D35" w14:textId="1012FD42" w:rsidR="00F2789D" w:rsidRPr="00A663DD" w:rsidRDefault="00F2789D" w:rsidP="00A663DD">
      <w:pPr>
        <w:spacing w:line="360" w:lineRule="auto"/>
        <w:ind w:firstLineChars="200" w:firstLine="480"/>
        <w:jc w:val="both"/>
        <w:rPr>
          <w:rFonts w:ascii="Arial" w:hAnsi="Arial" w:cs="Arial"/>
          <w:bCs/>
          <w:color w:val="000000"/>
        </w:rPr>
      </w:pPr>
      <w:r w:rsidRPr="00A663DD">
        <w:rPr>
          <w:rFonts w:ascii="Arial" w:hAnsi="Arial" w:cs="Arial"/>
          <w:bCs/>
          <w:color w:val="000000"/>
        </w:rPr>
        <w:t xml:space="preserve">We used FastQC </w:t>
      </w:r>
      <w:r w:rsidRPr="00A663DD">
        <w:rPr>
          <w:rFonts w:ascii="Arial" w:hAnsi="Arial" w:cs="Arial"/>
          <w:bCs/>
          <w:color w:val="000000"/>
        </w:rPr>
        <w:fldChar w:fldCharType="begin"/>
      </w:r>
      <w:r w:rsidR="005955AB" w:rsidRPr="00A663DD">
        <w:rPr>
          <w:rFonts w:ascii="Arial" w:hAnsi="Arial" w:cs="Arial"/>
          <w:bCs/>
          <w:color w:val="000000"/>
        </w:rPr>
        <w:instrText xml:space="preserve"> ADDIN EN.CITE &lt;EndNote&gt;&lt;Cite&gt;&lt;Author&gt;Andrews&lt;/Author&gt;&lt;Year&gt;2010&lt;/Year&gt;&lt;RecNum&gt;679&lt;/RecNum&gt;&lt;DisplayText&gt;(Andrews, 2010)&lt;/DisplayText&gt;&lt;record&gt;&lt;rec-number&gt;679&lt;/rec-number&gt;&lt;foreign-keys&gt;&lt;key app="EN" db-id="rd25a09tqxpxz3ed2t3v2d5pareedwrwt2zw" timestamp="1665625221"&gt;679&lt;/key&gt;&lt;/foreign-keys&gt;&lt;ref-type name="Generic"&gt;13&lt;/ref-type&gt;&lt;contributors&gt;&lt;authors&gt;&lt;author&gt;Andrews, Simon&lt;/author&gt;&lt;/authors&gt;&lt;/contributors&gt;&lt;titles&gt;&lt;title&gt;FastQC: a quality control tool for high throughput sequence data&lt;/title&gt;&lt;/titles&gt;&lt;dates&gt;&lt;year&gt;2010&lt;/year&gt;&lt;/dates&gt;&lt;publisher&gt;Babraham Bioinformatics, Babraham Institute, Cambridge, United Kingdom&lt;/publisher&gt;&lt;urls&gt;&lt;/urls&gt;&lt;/record&gt;&lt;/Cite&gt;&lt;/EndNote&gt;</w:instrText>
      </w:r>
      <w:r w:rsidRPr="00A663DD">
        <w:rPr>
          <w:rFonts w:ascii="Arial" w:hAnsi="Arial" w:cs="Arial"/>
          <w:bCs/>
          <w:color w:val="000000"/>
        </w:rPr>
        <w:fldChar w:fldCharType="separate"/>
      </w:r>
      <w:r w:rsidR="005955AB" w:rsidRPr="00A663DD">
        <w:rPr>
          <w:rFonts w:ascii="Arial" w:hAnsi="Arial" w:cs="Arial"/>
          <w:bCs/>
          <w:noProof/>
          <w:color w:val="000000"/>
        </w:rPr>
        <w:t>(Andrews, 2010)</w:t>
      </w:r>
      <w:r w:rsidRPr="00A663DD">
        <w:rPr>
          <w:rFonts w:ascii="Arial" w:hAnsi="Arial" w:cs="Arial"/>
          <w:bCs/>
          <w:color w:val="000000"/>
        </w:rPr>
        <w:fldChar w:fldCharType="end"/>
      </w:r>
      <w:r w:rsidRPr="00A663DD">
        <w:rPr>
          <w:rFonts w:ascii="Arial" w:hAnsi="Arial" w:cs="Arial"/>
          <w:bCs/>
          <w:color w:val="000000"/>
        </w:rPr>
        <w:t xml:space="preserve"> to obtain the quality control result from the raw FASTQ files of each sample, and we adopted BWA-MEM v0.7.17-r1188 </w:t>
      </w:r>
      <w:r w:rsidRPr="00A663DD">
        <w:rPr>
          <w:rFonts w:ascii="Arial" w:hAnsi="Arial" w:cs="Arial"/>
          <w:bCs/>
          <w:color w:val="000000"/>
        </w:rPr>
        <w:fldChar w:fldCharType="begin"/>
      </w:r>
      <w:r w:rsidR="005955AB" w:rsidRPr="00A663DD">
        <w:rPr>
          <w:rFonts w:ascii="Arial" w:hAnsi="Arial" w:cs="Arial"/>
          <w:bCs/>
          <w:color w:val="000000"/>
        </w:rPr>
        <w:instrText xml:space="preserve"> ADDIN EN.CITE &lt;EndNote&gt;&lt;Cite&gt;&lt;Author&gt;Li&lt;/Author&gt;&lt;Year&gt;2013&lt;/Year&gt;&lt;RecNum&gt;680&lt;/RecNum&gt;&lt;DisplayText&gt;(Li, 2013)&lt;/DisplayText&gt;&lt;record&gt;&lt;rec-number&gt;680&lt;/rec-number&gt;&lt;foreign-keys&gt;&lt;key app="EN" db-id="rd25a09tqxpxz3ed2t3v2d5pareedwrwt2zw" timestamp="1665625268"&gt;680&lt;/key&gt;&lt;/foreign-keys&gt;&lt;ref-type name="Journal Article"&gt;17&lt;/ref-type&gt;&lt;contributors&gt;&lt;authors&gt;&lt;author&gt;Li, Heng&lt;/author&gt;&lt;/authors&gt;&lt;/contributors&gt;&lt;titles&gt;&lt;title&gt;Aligning sequence reads, clone sequences and assembly contigs with BWA-MEM&lt;/title&gt;&lt;secondary-title&gt;arXiv preprint arXiv:1303.3997&lt;/secondary-title&gt;&lt;/titles&gt;&lt;periodical&gt;&lt;full-title&gt;arXiv preprint arXiv:1303.3997&lt;/full-title&gt;&lt;/periodical&gt;&lt;dates&gt;&lt;year&gt;2013&lt;/year&gt;&lt;/dates&gt;&lt;urls&gt;&lt;/urls&gt;&lt;/record&gt;&lt;/Cite&gt;&lt;/EndNote&gt;</w:instrText>
      </w:r>
      <w:r w:rsidRPr="00A663DD">
        <w:rPr>
          <w:rFonts w:ascii="Arial" w:hAnsi="Arial" w:cs="Arial"/>
          <w:bCs/>
          <w:color w:val="000000"/>
        </w:rPr>
        <w:fldChar w:fldCharType="separate"/>
      </w:r>
      <w:r w:rsidR="005955AB" w:rsidRPr="00A663DD">
        <w:rPr>
          <w:rFonts w:ascii="Arial" w:hAnsi="Arial" w:cs="Arial"/>
          <w:bCs/>
          <w:noProof/>
          <w:color w:val="000000"/>
        </w:rPr>
        <w:t>(Li, 2013)</w:t>
      </w:r>
      <w:r w:rsidRPr="00A663DD">
        <w:rPr>
          <w:rFonts w:ascii="Arial" w:hAnsi="Arial" w:cs="Arial"/>
          <w:bCs/>
          <w:color w:val="000000"/>
        </w:rPr>
        <w:fldChar w:fldCharType="end"/>
      </w:r>
      <w:r w:rsidRPr="00A663DD">
        <w:rPr>
          <w:rFonts w:ascii="Arial" w:hAnsi="Arial" w:cs="Arial"/>
          <w:bCs/>
          <w:color w:val="000000"/>
        </w:rPr>
        <w:t xml:space="preserve"> to align the FASTQ files against the human reference genome hg38 downloaded from the GATK website (https://console.cloud.google.com/storage/browser/genomics-public-data/resources/broad/hg38/v0). The outputted SAM format files were converted to BAM format files using Samtools v1.6 </w:t>
      </w:r>
      <w:r w:rsidRPr="00A663DD">
        <w:rPr>
          <w:rFonts w:ascii="Arial" w:hAnsi="Arial" w:cs="Arial"/>
          <w:bCs/>
          <w:color w:val="000000"/>
        </w:rPr>
        <w:fldChar w:fldCharType="begin"/>
      </w:r>
      <w:r w:rsidR="005955AB" w:rsidRPr="00A663DD">
        <w:rPr>
          <w:rFonts w:ascii="Arial" w:hAnsi="Arial" w:cs="Arial"/>
          <w:bCs/>
          <w:color w:val="000000"/>
        </w:rPr>
        <w:instrText xml:space="preserve"> ADDIN EN.CITE &lt;EndNote&gt;&lt;Cite&gt;&lt;Author&gt;Li&lt;/Author&gt;&lt;Year&gt;2009&lt;/Year&gt;&lt;RecNum&gt;681&lt;/RecNum&gt;&lt;DisplayText&gt;(Li et al., 2009)&lt;/DisplayText&gt;&lt;record&gt;&lt;rec-number&gt;681&lt;/rec-number&gt;&lt;foreign-keys&gt;&lt;key app="EN" db-id="rd25a09tqxpxz3ed2t3v2d5pareedwrwt2zw" timestamp="1665625313"&gt;681&lt;/key&gt;&lt;/foreign-keys&gt;&lt;ref-type name="Journal Article"&gt;17&lt;/ref-type&gt;&lt;contributors&gt;&lt;authors&gt;&lt;author&gt;Li, Heng&lt;/author&gt;&lt;author&gt;Handsaker, Bob&lt;/author&gt;&lt;author&gt;Wysoker, Alec&lt;/author&gt;&lt;author&gt;Fennell, Tim&lt;/author&gt;&lt;author&gt;Ruan, Jue&lt;/author&gt;&lt;author&gt;Homer, Nils&lt;/author&gt;&lt;author&gt;Marth, Gabor&lt;/author&gt;&lt;author&gt;Abecasis, Goncalo&lt;/author&gt;&lt;author&gt;Durbin, Richard&lt;/author&gt;&lt;/authors&gt;&lt;/contributors&gt;&lt;titles&gt;&lt;title&gt;The sequence alignment/map format and SAMtools&lt;/title&gt;&lt;secondary-title&gt;Bioinformatics&lt;/secondary-title&gt;&lt;/titles&gt;&lt;periodical&gt;&lt;full-title&gt;Bioinformatics&lt;/full-title&gt;&lt;/periodical&gt;&lt;pages&gt;2078-2079&lt;/pages&gt;&lt;volume&gt;25&lt;/volume&gt;&lt;number&gt;16&lt;/number&gt;&lt;dates&gt;&lt;year&gt;2009&lt;/year&gt;&lt;/dates&gt;&lt;isbn&gt;1367-4803&lt;/isbn&gt;&lt;urls&gt;&lt;/urls&gt;&lt;/record&gt;&lt;/Cite&gt;&lt;/EndNote&gt;</w:instrText>
      </w:r>
      <w:r w:rsidRPr="00A663DD">
        <w:rPr>
          <w:rFonts w:ascii="Arial" w:hAnsi="Arial" w:cs="Arial"/>
          <w:bCs/>
          <w:color w:val="000000"/>
        </w:rPr>
        <w:fldChar w:fldCharType="separate"/>
      </w:r>
      <w:r w:rsidR="005955AB" w:rsidRPr="00A663DD">
        <w:rPr>
          <w:rFonts w:ascii="Arial" w:hAnsi="Arial" w:cs="Arial"/>
          <w:bCs/>
          <w:noProof/>
          <w:color w:val="000000"/>
        </w:rPr>
        <w:t>(Li et al., 2009)</w:t>
      </w:r>
      <w:r w:rsidRPr="00A663DD">
        <w:rPr>
          <w:rFonts w:ascii="Arial" w:hAnsi="Arial" w:cs="Arial"/>
          <w:bCs/>
          <w:color w:val="000000"/>
        </w:rPr>
        <w:fldChar w:fldCharType="end"/>
      </w:r>
      <w:r w:rsidRPr="00A663DD">
        <w:rPr>
          <w:rFonts w:ascii="Arial" w:hAnsi="Arial" w:cs="Arial"/>
          <w:bCs/>
          <w:color w:val="000000"/>
        </w:rPr>
        <w:t xml:space="preserve">. We used sambamba v0.8.2 </w:t>
      </w:r>
      <w:r w:rsidRPr="00A663DD">
        <w:rPr>
          <w:rFonts w:ascii="Arial" w:hAnsi="Arial" w:cs="Arial"/>
          <w:bCs/>
          <w:color w:val="000000"/>
        </w:rPr>
        <w:fldChar w:fldCharType="begin"/>
      </w:r>
      <w:r w:rsidR="005955AB" w:rsidRPr="00A663DD">
        <w:rPr>
          <w:rFonts w:ascii="Arial" w:hAnsi="Arial" w:cs="Arial"/>
          <w:bCs/>
          <w:color w:val="000000"/>
        </w:rPr>
        <w:instrText xml:space="preserve"> ADDIN EN.CITE &lt;EndNote&gt;&lt;Cite&gt;&lt;Author&gt;Tarasov&lt;/Author&gt;&lt;Year&gt;2015&lt;/Year&gt;&lt;RecNum&gt;682&lt;/RecNum&gt;&lt;DisplayText&gt;(Tarasov et al., 2015)&lt;/DisplayText&gt;&lt;record&gt;&lt;rec-number&gt;682&lt;/rec-number&gt;&lt;foreign-keys&gt;&lt;key app="EN" db-id="rd25a09tqxpxz3ed2t3v2d5pareedwrwt2zw" timestamp="1665625342"&gt;682&lt;/key&gt;&lt;/foreign-keys&gt;&lt;ref-type name="Journal Article"&gt;17&lt;/ref-type&gt;&lt;contributors&gt;&lt;authors&gt;&lt;author&gt;Tarasov, Artem&lt;/author&gt;&lt;author&gt;Vilella, Albert J&lt;/author&gt;&lt;author&gt;Cuppen, Edwin&lt;/author&gt;&lt;author&gt;Nijman, Isaac J&lt;/author&gt;&lt;author&gt;Prins, Pjotr&lt;/author&gt;&lt;/authors&gt;&lt;/contributors&gt;&lt;titles&gt;&lt;title&gt;Sambamba: fast processing of NGS alignment formats&lt;/title&gt;&lt;secondary-title&gt;Bioinformatics&lt;/secondary-title&gt;&lt;/titles&gt;&lt;periodical&gt;&lt;full-title&gt;Bioinformatics&lt;/full-title&gt;&lt;/periodical&gt;&lt;pages&gt;2032-2034&lt;/pages&gt;&lt;volume&gt;31&lt;/volume&gt;&lt;number&gt;12&lt;/number&gt;&lt;dates&gt;&lt;year&gt;2015&lt;/year&gt;&lt;/dates&gt;&lt;isbn&gt;1460-2059&lt;/isbn&gt;&lt;urls&gt;&lt;/urls&gt;&lt;/record&gt;&lt;/Cite&gt;&lt;/EndNote&gt;</w:instrText>
      </w:r>
      <w:r w:rsidRPr="00A663DD">
        <w:rPr>
          <w:rFonts w:ascii="Arial" w:hAnsi="Arial" w:cs="Arial"/>
          <w:bCs/>
          <w:color w:val="000000"/>
        </w:rPr>
        <w:fldChar w:fldCharType="separate"/>
      </w:r>
      <w:r w:rsidR="005955AB" w:rsidRPr="00A663DD">
        <w:rPr>
          <w:rFonts w:ascii="Arial" w:hAnsi="Arial" w:cs="Arial"/>
          <w:bCs/>
          <w:noProof/>
          <w:color w:val="000000"/>
        </w:rPr>
        <w:t>(Tarasov et al., 2015)</w:t>
      </w:r>
      <w:r w:rsidRPr="00A663DD">
        <w:rPr>
          <w:rFonts w:ascii="Arial" w:hAnsi="Arial" w:cs="Arial"/>
          <w:bCs/>
          <w:color w:val="000000"/>
        </w:rPr>
        <w:fldChar w:fldCharType="end"/>
      </w:r>
      <w:r w:rsidRPr="00A663DD">
        <w:rPr>
          <w:rFonts w:ascii="Arial" w:hAnsi="Arial" w:cs="Arial"/>
          <w:bCs/>
          <w:color w:val="000000"/>
        </w:rPr>
        <w:t xml:space="preserve"> to sort the BAM files and remove duplicates from them. We used Samtools-stats to calculate the average sequencing depth and the coverage rate of each sample. </w:t>
      </w:r>
    </w:p>
    <w:p w14:paraId="479E64D8" w14:textId="6ACD55D4" w:rsidR="00F2789D" w:rsidRPr="00A663DD" w:rsidRDefault="00F2789D" w:rsidP="00A663DD">
      <w:pPr>
        <w:spacing w:line="360" w:lineRule="auto"/>
        <w:ind w:firstLineChars="200" w:firstLine="480"/>
        <w:jc w:val="both"/>
        <w:rPr>
          <w:rFonts w:ascii="Arial" w:hAnsi="Arial" w:cs="Arial"/>
          <w:b/>
          <w:color w:val="000000"/>
        </w:rPr>
      </w:pPr>
      <w:r w:rsidRPr="00A663DD">
        <w:rPr>
          <w:rFonts w:ascii="Arial" w:hAnsi="Arial" w:cs="Arial"/>
          <w:bCs/>
          <w:color w:val="000000"/>
        </w:rPr>
        <w:lastRenderedPageBreak/>
        <w:t xml:space="preserve">Then we adopted the Mutect2 function of GATK v4.2.5.0 </w:t>
      </w:r>
      <w:r w:rsidRPr="00A663DD">
        <w:rPr>
          <w:rFonts w:ascii="Arial" w:hAnsi="Arial" w:cs="Arial"/>
          <w:bCs/>
          <w:color w:val="000000"/>
        </w:rPr>
        <w:fldChar w:fldCharType="begin"/>
      </w:r>
      <w:r w:rsidR="005955AB" w:rsidRPr="00A663DD">
        <w:rPr>
          <w:rFonts w:ascii="Arial" w:hAnsi="Arial" w:cs="Arial"/>
          <w:bCs/>
          <w:color w:val="000000"/>
        </w:rPr>
        <w:instrText xml:space="preserve"> ADDIN EN.CITE &lt;EndNote&gt;&lt;Cite&gt;&lt;Author&gt;McKenna&lt;/Author&gt;&lt;Year&gt;2010&lt;/Year&gt;&lt;RecNum&gt;683&lt;/RecNum&gt;&lt;DisplayText&gt;(McKenna et al., 2010)&lt;/DisplayText&gt;&lt;record&gt;&lt;rec-number&gt;683&lt;/rec-number&gt;&lt;foreign-keys&gt;&lt;key app="EN" db-id="rd25a09tqxpxz3ed2t3v2d5pareedwrwt2zw" timestamp="1665625379"&gt;683&lt;/key&gt;&lt;/foreign-keys&gt;&lt;ref-type name="Journal Article"&gt;17&lt;/ref-type&gt;&lt;contributors&gt;&lt;authors&gt;&lt;author&gt;McKenna, Aaron&lt;/author&gt;&lt;author&gt;Hanna, Matthew&lt;/author&gt;&lt;author&gt;Banks, Eric&lt;/author&gt;&lt;author&gt;Sivachenko, Andrey&lt;/author&gt;&lt;author&gt;Cibulskis, Kristian&lt;/author&gt;&lt;author&gt;Kernytsky, Andrew&lt;/author&gt;&lt;author&gt;Garimella, Kiran&lt;/author&gt;&lt;author&gt;Altshuler, David&lt;/author&gt;&lt;author&gt;Gabriel, Stacey&lt;/author&gt;&lt;author&gt;Daly, Mark&lt;/author&gt;&lt;/authors&gt;&lt;/contributors&gt;&lt;titles&gt;&lt;title&gt;The Genome Analysis Toolkit: a MapReduce framework for analyzing next-generation DNA sequencing data&lt;/title&gt;&lt;secondary-title&gt;Genome research&lt;/secondary-title&gt;&lt;/titles&gt;&lt;periodical&gt;&lt;full-title&gt;Genome research&lt;/full-title&gt;&lt;/periodical&gt;&lt;pages&gt;1297-1303&lt;/pages&gt;&lt;volume&gt;20&lt;/volume&gt;&lt;number&gt;9&lt;/number&gt;&lt;dates&gt;&lt;year&gt;2010&lt;/year&gt;&lt;/dates&gt;&lt;isbn&gt;1088-9051&lt;/isbn&gt;&lt;urls&gt;&lt;/urls&gt;&lt;/record&gt;&lt;/Cite&gt;&lt;/EndNote&gt;</w:instrText>
      </w:r>
      <w:r w:rsidRPr="00A663DD">
        <w:rPr>
          <w:rFonts w:ascii="Arial" w:hAnsi="Arial" w:cs="Arial"/>
          <w:bCs/>
          <w:color w:val="000000"/>
        </w:rPr>
        <w:fldChar w:fldCharType="separate"/>
      </w:r>
      <w:r w:rsidR="005955AB" w:rsidRPr="00A663DD">
        <w:rPr>
          <w:rFonts w:ascii="Arial" w:hAnsi="Arial" w:cs="Arial"/>
          <w:bCs/>
          <w:noProof/>
          <w:color w:val="000000"/>
        </w:rPr>
        <w:t>(McKenna et al., 2010)</w:t>
      </w:r>
      <w:r w:rsidRPr="00A663DD">
        <w:rPr>
          <w:rFonts w:ascii="Arial" w:hAnsi="Arial" w:cs="Arial"/>
          <w:bCs/>
          <w:color w:val="000000"/>
        </w:rPr>
        <w:fldChar w:fldCharType="end"/>
      </w:r>
      <w:r w:rsidRPr="00A663DD">
        <w:rPr>
          <w:rFonts w:ascii="Arial" w:hAnsi="Arial" w:cs="Arial"/>
          <w:bCs/>
          <w:color w:val="000000"/>
        </w:rPr>
        <w:t xml:space="preserve"> to call somatic mutations from the BAM files. Specifically, we used the </w:t>
      </w:r>
      <w:r w:rsidRPr="00A663DD">
        <w:rPr>
          <w:rFonts w:ascii="Arial" w:hAnsi="Arial" w:cs="Arial"/>
          <w:bCs/>
          <w:color w:val="000000"/>
          <w:lang w:eastAsia="zh-CN"/>
        </w:rPr>
        <w:t>genomic</w:t>
      </w:r>
      <w:r w:rsidRPr="00A663DD">
        <w:rPr>
          <w:rFonts w:ascii="Arial" w:hAnsi="Arial" w:cs="Arial"/>
          <w:bCs/>
          <w:color w:val="000000"/>
        </w:rPr>
        <w:t xml:space="preserve"> DNA isolated from the psoriasis lesion and contralateral control skin and employed the variation information from the 1000 Genomes project as the panel-of-normals. We filtered the somatic mutation information using the FilterMutectCalls function of GATK and default parameters. Finally, we used ANNOVAR </w:t>
      </w:r>
      <w:r w:rsidRPr="00A663DD">
        <w:rPr>
          <w:rFonts w:ascii="Arial" w:hAnsi="Arial" w:cs="Arial"/>
          <w:bCs/>
          <w:color w:val="000000"/>
        </w:rPr>
        <w:fldChar w:fldCharType="begin"/>
      </w:r>
      <w:r w:rsidR="005955AB" w:rsidRPr="00A663DD">
        <w:rPr>
          <w:rFonts w:ascii="Arial" w:hAnsi="Arial" w:cs="Arial"/>
          <w:bCs/>
          <w:color w:val="000000"/>
        </w:rPr>
        <w:instrText xml:space="preserve"> ADDIN EN.CITE &lt;EndNote&gt;&lt;Cite&gt;&lt;Author&gt;Wang&lt;/Author&gt;&lt;Year&gt;2010&lt;/Year&gt;&lt;RecNum&gt;684&lt;/RecNum&gt;&lt;DisplayText&gt;(Wang et al., 2010)&lt;/DisplayText&gt;&lt;record&gt;&lt;rec-number&gt;684&lt;/rec-number&gt;&lt;foreign-keys&gt;&lt;key app="EN" db-id="rd25a09tqxpxz3ed2t3v2d5pareedwrwt2zw" timestamp="1665625545"&gt;684&lt;/key&gt;&lt;/foreign-keys&gt;&lt;ref-type name="Journal Article"&gt;17&lt;/ref-type&gt;&lt;contributors&gt;&lt;authors&gt;&lt;author&gt;Wang, Kai&lt;/author&gt;&lt;author&gt;Li, Mingyao&lt;/author&gt;&lt;author&gt;Hakonarson, Hakon&lt;/author&gt;&lt;/authors&gt;&lt;/contributors&gt;&lt;titles&gt;&lt;title&gt;ANNOVAR: functional annotation of genetic variants from high-throughput sequencing data&lt;/title&gt;&lt;secondary-title&gt;Nucleic acids research&lt;/secondary-title&gt;&lt;/titles&gt;&lt;periodical&gt;&lt;full-title&gt;Nucleic acids research&lt;/full-title&gt;&lt;/periodical&gt;&lt;pages&gt;e164-e164&lt;/pages&gt;&lt;volume&gt;38&lt;/volume&gt;&lt;number&gt;16&lt;/number&gt;&lt;dates&gt;&lt;year&gt;2010&lt;/year&gt;&lt;/dates&gt;&lt;isbn&gt;1362-4962&lt;/isbn&gt;&lt;urls&gt;&lt;/urls&gt;&lt;/record&gt;&lt;/Cite&gt;&lt;/EndNote&gt;</w:instrText>
      </w:r>
      <w:r w:rsidRPr="00A663DD">
        <w:rPr>
          <w:rFonts w:ascii="Arial" w:hAnsi="Arial" w:cs="Arial"/>
          <w:bCs/>
          <w:color w:val="000000"/>
        </w:rPr>
        <w:fldChar w:fldCharType="separate"/>
      </w:r>
      <w:r w:rsidR="005955AB" w:rsidRPr="00A663DD">
        <w:rPr>
          <w:rFonts w:ascii="Arial" w:hAnsi="Arial" w:cs="Arial"/>
          <w:bCs/>
          <w:noProof/>
          <w:color w:val="000000"/>
        </w:rPr>
        <w:t>(Wang et al., 2010)</w:t>
      </w:r>
      <w:r w:rsidRPr="00A663DD">
        <w:rPr>
          <w:rFonts w:ascii="Arial" w:hAnsi="Arial" w:cs="Arial"/>
          <w:bCs/>
          <w:color w:val="000000"/>
        </w:rPr>
        <w:fldChar w:fldCharType="end"/>
      </w:r>
      <w:r w:rsidRPr="00A663DD">
        <w:rPr>
          <w:rFonts w:ascii="Arial" w:hAnsi="Arial" w:cs="Arial"/>
          <w:bCs/>
          <w:color w:val="000000"/>
        </w:rPr>
        <w:t xml:space="preserve"> to annotate these filtered somatic mutations with the refGene database and the knownGene database</w:t>
      </w:r>
      <w:r w:rsidRPr="00A663DD">
        <w:rPr>
          <w:rFonts w:ascii="Arial" w:hAnsi="Arial" w:cs="Arial"/>
          <w:color w:val="000000"/>
          <w:kern w:val="24"/>
          <w:sz w:val="22"/>
          <w:szCs w:val="22"/>
        </w:rPr>
        <w:t xml:space="preserve"> (https://hgdownload.soe.ucsc.edu/goldenPath/hg38/bigZips/genes/).</w:t>
      </w:r>
    </w:p>
    <w:p w14:paraId="228F8AF6" w14:textId="77777777" w:rsidR="00F2789D" w:rsidRPr="00A663DD" w:rsidRDefault="00F2789D" w:rsidP="00A663DD">
      <w:pPr>
        <w:spacing w:line="360" w:lineRule="auto"/>
        <w:jc w:val="both"/>
        <w:rPr>
          <w:rFonts w:ascii="Arial" w:hAnsi="Arial" w:cs="Arial"/>
          <w:b/>
          <w:color w:val="000000"/>
        </w:rPr>
      </w:pPr>
    </w:p>
    <w:p w14:paraId="77D2C6B2" w14:textId="77777777" w:rsidR="00F2789D" w:rsidRPr="00A663DD" w:rsidRDefault="00F2789D" w:rsidP="00A663DD">
      <w:pPr>
        <w:spacing w:line="360" w:lineRule="auto"/>
        <w:jc w:val="both"/>
        <w:rPr>
          <w:rFonts w:ascii="Arial" w:hAnsi="Arial" w:cs="Arial"/>
          <w:b/>
          <w:color w:val="000000"/>
        </w:rPr>
      </w:pPr>
      <w:r w:rsidRPr="00A663DD">
        <w:rPr>
          <w:rFonts w:ascii="Arial" w:hAnsi="Arial" w:cs="Arial"/>
          <w:b/>
          <w:color w:val="000000"/>
        </w:rPr>
        <w:t>Cell Culture</w:t>
      </w:r>
    </w:p>
    <w:p w14:paraId="46580D91" w14:textId="7A813A76" w:rsidR="00F2789D" w:rsidRPr="00A663DD" w:rsidRDefault="00F2789D" w:rsidP="00A663DD">
      <w:pPr>
        <w:spacing w:line="360" w:lineRule="auto"/>
        <w:ind w:firstLineChars="200" w:firstLine="480"/>
        <w:jc w:val="both"/>
        <w:rPr>
          <w:rFonts w:ascii="Arial" w:hAnsi="Arial" w:cs="Arial"/>
          <w:b/>
          <w:bCs/>
          <w:color w:val="000000"/>
        </w:rPr>
      </w:pPr>
      <w:r w:rsidRPr="00A663DD">
        <w:rPr>
          <w:rFonts w:ascii="Arial" w:hAnsi="Arial" w:cs="Arial"/>
          <w:color w:val="000000"/>
        </w:rPr>
        <w:t>All the cell lines were cultured at 37</w:t>
      </w:r>
      <w:r w:rsidR="00183B01" w:rsidRPr="00A663DD">
        <w:rPr>
          <w:rFonts w:ascii="Arial" w:hAnsi="Arial" w:cs="Arial"/>
          <w:color w:val="000000"/>
        </w:rPr>
        <w:t>˚C</w:t>
      </w:r>
      <w:r w:rsidRPr="00A663DD">
        <w:rPr>
          <w:rFonts w:ascii="Arial" w:hAnsi="Arial" w:cs="Arial"/>
          <w:color w:val="000000"/>
        </w:rPr>
        <w:t xml:space="preserve"> in a cell incubator with 5% CO</w:t>
      </w:r>
      <w:r w:rsidRPr="00183B01">
        <w:rPr>
          <w:rFonts w:ascii="Arial" w:hAnsi="Arial" w:cs="Arial"/>
          <w:color w:val="000000"/>
          <w:vertAlign w:val="subscript"/>
        </w:rPr>
        <w:t>2</w:t>
      </w:r>
      <w:r w:rsidRPr="00A663DD">
        <w:rPr>
          <w:rFonts w:ascii="Arial" w:hAnsi="Arial" w:cs="Arial"/>
          <w:color w:val="000000"/>
        </w:rPr>
        <w:t>. 293FT cells (Thermo Fisher Scientific, Cat #R70007) used for virus package were maintained in DMEM (GIBCO) medium supplemented with 10% (v/v) FBS (GIBCO), 1% (v/v) Pen-strep/L-glut (Lonza), 1% (v/v) 100</w:t>
      </w:r>
      <w:r w:rsidR="00183B01">
        <w:rPr>
          <w:rFonts w:ascii="Arial" w:hAnsi="Arial" w:cs="Arial"/>
          <w:color w:val="000000"/>
        </w:rPr>
        <w:t xml:space="preserve"> </w:t>
      </w:r>
      <w:r w:rsidRPr="00A663DD">
        <w:rPr>
          <w:rFonts w:ascii="Arial" w:hAnsi="Arial" w:cs="Arial"/>
          <w:color w:val="000000"/>
        </w:rPr>
        <w:t>mM</w:t>
      </w:r>
      <w:r w:rsidR="00183B01">
        <w:rPr>
          <w:rFonts w:ascii="Arial" w:hAnsi="Arial" w:cs="Arial"/>
          <w:color w:val="000000"/>
        </w:rPr>
        <w:t xml:space="preserve"> </w:t>
      </w:r>
      <w:r w:rsidRPr="00A663DD">
        <w:rPr>
          <w:rFonts w:ascii="Arial" w:hAnsi="Arial" w:cs="Arial"/>
          <w:color w:val="000000"/>
        </w:rPr>
        <w:t>Sodium Pyruvate (Lonza), 1% (v/v) 7.5% sodium bicarbonate (Lonza). Immortalized human KCs (HaCaT) were cultured in DMEM(GIBCO), supplemented with 10% (v/v) FBS (GIBCO), 1% (v/v) Pen-strep/L-glut (Lonza)</w:t>
      </w:r>
      <w:r w:rsidRPr="00A663DD">
        <w:rPr>
          <w:rFonts w:ascii="Arial" w:hAnsi="Arial" w:cs="Arial"/>
          <w:color w:val="000000"/>
          <w:lang w:eastAsia="zh-CN"/>
        </w:rPr>
        <w:t>.</w:t>
      </w:r>
    </w:p>
    <w:p w14:paraId="2616C250" w14:textId="77777777" w:rsidR="00A663DD" w:rsidRPr="00A663DD" w:rsidRDefault="00A663DD" w:rsidP="00A663DD">
      <w:pPr>
        <w:spacing w:line="360" w:lineRule="auto"/>
        <w:jc w:val="both"/>
        <w:rPr>
          <w:rFonts w:ascii="Arial" w:hAnsi="Arial" w:cs="Arial"/>
          <w:b/>
          <w:bCs/>
          <w:color w:val="000000"/>
        </w:rPr>
      </w:pPr>
    </w:p>
    <w:p w14:paraId="3B0D5F80" w14:textId="77777777" w:rsidR="00F2789D" w:rsidRPr="00A663DD" w:rsidRDefault="00F2789D" w:rsidP="00A663DD">
      <w:pPr>
        <w:spacing w:line="360" w:lineRule="auto"/>
        <w:jc w:val="both"/>
        <w:rPr>
          <w:rFonts w:ascii="Arial" w:hAnsi="Arial" w:cs="Arial"/>
          <w:b/>
          <w:bCs/>
          <w:color w:val="000000"/>
        </w:rPr>
      </w:pPr>
      <w:r w:rsidRPr="00A663DD">
        <w:rPr>
          <w:rFonts w:ascii="Arial" w:hAnsi="Arial" w:cs="Arial"/>
          <w:b/>
          <w:bCs/>
          <w:color w:val="000000"/>
        </w:rPr>
        <w:t>Lentivirus infection</w:t>
      </w:r>
    </w:p>
    <w:p w14:paraId="0B157397" w14:textId="58ED2BD2" w:rsidR="00F2789D" w:rsidRPr="00A663DD" w:rsidRDefault="00F2789D" w:rsidP="00A663DD">
      <w:pPr>
        <w:spacing w:line="360" w:lineRule="auto"/>
        <w:ind w:firstLineChars="200" w:firstLine="480"/>
        <w:jc w:val="both"/>
        <w:rPr>
          <w:rFonts w:ascii="Arial" w:hAnsi="Arial" w:cs="Arial"/>
          <w:color w:val="000000"/>
        </w:rPr>
      </w:pPr>
      <w:r w:rsidRPr="00A663DD">
        <w:rPr>
          <w:rFonts w:ascii="Arial" w:hAnsi="Arial" w:cs="Arial"/>
          <w:color w:val="000000"/>
        </w:rPr>
        <w:t xml:space="preserve">For the overexpression of </w:t>
      </w:r>
      <w:r w:rsidRPr="00A663DD">
        <w:rPr>
          <w:rFonts w:ascii="Arial" w:hAnsi="Arial" w:cs="Arial"/>
          <w:i/>
          <w:iCs/>
          <w:color w:val="000000"/>
          <w:lang w:eastAsia="zh-CN"/>
        </w:rPr>
        <w:t>HR</w:t>
      </w:r>
      <w:r w:rsidR="00F105D3" w:rsidRPr="00A663DD">
        <w:rPr>
          <w:rFonts w:ascii="Arial" w:hAnsi="Arial" w:cs="Arial"/>
          <w:i/>
          <w:iCs/>
          <w:color w:val="000000"/>
          <w:lang w:eastAsia="zh-CN"/>
        </w:rPr>
        <w:t>AS</w:t>
      </w:r>
      <w:r w:rsidRPr="00A663DD">
        <w:rPr>
          <w:rFonts w:ascii="Arial" w:hAnsi="Arial" w:cs="Arial"/>
          <w:color w:val="000000"/>
        </w:rPr>
        <w:t>,</w:t>
      </w:r>
      <w:r w:rsidRPr="00A663DD">
        <w:rPr>
          <w:rFonts w:ascii="Arial" w:hAnsi="Arial" w:cs="Arial"/>
          <w:i/>
          <w:iCs/>
          <w:color w:val="000000"/>
          <w:lang w:eastAsia="zh-CN"/>
        </w:rPr>
        <w:t xml:space="preserve"> H</w:t>
      </w:r>
      <w:r w:rsidR="00F105D3" w:rsidRPr="00A663DD">
        <w:rPr>
          <w:rFonts w:ascii="Arial" w:hAnsi="Arial" w:cs="Arial"/>
          <w:i/>
          <w:iCs/>
          <w:color w:val="000000"/>
          <w:lang w:eastAsia="zh-CN"/>
        </w:rPr>
        <w:t>RAS</w:t>
      </w:r>
      <w:r w:rsidRPr="00A663DD">
        <w:rPr>
          <w:rFonts w:ascii="Arial" w:hAnsi="Arial" w:cs="Arial"/>
          <w:i/>
          <w:iCs/>
          <w:color w:val="000000"/>
          <w:vertAlign w:val="superscript"/>
          <w:lang w:eastAsia="zh-CN"/>
        </w:rPr>
        <w:t>G12S</w:t>
      </w:r>
      <w:r w:rsidRPr="00A663DD">
        <w:rPr>
          <w:rFonts w:ascii="Arial" w:hAnsi="Arial" w:cs="Arial"/>
          <w:color w:val="000000"/>
        </w:rPr>
        <w:t xml:space="preserve">, full-length </w:t>
      </w:r>
      <w:r w:rsidRPr="00A663DD">
        <w:rPr>
          <w:rFonts w:ascii="Arial" w:hAnsi="Arial" w:cs="Arial"/>
          <w:i/>
          <w:iCs/>
          <w:color w:val="000000"/>
        </w:rPr>
        <w:t>H</w:t>
      </w:r>
      <w:r w:rsidR="00F105D3" w:rsidRPr="00A663DD">
        <w:rPr>
          <w:rFonts w:ascii="Arial" w:hAnsi="Arial" w:cs="Arial"/>
          <w:i/>
          <w:iCs/>
          <w:color w:val="000000"/>
        </w:rPr>
        <w:t>RAS</w:t>
      </w:r>
      <w:r w:rsidRPr="00A663DD">
        <w:rPr>
          <w:rFonts w:ascii="Arial" w:hAnsi="Arial" w:cs="Arial"/>
          <w:color w:val="000000"/>
        </w:rPr>
        <w:t xml:space="preserve"> cDNA was amplified from human cDNA and then subcloned into pLKO.1 vector. Transfection of 293FT cells was carried out with pLKO.1 and helper plasmids pMD2.G and psPAX2. Viral supernatant was collected 46–48 h after transfection, filtered through a 0.45-μm filter. </w:t>
      </w:r>
    </w:p>
    <w:p w14:paraId="51002346" w14:textId="60ED7BE8" w:rsidR="00F2789D" w:rsidRPr="00A663DD" w:rsidRDefault="00F2789D" w:rsidP="00A663DD">
      <w:pPr>
        <w:spacing w:line="360" w:lineRule="auto"/>
        <w:ind w:firstLineChars="200" w:firstLine="480"/>
        <w:jc w:val="both"/>
        <w:rPr>
          <w:rFonts w:ascii="Arial" w:hAnsi="Arial" w:cs="Arial"/>
          <w:color w:val="000000"/>
        </w:rPr>
      </w:pPr>
      <w:r w:rsidRPr="00A663DD">
        <w:rPr>
          <w:rFonts w:ascii="Arial" w:hAnsi="Arial" w:cs="Arial"/>
          <w:color w:val="000000"/>
        </w:rPr>
        <w:t>The day before the infection, seed HaCaT cells at a density of 300K/well of 6-well plates. Mix 500 µL polybrene (10 mg/mL stock in PBS) with 4.5 mL FBS.  Add viral supernatant of desired volume media to 1.8 mL. Add 200 µL of polybrene/serum mix per well (for a total volume of 2 mL).  Incubate 30 minutes at 37°C/7.5% CO</w:t>
      </w:r>
      <w:r w:rsidRPr="00183B01">
        <w:rPr>
          <w:rFonts w:ascii="Arial" w:hAnsi="Arial" w:cs="Arial"/>
          <w:color w:val="000000"/>
          <w:vertAlign w:val="subscript"/>
        </w:rPr>
        <w:t>2</w:t>
      </w:r>
      <w:r w:rsidRPr="00A663DD">
        <w:rPr>
          <w:rFonts w:ascii="Arial" w:hAnsi="Arial" w:cs="Arial"/>
          <w:color w:val="000000"/>
        </w:rPr>
        <w:t xml:space="preserve">. Spin plate at 1100 x g for 30 minutes at 37°C. Remove viral </w:t>
      </w:r>
      <w:r w:rsidRPr="00A663DD">
        <w:rPr>
          <w:rFonts w:ascii="Arial" w:hAnsi="Arial" w:cs="Arial"/>
          <w:color w:val="000000"/>
        </w:rPr>
        <w:lastRenderedPageBreak/>
        <w:t xml:space="preserve">media and replace with culture </w:t>
      </w:r>
      <w:r w:rsidRPr="00A663DD">
        <w:rPr>
          <w:rFonts w:ascii="Arial" w:hAnsi="Arial" w:cs="Arial"/>
          <w:color w:val="000000"/>
          <w:lang w:eastAsia="zh-CN"/>
        </w:rPr>
        <w:t>me</w:t>
      </w:r>
      <w:r w:rsidR="00183B01">
        <w:rPr>
          <w:rFonts w:ascii="Arial" w:hAnsi="Arial" w:cs="Arial"/>
          <w:color w:val="000000"/>
        </w:rPr>
        <w:t xml:space="preserve">dia. </w:t>
      </w:r>
      <w:r w:rsidRPr="00A663DD">
        <w:rPr>
          <w:rFonts w:ascii="Arial" w:hAnsi="Arial" w:cs="Arial"/>
          <w:color w:val="000000"/>
          <w:lang w:eastAsia="zh-CN"/>
        </w:rPr>
        <w:t>Cells were cultured under serum starved condition overnight followed by 30 min stimulation with 20% serum before protein extraction.</w:t>
      </w:r>
    </w:p>
    <w:p w14:paraId="0D560FD8" w14:textId="77777777" w:rsidR="00F2789D" w:rsidRPr="00A663DD" w:rsidRDefault="00F2789D" w:rsidP="00A663DD">
      <w:pPr>
        <w:spacing w:line="360" w:lineRule="auto"/>
        <w:jc w:val="both"/>
        <w:rPr>
          <w:rFonts w:ascii="Arial" w:hAnsi="Arial" w:cs="Arial"/>
          <w:b/>
          <w:color w:val="000000"/>
        </w:rPr>
      </w:pPr>
    </w:p>
    <w:p w14:paraId="39AA9C06" w14:textId="77777777" w:rsidR="00F2789D" w:rsidRPr="00A663DD" w:rsidRDefault="00F2789D" w:rsidP="00A663DD">
      <w:pPr>
        <w:spacing w:line="360" w:lineRule="auto"/>
        <w:jc w:val="both"/>
        <w:rPr>
          <w:rFonts w:ascii="Arial" w:hAnsi="Arial" w:cs="Arial"/>
          <w:b/>
          <w:color w:val="000000"/>
        </w:rPr>
      </w:pPr>
      <w:r w:rsidRPr="00A663DD">
        <w:rPr>
          <w:rFonts w:ascii="Arial" w:hAnsi="Arial" w:cs="Arial"/>
          <w:b/>
          <w:color w:val="000000"/>
        </w:rPr>
        <w:t>Western blot</w:t>
      </w:r>
    </w:p>
    <w:p w14:paraId="613061C0" w14:textId="77777777" w:rsidR="00F2789D" w:rsidRPr="00A663DD" w:rsidRDefault="00F2789D" w:rsidP="00A663DD">
      <w:pPr>
        <w:spacing w:line="360" w:lineRule="auto"/>
        <w:ind w:firstLineChars="200" w:firstLine="480"/>
        <w:jc w:val="both"/>
        <w:rPr>
          <w:rFonts w:ascii="Arial" w:hAnsi="Arial" w:cs="Arial"/>
          <w:color w:val="000000"/>
        </w:rPr>
      </w:pPr>
      <w:r w:rsidRPr="00A663DD">
        <w:rPr>
          <w:rFonts w:ascii="Arial" w:hAnsi="Arial" w:cs="Arial"/>
          <w:color w:val="000000"/>
        </w:rPr>
        <w:t>Denatured protein extracted from HaCaT cells was loaded on a 10% SDS-PAGE gel, electrophoresed, and then transferred onto a PVDF membrane. PVDF membranes were blocked with 5% fat free milk, and the membranes were then probed with p44/42 MAP kinase (ERK1/2) (CST), phospho-p44/42 MAP kinase (ERK1/2) (Thr202/Tyr204) (CST), Akt (CST), phospho-Akt (Ser473) (CST) and anti-Actin-HRP (MBL) at 4˚C overnight. Blots were then incubated with secondary antibody. Peroxidase activity on the membrane was visualized on X-ray film using the ECL western blotting detection system.</w:t>
      </w:r>
    </w:p>
    <w:p w14:paraId="1822FF35" w14:textId="77777777" w:rsidR="00F2789D" w:rsidRPr="00A663DD" w:rsidRDefault="00F2789D" w:rsidP="00A663DD">
      <w:pPr>
        <w:spacing w:line="360" w:lineRule="auto"/>
        <w:jc w:val="both"/>
        <w:rPr>
          <w:rFonts w:ascii="Arial" w:hAnsi="Arial" w:cs="Arial"/>
          <w:b/>
          <w:color w:val="000000"/>
        </w:rPr>
      </w:pPr>
    </w:p>
    <w:p w14:paraId="11A562C8" w14:textId="77777777" w:rsidR="00F2789D" w:rsidRPr="00A663DD" w:rsidRDefault="00F2789D" w:rsidP="00A663DD">
      <w:pPr>
        <w:spacing w:line="360" w:lineRule="auto"/>
        <w:jc w:val="both"/>
        <w:rPr>
          <w:rFonts w:ascii="Arial" w:hAnsi="Arial" w:cs="Arial"/>
          <w:b/>
          <w:color w:val="000000"/>
        </w:rPr>
      </w:pPr>
      <w:r w:rsidRPr="00A663DD">
        <w:rPr>
          <w:rFonts w:ascii="Arial" w:hAnsi="Arial" w:cs="Arial"/>
          <w:b/>
          <w:color w:val="000000"/>
        </w:rPr>
        <w:t>Quantification and statistical analysis</w:t>
      </w:r>
    </w:p>
    <w:p w14:paraId="10CB53EC" w14:textId="77777777" w:rsidR="00F2789D" w:rsidRDefault="00F2789D" w:rsidP="00A663DD">
      <w:pPr>
        <w:spacing w:line="360" w:lineRule="auto"/>
        <w:ind w:firstLineChars="200" w:firstLine="480"/>
        <w:jc w:val="both"/>
        <w:rPr>
          <w:rFonts w:ascii="Arial" w:hAnsi="Arial" w:cs="Arial"/>
          <w:color w:val="000000"/>
        </w:rPr>
      </w:pPr>
      <w:r w:rsidRPr="00A663DD">
        <w:rPr>
          <w:rFonts w:ascii="Arial" w:hAnsi="Arial" w:cs="Arial"/>
          <w:color w:val="000000"/>
        </w:rPr>
        <w:t xml:space="preserve">Data are presented as the mean value ± the standard deviation (SD). Western blot band intensity was measured by Image J and quantified in GraphPad Prism. </w:t>
      </w:r>
    </w:p>
    <w:p w14:paraId="2C240BE8" w14:textId="77777777" w:rsidR="00F95B38" w:rsidRDefault="00F95B38" w:rsidP="00A663DD">
      <w:pPr>
        <w:spacing w:line="360" w:lineRule="auto"/>
        <w:ind w:firstLineChars="200" w:firstLine="480"/>
        <w:jc w:val="both"/>
        <w:rPr>
          <w:rFonts w:ascii="Arial" w:hAnsi="Arial" w:cs="Arial"/>
          <w:color w:val="000000"/>
        </w:rPr>
      </w:pPr>
    </w:p>
    <w:p w14:paraId="0E53F925" w14:textId="77777777" w:rsidR="00F95B38" w:rsidRPr="006042D9" w:rsidRDefault="00F95B38" w:rsidP="00F95B38">
      <w:pPr>
        <w:spacing w:line="480" w:lineRule="auto"/>
        <w:jc w:val="both"/>
        <w:rPr>
          <w:rFonts w:ascii="Arial" w:hAnsi="Arial" w:cs="Arial"/>
          <w:b/>
          <w:color w:val="000000"/>
        </w:rPr>
      </w:pPr>
      <w:r>
        <w:rPr>
          <w:rFonts w:ascii="Arial" w:hAnsi="Arial" w:cs="Arial"/>
          <w:b/>
          <w:color w:val="000000"/>
        </w:rPr>
        <w:t>Data</w:t>
      </w:r>
      <w:r w:rsidRPr="006042D9">
        <w:rPr>
          <w:rFonts w:ascii="Arial" w:hAnsi="Arial" w:cs="Arial"/>
          <w:b/>
          <w:color w:val="000000"/>
        </w:rPr>
        <w:t xml:space="preserve"> </w:t>
      </w:r>
      <w:r>
        <w:rPr>
          <w:rFonts w:ascii="Arial" w:hAnsi="Arial" w:cs="Arial"/>
          <w:b/>
          <w:color w:val="000000"/>
        </w:rPr>
        <w:t>a</w:t>
      </w:r>
      <w:r w:rsidRPr="006042D9">
        <w:rPr>
          <w:rFonts w:ascii="Arial" w:hAnsi="Arial" w:cs="Arial"/>
          <w:b/>
          <w:color w:val="000000"/>
        </w:rPr>
        <w:t>vailability</w:t>
      </w:r>
    </w:p>
    <w:p w14:paraId="4689B651" w14:textId="40ABD279" w:rsidR="00F95B38" w:rsidRDefault="00F95B38" w:rsidP="00F95B38">
      <w:pPr>
        <w:spacing w:line="480" w:lineRule="auto"/>
        <w:ind w:firstLine="420"/>
        <w:jc w:val="both"/>
        <w:rPr>
          <w:rFonts w:ascii="Arial" w:hAnsi="Arial" w:cs="Arial"/>
          <w:color w:val="000000"/>
        </w:rPr>
      </w:pPr>
      <w:r w:rsidRPr="006042D9">
        <w:rPr>
          <w:rFonts w:ascii="Arial" w:hAnsi="Arial" w:cs="Arial"/>
          <w:color w:val="000000"/>
        </w:rPr>
        <w:t>Further sequencing data analysis information should be directed to and will be fulfilled by Dr. Bin Li (</w:t>
      </w:r>
      <w:r w:rsidRPr="00183B01">
        <w:rPr>
          <w:rFonts w:ascii="Arial" w:hAnsi="Arial" w:cs="Arial"/>
          <w:color w:val="000000"/>
          <w:szCs w:val="22"/>
          <w:lang w:val="en-GB"/>
        </w:rPr>
        <w:t>libin@nibs.ac.cn</w:t>
      </w:r>
      <w:r w:rsidRPr="006042D9">
        <w:rPr>
          <w:rFonts w:ascii="Arial" w:hAnsi="Arial" w:cs="Arial"/>
          <w:color w:val="000000"/>
        </w:rPr>
        <w:t>); all the other further information should be directed to and will be fulfilled by Dr. Ting Chen (</w:t>
      </w:r>
      <w:r w:rsidRPr="00183B01">
        <w:rPr>
          <w:rFonts w:ascii="Arial" w:hAnsi="Arial" w:cs="Arial"/>
          <w:color w:val="000000"/>
        </w:rPr>
        <w:t>chenting@nibs.ac.cn</w:t>
      </w:r>
      <w:r w:rsidRPr="006042D9">
        <w:rPr>
          <w:rFonts w:ascii="Arial" w:hAnsi="Arial" w:cs="Arial"/>
          <w:color w:val="000000"/>
        </w:rPr>
        <w:t xml:space="preserve">) or Dr. Wenhui </w:t>
      </w:r>
      <w:r>
        <w:rPr>
          <w:rFonts w:ascii="Arial" w:hAnsi="Arial" w:cs="Arial"/>
          <w:color w:val="000000"/>
        </w:rPr>
        <w:t>W</w:t>
      </w:r>
      <w:r w:rsidRPr="006042D9">
        <w:rPr>
          <w:rFonts w:ascii="Arial" w:hAnsi="Arial" w:cs="Arial"/>
          <w:color w:val="000000"/>
        </w:rPr>
        <w:t>ang (</w:t>
      </w:r>
      <w:r w:rsidRPr="00183B01">
        <w:rPr>
          <w:rStyle w:val="a6"/>
          <w:rFonts w:ascii="Arial" w:hAnsi="Arial" w:cs="Arial" w:hint="eastAsia"/>
          <w:color w:val="auto"/>
          <w:u w:val="none"/>
        </w:rPr>
        <w:t>wwh0608@126.com</w:t>
      </w:r>
      <w:r w:rsidRPr="006042D9">
        <w:rPr>
          <w:rFonts w:ascii="Arial" w:hAnsi="Arial" w:cs="Arial"/>
          <w:color w:val="000000"/>
        </w:rPr>
        <w:t>).</w:t>
      </w:r>
    </w:p>
    <w:p w14:paraId="6DB33061" w14:textId="77777777" w:rsidR="00F95B38" w:rsidRPr="00A663DD" w:rsidRDefault="00F95B38" w:rsidP="00A663DD">
      <w:pPr>
        <w:spacing w:line="360" w:lineRule="auto"/>
        <w:ind w:firstLineChars="200" w:firstLine="480"/>
        <w:jc w:val="both"/>
        <w:rPr>
          <w:rFonts w:ascii="Arial" w:hAnsi="Arial" w:cs="Arial"/>
          <w:color w:val="000000"/>
        </w:rPr>
      </w:pPr>
    </w:p>
    <w:p w14:paraId="26D13654" w14:textId="77777777" w:rsidR="005955AB" w:rsidRPr="00A663DD" w:rsidRDefault="005955AB" w:rsidP="00A663DD">
      <w:pPr>
        <w:spacing w:line="360" w:lineRule="auto"/>
        <w:rPr>
          <w:rFonts w:ascii="Arial" w:hAnsi="Arial" w:cs="Arial"/>
        </w:rPr>
      </w:pPr>
    </w:p>
    <w:p w14:paraId="03A85DAF" w14:textId="77777777" w:rsidR="00F95B38" w:rsidRDefault="00F95B38">
      <w:pPr>
        <w:rPr>
          <w:rFonts w:ascii="Arial" w:hAnsi="Arial" w:cs="Arial"/>
          <w:b/>
          <w:bCs/>
          <w:sz w:val="28"/>
          <w:szCs w:val="28"/>
        </w:rPr>
      </w:pPr>
      <w:r>
        <w:rPr>
          <w:rFonts w:ascii="Arial" w:hAnsi="Arial" w:cs="Arial"/>
          <w:b/>
          <w:bCs/>
          <w:sz w:val="28"/>
          <w:szCs w:val="28"/>
        </w:rPr>
        <w:br w:type="page"/>
      </w:r>
    </w:p>
    <w:p w14:paraId="6EBB5D09" w14:textId="7DE98BE2" w:rsidR="005955AB" w:rsidRPr="00A663DD" w:rsidRDefault="005955AB" w:rsidP="00A663DD">
      <w:pPr>
        <w:spacing w:line="360" w:lineRule="auto"/>
        <w:rPr>
          <w:rFonts w:ascii="Arial" w:hAnsi="Arial" w:cs="Arial"/>
          <w:b/>
          <w:bCs/>
        </w:rPr>
      </w:pPr>
      <w:r w:rsidRPr="00A663DD">
        <w:rPr>
          <w:rFonts w:ascii="Arial" w:hAnsi="Arial" w:cs="Arial"/>
          <w:b/>
          <w:bCs/>
          <w:sz w:val="28"/>
          <w:szCs w:val="28"/>
        </w:rPr>
        <w:lastRenderedPageBreak/>
        <w:t>References</w:t>
      </w:r>
    </w:p>
    <w:p w14:paraId="5CBFAB8A" w14:textId="77777777" w:rsidR="005955AB" w:rsidRPr="00A663DD" w:rsidRDefault="005955AB" w:rsidP="00A663DD">
      <w:pPr>
        <w:pStyle w:val="EndNoteBibliography"/>
        <w:spacing w:line="360" w:lineRule="auto"/>
        <w:jc w:val="both"/>
        <w:rPr>
          <w:rFonts w:ascii="Arial" w:hAnsi="Arial" w:cs="Arial"/>
        </w:rPr>
      </w:pPr>
      <w:r w:rsidRPr="00A663DD">
        <w:rPr>
          <w:rFonts w:ascii="Arial" w:hAnsi="Arial" w:cs="Arial"/>
        </w:rPr>
        <w:fldChar w:fldCharType="begin"/>
      </w:r>
      <w:r w:rsidRPr="00A663DD">
        <w:rPr>
          <w:rFonts w:ascii="Arial" w:hAnsi="Arial" w:cs="Arial"/>
        </w:rPr>
        <w:instrText xml:space="preserve"> ADDIN EN.REFLIST </w:instrText>
      </w:r>
      <w:r w:rsidRPr="00A663DD">
        <w:rPr>
          <w:rFonts w:ascii="Arial" w:hAnsi="Arial" w:cs="Arial"/>
        </w:rPr>
        <w:fldChar w:fldCharType="separate"/>
      </w:r>
      <w:r w:rsidRPr="00A663DD">
        <w:rPr>
          <w:rFonts w:ascii="Arial" w:hAnsi="Arial" w:cs="Arial"/>
        </w:rPr>
        <w:t>Andrews, S. (2010). FastQC: a quality control tool for high throughput sequence data.  Babraham Bioinformatics, Babraham Institute, Cambridge, United Kingdom.</w:t>
      </w:r>
    </w:p>
    <w:p w14:paraId="170F19A2" w14:textId="77777777" w:rsidR="005955AB" w:rsidRPr="00A663DD" w:rsidRDefault="005955AB" w:rsidP="00A663DD">
      <w:pPr>
        <w:pStyle w:val="EndNoteBibliography"/>
        <w:spacing w:line="360" w:lineRule="auto"/>
        <w:jc w:val="both"/>
        <w:rPr>
          <w:rFonts w:ascii="Arial" w:hAnsi="Arial" w:cs="Arial"/>
        </w:rPr>
      </w:pPr>
      <w:r w:rsidRPr="00A663DD">
        <w:rPr>
          <w:rFonts w:ascii="Arial" w:hAnsi="Arial" w:cs="Arial"/>
        </w:rPr>
        <w:t xml:space="preserve">Hao, Y., Hao, S., Andersen-Nissen, E., Mauck, W.M., 3rd, Zheng, S., Butler, A., Lee, M.J., Wilk, A.J., Darby, C., Zager, M., et al. (2021). Integrated analysis of multimodal single-cell data. Cell </w:t>
      </w:r>
      <w:r w:rsidRPr="00A663DD">
        <w:rPr>
          <w:rFonts w:ascii="Arial" w:hAnsi="Arial" w:cs="Arial"/>
          <w:i/>
        </w:rPr>
        <w:t>184</w:t>
      </w:r>
      <w:r w:rsidRPr="00A663DD">
        <w:rPr>
          <w:rFonts w:ascii="Arial" w:hAnsi="Arial" w:cs="Arial"/>
        </w:rPr>
        <w:t>, 3573-3587.e3529. 10.1016/j.cell.2021.04.048.</w:t>
      </w:r>
    </w:p>
    <w:p w14:paraId="668B9406" w14:textId="77777777" w:rsidR="005955AB" w:rsidRPr="00A663DD" w:rsidRDefault="005955AB" w:rsidP="00A663DD">
      <w:pPr>
        <w:pStyle w:val="EndNoteBibliography"/>
        <w:spacing w:line="360" w:lineRule="auto"/>
        <w:jc w:val="both"/>
        <w:rPr>
          <w:rFonts w:ascii="Arial" w:hAnsi="Arial" w:cs="Arial"/>
        </w:rPr>
      </w:pPr>
      <w:r w:rsidRPr="00A663DD">
        <w:rPr>
          <w:rFonts w:ascii="Arial" w:hAnsi="Arial" w:cs="Arial"/>
        </w:rPr>
        <w:t>Li, H. (2013). Aligning sequence reads, clone sequences and assembly contigs with BWA-MEM. arXiv preprint arXiv:1303.3997.</w:t>
      </w:r>
    </w:p>
    <w:p w14:paraId="7AF38599" w14:textId="77777777" w:rsidR="005955AB" w:rsidRPr="00A663DD" w:rsidRDefault="005955AB" w:rsidP="00A663DD">
      <w:pPr>
        <w:pStyle w:val="EndNoteBibliography"/>
        <w:spacing w:line="360" w:lineRule="auto"/>
        <w:jc w:val="both"/>
        <w:rPr>
          <w:rFonts w:ascii="Arial" w:hAnsi="Arial" w:cs="Arial"/>
        </w:rPr>
      </w:pPr>
      <w:r w:rsidRPr="00A663DD">
        <w:rPr>
          <w:rFonts w:ascii="Arial" w:hAnsi="Arial" w:cs="Arial"/>
        </w:rPr>
        <w:t xml:space="preserve">Li, H., Handsaker, B., Wysoker, A., Fennell, T., Ruan, J., Homer, N., Marth, G., Abecasis, G., and Durbin, R. (2009). The sequence alignment/map format and SAMtools. Bioinformatics </w:t>
      </w:r>
      <w:r w:rsidRPr="00A663DD">
        <w:rPr>
          <w:rFonts w:ascii="Arial" w:hAnsi="Arial" w:cs="Arial"/>
          <w:i/>
        </w:rPr>
        <w:t>25</w:t>
      </w:r>
      <w:r w:rsidRPr="00A663DD">
        <w:rPr>
          <w:rFonts w:ascii="Arial" w:hAnsi="Arial" w:cs="Arial"/>
        </w:rPr>
        <w:t>, 2078-2079.</w:t>
      </w:r>
    </w:p>
    <w:p w14:paraId="0C3A9203" w14:textId="77777777" w:rsidR="005955AB" w:rsidRPr="00A663DD" w:rsidRDefault="005955AB" w:rsidP="00A663DD">
      <w:pPr>
        <w:pStyle w:val="EndNoteBibliography"/>
        <w:spacing w:line="360" w:lineRule="auto"/>
        <w:jc w:val="both"/>
        <w:rPr>
          <w:rFonts w:ascii="Arial" w:hAnsi="Arial" w:cs="Arial"/>
        </w:rPr>
      </w:pPr>
      <w:r w:rsidRPr="00A663DD">
        <w:rPr>
          <w:rFonts w:ascii="Arial" w:hAnsi="Arial" w:cs="Arial"/>
        </w:rPr>
        <w:t xml:space="preserve">McGinnis, C.S., Murrow, L.M., and Gartner, Z.J. (2019). DoubletFinder: Doublet Detection in Single-Cell RNA Sequencing Data Using Artificial Nearest Neighbors. Cell Syst </w:t>
      </w:r>
      <w:r w:rsidRPr="00A663DD">
        <w:rPr>
          <w:rFonts w:ascii="Arial" w:hAnsi="Arial" w:cs="Arial"/>
          <w:i/>
        </w:rPr>
        <w:t>8</w:t>
      </w:r>
      <w:r w:rsidRPr="00A663DD">
        <w:rPr>
          <w:rFonts w:ascii="Arial" w:hAnsi="Arial" w:cs="Arial"/>
        </w:rPr>
        <w:t>, 329-337.e324. 10.1016/j.cels.2019.03.003.</w:t>
      </w:r>
    </w:p>
    <w:p w14:paraId="38A76467" w14:textId="77777777" w:rsidR="005955AB" w:rsidRPr="00A663DD" w:rsidRDefault="005955AB" w:rsidP="00A663DD">
      <w:pPr>
        <w:pStyle w:val="EndNoteBibliography"/>
        <w:spacing w:line="360" w:lineRule="auto"/>
        <w:jc w:val="both"/>
        <w:rPr>
          <w:rFonts w:ascii="Arial" w:hAnsi="Arial" w:cs="Arial"/>
        </w:rPr>
      </w:pPr>
      <w:r w:rsidRPr="00A663DD">
        <w:rPr>
          <w:rFonts w:ascii="Arial" w:hAnsi="Arial" w:cs="Arial"/>
        </w:rPr>
        <w:t xml:space="preserve">McKenna, A., Hanna, M., Banks, E., Sivachenko, A., Cibulskis, K., Kernytsky, A., Garimella, K., Altshuler, D., Gabriel, S., and Daly, M. (2010). The Genome Analysis Toolkit: a MapReduce framework for analyzing next-generation DNA sequencing data. Genome research </w:t>
      </w:r>
      <w:r w:rsidRPr="00A663DD">
        <w:rPr>
          <w:rFonts w:ascii="Arial" w:hAnsi="Arial" w:cs="Arial"/>
          <w:i/>
        </w:rPr>
        <w:t>20</w:t>
      </w:r>
      <w:r w:rsidRPr="00A663DD">
        <w:rPr>
          <w:rFonts w:ascii="Arial" w:hAnsi="Arial" w:cs="Arial"/>
        </w:rPr>
        <w:t>, 1297-1303.</w:t>
      </w:r>
    </w:p>
    <w:p w14:paraId="60A65DFF" w14:textId="77777777" w:rsidR="005955AB" w:rsidRPr="00A663DD" w:rsidRDefault="005955AB" w:rsidP="00A663DD">
      <w:pPr>
        <w:pStyle w:val="EndNoteBibliography"/>
        <w:spacing w:line="360" w:lineRule="auto"/>
        <w:jc w:val="both"/>
        <w:rPr>
          <w:rFonts w:ascii="Arial" w:hAnsi="Arial" w:cs="Arial"/>
        </w:rPr>
      </w:pPr>
      <w:r w:rsidRPr="00A663DD">
        <w:rPr>
          <w:rFonts w:ascii="Arial" w:hAnsi="Arial" w:cs="Arial"/>
        </w:rPr>
        <w:t xml:space="preserve">Tarasov, A., Vilella, A.J., Cuppen, E., Nijman, I.J., and Prins, P. (2015). Sambamba: fast processing of NGS alignment formats. Bioinformatics </w:t>
      </w:r>
      <w:r w:rsidRPr="00A663DD">
        <w:rPr>
          <w:rFonts w:ascii="Arial" w:hAnsi="Arial" w:cs="Arial"/>
          <w:i/>
        </w:rPr>
        <w:t>31</w:t>
      </w:r>
      <w:r w:rsidRPr="00A663DD">
        <w:rPr>
          <w:rFonts w:ascii="Arial" w:hAnsi="Arial" w:cs="Arial"/>
        </w:rPr>
        <w:t>, 2032-2034.</w:t>
      </w:r>
    </w:p>
    <w:p w14:paraId="154FB232" w14:textId="77777777" w:rsidR="005955AB" w:rsidRPr="00A663DD" w:rsidRDefault="005955AB" w:rsidP="00A663DD">
      <w:pPr>
        <w:pStyle w:val="EndNoteBibliography"/>
        <w:spacing w:line="360" w:lineRule="auto"/>
        <w:jc w:val="both"/>
        <w:rPr>
          <w:rFonts w:ascii="Arial" w:hAnsi="Arial" w:cs="Arial"/>
        </w:rPr>
      </w:pPr>
      <w:r w:rsidRPr="00A663DD">
        <w:rPr>
          <w:rFonts w:ascii="Arial" w:hAnsi="Arial" w:cs="Arial"/>
        </w:rPr>
        <w:t xml:space="preserve">Wang, K., Li, M., and Hakonarson, H. (2010). ANNOVAR: functional annotation of genetic variants from high-throughput sequencing data. Nucleic acids research </w:t>
      </w:r>
      <w:r w:rsidRPr="00A663DD">
        <w:rPr>
          <w:rFonts w:ascii="Arial" w:hAnsi="Arial" w:cs="Arial"/>
          <w:i/>
        </w:rPr>
        <w:t>38</w:t>
      </w:r>
      <w:r w:rsidRPr="00A663DD">
        <w:rPr>
          <w:rFonts w:ascii="Arial" w:hAnsi="Arial" w:cs="Arial"/>
        </w:rPr>
        <w:t>, e164-e164.</w:t>
      </w:r>
    </w:p>
    <w:p w14:paraId="3DAB3C2D" w14:textId="77777777" w:rsidR="005955AB" w:rsidRPr="00A663DD" w:rsidRDefault="005955AB" w:rsidP="00A663DD">
      <w:pPr>
        <w:pStyle w:val="EndNoteBibliography"/>
        <w:spacing w:line="360" w:lineRule="auto"/>
        <w:jc w:val="both"/>
        <w:rPr>
          <w:rFonts w:ascii="Arial" w:hAnsi="Arial" w:cs="Arial"/>
        </w:rPr>
      </w:pPr>
      <w:r w:rsidRPr="00A663DD">
        <w:rPr>
          <w:rFonts w:ascii="Arial" w:hAnsi="Arial" w:cs="Arial"/>
        </w:rPr>
        <w:t xml:space="preserve">Wu, T., Hu, E., Xu, S., Chen, M., Guo, P., Dai, Z., Feng, T., Zhou, L., Tang, W., Zhan, L., et al. (2021). clusterProfiler 4.0: A universal enrichment tool for </w:t>
      </w:r>
      <w:r w:rsidRPr="00A663DD">
        <w:rPr>
          <w:rFonts w:ascii="Arial" w:hAnsi="Arial" w:cs="Arial"/>
        </w:rPr>
        <w:lastRenderedPageBreak/>
        <w:t xml:space="preserve">interpreting omics data. Innovation (Camb) </w:t>
      </w:r>
      <w:r w:rsidRPr="00A663DD">
        <w:rPr>
          <w:rFonts w:ascii="Arial" w:hAnsi="Arial" w:cs="Arial"/>
          <w:i/>
        </w:rPr>
        <w:t>2</w:t>
      </w:r>
      <w:r w:rsidRPr="00A663DD">
        <w:rPr>
          <w:rFonts w:ascii="Arial" w:hAnsi="Arial" w:cs="Arial"/>
        </w:rPr>
        <w:t>, 100141. 10.1016/j.xinn.2021.100141.</w:t>
      </w:r>
    </w:p>
    <w:p w14:paraId="15272733" w14:textId="5205A582" w:rsidR="0018659C" w:rsidRPr="00A663DD" w:rsidRDefault="005955AB" w:rsidP="00A663DD">
      <w:pPr>
        <w:spacing w:line="360" w:lineRule="auto"/>
        <w:rPr>
          <w:rFonts w:ascii="Arial" w:hAnsi="Arial" w:cs="Arial"/>
        </w:rPr>
      </w:pPr>
      <w:r w:rsidRPr="00A663DD">
        <w:rPr>
          <w:rFonts w:ascii="Arial" w:hAnsi="Arial" w:cs="Arial"/>
        </w:rPr>
        <w:fldChar w:fldCharType="end"/>
      </w:r>
    </w:p>
    <w:sectPr w:rsidR="0018659C" w:rsidRPr="00A663DD" w:rsidSect="005955AB">
      <w:pgSz w:w="11906" w:h="16838"/>
      <w:pgMar w:top="1440" w:right="1800" w:bottom="1440" w:left="156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390C67" w14:textId="77777777" w:rsidR="00524AC6" w:rsidRDefault="00524AC6" w:rsidP="00F95B38">
      <w:r>
        <w:separator/>
      </w:r>
    </w:p>
  </w:endnote>
  <w:endnote w:type="continuationSeparator" w:id="0">
    <w:p w14:paraId="6066ABD2" w14:textId="77777777" w:rsidR="00524AC6" w:rsidRDefault="00524AC6" w:rsidP="00F95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333249" w14:textId="77777777" w:rsidR="00524AC6" w:rsidRDefault="00524AC6" w:rsidP="00F95B38">
      <w:r>
        <w:separator/>
      </w:r>
    </w:p>
  </w:footnote>
  <w:footnote w:type="continuationSeparator" w:id="0">
    <w:p w14:paraId="7B1BB975" w14:textId="77777777" w:rsidR="00524AC6" w:rsidRDefault="00524AC6" w:rsidP="00F95B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Layout" w:val="&lt;ENLayout&gt;&lt;Style&gt;Cell&lt;/Style&gt;&lt;LeftDelim&gt;{&lt;/LeftDelim&gt;&lt;RightDelim&gt;}&lt;/RightDelim&gt;&lt;FontName&gt;Cambria&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d25a09tqxpxz3ed2t3v2d5pareedwrwt2zw&quot;&gt;My EndNote Library-2021.9.1后&lt;record-ids&gt;&lt;item&gt;679&lt;/item&gt;&lt;item&gt;680&lt;/item&gt;&lt;item&gt;681&lt;/item&gt;&lt;item&gt;682&lt;/item&gt;&lt;item&gt;683&lt;/item&gt;&lt;item&gt;684&lt;/item&gt;&lt;item&gt;693&lt;/item&gt;&lt;item&gt;694&lt;/item&gt;&lt;item&gt;695&lt;/item&gt;&lt;/record-ids&gt;&lt;/item&gt;&lt;/Libraries&gt;"/>
  </w:docVars>
  <w:rsids>
    <w:rsidRoot w:val="001712E9"/>
    <w:rsid w:val="001712E9"/>
    <w:rsid w:val="00183B01"/>
    <w:rsid w:val="0018659C"/>
    <w:rsid w:val="00524AC6"/>
    <w:rsid w:val="005955AB"/>
    <w:rsid w:val="005E04A3"/>
    <w:rsid w:val="00A663DD"/>
    <w:rsid w:val="00C70C78"/>
    <w:rsid w:val="00F105D3"/>
    <w:rsid w:val="00F2789D"/>
    <w:rsid w:val="00F95B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D93888"/>
  <w15:chartTrackingRefBased/>
  <w15:docId w15:val="{5AD96B47-F0E2-4438-9045-84BF95D53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789D"/>
    <w:rPr>
      <w:rFonts w:ascii="Cambria" w:eastAsia="宋体" w:hAnsi="Cambria" w:cs="Times New Roman"/>
      <w:kern w:val="0"/>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ndNoteBibliographyTitle">
    <w:name w:val="EndNote Bibliography Title"/>
    <w:basedOn w:val="a"/>
    <w:link w:val="EndNoteBibliographyTitle0"/>
    <w:rsid w:val="005955AB"/>
    <w:pPr>
      <w:jc w:val="center"/>
    </w:pPr>
    <w:rPr>
      <w:noProof/>
    </w:rPr>
  </w:style>
  <w:style w:type="character" w:customStyle="1" w:styleId="EndNoteBibliographyTitle0">
    <w:name w:val="EndNote Bibliography Title 字符"/>
    <w:basedOn w:val="a0"/>
    <w:link w:val="EndNoteBibliographyTitle"/>
    <w:rsid w:val="005955AB"/>
    <w:rPr>
      <w:rFonts w:ascii="Cambria" w:eastAsia="宋体" w:hAnsi="Cambria" w:cs="Times New Roman"/>
      <w:noProof/>
      <w:kern w:val="0"/>
      <w:sz w:val="24"/>
      <w:szCs w:val="24"/>
      <w:lang w:eastAsia="en-US"/>
    </w:rPr>
  </w:style>
  <w:style w:type="paragraph" w:customStyle="1" w:styleId="EndNoteBibliography">
    <w:name w:val="EndNote Bibliography"/>
    <w:basedOn w:val="a"/>
    <w:link w:val="EndNoteBibliography0"/>
    <w:rsid w:val="005955AB"/>
    <w:rPr>
      <w:noProof/>
    </w:rPr>
  </w:style>
  <w:style w:type="character" w:customStyle="1" w:styleId="EndNoteBibliography0">
    <w:name w:val="EndNote Bibliography 字符"/>
    <w:basedOn w:val="a0"/>
    <w:link w:val="EndNoteBibliography"/>
    <w:rsid w:val="005955AB"/>
    <w:rPr>
      <w:rFonts w:ascii="Cambria" w:eastAsia="宋体" w:hAnsi="Cambria" w:cs="Times New Roman"/>
      <w:noProof/>
      <w:kern w:val="0"/>
      <w:sz w:val="24"/>
      <w:szCs w:val="24"/>
      <w:lang w:eastAsia="en-US"/>
    </w:rPr>
  </w:style>
  <w:style w:type="table" w:styleId="a3">
    <w:name w:val="Table Grid"/>
    <w:basedOn w:val="a1"/>
    <w:uiPriority w:val="39"/>
    <w:rsid w:val="005955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F95B3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F95B38"/>
    <w:rPr>
      <w:rFonts w:ascii="Cambria" w:eastAsia="宋体" w:hAnsi="Cambria" w:cs="Times New Roman"/>
      <w:kern w:val="0"/>
      <w:sz w:val="18"/>
      <w:szCs w:val="18"/>
      <w:lang w:eastAsia="en-US"/>
    </w:rPr>
  </w:style>
  <w:style w:type="paragraph" w:styleId="a5">
    <w:name w:val="footer"/>
    <w:basedOn w:val="a"/>
    <w:link w:val="Char0"/>
    <w:uiPriority w:val="99"/>
    <w:unhideWhenUsed/>
    <w:rsid w:val="00F95B38"/>
    <w:pPr>
      <w:tabs>
        <w:tab w:val="center" w:pos="4153"/>
        <w:tab w:val="right" w:pos="8306"/>
      </w:tabs>
      <w:snapToGrid w:val="0"/>
    </w:pPr>
    <w:rPr>
      <w:sz w:val="18"/>
      <w:szCs w:val="18"/>
    </w:rPr>
  </w:style>
  <w:style w:type="character" w:customStyle="1" w:styleId="Char0">
    <w:name w:val="页脚 Char"/>
    <w:basedOn w:val="a0"/>
    <w:link w:val="a5"/>
    <w:uiPriority w:val="99"/>
    <w:rsid w:val="00F95B38"/>
    <w:rPr>
      <w:rFonts w:ascii="Cambria" w:eastAsia="宋体" w:hAnsi="Cambria" w:cs="Times New Roman"/>
      <w:kern w:val="0"/>
      <w:sz w:val="18"/>
      <w:szCs w:val="18"/>
      <w:lang w:eastAsia="en-US"/>
    </w:rPr>
  </w:style>
  <w:style w:type="character" w:styleId="a6">
    <w:name w:val="Hyperlink"/>
    <w:uiPriority w:val="99"/>
    <w:unhideWhenUsed/>
    <w:rsid w:val="00F95B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67478">
      <w:bodyDiv w:val="1"/>
      <w:marLeft w:val="0"/>
      <w:marRight w:val="0"/>
      <w:marTop w:val="0"/>
      <w:marBottom w:val="0"/>
      <w:divBdr>
        <w:top w:val="none" w:sz="0" w:space="0" w:color="auto"/>
        <w:left w:val="none" w:sz="0" w:space="0" w:color="auto"/>
        <w:bottom w:val="none" w:sz="0" w:space="0" w:color="auto"/>
        <w:right w:val="none" w:sz="0" w:space="0" w:color="auto"/>
      </w:divBdr>
    </w:div>
    <w:div w:id="1094280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2993</Words>
  <Characters>17062</Characters>
  <Application>Microsoft Office Word</Application>
  <DocSecurity>0</DocSecurity>
  <Lines>142</Lines>
  <Paragraphs>40</Paragraphs>
  <ScaleCrop>false</ScaleCrop>
  <Company/>
  <LinksUpToDate>false</LinksUpToDate>
  <CharactersWithSpaces>20015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苏 日娜</dc:creator>
  <cp:keywords/>
  <dc:description/>
  <cp:lastModifiedBy>HEP</cp:lastModifiedBy>
  <cp:revision>3</cp:revision>
  <dcterms:created xsi:type="dcterms:W3CDTF">2023-04-24T08:53:00Z</dcterms:created>
  <dcterms:modified xsi:type="dcterms:W3CDTF">2023-04-24T09:00:00Z</dcterms:modified>
</cp:coreProperties>
</file>