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8FB99" w14:textId="77777777" w:rsidR="0021446E" w:rsidRDefault="0021446E" w:rsidP="0021446E">
      <w:pPr>
        <w:rPr>
          <w:rFonts w:ascii="Times New Roman" w:hAnsi="Times New Roman" w:cs="Times New Roman"/>
        </w:rPr>
      </w:pPr>
      <w:bookmarkStart w:id="0" w:name="OLE_LINK23"/>
      <w:r w:rsidRPr="00DC6974">
        <w:rPr>
          <w:rFonts w:ascii="Times New Roman" w:hAnsi="Times New Roman" w:cs="Times New Roman"/>
          <w:b/>
          <w:bCs/>
        </w:rPr>
        <w:t>Table S1</w:t>
      </w:r>
      <w:r>
        <w:rPr>
          <w:rFonts w:ascii="Times New Roman" w:hAnsi="Times New Roman" w:cs="Times New Roman"/>
        </w:rPr>
        <w:t xml:space="preserve"> Summary of </w:t>
      </w:r>
      <w:r>
        <w:rPr>
          <w:rFonts w:ascii="Times New Roman" w:hAnsi="Times New Roman" w:cs="Times New Roman" w:hint="eastAsia"/>
        </w:rPr>
        <w:t>h</w:t>
      </w:r>
      <w:r>
        <w:rPr>
          <w:rFonts w:ascii="Times New Roman" w:hAnsi="Times New Roman" w:cs="Times New Roman"/>
        </w:rPr>
        <w:t xml:space="preserve">epatocellular </w:t>
      </w:r>
      <w:r>
        <w:rPr>
          <w:rFonts w:ascii="Times New Roman" w:hAnsi="Times New Roman" w:cs="Times New Roman" w:hint="eastAsia"/>
        </w:rPr>
        <w:t>c</w:t>
      </w:r>
      <w:r>
        <w:rPr>
          <w:rFonts w:ascii="Times New Roman" w:hAnsi="Times New Roman" w:cs="Times New Roman"/>
        </w:rPr>
        <w:t xml:space="preserve">arcinoma (HCC) </w:t>
      </w:r>
      <w:r>
        <w:rPr>
          <w:rFonts w:ascii="Times New Roman" w:hAnsi="Times New Roman" w:cs="Times New Roman" w:hint="eastAsia"/>
        </w:rPr>
        <w:t>d</w:t>
      </w:r>
      <w:r>
        <w:rPr>
          <w:rFonts w:ascii="Times New Roman" w:hAnsi="Times New Roman" w:cs="Times New Roman"/>
        </w:rPr>
        <w:t xml:space="preserve">atasets </w:t>
      </w:r>
      <w:r>
        <w:rPr>
          <w:rFonts w:ascii="Times New Roman" w:hAnsi="Times New Roman" w:cs="Times New Roman" w:hint="eastAsia"/>
        </w:rPr>
        <w:t>u</w:t>
      </w:r>
      <w:r>
        <w:rPr>
          <w:rFonts w:ascii="Times New Roman" w:hAnsi="Times New Roman" w:cs="Times New Roman"/>
        </w:rPr>
        <w:t xml:space="preserve">tilized in </w:t>
      </w:r>
      <w:r>
        <w:rPr>
          <w:rFonts w:ascii="Times New Roman" w:hAnsi="Times New Roman" w:cs="Times New Roman" w:hint="eastAsia"/>
        </w:rPr>
        <w:t>t</w:t>
      </w:r>
      <w:r>
        <w:rPr>
          <w:rFonts w:ascii="Times New Roman" w:hAnsi="Times New Roman" w:cs="Times New Roman"/>
        </w:rPr>
        <w:t xml:space="preserve">his </w:t>
      </w:r>
      <w:r>
        <w:rPr>
          <w:rFonts w:ascii="Times New Roman" w:hAnsi="Times New Roman" w:cs="Times New Roman" w:hint="eastAsia"/>
        </w:rPr>
        <w:t>s</w:t>
      </w:r>
      <w:r>
        <w:rPr>
          <w:rFonts w:ascii="Times New Roman" w:hAnsi="Times New Roman" w:cs="Times New Roman"/>
        </w:rPr>
        <w:t>tudy</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7"/>
        <w:gridCol w:w="1489"/>
        <w:gridCol w:w="1501"/>
        <w:gridCol w:w="1065"/>
        <w:gridCol w:w="2984"/>
      </w:tblGrid>
      <w:tr w:rsidR="0021446E" w14:paraId="3E8FBA90" w14:textId="77777777" w:rsidTr="00DC6974">
        <w:trPr>
          <w:trHeight w:val="283"/>
        </w:trPr>
        <w:tc>
          <w:tcPr>
            <w:tcW w:w="1179" w:type="dxa"/>
            <w:tcBorders>
              <w:top w:val="single" w:sz="12" w:space="0" w:color="auto"/>
              <w:bottom w:val="single" w:sz="8" w:space="0" w:color="auto"/>
            </w:tcBorders>
            <w:noWrap/>
          </w:tcPr>
          <w:p w14:paraId="3A58DB73"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Database / </w:t>
            </w:r>
            <w:r>
              <w:rPr>
                <w:rFonts w:ascii="Times New Roman" w:hAnsi="Times New Roman" w:cs="Times New Roman" w:hint="eastAsia"/>
              </w:rPr>
              <w:t>d</w:t>
            </w:r>
            <w:r>
              <w:rPr>
                <w:rFonts w:ascii="Times New Roman" w:hAnsi="Times New Roman" w:cs="Times New Roman"/>
              </w:rPr>
              <w:t>ataset</w:t>
            </w:r>
          </w:p>
        </w:tc>
        <w:tc>
          <w:tcPr>
            <w:tcW w:w="1518" w:type="dxa"/>
            <w:tcBorders>
              <w:top w:val="single" w:sz="12" w:space="0" w:color="auto"/>
              <w:bottom w:val="single" w:sz="8" w:space="0" w:color="auto"/>
            </w:tcBorders>
            <w:noWrap/>
          </w:tcPr>
          <w:p w14:paraId="7DE78D76"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Data </w:t>
            </w:r>
            <w:r>
              <w:rPr>
                <w:rFonts w:ascii="Times New Roman" w:hAnsi="Times New Roman" w:cs="Times New Roman" w:hint="eastAsia"/>
              </w:rPr>
              <w:t>t</w:t>
            </w:r>
            <w:r>
              <w:rPr>
                <w:rFonts w:ascii="Times New Roman" w:hAnsi="Times New Roman" w:cs="Times New Roman"/>
              </w:rPr>
              <w:t>ype</w:t>
            </w:r>
          </w:p>
        </w:tc>
        <w:tc>
          <w:tcPr>
            <w:tcW w:w="1530" w:type="dxa"/>
            <w:tcBorders>
              <w:top w:val="single" w:sz="12" w:space="0" w:color="auto"/>
              <w:bottom w:val="single" w:sz="8" w:space="0" w:color="auto"/>
            </w:tcBorders>
            <w:noWrap/>
          </w:tcPr>
          <w:p w14:paraId="372ADB08"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Cancer </w:t>
            </w:r>
            <w:r>
              <w:rPr>
                <w:rFonts w:ascii="Times New Roman" w:hAnsi="Times New Roman" w:cs="Times New Roman" w:hint="eastAsia"/>
              </w:rPr>
              <w:t>t</w:t>
            </w:r>
            <w:r>
              <w:rPr>
                <w:rFonts w:ascii="Times New Roman" w:hAnsi="Times New Roman" w:cs="Times New Roman"/>
              </w:rPr>
              <w:t>ype</w:t>
            </w:r>
          </w:p>
        </w:tc>
        <w:tc>
          <w:tcPr>
            <w:tcW w:w="1022" w:type="dxa"/>
            <w:tcBorders>
              <w:top w:val="single" w:sz="12" w:space="0" w:color="auto"/>
              <w:bottom w:val="single" w:sz="8" w:space="0" w:color="auto"/>
            </w:tcBorders>
            <w:noWrap/>
          </w:tcPr>
          <w:p w14:paraId="0221A2CB"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Sample </w:t>
            </w:r>
            <w:r>
              <w:rPr>
                <w:rFonts w:ascii="Times New Roman" w:hAnsi="Times New Roman" w:cs="Times New Roman" w:hint="eastAsia"/>
              </w:rPr>
              <w:t>s</w:t>
            </w:r>
            <w:r>
              <w:rPr>
                <w:rFonts w:ascii="Times New Roman" w:hAnsi="Times New Roman" w:cs="Times New Roman"/>
              </w:rPr>
              <w:t>ize (</w:t>
            </w:r>
            <w:r>
              <w:rPr>
                <w:rFonts w:ascii="Times New Roman" w:hAnsi="Times New Roman" w:cs="Times New Roman" w:hint="eastAsia"/>
              </w:rPr>
              <w:t>n</w:t>
            </w:r>
            <w:r>
              <w:rPr>
                <w:rFonts w:ascii="Times New Roman" w:hAnsi="Times New Roman" w:cs="Times New Roman"/>
              </w:rPr>
              <w:t xml:space="preserve">ormal: </w:t>
            </w:r>
            <w:r>
              <w:rPr>
                <w:rFonts w:ascii="Times New Roman" w:hAnsi="Times New Roman" w:cs="Times New Roman" w:hint="eastAsia"/>
              </w:rPr>
              <w:t>t</w:t>
            </w:r>
            <w:r>
              <w:rPr>
                <w:rFonts w:ascii="Times New Roman" w:hAnsi="Times New Roman" w:cs="Times New Roman"/>
              </w:rPr>
              <w:t>umor)</w:t>
            </w:r>
          </w:p>
        </w:tc>
        <w:tc>
          <w:tcPr>
            <w:tcW w:w="3047" w:type="dxa"/>
            <w:tcBorders>
              <w:top w:val="single" w:sz="12" w:space="0" w:color="auto"/>
              <w:bottom w:val="single" w:sz="8" w:space="0" w:color="auto"/>
            </w:tcBorders>
            <w:noWrap/>
          </w:tcPr>
          <w:p w14:paraId="5F6EF3E6"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Key </w:t>
            </w:r>
            <w:r>
              <w:rPr>
                <w:rFonts w:ascii="Times New Roman" w:hAnsi="Times New Roman" w:cs="Times New Roman" w:hint="eastAsia"/>
              </w:rPr>
              <w:t>c</w:t>
            </w:r>
            <w:r>
              <w:rPr>
                <w:rFonts w:ascii="Times New Roman" w:hAnsi="Times New Roman" w:cs="Times New Roman"/>
              </w:rPr>
              <w:t>haracteristics</w:t>
            </w:r>
          </w:p>
        </w:tc>
      </w:tr>
      <w:tr w:rsidR="0021446E" w14:paraId="2BBC7CE5" w14:textId="77777777" w:rsidTr="00DC6974">
        <w:trPr>
          <w:trHeight w:val="283"/>
        </w:trPr>
        <w:tc>
          <w:tcPr>
            <w:tcW w:w="1179" w:type="dxa"/>
            <w:tcBorders>
              <w:top w:val="single" w:sz="8" w:space="0" w:color="auto"/>
            </w:tcBorders>
            <w:noWrap/>
          </w:tcPr>
          <w:p w14:paraId="2AF50865"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UALCAN - TCGA (LIHC)</w:t>
            </w:r>
          </w:p>
        </w:tc>
        <w:tc>
          <w:tcPr>
            <w:tcW w:w="1518" w:type="dxa"/>
            <w:tcBorders>
              <w:top w:val="single" w:sz="8" w:space="0" w:color="auto"/>
            </w:tcBorders>
            <w:noWrap/>
          </w:tcPr>
          <w:p w14:paraId="154FDB9E"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Transcriptome </w:t>
            </w:r>
            <w:r>
              <w:rPr>
                <w:rFonts w:ascii="Times New Roman" w:hAnsi="Times New Roman" w:cs="Times New Roman" w:hint="eastAsia"/>
              </w:rPr>
              <w:t>d</w:t>
            </w:r>
            <w:r>
              <w:rPr>
                <w:rFonts w:ascii="Times New Roman" w:hAnsi="Times New Roman" w:cs="Times New Roman"/>
              </w:rPr>
              <w:t>ata</w:t>
            </w:r>
          </w:p>
        </w:tc>
        <w:tc>
          <w:tcPr>
            <w:tcW w:w="1530" w:type="dxa"/>
            <w:tcBorders>
              <w:top w:val="single" w:sz="8" w:space="0" w:color="auto"/>
            </w:tcBorders>
            <w:noWrap/>
          </w:tcPr>
          <w:p w14:paraId="33A8F678"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Hepatocellular Carcinoma (HCC)</w:t>
            </w:r>
          </w:p>
        </w:tc>
        <w:tc>
          <w:tcPr>
            <w:tcW w:w="1022" w:type="dxa"/>
            <w:tcBorders>
              <w:top w:val="single" w:sz="8" w:space="0" w:color="auto"/>
            </w:tcBorders>
            <w:noWrap/>
          </w:tcPr>
          <w:p w14:paraId="74042AAA"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50: 371</w:t>
            </w:r>
          </w:p>
        </w:tc>
        <w:tc>
          <w:tcPr>
            <w:tcW w:w="3047" w:type="dxa"/>
            <w:tcBorders>
              <w:top w:val="single" w:sz="8" w:space="0" w:color="auto"/>
            </w:tcBorders>
            <w:noWrap/>
          </w:tcPr>
          <w:p w14:paraId="5EE5AA20"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Authoritative source providing comprehensive multi-omics data for LIHC</w:t>
            </w:r>
          </w:p>
        </w:tc>
      </w:tr>
      <w:tr w:rsidR="0021446E" w14:paraId="0CE11902" w14:textId="77777777" w:rsidTr="00DC6974">
        <w:trPr>
          <w:trHeight w:val="283"/>
        </w:trPr>
        <w:tc>
          <w:tcPr>
            <w:tcW w:w="1179" w:type="dxa"/>
            <w:noWrap/>
          </w:tcPr>
          <w:p w14:paraId="79102CE9"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UALCAN - CPTAC (LIHC)</w:t>
            </w:r>
          </w:p>
        </w:tc>
        <w:tc>
          <w:tcPr>
            <w:tcW w:w="1518" w:type="dxa"/>
            <w:noWrap/>
          </w:tcPr>
          <w:p w14:paraId="7C97F109"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Proteomics </w:t>
            </w:r>
            <w:r>
              <w:rPr>
                <w:rFonts w:ascii="Times New Roman" w:hAnsi="Times New Roman" w:cs="Times New Roman" w:hint="eastAsia"/>
              </w:rPr>
              <w:t>d</w:t>
            </w:r>
            <w:r>
              <w:rPr>
                <w:rFonts w:ascii="Times New Roman" w:hAnsi="Times New Roman" w:cs="Times New Roman"/>
              </w:rPr>
              <w:t>ata</w:t>
            </w:r>
          </w:p>
        </w:tc>
        <w:tc>
          <w:tcPr>
            <w:tcW w:w="1530" w:type="dxa"/>
            <w:noWrap/>
          </w:tcPr>
          <w:p w14:paraId="6C06D2FD"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Hepatocellular Carcinoma (HCC)</w:t>
            </w:r>
          </w:p>
        </w:tc>
        <w:tc>
          <w:tcPr>
            <w:tcW w:w="1022" w:type="dxa"/>
            <w:noWrap/>
          </w:tcPr>
          <w:p w14:paraId="5CD92354"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165: 165</w:t>
            </w:r>
          </w:p>
        </w:tc>
        <w:tc>
          <w:tcPr>
            <w:tcW w:w="3047" w:type="dxa"/>
            <w:noWrap/>
          </w:tcPr>
          <w:p w14:paraId="112D2B41"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Provides protein expression profiles and post-translational modification data, serving as a vital complement to TCGA</w:t>
            </w:r>
          </w:p>
        </w:tc>
      </w:tr>
      <w:tr w:rsidR="0021446E" w14:paraId="31789CF3" w14:textId="77777777" w:rsidTr="00DC6974">
        <w:trPr>
          <w:trHeight w:val="283"/>
        </w:trPr>
        <w:tc>
          <w:tcPr>
            <w:tcW w:w="1179" w:type="dxa"/>
            <w:noWrap/>
          </w:tcPr>
          <w:p w14:paraId="328924A4"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GEO - GSE54236</w:t>
            </w:r>
          </w:p>
        </w:tc>
        <w:tc>
          <w:tcPr>
            <w:tcW w:w="1518" w:type="dxa"/>
            <w:noWrap/>
          </w:tcPr>
          <w:p w14:paraId="524F62EC"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Gene </w:t>
            </w:r>
            <w:r>
              <w:rPr>
                <w:rFonts w:ascii="Times New Roman" w:hAnsi="Times New Roman" w:cs="Times New Roman" w:hint="eastAsia"/>
              </w:rPr>
              <w:t>e</w:t>
            </w:r>
            <w:r>
              <w:rPr>
                <w:rFonts w:ascii="Times New Roman" w:hAnsi="Times New Roman" w:cs="Times New Roman"/>
              </w:rPr>
              <w:t xml:space="preserve">xpression </w:t>
            </w:r>
            <w:r>
              <w:rPr>
                <w:rFonts w:ascii="Times New Roman" w:hAnsi="Times New Roman" w:cs="Times New Roman" w:hint="eastAsia"/>
              </w:rPr>
              <w:t>m</w:t>
            </w:r>
            <w:r>
              <w:rPr>
                <w:rFonts w:ascii="Times New Roman" w:hAnsi="Times New Roman" w:cs="Times New Roman"/>
              </w:rPr>
              <w:t>icroarray</w:t>
            </w:r>
          </w:p>
        </w:tc>
        <w:tc>
          <w:tcPr>
            <w:tcW w:w="1530" w:type="dxa"/>
            <w:noWrap/>
          </w:tcPr>
          <w:p w14:paraId="4A92CC2E"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Hepatocellular Carcinoma (HCC)</w:t>
            </w:r>
          </w:p>
        </w:tc>
        <w:tc>
          <w:tcPr>
            <w:tcW w:w="1022" w:type="dxa"/>
            <w:noWrap/>
          </w:tcPr>
          <w:p w14:paraId="7CAFCF62"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80: 81</w:t>
            </w:r>
          </w:p>
        </w:tc>
        <w:tc>
          <w:tcPr>
            <w:tcW w:w="3047" w:type="dxa"/>
            <w:noWrap/>
          </w:tcPr>
          <w:p w14:paraId="7FB3D829"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Platform: GPL6480. Comprises HCC and paired adjacent non-tumor liver tissues</w:t>
            </w:r>
          </w:p>
        </w:tc>
      </w:tr>
      <w:tr w:rsidR="0021446E" w14:paraId="5C787248" w14:textId="77777777" w:rsidTr="00DC6974">
        <w:trPr>
          <w:trHeight w:val="283"/>
        </w:trPr>
        <w:tc>
          <w:tcPr>
            <w:tcW w:w="1179" w:type="dxa"/>
            <w:noWrap/>
          </w:tcPr>
          <w:p w14:paraId="7B29DA16"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GEO - GSE84402</w:t>
            </w:r>
          </w:p>
        </w:tc>
        <w:tc>
          <w:tcPr>
            <w:tcW w:w="1518" w:type="dxa"/>
            <w:noWrap/>
          </w:tcPr>
          <w:p w14:paraId="0FA06698"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Gene </w:t>
            </w:r>
            <w:r>
              <w:rPr>
                <w:rFonts w:ascii="Times New Roman" w:hAnsi="Times New Roman" w:cs="Times New Roman" w:hint="eastAsia"/>
              </w:rPr>
              <w:t>e</w:t>
            </w:r>
            <w:r>
              <w:rPr>
                <w:rFonts w:ascii="Times New Roman" w:hAnsi="Times New Roman" w:cs="Times New Roman"/>
              </w:rPr>
              <w:t xml:space="preserve">xpression </w:t>
            </w:r>
            <w:r>
              <w:rPr>
                <w:rFonts w:ascii="Times New Roman" w:hAnsi="Times New Roman" w:cs="Times New Roman" w:hint="eastAsia"/>
              </w:rPr>
              <w:t>m</w:t>
            </w:r>
            <w:r>
              <w:rPr>
                <w:rFonts w:ascii="Times New Roman" w:hAnsi="Times New Roman" w:cs="Times New Roman"/>
              </w:rPr>
              <w:t>icroarray</w:t>
            </w:r>
          </w:p>
        </w:tc>
        <w:tc>
          <w:tcPr>
            <w:tcW w:w="1530" w:type="dxa"/>
            <w:noWrap/>
          </w:tcPr>
          <w:p w14:paraId="178C9E94"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Hepatocellular Carcinoma (HCC)</w:t>
            </w:r>
          </w:p>
        </w:tc>
        <w:tc>
          <w:tcPr>
            <w:tcW w:w="1022" w:type="dxa"/>
            <w:noWrap/>
          </w:tcPr>
          <w:p w14:paraId="08AC4094"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14:14</w:t>
            </w:r>
          </w:p>
        </w:tc>
        <w:tc>
          <w:tcPr>
            <w:tcW w:w="3047" w:type="dxa"/>
            <w:noWrap/>
          </w:tcPr>
          <w:p w14:paraId="533612B4"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Platform: GPL570. Includes paired HCC and adjacent non-tumor liver tissues</w:t>
            </w:r>
          </w:p>
        </w:tc>
      </w:tr>
      <w:tr w:rsidR="0021446E" w14:paraId="0CC1FE6A" w14:textId="77777777" w:rsidTr="00DC6974">
        <w:trPr>
          <w:trHeight w:val="283"/>
        </w:trPr>
        <w:tc>
          <w:tcPr>
            <w:tcW w:w="1179" w:type="dxa"/>
            <w:tcBorders>
              <w:bottom w:val="single" w:sz="12" w:space="0" w:color="auto"/>
            </w:tcBorders>
            <w:noWrap/>
          </w:tcPr>
          <w:p w14:paraId="13C52DC5"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GEO - GSE45436</w:t>
            </w:r>
          </w:p>
        </w:tc>
        <w:tc>
          <w:tcPr>
            <w:tcW w:w="1518" w:type="dxa"/>
            <w:tcBorders>
              <w:bottom w:val="single" w:sz="12" w:space="0" w:color="auto"/>
            </w:tcBorders>
            <w:noWrap/>
          </w:tcPr>
          <w:p w14:paraId="0E798A7A"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 xml:space="preserve">Gene </w:t>
            </w:r>
            <w:r>
              <w:rPr>
                <w:rFonts w:ascii="Times New Roman" w:hAnsi="Times New Roman" w:cs="Times New Roman" w:hint="eastAsia"/>
              </w:rPr>
              <w:t>e</w:t>
            </w:r>
            <w:r>
              <w:rPr>
                <w:rFonts w:ascii="Times New Roman" w:hAnsi="Times New Roman" w:cs="Times New Roman"/>
              </w:rPr>
              <w:t xml:space="preserve">xpression </w:t>
            </w:r>
            <w:r>
              <w:rPr>
                <w:rFonts w:ascii="Times New Roman" w:hAnsi="Times New Roman" w:cs="Times New Roman" w:hint="eastAsia"/>
              </w:rPr>
              <w:t>m</w:t>
            </w:r>
            <w:r>
              <w:rPr>
                <w:rFonts w:ascii="Times New Roman" w:hAnsi="Times New Roman" w:cs="Times New Roman"/>
              </w:rPr>
              <w:t>icroarray</w:t>
            </w:r>
          </w:p>
        </w:tc>
        <w:tc>
          <w:tcPr>
            <w:tcW w:w="1530" w:type="dxa"/>
            <w:tcBorders>
              <w:bottom w:val="single" w:sz="12" w:space="0" w:color="auto"/>
            </w:tcBorders>
            <w:noWrap/>
          </w:tcPr>
          <w:p w14:paraId="67C22EBA"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Hepatocellular Carcinoma (HCC)</w:t>
            </w:r>
          </w:p>
        </w:tc>
        <w:tc>
          <w:tcPr>
            <w:tcW w:w="1022" w:type="dxa"/>
            <w:tcBorders>
              <w:bottom w:val="single" w:sz="12" w:space="0" w:color="auto"/>
            </w:tcBorders>
            <w:noWrap/>
          </w:tcPr>
          <w:p w14:paraId="1F878F8E"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39: 95</w:t>
            </w:r>
          </w:p>
        </w:tc>
        <w:tc>
          <w:tcPr>
            <w:tcW w:w="3047" w:type="dxa"/>
            <w:tcBorders>
              <w:bottom w:val="single" w:sz="12" w:space="0" w:color="auto"/>
            </w:tcBorders>
            <w:noWrap/>
          </w:tcPr>
          <w:p w14:paraId="2E9B0956" w14:textId="77777777" w:rsidR="0021446E" w:rsidRDefault="0021446E" w:rsidP="00DC6974">
            <w:pPr>
              <w:ind w:left="110" w:hangingChars="50" w:hanging="110"/>
              <w:rPr>
                <w:rFonts w:ascii="Times New Roman" w:hAnsi="Times New Roman" w:cs="Times New Roman"/>
              </w:rPr>
            </w:pPr>
            <w:r>
              <w:rPr>
                <w:rFonts w:ascii="Times New Roman" w:hAnsi="Times New Roman" w:cs="Times New Roman"/>
              </w:rPr>
              <w:t>Platform: GPL570. Consists of HCC tumors and non-tumor liver tissues</w:t>
            </w:r>
          </w:p>
        </w:tc>
      </w:tr>
    </w:tbl>
    <w:bookmarkEnd w:id="0"/>
    <w:p w14:paraId="70E26BB8" w14:textId="28972FDB" w:rsidR="0021446E" w:rsidRDefault="0021446E" w:rsidP="0021446E">
      <w:pPr>
        <w:rPr>
          <w:rFonts w:ascii="Times New Roman" w:hAnsi="Times New Roman" w:cs="Times New Roman"/>
        </w:rPr>
      </w:pPr>
      <w:r>
        <w:rPr>
          <w:rFonts w:ascii="Times New Roman" w:hAnsi="Times New Roman" w:cs="Times New Roman" w:hint="eastAsia"/>
        </w:rPr>
        <w:t>CPTAC, clinical proteomic tumor analysis consortium;</w:t>
      </w:r>
      <w:r>
        <w:rPr>
          <w:rFonts w:hint="eastAsia"/>
        </w:rPr>
        <w:t xml:space="preserve"> </w:t>
      </w:r>
      <w:r>
        <w:rPr>
          <w:rFonts w:ascii="Times New Roman" w:hAnsi="Times New Roman" w:cs="Times New Roman" w:hint="eastAsia"/>
        </w:rPr>
        <w:t>GEO, gene expression omnibus; TCGA, the cancer genome atlas</w:t>
      </w:r>
      <w:r>
        <w:rPr>
          <w:rFonts w:ascii="Times New Roman" w:hAnsi="Times New Roman" w:cs="Times New Roman" w:hint="eastAsia"/>
        </w:rPr>
        <w:t>.</w:t>
      </w:r>
    </w:p>
    <w:p w14:paraId="5C6ABBCC" w14:textId="3B43E349" w:rsidR="000F03E2" w:rsidRDefault="000F03E2">
      <w:pPr>
        <w:widowControl/>
        <w:rPr>
          <w:rFonts w:ascii="Times New Roman" w:hAnsi="Times New Roman" w:cs="Times New Roman"/>
        </w:rPr>
      </w:pPr>
      <w:r>
        <w:rPr>
          <w:rFonts w:ascii="Times New Roman" w:hAnsi="Times New Roman" w:cs="Times New Roman"/>
        </w:rPr>
        <w:br w:type="page"/>
      </w:r>
    </w:p>
    <w:p w14:paraId="36732A48" w14:textId="5DDB12D9" w:rsidR="00324C46" w:rsidRDefault="00357F8C" w:rsidP="00F372B4">
      <w:pPr>
        <w:rPr>
          <w:rFonts w:ascii="Times New Roman" w:hAnsi="Times New Roman" w:cs="Times New Roman"/>
        </w:rPr>
      </w:pPr>
      <w:r>
        <w:rPr>
          <w:rFonts w:ascii="Times New Roman" w:hAnsi="Times New Roman" w:cs="Times New Roman"/>
          <w:noProof/>
        </w:rPr>
        <w:lastRenderedPageBreak/>
        <w:drawing>
          <wp:inline distT="0" distB="0" distL="0" distR="0" wp14:anchorId="386EF808" wp14:editId="4CAD60B5">
            <wp:extent cx="5274310" cy="5810885"/>
            <wp:effectExtent l="0" t="0" r="2540" b="0"/>
            <wp:docPr id="4848798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79894" name="图片 48487989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5810885"/>
                    </a:xfrm>
                    <a:prstGeom prst="rect">
                      <a:avLst/>
                    </a:prstGeom>
                  </pic:spPr>
                </pic:pic>
              </a:graphicData>
            </a:graphic>
          </wp:inline>
        </w:drawing>
      </w:r>
    </w:p>
    <w:p w14:paraId="0C7C217A" w14:textId="6DC290A3" w:rsidR="0073548D" w:rsidRDefault="0073548D" w:rsidP="00F372B4">
      <w:pPr>
        <w:rPr>
          <w:rFonts w:ascii="Times New Roman" w:hAnsi="Times New Roman" w:cs="Times New Roman"/>
        </w:rPr>
      </w:pPr>
      <w:bookmarkStart w:id="1" w:name="OLE_LINK8"/>
      <w:r w:rsidRPr="0021446E">
        <w:rPr>
          <w:rFonts w:ascii="Times New Roman" w:hAnsi="Times New Roman" w:cs="Times New Roman" w:hint="eastAsia"/>
          <w:b/>
          <w:bCs/>
        </w:rPr>
        <w:t>Fig. S1</w:t>
      </w:r>
      <w:r w:rsidRPr="0073548D">
        <w:rPr>
          <w:rFonts w:ascii="Times New Roman" w:hAnsi="Times New Roman" w:cs="Times New Roman" w:hint="eastAsia"/>
        </w:rPr>
        <w:t xml:space="preserve"> Correlation between PDRG1 expression and clinicopathological parameters in TCGA and clinical cohorts.</w:t>
      </w:r>
      <w:bookmarkEnd w:id="1"/>
      <w:r w:rsidRPr="0073548D">
        <w:rPr>
          <w:rFonts w:ascii="Times New Roman" w:hAnsi="Times New Roman" w:cs="Times New Roman" w:hint="eastAsia"/>
        </w:rPr>
        <w:t xml:space="preserve"> </w:t>
      </w:r>
    </w:p>
    <w:p w14:paraId="5D16EC87" w14:textId="0194C4A1" w:rsidR="00C519B2" w:rsidRDefault="0073548D" w:rsidP="00F372B4">
      <w:pPr>
        <w:rPr>
          <w:rFonts w:ascii="Times New Roman" w:hAnsi="Times New Roman" w:cs="Times New Roman"/>
        </w:rPr>
      </w:pPr>
      <w:r w:rsidRPr="0073548D">
        <w:rPr>
          <w:rFonts w:ascii="Times New Roman" w:hAnsi="Times New Roman" w:cs="Times New Roman" w:hint="eastAsia"/>
        </w:rPr>
        <w:t>(A) Association of PDRG1 expression with specific etiological factors (alcohol consumption, NAFLD, hepatitis B, and hepatitis C) in the TCGA dataset. (B) Relationship between PDRG1 expression and clinicopathological parameters in the clinical cohort.</w:t>
      </w:r>
    </w:p>
    <w:p w14:paraId="4347FE39" w14:textId="77777777" w:rsidR="00C519B2" w:rsidRDefault="00C519B2">
      <w:pPr>
        <w:widowControl/>
        <w:rPr>
          <w:rFonts w:ascii="Times New Roman" w:hAnsi="Times New Roman" w:cs="Times New Roman"/>
        </w:rPr>
      </w:pPr>
      <w:r>
        <w:rPr>
          <w:rFonts w:ascii="Times New Roman" w:hAnsi="Times New Roman" w:cs="Times New Roman"/>
        </w:rPr>
        <w:br w:type="page"/>
      </w:r>
    </w:p>
    <w:p w14:paraId="71C083FF" w14:textId="1BCB6E7D" w:rsidR="000F03E2" w:rsidRDefault="00C519B2" w:rsidP="00F372B4">
      <w:pPr>
        <w:rPr>
          <w:rFonts w:ascii="Times New Roman" w:hAnsi="Times New Roman" w:cs="Times New Roman"/>
        </w:rPr>
      </w:pPr>
      <w:r>
        <w:rPr>
          <w:rFonts w:ascii="Times New Roman" w:hAnsi="Times New Roman" w:cs="Times New Roman"/>
          <w:noProof/>
        </w:rPr>
        <w:lastRenderedPageBreak/>
        <w:drawing>
          <wp:inline distT="0" distB="0" distL="0" distR="0" wp14:anchorId="665A6D47" wp14:editId="084217BC">
            <wp:extent cx="5274310" cy="1652270"/>
            <wp:effectExtent l="0" t="0" r="2540" b="5080"/>
            <wp:docPr id="15729569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56936" name="图片 157295693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1652270"/>
                    </a:xfrm>
                    <a:prstGeom prst="rect">
                      <a:avLst/>
                    </a:prstGeom>
                  </pic:spPr>
                </pic:pic>
              </a:graphicData>
            </a:graphic>
          </wp:inline>
        </w:drawing>
      </w:r>
    </w:p>
    <w:p w14:paraId="43A263B6" w14:textId="5C33B181" w:rsidR="00C519B2" w:rsidRPr="00C519B2" w:rsidRDefault="00F933FE" w:rsidP="00F372B4">
      <w:pPr>
        <w:rPr>
          <w:rFonts w:ascii="Times New Roman" w:hAnsi="Times New Roman" w:cs="Times New Roman"/>
        </w:rPr>
      </w:pPr>
      <w:r w:rsidRPr="0021446E">
        <w:rPr>
          <w:rFonts w:ascii="Times New Roman" w:hAnsi="Times New Roman" w:cs="Times New Roman" w:hint="eastAsia"/>
          <w:b/>
          <w:bCs/>
        </w:rPr>
        <w:t xml:space="preserve">Fig. S2 </w:t>
      </w:r>
      <w:r w:rsidRPr="00F933FE">
        <w:rPr>
          <w:rFonts w:ascii="Times New Roman" w:hAnsi="Times New Roman" w:cs="Times New Roman" w:hint="eastAsia"/>
        </w:rPr>
        <w:t>Correlation analysis of PFDN6, URI1 and UXT with PDRG1 expression in the TCGA-LIHC cohort using GEPIA2. (A-C) Scatter plots showing the mRNA expression correlation between PDRG1 and PFDN6 (A), URI1 (B), and UXT (C), respectively.</w:t>
      </w:r>
    </w:p>
    <w:sectPr w:rsidR="00C519B2" w:rsidRPr="00C519B2" w:rsidSect="00165A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0F5B" w14:textId="77777777" w:rsidR="00663FE6" w:rsidRDefault="00663FE6" w:rsidP="00F372B4">
      <w:pPr>
        <w:spacing w:after="0" w:line="240" w:lineRule="auto"/>
        <w:rPr>
          <w:rFonts w:hint="eastAsia"/>
        </w:rPr>
      </w:pPr>
      <w:r>
        <w:separator/>
      </w:r>
    </w:p>
  </w:endnote>
  <w:endnote w:type="continuationSeparator" w:id="0">
    <w:p w14:paraId="0A563A3C" w14:textId="77777777" w:rsidR="00663FE6" w:rsidRDefault="00663FE6" w:rsidP="00F372B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3A34" w14:textId="77777777" w:rsidR="00663FE6" w:rsidRDefault="00663FE6" w:rsidP="00F372B4">
      <w:pPr>
        <w:spacing w:after="0" w:line="240" w:lineRule="auto"/>
        <w:rPr>
          <w:rFonts w:hint="eastAsia"/>
        </w:rPr>
      </w:pPr>
      <w:r>
        <w:separator/>
      </w:r>
    </w:p>
  </w:footnote>
  <w:footnote w:type="continuationSeparator" w:id="0">
    <w:p w14:paraId="1A428393" w14:textId="77777777" w:rsidR="00663FE6" w:rsidRDefault="00663FE6" w:rsidP="00F372B4">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46"/>
    <w:rsid w:val="00034E90"/>
    <w:rsid w:val="000717C1"/>
    <w:rsid w:val="00087715"/>
    <w:rsid w:val="00091DA6"/>
    <w:rsid w:val="000F03E2"/>
    <w:rsid w:val="00165ABE"/>
    <w:rsid w:val="0021446E"/>
    <w:rsid w:val="00232D6C"/>
    <w:rsid w:val="00324C46"/>
    <w:rsid w:val="00357F8C"/>
    <w:rsid w:val="00360DE0"/>
    <w:rsid w:val="00663FE6"/>
    <w:rsid w:val="0073548D"/>
    <w:rsid w:val="008A66D4"/>
    <w:rsid w:val="00BE3442"/>
    <w:rsid w:val="00C30A7F"/>
    <w:rsid w:val="00C519B2"/>
    <w:rsid w:val="00C5570C"/>
    <w:rsid w:val="00CD63B0"/>
    <w:rsid w:val="00F372B4"/>
    <w:rsid w:val="00F93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FBC78"/>
  <w15:chartTrackingRefBased/>
  <w15:docId w15:val="{AA2585B0-EBA2-4B90-8DA6-68061119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24C4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24C4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24C4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24C4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24C46"/>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324C46"/>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24C4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24C4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24C4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24C4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24C4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24C4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24C46"/>
    <w:rPr>
      <w:rFonts w:cstheme="majorBidi"/>
      <w:color w:val="2F5496" w:themeColor="accent1" w:themeShade="BF"/>
      <w:sz w:val="28"/>
      <w:szCs w:val="28"/>
    </w:rPr>
  </w:style>
  <w:style w:type="character" w:customStyle="1" w:styleId="50">
    <w:name w:val="标题 5 字符"/>
    <w:basedOn w:val="a0"/>
    <w:link w:val="5"/>
    <w:uiPriority w:val="9"/>
    <w:semiHidden/>
    <w:rsid w:val="00324C46"/>
    <w:rPr>
      <w:rFonts w:cstheme="majorBidi"/>
      <w:color w:val="2F5496" w:themeColor="accent1" w:themeShade="BF"/>
      <w:sz w:val="24"/>
    </w:rPr>
  </w:style>
  <w:style w:type="character" w:customStyle="1" w:styleId="60">
    <w:name w:val="标题 6 字符"/>
    <w:basedOn w:val="a0"/>
    <w:link w:val="6"/>
    <w:uiPriority w:val="9"/>
    <w:semiHidden/>
    <w:rsid w:val="00324C46"/>
    <w:rPr>
      <w:rFonts w:cstheme="majorBidi"/>
      <w:b/>
      <w:bCs/>
      <w:color w:val="2F5496" w:themeColor="accent1" w:themeShade="BF"/>
    </w:rPr>
  </w:style>
  <w:style w:type="character" w:customStyle="1" w:styleId="70">
    <w:name w:val="标题 7 字符"/>
    <w:basedOn w:val="a0"/>
    <w:link w:val="7"/>
    <w:uiPriority w:val="9"/>
    <w:semiHidden/>
    <w:rsid w:val="00324C46"/>
    <w:rPr>
      <w:rFonts w:cstheme="majorBidi"/>
      <w:b/>
      <w:bCs/>
      <w:color w:val="595959" w:themeColor="text1" w:themeTint="A6"/>
    </w:rPr>
  </w:style>
  <w:style w:type="character" w:customStyle="1" w:styleId="80">
    <w:name w:val="标题 8 字符"/>
    <w:basedOn w:val="a0"/>
    <w:link w:val="8"/>
    <w:uiPriority w:val="9"/>
    <w:semiHidden/>
    <w:rsid w:val="00324C46"/>
    <w:rPr>
      <w:rFonts w:cstheme="majorBidi"/>
      <w:color w:val="595959" w:themeColor="text1" w:themeTint="A6"/>
    </w:rPr>
  </w:style>
  <w:style w:type="character" w:customStyle="1" w:styleId="90">
    <w:name w:val="标题 9 字符"/>
    <w:basedOn w:val="a0"/>
    <w:link w:val="9"/>
    <w:uiPriority w:val="9"/>
    <w:semiHidden/>
    <w:rsid w:val="00324C46"/>
    <w:rPr>
      <w:rFonts w:eastAsiaTheme="majorEastAsia" w:cstheme="majorBidi"/>
      <w:color w:val="595959" w:themeColor="text1" w:themeTint="A6"/>
    </w:rPr>
  </w:style>
  <w:style w:type="paragraph" w:styleId="a3">
    <w:name w:val="Title"/>
    <w:basedOn w:val="a"/>
    <w:next w:val="a"/>
    <w:link w:val="a4"/>
    <w:uiPriority w:val="10"/>
    <w:qFormat/>
    <w:rsid w:val="00324C4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24C4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24C4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24C4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24C46"/>
    <w:pPr>
      <w:spacing w:before="160"/>
      <w:jc w:val="center"/>
    </w:pPr>
    <w:rPr>
      <w:i/>
      <w:iCs/>
      <w:color w:val="404040" w:themeColor="text1" w:themeTint="BF"/>
    </w:rPr>
  </w:style>
  <w:style w:type="character" w:customStyle="1" w:styleId="a8">
    <w:name w:val="引用 字符"/>
    <w:basedOn w:val="a0"/>
    <w:link w:val="a7"/>
    <w:uiPriority w:val="29"/>
    <w:rsid w:val="00324C46"/>
    <w:rPr>
      <w:i/>
      <w:iCs/>
      <w:color w:val="404040" w:themeColor="text1" w:themeTint="BF"/>
    </w:rPr>
  </w:style>
  <w:style w:type="paragraph" w:styleId="a9">
    <w:name w:val="List Paragraph"/>
    <w:basedOn w:val="a"/>
    <w:uiPriority w:val="34"/>
    <w:qFormat/>
    <w:rsid w:val="00324C46"/>
    <w:pPr>
      <w:ind w:left="720"/>
      <w:contextualSpacing/>
    </w:pPr>
  </w:style>
  <w:style w:type="character" w:styleId="aa">
    <w:name w:val="Intense Emphasis"/>
    <w:basedOn w:val="a0"/>
    <w:uiPriority w:val="21"/>
    <w:qFormat/>
    <w:rsid w:val="00324C46"/>
    <w:rPr>
      <w:i/>
      <w:iCs/>
      <w:color w:val="2F5496" w:themeColor="accent1" w:themeShade="BF"/>
    </w:rPr>
  </w:style>
  <w:style w:type="paragraph" w:styleId="ab">
    <w:name w:val="Intense Quote"/>
    <w:basedOn w:val="a"/>
    <w:next w:val="a"/>
    <w:link w:val="ac"/>
    <w:uiPriority w:val="30"/>
    <w:qFormat/>
    <w:rsid w:val="00324C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24C46"/>
    <w:rPr>
      <w:i/>
      <w:iCs/>
      <w:color w:val="2F5496" w:themeColor="accent1" w:themeShade="BF"/>
    </w:rPr>
  </w:style>
  <w:style w:type="character" w:styleId="ad">
    <w:name w:val="Intense Reference"/>
    <w:basedOn w:val="a0"/>
    <w:uiPriority w:val="32"/>
    <w:qFormat/>
    <w:rsid w:val="00324C46"/>
    <w:rPr>
      <w:b/>
      <w:bCs/>
      <w:smallCaps/>
      <w:color w:val="2F5496" w:themeColor="accent1" w:themeShade="BF"/>
      <w:spacing w:val="5"/>
    </w:rPr>
  </w:style>
  <w:style w:type="table" w:styleId="ae">
    <w:name w:val="Table Grid"/>
    <w:basedOn w:val="a1"/>
    <w:uiPriority w:val="39"/>
    <w:qFormat/>
    <w:rsid w:val="00BE3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F372B4"/>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F372B4"/>
    <w:rPr>
      <w:sz w:val="18"/>
      <w:szCs w:val="18"/>
    </w:rPr>
  </w:style>
  <w:style w:type="paragraph" w:styleId="af1">
    <w:name w:val="footer"/>
    <w:basedOn w:val="a"/>
    <w:link w:val="af2"/>
    <w:uiPriority w:val="99"/>
    <w:unhideWhenUsed/>
    <w:rsid w:val="00F372B4"/>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F372B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88829">
      <w:marLeft w:val="0"/>
      <w:marRight w:val="0"/>
      <w:marTop w:val="0"/>
      <w:marBottom w:val="0"/>
      <w:divBdr>
        <w:top w:val="none" w:sz="0" w:space="0" w:color="auto"/>
        <w:left w:val="none" w:sz="0" w:space="0" w:color="auto"/>
        <w:bottom w:val="none" w:sz="0" w:space="0" w:color="auto"/>
        <w:right w:val="none" w:sz="0" w:space="0" w:color="auto"/>
      </w:divBdr>
    </w:div>
    <w:div w:id="7350064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232</Words>
  <Characters>1473</Characters>
  <Application>Microsoft Office Word</Application>
  <DocSecurity>0</DocSecurity>
  <Lines>86</Lines>
  <Paragraphs>40</Paragraphs>
  <ScaleCrop>false</ScaleCrop>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旭东 赵</dc:creator>
  <cp:keywords/>
  <dc:description/>
  <cp:lastModifiedBy>MedScience</cp:lastModifiedBy>
  <cp:revision>2</cp:revision>
  <dcterms:created xsi:type="dcterms:W3CDTF">2026-05-08T08:28:00Z</dcterms:created>
  <dcterms:modified xsi:type="dcterms:W3CDTF">2026-05-08T08:28:00Z</dcterms:modified>
</cp:coreProperties>
</file>