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D42" w:rsidRDefault="0041088A">
      <w:pPr>
        <w:rPr>
          <w:rFonts w:cs="Arial"/>
          <w:b/>
          <w:sz w:val="28"/>
          <w:szCs w:val="28"/>
          <w:lang w:val="en-US"/>
        </w:rPr>
      </w:pPr>
      <w:r>
        <w:rPr>
          <w:rFonts w:cs="Arial"/>
          <w:b/>
          <w:sz w:val="28"/>
          <w:szCs w:val="28"/>
          <w:lang w:val="en-US"/>
        </w:rPr>
        <w:t>Supporting Information for</w:t>
      </w:r>
    </w:p>
    <w:p w:rsidR="00122D42" w:rsidRDefault="003E2BA6">
      <w:pPr>
        <w:rPr>
          <w:lang w:val="en-US"/>
        </w:rPr>
      </w:pPr>
      <w:r w:rsidRPr="003E2BA6">
        <w:rPr>
          <w:lang w:val="en-US"/>
        </w:rPr>
        <w:t xml:space="preserve">Enhancing patient activation: a controlled implementation study of an </w:t>
      </w:r>
      <w:proofErr w:type="spellStart"/>
      <w:r w:rsidRPr="003E2BA6">
        <w:rPr>
          <w:lang w:val="en-US"/>
        </w:rPr>
        <w:t>interprofessional</w:t>
      </w:r>
      <w:proofErr w:type="spellEnd"/>
      <w:r w:rsidRPr="003E2BA6">
        <w:rPr>
          <w:lang w:val="en-US"/>
        </w:rPr>
        <w:t xml:space="preserve"> evidence-based counseling program for complementary and integrative healthcare in cancer patients ('CCC-</w:t>
      </w:r>
      <w:proofErr w:type="spellStart"/>
      <w:r w:rsidRPr="003E2BA6">
        <w:rPr>
          <w:lang w:val="en-US"/>
        </w:rPr>
        <w:t>Integrativ</w:t>
      </w:r>
      <w:proofErr w:type="spellEnd"/>
      <w:r w:rsidRPr="003E2BA6">
        <w:rPr>
          <w:lang w:val="en-US"/>
        </w:rPr>
        <w:t>')</w:t>
      </w:r>
      <w:bookmarkStart w:id="0" w:name="_GoBack"/>
      <w:bookmarkEnd w:id="0"/>
    </w:p>
    <w:p w:rsidR="00122D42" w:rsidRDefault="00122D42">
      <w:pPr>
        <w:rPr>
          <w:rFonts w:cs="Arial"/>
          <w:sz w:val="20"/>
          <w:szCs w:val="20"/>
          <w:lang w:val="en-US"/>
        </w:rPr>
      </w:pPr>
    </w:p>
    <w:p w:rsidR="00122D42" w:rsidRDefault="00122D42">
      <w:pPr>
        <w:rPr>
          <w:rFonts w:cs="Arial"/>
          <w:sz w:val="20"/>
          <w:lang w:val="en-US"/>
        </w:rPr>
      </w:pPr>
    </w:p>
    <w:p w:rsidR="00122D42" w:rsidRDefault="0041088A">
      <w:pPr>
        <w:rPr>
          <w:rFonts w:cs="Arial"/>
          <w:sz w:val="20"/>
          <w:lang w:val="en-US"/>
        </w:rPr>
      </w:pPr>
      <w:r>
        <w:rPr>
          <w:rFonts w:cs="Arial"/>
          <w:sz w:val="20"/>
          <w:lang w:val="en-US"/>
        </w:rPr>
        <w:t xml:space="preserve">Corresponding author: </w:t>
      </w:r>
    </w:p>
    <w:p w:rsidR="00122D42" w:rsidRDefault="0041088A">
      <w:pPr>
        <w:rPr>
          <w:rFonts w:cs="Arial"/>
          <w:sz w:val="20"/>
          <w:lang w:val="en-US"/>
        </w:rPr>
      </w:pPr>
      <w:r>
        <w:rPr>
          <w:rFonts w:cs="Arial"/>
          <w:sz w:val="20"/>
          <w:lang w:val="en-US"/>
        </w:rPr>
        <w:t xml:space="preserve">Jan Valentini, </w:t>
      </w:r>
    </w:p>
    <w:p w:rsidR="00122D42" w:rsidRDefault="0041088A">
      <w:pPr>
        <w:rPr>
          <w:rFonts w:cs="Arial"/>
          <w:sz w:val="20"/>
          <w:lang w:val="en-US"/>
        </w:rPr>
      </w:pPr>
      <w:r>
        <w:rPr>
          <w:rFonts w:cs="Arial"/>
          <w:sz w:val="20"/>
          <w:lang w:val="en-US"/>
        </w:rPr>
        <w:t xml:space="preserve">Email: </w:t>
      </w:r>
      <w:hyperlink r:id="rId5" w:history="1">
        <w:r>
          <w:rPr>
            <w:rStyle w:val="a8"/>
            <w:rFonts w:cs="Arial"/>
            <w:sz w:val="20"/>
            <w:lang w:val="en-US"/>
          </w:rPr>
          <w:t>jan.valentini@med.uni-tuebingen.de</w:t>
        </w:r>
      </w:hyperlink>
    </w:p>
    <w:p w:rsidR="00122D42" w:rsidRDefault="00122D42">
      <w:pPr>
        <w:rPr>
          <w:rFonts w:cs="Arial"/>
          <w:sz w:val="20"/>
          <w:lang w:val="en-US"/>
        </w:rPr>
      </w:pPr>
    </w:p>
    <w:p w:rsidR="00122D42" w:rsidRDefault="00122D42">
      <w:pPr>
        <w:rPr>
          <w:rFonts w:cs="Arial"/>
          <w:b/>
          <w:sz w:val="20"/>
          <w:lang w:val="en-US"/>
        </w:rPr>
      </w:pPr>
    </w:p>
    <w:p w:rsidR="00122D42" w:rsidRDefault="0041088A">
      <w:pPr>
        <w:rPr>
          <w:rFonts w:cs="Arial"/>
          <w:b/>
          <w:sz w:val="20"/>
          <w:lang w:val="en-US"/>
        </w:rPr>
      </w:pPr>
      <w:r>
        <w:rPr>
          <w:rFonts w:cs="Arial"/>
          <w:b/>
          <w:sz w:val="20"/>
          <w:lang w:val="en-US"/>
        </w:rPr>
        <w:t>This PDF file includes:</w:t>
      </w:r>
    </w:p>
    <w:p w:rsidR="00122D42" w:rsidRDefault="0041088A">
      <w:pPr>
        <w:ind w:left="720"/>
        <w:rPr>
          <w:rFonts w:cs="Arial"/>
          <w:sz w:val="20"/>
          <w:lang w:val="en-US"/>
        </w:rPr>
      </w:pPr>
      <w:r>
        <w:rPr>
          <w:rFonts w:cs="Arial"/>
          <w:sz w:val="20"/>
          <w:lang w:val="en-US"/>
        </w:rPr>
        <w:t xml:space="preserve">Supplement 1: </w:t>
      </w:r>
      <w:proofErr w:type="spellStart"/>
      <w:r>
        <w:rPr>
          <w:rFonts w:cs="Arial"/>
          <w:sz w:val="20"/>
          <w:lang w:val="en-US"/>
        </w:rPr>
        <w:t>TIDieR</w:t>
      </w:r>
      <w:proofErr w:type="spellEnd"/>
      <w:r>
        <w:rPr>
          <w:rFonts w:cs="Arial"/>
          <w:sz w:val="20"/>
          <w:lang w:val="en-US"/>
        </w:rPr>
        <w:t xml:space="preserve">-Checklist </w:t>
      </w:r>
    </w:p>
    <w:p w:rsidR="00122D42" w:rsidRDefault="0041088A">
      <w:pPr>
        <w:ind w:left="720"/>
        <w:rPr>
          <w:rFonts w:cs="Arial"/>
          <w:sz w:val="20"/>
          <w:lang w:val="en-US"/>
        </w:rPr>
      </w:pPr>
      <w:r>
        <w:rPr>
          <w:rFonts w:cs="Arial"/>
          <w:sz w:val="20"/>
          <w:lang w:val="en-US"/>
        </w:rPr>
        <w:t>Supplement 2:_ICD_organs</w:t>
      </w:r>
    </w:p>
    <w:p w:rsidR="00122D42" w:rsidRDefault="0041088A">
      <w:pPr>
        <w:ind w:left="720"/>
        <w:rPr>
          <w:rFonts w:cs="Arial"/>
          <w:sz w:val="20"/>
          <w:lang w:val="en-US"/>
        </w:rPr>
      </w:pPr>
      <w:r>
        <w:rPr>
          <w:rFonts w:cs="Arial"/>
          <w:sz w:val="20"/>
          <w:lang w:val="en-US"/>
        </w:rPr>
        <w:t>Supplement 3: Dropouts Socio-demog</w:t>
      </w:r>
      <w:r>
        <w:rPr>
          <w:rFonts w:cs="Arial"/>
          <w:sz w:val="20"/>
          <w:lang w:val="en-US"/>
        </w:rPr>
        <w:t>raphics and clinical Data</w:t>
      </w:r>
    </w:p>
    <w:p w:rsidR="00122D42" w:rsidRDefault="0041088A">
      <w:pPr>
        <w:ind w:left="720"/>
        <w:rPr>
          <w:rFonts w:cs="Arial"/>
          <w:sz w:val="20"/>
          <w:lang w:val="en-US"/>
        </w:rPr>
      </w:pPr>
      <w:r>
        <w:rPr>
          <w:rFonts w:cs="Arial"/>
          <w:sz w:val="20"/>
          <w:lang w:val="en-US"/>
        </w:rPr>
        <w:t>Supplement 4: Main cancer diagnosis</w:t>
      </w:r>
    </w:p>
    <w:p w:rsidR="00122D42" w:rsidRDefault="0041088A">
      <w:pPr>
        <w:ind w:left="720"/>
        <w:rPr>
          <w:rFonts w:cs="Arial"/>
          <w:sz w:val="20"/>
          <w:lang w:val="en-US"/>
        </w:rPr>
      </w:pPr>
      <w:r>
        <w:rPr>
          <w:rFonts w:cs="Arial"/>
          <w:sz w:val="20"/>
          <w:lang w:val="en-US"/>
        </w:rPr>
        <w:t xml:space="preserve">Supplement 5: </w:t>
      </w:r>
      <w:proofErr w:type="spellStart"/>
      <w:r>
        <w:rPr>
          <w:rFonts w:cs="Arial"/>
          <w:sz w:val="20"/>
          <w:lang w:val="en-US"/>
        </w:rPr>
        <w:t>Sociodemographics</w:t>
      </w:r>
      <w:proofErr w:type="spellEnd"/>
      <w:r>
        <w:rPr>
          <w:rFonts w:cs="Arial"/>
          <w:sz w:val="20"/>
          <w:lang w:val="en-US"/>
        </w:rPr>
        <w:t xml:space="preserve"> and anamnesis by CCC study sites</w:t>
      </w:r>
    </w:p>
    <w:p w:rsidR="00122D42" w:rsidRDefault="0041088A">
      <w:pPr>
        <w:ind w:left="720"/>
        <w:rPr>
          <w:rFonts w:cs="Arial"/>
          <w:sz w:val="20"/>
          <w:lang w:val="en-US"/>
        </w:rPr>
      </w:pPr>
      <w:r>
        <w:rPr>
          <w:rFonts w:cs="Arial"/>
          <w:sz w:val="20"/>
          <w:lang w:val="en-US"/>
        </w:rPr>
        <w:t>Supplement 6: Level changes (Control and Intervention Group)</w:t>
      </w:r>
    </w:p>
    <w:p w:rsidR="00122D42" w:rsidRDefault="0041088A">
      <w:pPr>
        <w:ind w:left="720"/>
        <w:rPr>
          <w:rFonts w:cs="Arial"/>
          <w:sz w:val="20"/>
          <w:lang w:val="en-US"/>
        </w:rPr>
      </w:pPr>
      <w:r>
        <w:rPr>
          <w:rFonts w:cs="Arial"/>
          <w:sz w:val="20"/>
          <w:lang w:val="en-US"/>
        </w:rPr>
        <w:t>Supplement 7: ANCOVA for patient activation measure (PAM-13) on 12-w</w:t>
      </w:r>
      <w:r>
        <w:rPr>
          <w:rFonts w:cs="Arial"/>
          <w:sz w:val="20"/>
          <w:lang w:val="en-US"/>
        </w:rPr>
        <w:t>eek (T2) post-test scores.</w:t>
      </w:r>
    </w:p>
    <w:p w:rsidR="00122D42" w:rsidRDefault="0041088A">
      <w:pPr>
        <w:ind w:left="720"/>
        <w:rPr>
          <w:rFonts w:cs="Arial"/>
          <w:sz w:val="20"/>
          <w:lang w:val="en-US"/>
        </w:rPr>
      </w:pPr>
      <w:r>
        <w:rPr>
          <w:rFonts w:cs="Arial"/>
          <w:sz w:val="20"/>
          <w:lang w:val="en-US"/>
        </w:rPr>
        <w:t>Supplement 8: Sensitivity Analysis - Linear Mixed Model (LMM), T1-T2</w:t>
      </w:r>
    </w:p>
    <w:p w:rsidR="00122D42" w:rsidRDefault="0041088A">
      <w:pPr>
        <w:ind w:left="720"/>
        <w:rPr>
          <w:rFonts w:cs="Arial"/>
          <w:sz w:val="20"/>
          <w:lang w:val="en-US"/>
        </w:rPr>
      </w:pPr>
      <w:r>
        <w:rPr>
          <w:rFonts w:cs="Arial"/>
          <w:sz w:val="20"/>
          <w:lang w:val="en-US"/>
        </w:rPr>
        <w:t>Supplement 9: Linear Mixed Model (LMM), T1-T3</w:t>
      </w:r>
    </w:p>
    <w:p w:rsidR="00122D42" w:rsidRDefault="00122D42">
      <w:pPr>
        <w:ind w:left="720"/>
        <w:rPr>
          <w:rFonts w:cs="Arial"/>
          <w:sz w:val="20"/>
          <w:lang w:val="en-US"/>
        </w:rPr>
      </w:pPr>
    </w:p>
    <w:p w:rsidR="00122D42" w:rsidRDefault="00122D42">
      <w:pPr>
        <w:rPr>
          <w:rFonts w:cs="Arial"/>
          <w:sz w:val="20"/>
          <w:lang w:val="en-US"/>
        </w:rPr>
      </w:pPr>
    </w:p>
    <w:p w:rsidR="00122D42" w:rsidRDefault="0041088A">
      <w:pPr>
        <w:rPr>
          <w:rFonts w:cs="Arial"/>
          <w:sz w:val="20"/>
          <w:lang w:val="en-US"/>
        </w:rPr>
      </w:pPr>
      <w:r>
        <w:rPr>
          <w:rFonts w:cs="Arial"/>
          <w:b/>
          <w:sz w:val="20"/>
          <w:lang w:val="en-US"/>
        </w:rPr>
        <w:t xml:space="preserve">Other supporting materials for this manuscript include the following: </w:t>
      </w:r>
    </w:p>
    <w:p w:rsidR="00122D42" w:rsidRDefault="0041088A">
      <w:pPr>
        <w:ind w:left="720"/>
        <w:rPr>
          <w:rFonts w:cs="Arial"/>
          <w:b/>
          <w:sz w:val="20"/>
          <w:lang w:val="en-US"/>
        </w:rPr>
      </w:pPr>
      <w:r>
        <w:rPr>
          <w:rFonts w:cs="Arial"/>
          <w:b/>
          <w:sz w:val="20"/>
          <w:lang w:val="en-US"/>
        </w:rPr>
        <w:t xml:space="preserve">Supplement 10: Appendix Methods: </w:t>
      </w:r>
    </w:p>
    <w:p w:rsidR="00122D42" w:rsidRDefault="0041088A">
      <w:pPr>
        <w:ind w:left="720"/>
        <w:rPr>
          <w:rFonts w:cs="Arial"/>
          <w:sz w:val="20"/>
          <w:lang w:val="en-US"/>
        </w:rPr>
      </w:pPr>
      <w:r>
        <w:rPr>
          <w:rFonts w:cs="Arial"/>
          <w:sz w:val="20"/>
          <w:lang w:val="en-US"/>
        </w:rPr>
        <w:t>Appendi</w:t>
      </w:r>
      <w:r>
        <w:rPr>
          <w:rFonts w:cs="Arial"/>
          <w:sz w:val="20"/>
          <w:lang w:val="en-US"/>
        </w:rPr>
        <w:t>x 1 - Participant eligibility and recruitment</w:t>
      </w:r>
    </w:p>
    <w:p w:rsidR="00122D42" w:rsidRDefault="0041088A">
      <w:pPr>
        <w:ind w:left="720"/>
        <w:rPr>
          <w:rFonts w:cs="Arial"/>
          <w:sz w:val="20"/>
          <w:lang w:val="en-US"/>
        </w:rPr>
      </w:pPr>
      <w:r>
        <w:rPr>
          <w:rFonts w:cs="Arial"/>
          <w:sz w:val="20"/>
          <w:lang w:val="en-US"/>
        </w:rPr>
        <w:t>Appendix 2 - Clinical data and Socio-demographics</w:t>
      </w:r>
    </w:p>
    <w:p w:rsidR="00122D42" w:rsidRDefault="0041088A">
      <w:pPr>
        <w:ind w:left="720"/>
        <w:rPr>
          <w:rFonts w:cs="Arial"/>
          <w:sz w:val="20"/>
          <w:lang w:val="en-US"/>
        </w:rPr>
      </w:pPr>
      <w:r>
        <w:rPr>
          <w:rFonts w:cs="Arial"/>
          <w:sz w:val="20"/>
          <w:lang w:val="en-US"/>
        </w:rPr>
        <w:t>Appendix 3 - Sample Size</w:t>
      </w:r>
    </w:p>
    <w:p w:rsidR="00122D42" w:rsidRDefault="0041088A">
      <w:pPr>
        <w:ind w:left="720"/>
        <w:rPr>
          <w:rFonts w:cs="Arial"/>
          <w:sz w:val="20"/>
          <w:lang w:val="en-US"/>
        </w:rPr>
      </w:pPr>
      <w:r>
        <w:rPr>
          <w:rFonts w:cs="Arial"/>
          <w:sz w:val="20"/>
          <w:lang w:val="en-US"/>
        </w:rPr>
        <w:t>Appendix 4 - Statistical Analysis</w:t>
      </w:r>
    </w:p>
    <w:p w:rsidR="00122D42" w:rsidRDefault="0041088A">
      <w:pPr>
        <w:ind w:left="720"/>
        <w:rPr>
          <w:rFonts w:cs="Arial"/>
          <w:sz w:val="20"/>
          <w:lang w:val="en-US"/>
        </w:rPr>
      </w:pPr>
      <w:r>
        <w:rPr>
          <w:rFonts w:cs="Arial"/>
          <w:sz w:val="20"/>
          <w:lang w:val="en-US"/>
        </w:rPr>
        <w:t>Appendix - References</w:t>
      </w:r>
    </w:p>
    <w:p w:rsidR="00122D42" w:rsidRDefault="00122D42">
      <w:pPr>
        <w:pStyle w:val="SMText"/>
        <w:ind w:firstLine="0"/>
        <w:rPr>
          <w:rFonts w:ascii="Arial" w:hAnsi="Arial" w:cs="Arial"/>
          <w:sz w:val="20"/>
        </w:rPr>
      </w:pPr>
      <w:bookmarkStart w:id="1" w:name="Tables"/>
      <w:bookmarkStart w:id="2" w:name="MaterialsMethods"/>
      <w:bookmarkEnd w:id="1"/>
      <w:bookmarkEnd w:id="2"/>
    </w:p>
    <w:p w:rsidR="00122D42" w:rsidRDefault="0041088A">
      <w:pPr>
        <w:rPr>
          <w:rFonts w:cs="Arial"/>
          <w:sz w:val="20"/>
          <w:lang w:val="en-US"/>
        </w:rPr>
      </w:pPr>
      <w:r>
        <w:rPr>
          <w:rFonts w:cs="Arial"/>
          <w:sz w:val="20"/>
          <w:lang w:val="en-US"/>
        </w:rPr>
        <w:br w:type="page"/>
      </w:r>
    </w:p>
    <w:p w:rsidR="00122D42" w:rsidRDefault="00122D42">
      <w:pPr>
        <w:pStyle w:val="2"/>
        <w:sectPr w:rsidR="00122D42">
          <w:pgSz w:w="11906" w:h="16838"/>
          <w:pgMar w:top="1417" w:right="1417" w:bottom="1134" w:left="1417" w:header="708" w:footer="708" w:gutter="0"/>
          <w:cols w:space="708"/>
          <w:docGrid w:linePitch="360"/>
        </w:sectPr>
      </w:pPr>
    </w:p>
    <w:p w:rsidR="00122D42" w:rsidRDefault="0041088A">
      <w:pPr>
        <w:pStyle w:val="3"/>
        <w:rPr>
          <w:lang w:val="en-US"/>
        </w:rPr>
      </w:pPr>
      <w:r>
        <w:rPr>
          <w:lang w:val="en-US"/>
        </w:rPr>
        <w:lastRenderedPageBreak/>
        <w:t xml:space="preserve">Supplement 1: </w:t>
      </w:r>
      <w:proofErr w:type="spellStart"/>
      <w:r>
        <w:rPr>
          <w:lang w:val="en-US"/>
        </w:rPr>
        <w:t>TIDieR</w:t>
      </w:r>
      <w:proofErr w:type="spellEnd"/>
      <w:r>
        <w:rPr>
          <w:lang w:val="en-US"/>
        </w:rPr>
        <w:t xml:space="preserve">-Checklist </w:t>
      </w:r>
    </w:p>
    <w:p w:rsidR="00122D42" w:rsidRDefault="0041088A">
      <w:pPr>
        <w:spacing w:line="240" w:lineRule="auto"/>
        <w:ind w:firstLine="720"/>
        <w:rPr>
          <w:rFonts w:asciiTheme="minorBidi" w:hAnsiTheme="minorBidi"/>
          <w:b/>
          <w:bCs/>
          <w:color w:val="4F81BD" w:themeColor="accent1"/>
          <w:sz w:val="26"/>
          <w:szCs w:val="26"/>
          <w:lang w:val="en-US"/>
        </w:rPr>
      </w:pPr>
      <w:r>
        <w:rPr>
          <w:rFonts w:asciiTheme="minorBidi" w:hAnsiTheme="minorBidi"/>
          <w:b/>
          <w:bCs/>
          <w:noProof/>
          <w:color w:val="4F81BD" w:themeColor="accent1"/>
          <w:sz w:val="26"/>
          <w:szCs w:val="26"/>
          <w:lang w:val="en-US" w:eastAsia="zh-CN"/>
        </w:rPr>
        <w:drawing>
          <wp:anchor distT="0" distB="0" distL="114300" distR="114300" simplePos="0" relativeHeight="251659264" behindDoc="1" locked="0" layoutInCell="1" allowOverlap="1">
            <wp:simplePos x="0" y="0"/>
            <wp:positionH relativeFrom="column">
              <wp:posOffset>-253577</wp:posOffset>
            </wp:positionH>
            <wp:positionV relativeFrom="paragraph">
              <wp:posOffset>0</wp:posOffset>
            </wp:positionV>
            <wp:extent cx="1913890" cy="762000"/>
            <wp:effectExtent l="0" t="0" r="0" b="0"/>
            <wp:wrapTight wrapText="bothSides">
              <wp:wrapPolygon edited="0">
                <wp:start x="2150" y="3240"/>
                <wp:lineTo x="2150" y="19440"/>
                <wp:lineTo x="2580" y="19980"/>
                <wp:lineTo x="6020" y="21060"/>
                <wp:lineTo x="14620" y="21060"/>
                <wp:lineTo x="19135" y="19980"/>
                <wp:lineTo x="19995" y="18900"/>
                <wp:lineTo x="18705" y="5940"/>
                <wp:lineTo x="18275" y="3240"/>
                <wp:lineTo x="2150" y="324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3890" cy="762000"/>
                    </a:xfrm>
                    <a:prstGeom prst="rect">
                      <a:avLst/>
                    </a:prstGeom>
                    <a:noFill/>
                  </pic:spPr>
                </pic:pic>
              </a:graphicData>
            </a:graphic>
            <wp14:sizeRelH relativeFrom="page">
              <wp14:pctWidth>0</wp14:pctWidth>
            </wp14:sizeRelH>
            <wp14:sizeRelV relativeFrom="page">
              <wp14:pctHeight>0</wp14:pctHeight>
            </wp14:sizeRelV>
          </wp:anchor>
        </w:drawing>
      </w:r>
    </w:p>
    <w:p w:rsidR="00122D42" w:rsidRDefault="00122D42">
      <w:pPr>
        <w:spacing w:line="240" w:lineRule="auto"/>
        <w:ind w:firstLine="720"/>
        <w:rPr>
          <w:rFonts w:asciiTheme="minorBidi" w:hAnsiTheme="minorBidi"/>
          <w:b/>
          <w:bCs/>
          <w:color w:val="4F81BD" w:themeColor="accent1"/>
          <w:sz w:val="26"/>
          <w:szCs w:val="26"/>
          <w:lang w:val="en-US"/>
        </w:rPr>
      </w:pPr>
    </w:p>
    <w:p w:rsidR="00122D42" w:rsidRDefault="0041088A">
      <w:pPr>
        <w:spacing w:line="240" w:lineRule="auto"/>
        <w:ind w:firstLine="720"/>
        <w:rPr>
          <w:rFonts w:asciiTheme="minorBidi" w:hAnsiTheme="minorBidi"/>
          <w:b/>
          <w:bCs/>
          <w:color w:val="4F81BD" w:themeColor="accent1"/>
          <w:sz w:val="24"/>
          <w:szCs w:val="24"/>
          <w:lang w:val="en-US"/>
        </w:rPr>
      </w:pPr>
      <w:r>
        <w:rPr>
          <w:rFonts w:asciiTheme="minorBidi" w:hAnsiTheme="minorBidi"/>
          <w:b/>
          <w:bCs/>
          <w:color w:val="4F81BD" w:themeColor="accent1"/>
          <w:sz w:val="26"/>
          <w:szCs w:val="26"/>
          <w:lang w:val="en-US"/>
        </w:rPr>
        <w:t xml:space="preserve">The </w:t>
      </w:r>
      <w:proofErr w:type="spellStart"/>
      <w:r>
        <w:rPr>
          <w:rFonts w:asciiTheme="minorBidi" w:hAnsiTheme="minorBidi"/>
          <w:b/>
          <w:bCs/>
          <w:color w:val="4F81BD" w:themeColor="accent1"/>
          <w:sz w:val="26"/>
          <w:szCs w:val="26"/>
          <w:lang w:val="en-US"/>
        </w:rPr>
        <w:t>TIDieR</w:t>
      </w:r>
      <w:proofErr w:type="spellEnd"/>
      <w:r>
        <w:rPr>
          <w:rFonts w:asciiTheme="minorBidi" w:hAnsiTheme="minorBidi"/>
          <w:b/>
          <w:bCs/>
          <w:color w:val="4F81BD" w:themeColor="accent1"/>
          <w:sz w:val="26"/>
          <w:szCs w:val="26"/>
          <w:lang w:val="en-US"/>
        </w:rPr>
        <w:t xml:space="preserve"> (Template for Intervention Description and Replication) Checklist</w:t>
      </w:r>
      <w:r>
        <w:rPr>
          <w:rFonts w:asciiTheme="minorBidi" w:hAnsiTheme="minorBidi"/>
          <w:b/>
          <w:bCs/>
          <w:color w:val="4F81BD" w:themeColor="accent1"/>
          <w:sz w:val="24"/>
          <w:szCs w:val="24"/>
          <w:lang w:val="en-US"/>
        </w:rPr>
        <w:t>*:</w:t>
      </w:r>
    </w:p>
    <w:p w:rsidR="00122D42" w:rsidRDefault="0041088A">
      <w:pPr>
        <w:spacing w:line="240" w:lineRule="auto"/>
        <w:rPr>
          <w:rFonts w:asciiTheme="minorBidi" w:hAnsiTheme="minorBidi"/>
          <w:sz w:val="24"/>
          <w:szCs w:val="24"/>
          <w:lang w:val="en-US"/>
        </w:rPr>
      </w:pPr>
      <w:r>
        <w:rPr>
          <w:rFonts w:asciiTheme="minorBidi" w:hAnsiTheme="minorBidi"/>
          <w:sz w:val="24"/>
          <w:szCs w:val="24"/>
          <w:lang w:val="en-US"/>
        </w:rPr>
        <w:t xml:space="preserve">          Information to include when describing an intervention and the location of the information</w:t>
      </w:r>
    </w:p>
    <w:tbl>
      <w:tblPr>
        <w:tblStyle w:val="a9"/>
        <w:tblW w:w="14709"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9"/>
        <w:gridCol w:w="10064"/>
        <w:gridCol w:w="1843"/>
        <w:gridCol w:w="1843"/>
      </w:tblGrid>
      <w:tr w:rsidR="00122D42">
        <w:trPr>
          <w:trHeight w:val="383"/>
        </w:trPr>
        <w:tc>
          <w:tcPr>
            <w:tcW w:w="959" w:type="dxa"/>
            <w:vMerge w:val="restart"/>
            <w:tcBorders>
              <w:top w:val="single" w:sz="4" w:space="0" w:color="auto"/>
              <w:bottom w:val="nil"/>
              <w:right w:val="nil"/>
            </w:tcBorders>
            <w:shd w:val="clear" w:color="auto" w:fill="C6D9F1" w:themeFill="text2" w:themeFillTint="33"/>
          </w:tcPr>
          <w:p w:rsidR="00122D42" w:rsidRDefault="0041088A">
            <w:pPr>
              <w:spacing w:line="360" w:lineRule="auto"/>
              <w:rPr>
                <w:rFonts w:asciiTheme="minorBidi" w:eastAsia="Calibri" w:hAnsiTheme="minorBidi"/>
                <w:b/>
                <w:bCs/>
                <w:sz w:val="20"/>
                <w:szCs w:val="20"/>
              </w:rPr>
            </w:pPr>
            <w:r>
              <w:rPr>
                <w:rFonts w:asciiTheme="minorBidi" w:eastAsia="Calibri" w:hAnsiTheme="minorBidi"/>
                <w:b/>
                <w:bCs/>
                <w:sz w:val="20"/>
                <w:szCs w:val="20"/>
              </w:rPr>
              <w:t>Item number</w:t>
            </w:r>
          </w:p>
        </w:tc>
        <w:tc>
          <w:tcPr>
            <w:tcW w:w="10064" w:type="dxa"/>
            <w:tcBorders>
              <w:top w:val="single" w:sz="4" w:space="0" w:color="auto"/>
              <w:left w:val="nil"/>
              <w:bottom w:val="nil"/>
              <w:right w:val="nil"/>
            </w:tcBorders>
            <w:shd w:val="clear" w:color="auto" w:fill="C6D9F1" w:themeFill="text2" w:themeFillTint="33"/>
          </w:tcPr>
          <w:p w:rsidR="00122D42" w:rsidRDefault="0041088A">
            <w:pPr>
              <w:spacing w:line="360" w:lineRule="auto"/>
              <w:rPr>
                <w:rFonts w:asciiTheme="minorBidi" w:eastAsia="Calibri" w:hAnsiTheme="minorBidi"/>
                <w:b/>
                <w:bCs/>
                <w:sz w:val="24"/>
                <w:szCs w:val="24"/>
              </w:rPr>
            </w:pPr>
            <w:r>
              <w:rPr>
                <w:rFonts w:asciiTheme="minorBidi" w:eastAsia="Calibri" w:hAnsiTheme="minorBidi"/>
                <w:b/>
                <w:bCs/>
              </w:rPr>
              <w:t xml:space="preserve">Item </w:t>
            </w:r>
          </w:p>
        </w:tc>
        <w:tc>
          <w:tcPr>
            <w:tcW w:w="3686" w:type="dxa"/>
            <w:gridSpan w:val="2"/>
            <w:tcBorders>
              <w:top w:val="single" w:sz="4" w:space="0" w:color="auto"/>
              <w:left w:val="nil"/>
              <w:bottom w:val="nil"/>
            </w:tcBorders>
            <w:shd w:val="clear" w:color="auto" w:fill="C6D9F1" w:themeFill="text2" w:themeFillTint="33"/>
          </w:tcPr>
          <w:p w:rsidR="00122D42" w:rsidRDefault="0041088A">
            <w:pPr>
              <w:jc w:val="center"/>
              <w:rPr>
                <w:rFonts w:asciiTheme="minorBidi" w:eastAsia="Calibri" w:hAnsiTheme="minorBidi"/>
                <w:b/>
                <w:bCs/>
                <w:sz w:val="24"/>
                <w:szCs w:val="24"/>
              </w:rPr>
            </w:pPr>
            <w:r>
              <w:rPr>
                <w:rFonts w:asciiTheme="minorBidi" w:eastAsia="Times New Roman" w:hAnsiTheme="minorBidi"/>
                <w:b/>
                <w:bCs/>
                <w:color w:val="000000"/>
                <w:kern w:val="24"/>
                <w:lang w:val="en-GB"/>
              </w:rPr>
              <w:t>Where located **</w:t>
            </w:r>
          </w:p>
        </w:tc>
      </w:tr>
      <w:tr w:rsidR="00122D42">
        <w:tc>
          <w:tcPr>
            <w:tcW w:w="959" w:type="dxa"/>
            <w:vMerge/>
            <w:tcBorders>
              <w:top w:val="nil"/>
              <w:bottom w:val="single" w:sz="4" w:space="0" w:color="auto"/>
              <w:right w:val="nil"/>
            </w:tcBorders>
            <w:shd w:val="clear" w:color="auto" w:fill="C6D9F1" w:themeFill="text2" w:themeFillTint="33"/>
          </w:tcPr>
          <w:p w:rsidR="00122D42" w:rsidRDefault="00122D42">
            <w:pPr>
              <w:spacing w:line="360" w:lineRule="auto"/>
              <w:rPr>
                <w:rFonts w:asciiTheme="minorBidi" w:eastAsia="Calibri" w:hAnsiTheme="minorBidi"/>
              </w:rPr>
            </w:pPr>
          </w:p>
        </w:tc>
        <w:tc>
          <w:tcPr>
            <w:tcW w:w="10064" w:type="dxa"/>
            <w:tcBorders>
              <w:top w:val="nil"/>
              <w:left w:val="nil"/>
              <w:bottom w:val="single" w:sz="4" w:space="0" w:color="auto"/>
              <w:right w:val="nil"/>
            </w:tcBorders>
            <w:shd w:val="clear" w:color="auto" w:fill="C6D9F1" w:themeFill="text2" w:themeFillTint="33"/>
          </w:tcPr>
          <w:p w:rsidR="00122D42" w:rsidRDefault="00122D42">
            <w:pPr>
              <w:spacing w:line="360" w:lineRule="auto"/>
              <w:rPr>
                <w:rFonts w:asciiTheme="minorBidi" w:eastAsia="Calibri" w:hAnsiTheme="minorBidi"/>
              </w:rPr>
            </w:pPr>
          </w:p>
        </w:tc>
        <w:tc>
          <w:tcPr>
            <w:tcW w:w="1843" w:type="dxa"/>
            <w:tcBorders>
              <w:top w:val="nil"/>
              <w:left w:val="nil"/>
              <w:bottom w:val="single" w:sz="4" w:space="0" w:color="auto"/>
              <w:right w:val="single" w:sz="4" w:space="0" w:color="auto"/>
            </w:tcBorders>
            <w:shd w:val="clear" w:color="auto" w:fill="C6D9F1" w:themeFill="text2" w:themeFillTint="33"/>
          </w:tcPr>
          <w:p w:rsidR="00122D42" w:rsidRDefault="0041088A">
            <w:pPr>
              <w:spacing w:line="360" w:lineRule="auto"/>
              <w:ind w:left="-108" w:right="-1347"/>
              <w:rPr>
                <w:rFonts w:asciiTheme="minorBidi" w:eastAsia="Times New Roman" w:hAnsiTheme="minorBidi"/>
                <w:color w:val="000000"/>
                <w:kern w:val="24"/>
                <w:lang w:val="en-GB"/>
              </w:rPr>
            </w:pPr>
            <w:r>
              <w:rPr>
                <w:rFonts w:asciiTheme="minorBidi" w:eastAsia="Times New Roman" w:hAnsiTheme="minorBidi"/>
                <w:color w:val="000000"/>
                <w:kern w:val="24"/>
                <w:lang w:val="en-GB"/>
              </w:rPr>
              <w:t>Primary paper</w:t>
            </w:r>
          </w:p>
          <w:p w:rsidR="00122D42" w:rsidRDefault="0041088A">
            <w:pPr>
              <w:spacing w:line="360" w:lineRule="auto"/>
              <w:ind w:left="-108" w:right="-1347"/>
              <w:rPr>
                <w:rFonts w:asciiTheme="minorBidi" w:eastAsia="Times New Roman" w:hAnsiTheme="minorBidi"/>
                <w:color w:val="000000"/>
                <w:kern w:val="24"/>
                <w:sz w:val="21"/>
                <w:szCs w:val="21"/>
                <w:lang w:val="en-GB"/>
              </w:rPr>
            </w:pPr>
            <w:r>
              <w:rPr>
                <w:rFonts w:asciiTheme="minorBidi" w:eastAsia="Times New Roman" w:hAnsiTheme="minorBidi"/>
                <w:color w:val="000000"/>
                <w:kern w:val="24"/>
                <w:sz w:val="21"/>
                <w:szCs w:val="21"/>
                <w:lang w:val="en-GB"/>
              </w:rPr>
              <w:t>(page or appendix</w:t>
            </w:r>
          </w:p>
          <w:p w:rsidR="00122D42" w:rsidRDefault="0041088A">
            <w:pPr>
              <w:spacing w:line="360" w:lineRule="auto"/>
              <w:ind w:left="-108" w:right="-1347"/>
              <w:rPr>
                <w:rFonts w:asciiTheme="minorBidi" w:eastAsia="Times New Roman" w:hAnsiTheme="minorBidi"/>
                <w:color w:val="000000"/>
                <w:kern w:val="24"/>
                <w:lang w:val="en-GB"/>
              </w:rPr>
            </w:pPr>
            <w:r>
              <w:rPr>
                <w:rFonts w:asciiTheme="minorBidi" w:eastAsia="Times New Roman" w:hAnsiTheme="minorBidi"/>
                <w:color w:val="000000"/>
                <w:kern w:val="24"/>
                <w:sz w:val="21"/>
                <w:szCs w:val="21"/>
                <w:lang w:val="en-GB"/>
              </w:rPr>
              <w:t>number)</w:t>
            </w:r>
          </w:p>
        </w:tc>
        <w:tc>
          <w:tcPr>
            <w:tcW w:w="1843" w:type="dxa"/>
            <w:tcBorders>
              <w:top w:val="nil"/>
              <w:left w:val="single" w:sz="4" w:space="0" w:color="auto"/>
              <w:bottom w:val="single" w:sz="4" w:space="0" w:color="auto"/>
            </w:tcBorders>
            <w:shd w:val="clear" w:color="auto" w:fill="C6D9F1" w:themeFill="text2" w:themeFillTint="33"/>
          </w:tcPr>
          <w:p w:rsidR="00122D42" w:rsidRDefault="0041088A">
            <w:pPr>
              <w:spacing w:line="360" w:lineRule="auto"/>
              <w:jc w:val="center"/>
              <w:rPr>
                <w:rFonts w:asciiTheme="minorBidi" w:eastAsia="Calibri" w:hAnsiTheme="minorBidi"/>
              </w:rPr>
            </w:pPr>
            <w:r>
              <w:rPr>
                <w:rFonts w:asciiTheme="minorBidi" w:eastAsia="Calibri" w:hAnsiTheme="minorBidi"/>
              </w:rPr>
              <w:t xml:space="preserve">Other </w:t>
            </w:r>
            <w:r>
              <w:rPr>
                <w:rFonts w:asciiTheme="minorBidi" w:eastAsia="Calibri" w:hAnsiTheme="minorBidi"/>
                <w:vertAlign w:val="superscript"/>
              </w:rPr>
              <w:t>†</w:t>
            </w:r>
            <w:r>
              <w:rPr>
                <w:rFonts w:asciiTheme="minorBidi" w:eastAsia="Calibri" w:hAnsiTheme="minorBidi"/>
              </w:rPr>
              <w:t xml:space="preserve"> </w:t>
            </w:r>
            <w:r>
              <w:rPr>
                <w:rFonts w:asciiTheme="minorBidi" w:eastAsia="Calibri" w:hAnsiTheme="minorBidi"/>
                <w:sz w:val="21"/>
                <w:szCs w:val="21"/>
              </w:rPr>
              <w:t>(details)</w:t>
            </w:r>
          </w:p>
        </w:tc>
      </w:tr>
      <w:tr w:rsidR="00122D42">
        <w:tc>
          <w:tcPr>
            <w:tcW w:w="959" w:type="dxa"/>
            <w:tcBorders>
              <w:top w:val="single" w:sz="4" w:space="0" w:color="auto"/>
              <w:right w:val="nil"/>
            </w:tcBorders>
          </w:tcPr>
          <w:p w:rsidR="00122D42" w:rsidRDefault="00122D42">
            <w:pPr>
              <w:spacing w:line="360" w:lineRule="auto"/>
              <w:rPr>
                <w:rFonts w:asciiTheme="minorBidi" w:eastAsia="Calibri" w:hAnsiTheme="minorBidi"/>
              </w:rPr>
            </w:pPr>
          </w:p>
        </w:tc>
        <w:tc>
          <w:tcPr>
            <w:tcW w:w="10064" w:type="dxa"/>
            <w:tcBorders>
              <w:top w:val="single" w:sz="4" w:space="0" w:color="auto"/>
              <w:left w:val="nil"/>
              <w:right w:val="nil"/>
            </w:tcBorders>
          </w:tcPr>
          <w:p w:rsidR="00122D42" w:rsidRDefault="0041088A">
            <w:pPr>
              <w:spacing w:before="240"/>
              <w:rPr>
                <w:rFonts w:asciiTheme="minorBidi" w:eastAsia="Calibri" w:hAnsiTheme="minorBidi"/>
                <w:b/>
              </w:rPr>
            </w:pPr>
            <w:r>
              <w:rPr>
                <w:rFonts w:asciiTheme="minorBidi" w:eastAsia="Calibri" w:hAnsiTheme="minorBidi"/>
                <w:b/>
              </w:rPr>
              <w:t>BRIEF NAME</w:t>
            </w:r>
          </w:p>
        </w:tc>
        <w:tc>
          <w:tcPr>
            <w:tcW w:w="1843" w:type="dxa"/>
            <w:tcBorders>
              <w:top w:val="single" w:sz="4" w:space="0" w:color="auto"/>
              <w:left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top w:val="single" w:sz="4" w:space="0" w:color="auto"/>
              <w:left w:val="single" w:sz="4" w:space="0" w:color="auto"/>
            </w:tcBorders>
          </w:tcPr>
          <w:p w:rsidR="00122D42" w:rsidRDefault="00122D42">
            <w:pPr>
              <w:spacing w:line="360" w:lineRule="auto"/>
              <w:rPr>
                <w:rFonts w:asciiTheme="minorBidi" w:eastAsia="Calibri" w:hAnsiTheme="minorBidi"/>
                <w:sz w:val="18"/>
                <w:szCs w:val="20"/>
              </w:rPr>
            </w:pPr>
          </w:p>
        </w:tc>
      </w:tr>
      <w:tr w:rsidR="00122D42">
        <w:trPr>
          <w:trHeight w:val="377"/>
        </w:trPr>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1.</w:t>
            </w:r>
          </w:p>
        </w:tc>
        <w:tc>
          <w:tcPr>
            <w:tcW w:w="10064" w:type="dxa"/>
            <w:tcBorders>
              <w:left w:val="nil"/>
              <w:right w:val="nil"/>
            </w:tcBorders>
          </w:tcPr>
          <w:p w:rsidR="00122D42" w:rsidRDefault="0041088A">
            <w:pPr>
              <w:spacing w:line="360" w:lineRule="auto"/>
              <w:ind w:right="175"/>
              <w:rPr>
                <w:rFonts w:asciiTheme="minorBidi" w:eastAsia="Calibri" w:hAnsiTheme="minorBidi"/>
              </w:rPr>
            </w:pPr>
            <w:r>
              <w:rPr>
                <w:rFonts w:asciiTheme="minorBidi" w:eastAsia="Calibri" w:hAnsiTheme="minorBidi"/>
                <w:bCs/>
                <w:iCs/>
                <w:lang w:eastAsia="zh-CN"/>
              </w:rPr>
              <w:t>Provide the name or a phrase that describes the intervention.</w:t>
            </w:r>
          </w:p>
        </w:tc>
        <w:tc>
          <w:tcPr>
            <w:tcW w:w="1843" w:type="dxa"/>
            <w:tcBorders>
              <w:left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2.1 Study design</w:t>
            </w:r>
          </w:p>
        </w:tc>
        <w:tc>
          <w:tcPr>
            <w:tcW w:w="1843" w:type="dxa"/>
            <w:tcBorders>
              <w:left w:val="single" w:sz="4" w:space="0" w:color="auto"/>
            </w:tcBorders>
          </w:tcPr>
          <w:p w:rsidR="00122D42" w:rsidRDefault="0041088A">
            <w:pPr>
              <w:spacing w:line="360" w:lineRule="auto"/>
              <w:ind w:right="-392"/>
              <w:rPr>
                <w:rFonts w:asciiTheme="minorBidi" w:eastAsia="Calibri" w:hAnsiTheme="minorBidi"/>
                <w:sz w:val="18"/>
                <w:szCs w:val="20"/>
              </w:rPr>
            </w:pPr>
            <w:r>
              <w:rPr>
                <w:rFonts w:asciiTheme="minorBidi" w:eastAsia="Calibri" w:hAnsiTheme="minorBidi"/>
                <w:sz w:val="18"/>
                <w:szCs w:val="20"/>
              </w:rPr>
              <w:t>______________</w:t>
            </w:r>
          </w:p>
        </w:tc>
      </w:tr>
      <w:tr w:rsidR="00122D42">
        <w:tc>
          <w:tcPr>
            <w:tcW w:w="959" w:type="dxa"/>
            <w:tcBorders>
              <w:right w:val="nil"/>
            </w:tcBorders>
          </w:tcPr>
          <w:p w:rsidR="00122D42" w:rsidRDefault="00122D42">
            <w:pPr>
              <w:spacing w:line="360" w:lineRule="auto"/>
              <w:rPr>
                <w:rFonts w:asciiTheme="minorBidi" w:eastAsia="Calibri" w:hAnsiTheme="minorBidi"/>
              </w:rPr>
            </w:pPr>
          </w:p>
        </w:tc>
        <w:tc>
          <w:tcPr>
            <w:tcW w:w="10064" w:type="dxa"/>
            <w:tcBorders>
              <w:left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rPr>
              <w:t>WHY</w:t>
            </w:r>
          </w:p>
        </w:tc>
        <w:tc>
          <w:tcPr>
            <w:tcW w:w="1843" w:type="dxa"/>
            <w:tcBorders>
              <w:left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left w:val="single" w:sz="4" w:space="0" w:color="auto"/>
            </w:tcBorders>
          </w:tcPr>
          <w:p w:rsidR="00122D42" w:rsidRDefault="00122D42">
            <w:pPr>
              <w:spacing w:line="360" w:lineRule="auto"/>
              <w:rPr>
                <w:rFonts w:asciiTheme="minorBidi" w:eastAsia="Calibri" w:hAnsiTheme="minorBidi"/>
                <w:sz w:val="18"/>
                <w:szCs w:val="20"/>
              </w:rPr>
            </w:pP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2.</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iCs/>
              </w:rPr>
              <w:t>Describe any rationale, theory, or goal of the elements essential to the intervention.</w:t>
            </w:r>
          </w:p>
        </w:tc>
        <w:tc>
          <w:tcPr>
            <w:tcW w:w="1843" w:type="dxa"/>
            <w:tcBorders>
              <w:left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2.1 Study design</w:t>
            </w:r>
          </w:p>
        </w:tc>
        <w:tc>
          <w:tcPr>
            <w:tcW w:w="1843" w:type="dxa"/>
            <w:tcBorders>
              <w:lef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right w:val="nil"/>
            </w:tcBorders>
          </w:tcPr>
          <w:p w:rsidR="00122D42" w:rsidRDefault="00122D42">
            <w:pPr>
              <w:spacing w:line="360" w:lineRule="auto"/>
              <w:rPr>
                <w:rFonts w:asciiTheme="minorBidi" w:eastAsia="Calibri" w:hAnsiTheme="minorBidi"/>
              </w:rPr>
            </w:pPr>
          </w:p>
        </w:tc>
        <w:tc>
          <w:tcPr>
            <w:tcW w:w="10064" w:type="dxa"/>
            <w:tcBorders>
              <w:left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rPr>
              <w:t>WHAT</w:t>
            </w:r>
          </w:p>
        </w:tc>
        <w:tc>
          <w:tcPr>
            <w:tcW w:w="1843" w:type="dxa"/>
            <w:tcBorders>
              <w:left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left w:val="single" w:sz="4" w:space="0" w:color="auto"/>
            </w:tcBorders>
          </w:tcPr>
          <w:p w:rsidR="00122D42" w:rsidRDefault="00122D42">
            <w:pPr>
              <w:spacing w:line="360" w:lineRule="auto"/>
              <w:rPr>
                <w:rFonts w:asciiTheme="minorBidi" w:eastAsia="Calibri" w:hAnsiTheme="minorBidi"/>
                <w:sz w:val="18"/>
                <w:szCs w:val="20"/>
              </w:rPr>
            </w:pP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3.</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iCs/>
              </w:rPr>
              <w:t>Materials: Describe any physical or informational materials used in the intervention, including those provided to participants or used in intervention delivery or in training of intervention providers. Provide information on wher</w:t>
            </w:r>
            <w:r>
              <w:rPr>
                <w:rFonts w:asciiTheme="minorBidi" w:eastAsia="Calibri" w:hAnsiTheme="minorBidi"/>
                <w:bCs/>
                <w:iCs/>
              </w:rPr>
              <w:t>e the materials can be accessed (e.g. online appendix, URL).</w:t>
            </w:r>
          </w:p>
        </w:tc>
        <w:tc>
          <w:tcPr>
            <w:tcW w:w="1843" w:type="dxa"/>
            <w:tcBorders>
              <w:left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lef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4.</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iCs/>
              </w:rPr>
              <w:t xml:space="preserve">Procedures: Describe each of the procedures, activities, and/or processes used in the intervention, including any enabling or support </w:t>
            </w:r>
            <w:r>
              <w:rPr>
                <w:rFonts w:asciiTheme="minorBidi" w:eastAsia="Calibri" w:hAnsiTheme="minorBidi"/>
                <w:bCs/>
                <w:iCs/>
              </w:rPr>
              <w:t>activities.</w:t>
            </w:r>
          </w:p>
        </w:tc>
        <w:tc>
          <w:tcPr>
            <w:tcW w:w="1843" w:type="dxa"/>
            <w:tcBorders>
              <w:left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lef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right w:val="nil"/>
            </w:tcBorders>
          </w:tcPr>
          <w:p w:rsidR="00122D42" w:rsidRDefault="00122D42">
            <w:pPr>
              <w:spacing w:line="360" w:lineRule="auto"/>
              <w:rPr>
                <w:rFonts w:asciiTheme="minorBidi" w:eastAsia="Calibri" w:hAnsiTheme="minorBidi"/>
              </w:rPr>
            </w:pPr>
          </w:p>
        </w:tc>
        <w:tc>
          <w:tcPr>
            <w:tcW w:w="10064" w:type="dxa"/>
            <w:tcBorders>
              <w:left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bCs/>
                <w:iCs/>
              </w:rPr>
              <w:t>WHO PROVIDED</w:t>
            </w:r>
          </w:p>
        </w:tc>
        <w:tc>
          <w:tcPr>
            <w:tcW w:w="1843" w:type="dxa"/>
            <w:tcBorders>
              <w:left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left w:val="single" w:sz="4" w:space="0" w:color="auto"/>
            </w:tcBorders>
          </w:tcPr>
          <w:p w:rsidR="00122D42" w:rsidRDefault="00122D42">
            <w:pPr>
              <w:spacing w:line="360" w:lineRule="auto"/>
              <w:rPr>
                <w:rFonts w:asciiTheme="minorBidi" w:eastAsia="Calibri" w:hAnsiTheme="minorBidi"/>
                <w:sz w:val="18"/>
                <w:szCs w:val="20"/>
              </w:rPr>
            </w:pP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5.</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iCs/>
              </w:rPr>
              <w:t>For each category of intervention provider (e.g. psychologist, nursing assistant), describe their expertise, background and any specific training given.</w:t>
            </w:r>
          </w:p>
        </w:tc>
        <w:tc>
          <w:tcPr>
            <w:tcW w:w="1843" w:type="dxa"/>
            <w:tcBorders>
              <w:left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w:t>
            </w:r>
            <w:r>
              <w:rPr>
                <w:rFonts w:asciiTheme="minorBidi" w:eastAsia="Calibri" w:hAnsiTheme="minorBidi"/>
                <w:sz w:val="18"/>
                <w:szCs w:val="20"/>
              </w:rPr>
              <w:t>tion group (IG)</w:t>
            </w:r>
          </w:p>
        </w:tc>
        <w:tc>
          <w:tcPr>
            <w:tcW w:w="1843" w:type="dxa"/>
            <w:tcBorders>
              <w:lef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Study Protocol: [1]</w:t>
            </w:r>
          </w:p>
        </w:tc>
      </w:tr>
      <w:tr w:rsidR="00122D42">
        <w:tc>
          <w:tcPr>
            <w:tcW w:w="959" w:type="dxa"/>
            <w:tcBorders>
              <w:right w:val="nil"/>
            </w:tcBorders>
          </w:tcPr>
          <w:p w:rsidR="00122D42" w:rsidRDefault="00122D42">
            <w:pPr>
              <w:spacing w:line="360" w:lineRule="auto"/>
              <w:rPr>
                <w:rFonts w:asciiTheme="minorBidi" w:eastAsia="Calibri" w:hAnsiTheme="minorBidi"/>
              </w:rPr>
            </w:pPr>
          </w:p>
        </w:tc>
        <w:tc>
          <w:tcPr>
            <w:tcW w:w="10064" w:type="dxa"/>
            <w:tcBorders>
              <w:left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iCs/>
              </w:rPr>
              <w:t>HOW</w:t>
            </w:r>
          </w:p>
        </w:tc>
        <w:tc>
          <w:tcPr>
            <w:tcW w:w="1843" w:type="dxa"/>
            <w:tcBorders>
              <w:left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left w:val="single" w:sz="4" w:space="0" w:color="auto"/>
            </w:tcBorders>
          </w:tcPr>
          <w:p w:rsidR="00122D42" w:rsidRDefault="00122D42">
            <w:pPr>
              <w:spacing w:line="360" w:lineRule="auto"/>
              <w:rPr>
                <w:rFonts w:asciiTheme="minorBidi" w:eastAsia="Calibri" w:hAnsiTheme="minorBidi"/>
                <w:sz w:val="18"/>
                <w:szCs w:val="20"/>
              </w:rPr>
            </w:pP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6.</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iCs/>
              </w:rPr>
              <w:t>Describe the modes of delivery (e.g. face-to-face or by some other mechanism, such as internet or telephone) of the intervention and whether it was provided individually or in a group.</w:t>
            </w:r>
          </w:p>
        </w:tc>
        <w:tc>
          <w:tcPr>
            <w:tcW w:w="1843" w:type="dxa"/>
            <w:tcBorders>
              <w:left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 xml:space="preserve">Chapter 2.2 </w:t>
            </w:r>
            <w:r>
              <w:rPr>
                <w:rFonts w:asciiTheme="minorBidi" w:eastAsia="Calibri" w:hAnsiTheme="minorBidi"/>
                <w:sz w:val="18"/>
                <w:szCs w:val="20"/>
              </w:rPr>
              <w:t>Intervention group (IG)</w:t>
            </w:r>
          </w:p>
        </w:tc>
        <w:tc>
          <w:tcPr>
            <w:tcW w:w="1843" w:type="dxa"/>
            <w:tcBorders>
              <w:lef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bottom w:val="nil"/>
              <w:right w:val="nil"/>
            </w:tcBorders>
          </w:tcPr>
          <w:p w:rsidR="00122D42" w:rsidRDefault="00122D42">
            <w:pPr>
              <w:spacing w:line="360" w:lineRule="auto"/>
              <w:rPr>
                <w:rFonts w:asciiTheme="minorBidi" w:eastAsia="Calibri" w:hAnsiTheme="minorBidi"/>
              </w:rPr>
            </w:pPr>
          </w:p>
        </w:tc>
        <w:tc>
          <w:tcPr>
            <w:tcW w:w="10064" w:type="dxa"/>
            <w:tcBorders>
              <w:left w:val="nil"/>
              <w:bottom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rPr>
              <w:t>WHERE</w:t>
            </w:r>
          </w:p>
        </w:tc>
        <w:tc>
          <w:tcPr>
            <w:tcW w:w="1843" w:type="dxa"/>
            <w:tcBorders>
              <w:left w:val="nil"/>
              <w:bottom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left w:val="single" w:sz="4" w:space="0" w:color="auto"/>
              <w:bottom w:val="nil"/>
            </w:tcBorders>
          </w:tcPr>
          <w:p w:rsidR="00122D42" w:rsidRDefault="00122D42">
            <w:pPr>
              <w:spacing w:line="360" w:lineRule="auto"/>
              <w:rPr>
                <w:rFonts w:asciiTheme="minorBidi" w:eastAsia="Calibri" w:hAnsiTheme="minorBidi"/>
                <w:sz w:val="18"/>
                <w:szCs w:val="20"/>
              </w:rPr>
            </w:pPr>
          </w:p>
        </w:tc>
      </w:tr>
      <w:tr w:rsidR="00122D42">
        <w:tc>
          <w:tcPr>
            <w:tcW w:w="959" w:type="dxa"/>
            <w:tcBorders>
              <w:top w:val="nil"/>
              <w:bottom w:val="single" w:sz="4" w:space="0" w:color="auto"/>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7.</w:t>
            </w:r>
          </w:p>
        </w:tc>
        <w:tc>
          <w:tcPr>
            <w:tcW w:w="10064" w:type="dxa"/>
            <w:tcBorders>
              <w:top w:val="nil"/>
              <w:left w:val="nil"/>
              <w:bottom w:val="single" w:sz="4" w:space="0" w:color="auto"/>
              <w:right w:val="nil"/>
            </w:tcBorders>
          </w:tcPr>
          <w:p w:rsidR="00122D42" w:rsidRDefault="0041088A">
            <w:pPr>
              <w:spacing w:line="360" w:lineRule="auto"/>
              <w:rPr>
                <w:rFonts w:asciiTheme="minorBidi" w:eastAsia="Calibri" w:hAnsiTheme="minorBidi"/>
              </w:rPr>
            </w:pPr>
            <w:r>
              <w:rPr>
                <w:rFonts w:asciiTheme="minorBidi" w:eastAsia="Calibri" w:hAnsiTheme="minorBidi"/>
                <w:bCs/>
                <w:iCs/>
              </w:rPr>
              <w:t>Describe the type(s) of location(s) where the intervention occurred, including any necessary infrastructure or relevant features.</w:t>
            </w:r>
          </w:p>
        </w:tc>
        <w:tc>
          <w:tcPr>
            <w:tcW w:w="1843" w:type="dxa"/>
            <w:tcBorders>
              <w:top w:val="nil"/>
              <w:left w:val="nil"/>
              <w:bottom w:val="single" w:sz="4" w:space="0" w:color="auto"/>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top w:val="nil"/>
              <w:left w:val="single" w:sz="4" w:space="0" w:color="auto"/>
              <w:bottom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top w:val="single" w:sz="4" w:space="0" w:color="auto"/>
              <w:bottom w:val="nil"/>
              <w:right w:val="nil"/>
            </w:tcBorders>
          </w:tcPr>
          <w:p w:rsidR="00122D42" w:rsidRDefault="00122D42">
            <w:pPr>
              <w:spacing w:line="360" w:lineRule="auto"/>
              <w:rPr>
                <w:rFonts w:asciiTheme="minorBidi" w:eastAsia="Calibri" w:hAnsiTheme="minorBidi"/>
              </w:rPr>
            </w:pPr>
          </w:p>
        </w:tc>
        <w:tc>
          <w:tcPr>
            <w:tcW w:w="10064" w:type="dxa"/>
            <w:tcBorders>
              <w:top w:val="single" w:sz="4" w:space="0" w:color="auto"/>
              <w:left w:val="nil"/>
              <w:bottom w:val="nil"/>
              <w:right w:val="nil"/>
            </w:tcBorders>
          </w:tcPr>
          <w:p w:rsidR="00122D42" w:rsidRDefault="0041088A">
            <w:pPr>
              <w:spacing w:before="240" w:line="360" w:lineRule="auto"/>
              <w:rPr>
                <w:rFonts w:asciiTheme="minorBidi" w:eastAsia="Calibri" w:hAnsiTheme="minorBidi"/>
                <w:b/>
              </w:rPr>
            </w:pPr>
            <w:r>
              <w:rPr>
                <w:rFonts w:asciiTheme="minorBidi" w:eastAsia="Calibri" w:hAnsiTheme="minorBidi"/>
                <w:b/>
                <w:bCs/>
                <w:iCs/>
                <w:lang w:val="en-US"/>
              </w:rPr>
              <w:t>WHEN and HOW MUCH</w:t>
            </w:r>
          </w:p>
        </w:tc>
        <w:tc>
          <w:tcPr>
            <w:tcW w:w="1843" w:type="dxa"/>
            <w:tcBorders>
              <w:top w:val="single" w:sz="4" w:space="0" w:color="auto"/>
              <w:left w:val="nil"/>
              <w:bottom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top w:val="single" w:sz="4" w:space="0" w:color="auto"/>
              <w:left w:val="single" w:sz="4" w:space="0" w:color="auto"/>
              <w:bottom w:val="nil"/>
            </w:tcBorders>
          </w:tcPr>
          <w:p w:rsidR="00122D42" w:rsidRDefault="00122D42">
            <w:pPr>
              <w:spacing w:line="360" w:lineRule="auto"/>
              <w:rPr>
                <w:rFonts w:asciiTheme="minorBidi" w:eastAsia="Calibri" w:hAnsiTheme="minorBidi"/>
                <w:sz w:val="18"/>
                <w:szCs w:val="20"/>
              </w:rPr>
            </w:pPr>
          </w:p>
        </w:tc>
      </w:tr>
      <w:tr w:rsidR="00122D42">
        <w:tc>
          <w:tcPr>
            <w:tcW w:w="959" w:type="dxa"/>
            <w:tcBorders>
              <w:top w:val="nil"/>
              <w:bottom w:val="nil"/>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8.</w:t>
            </w:r>
          </w:p>
        </w:tc>
        <w:tc>
          <w:tcPr>
            <w:tcW w:w="10064" w:type="dxa"/>
            <w:tcBorders>
              <w:top w:val="nil"/>
              <w:left w:val="nil"/>
              <w:bottom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iCs/>
                <w:lang w:val="en-US"/>
              </w:rPr>
              <w:t>Describe the number of times the intervention was delivered and over what period of time including the number of sessions, their schedule, and their duration, intensity or dose.</w:t>
            </w:r>
          </w:p>
        </w:tc>
        <w:tc>
          <w:tcPr>
            <w:tcW w:w="1843" w:type="dxa"/>
            <w:tcBorders>
              <w:top w:val="nil"/>
              <w:left w:val="nil"/>
              <w:bottom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top w:val="nil"/>
              <w:left w:val="single" w:sz="4" w:space="0" w:color="auto"/>
              <w:bottom w:val="nil"/>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top w:val="nil"/>
              <w:right w:val="nil"/>
            </w:tcBorders>
          </w:tcPr>
          <w:p w:rsidR="00122D42" w:rsidRDefault="00122D42">
            <w:pPr>
              <w:spacing w:line="360" w:lineRule="auto"/>
              <w:rPr>
                <w:rFonts w:asciiTheme="minorBidi" w:eastAsia="Calibri" w:hAnsiTheme="minorBidi"/>
              </w:rPr>
            </w:pPr>
          </w:p>
        </w:tc>
        <w:tc>
          <w:tcPr>
            <w:tcW w:w="10064" w:type="dxa"/>
            <w:tcBorders>
              <w:top w:val="nil"/>
              <w:left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bCs/>
              </w:rPr>
              <w:t>TAILORING</w:t>
            </w:r>
          </w:p>
        </w:tc>
        <w:tc>
          <w:tcPr>
            <w:tcW w:w="1843" w:type="dxa"/>
            <w:tcBorders>
              <w:top w:val="nil"/>
              <w:left w:val="nil"/>
              <w:bottom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top w:val="nil"/>
              <w:left w:val="single" w:sz="4" w:space="0" w:color="auto"/>
              <w:bottom w:val="nil"/>
            </w:tcBorders>
          </w:tcPr>
          <w:p w:rsidR="00122D42" w:rsidRDefault="00122D42">
            <w:pPr>
              <w:spacing w:line="360" w:lineRule="auto"/>
              <w:rPr>
                <w:rFonts w:asciiTheme="minorBidi" w:eastAsia="Calibri" w:hAnsiTheme="minorBidi"/>
                <w:sz w:val="18"/>
                <w:szCs w:val="20"/>
              </w:rPr>
            </w:pP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9.</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rPr>
              <w:t xml:space="preserve">If the </w:t>
            </w:r>
            <w:r>
              <w:rPr>
                <w:rFonts w:asciiTheme="minorBidi" w:eastAsia="Calibri" w:hAnsiTheme="minorBidi"/>
                <w:bCs/>
              </w:rPr>
              <w:t>intervention was planned to be personalised, titrated or adapted, then describe what, why, when, and how.</w:t>
            </w:r>
          </w:p>
        </w:tc>
        <w:tc>
          <w:tcPr>
            <w:tcW w:w="1843" w:type="dxa"/>
            <w:tcBorders>
              <w:top w:val="nil"/>
              <w:left w:val="nil"/>
              <w:bottom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top w:val="nil"/>
              <w:left w:val="single" w:sz="4" w:space="0" w:color="auto"/>
              <w:bottom w:val="nil"/>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right w:val="nil"/>
            </w:tcBorders>
          </w:tcPr>
          <w:p w:rsidR="00122D42" w:rsidRDefault="00122D42">
            <w:pPr>
              <w:spacing w:line="360" w:lineRule="auto"/>
              <w:rPr>
                <w:rFonts w:asciiTheme="minorBidi" w:eastAsia="Calibri" w:hAnsiTheme="minorBidi"/>
              </w:rPr>
            </w:pPr>
          </w:p>
        </w:tc>
        <w:tc>
          <w:tcPr>
            <w:tcW w:w="10064" w:type="dxa"/>
            <w:tcBorders>
              <w:left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bCs/>
              </w:rPr>
              <w:t>MODIFICATIONS</w:t>
            </w:r>
          </w:p>
        </w:tc>
        <w:tc>
          <w:tcPr>
            <w:tcW w:w="1843" w:type="dxa"/>
            <w:tcBorders>
              <w:top w:val="nil"/>
              <w:left w:val="nil"/>
              <w:bottom w:val="nil"/>
              <w:right w:val="single" w:sz="4" w:space="0" w:color="auto"/>
            </w:tcBorders>
          </w:tcPr>
          <w:p w:rsidR="00122D42" w:rsidRDefault="00122D42">
            <w:pPr>
              <w:spacing w:line="360" w:lineRule="auto"/>
              <w:rPr>
                <w:rFonts w:asciiTheme="minorBidi" w:eastAsia="Calibri" w:hAnsiTheme="minorBidi"/>
                <w:sz w:val="18"/>
                <w:szCs w:val="20"/>
              </w:rPr>
            </w:pPr>
          </w:p>
        </w:tc>
        <w:tc>
          <w:tcPr>
            <w:tcW w:w="1843" w:type="dxa"/>
            <w:tcBorders>
              <w:top w:val="nil"/>
              <w:left w:val="single" w:sz="4" w:space="0" w:color="auto"/>
              <w:bottom w:val="nil"/>
            </w:tcBorders>
          </w:tcPr>
          <w:p w:rsidR="00122D42" w:rsidRDefault="00122D42">
            <w:pPr>
              <w:spacing w:line="360" w:lineRule="auto"/>
              <w:rPr>
                <w:rFonts w:asciiTheme="minorBidi" w:eastAsia="Calibri" w:hAnsiTheme="minorBidi"/>
                <w:sz w:val="18"/>
                <w:szCs w:val="20"/>
              </w:rPr>
            </w:pP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10.</w:t>
            </w:r>
            <w:r>
              <w:rPr>
                <w:rFonts w:asciiTheme="minorBidi" w:eastAsia="Times New Roman" w:hAnsiTheme="minorBidi"/>
                <w:b/>
                <w:bCs/>
                <w:color w:val="000000"/>
                <w:kern w:val="24"/>
                <w:vertAlign w:val="superscript"/>
                <w:lang w:val="en-GB" w:eastAsia="zh-CN"/>
              </w:rPr>
              <w:t>ǂ</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bCs/>
              </w:rPr>
              <w:t xml:space="preserve">If the intervention was modified during the course of the study, describe </w:t>
            </w:r>
            <w:r>
              <w:rPr>
                <w:rFonts w:asciiTheme="minorBidi" w:eastAsia="Calibri" w:hAnsiTheme="minorBidi"/>
                <w:bCs/>
              </w:rPr>
              <w:t>the changes (what, why, when, and how).</w:t>
            </w:r>
          </w:p>
        </w:tc>
        <w:tc>
          <w:tcPr>
            <w:tcW w:w="1843" w:type="dxa"/>
            <w:tcBorders>
              <w:top w:val="nil"/>
              <w:left w:val="nil"/>
              <w:bottom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top w:val="nil"/>
              <w:left w:val="single" w:sz="4" w:space="0" w:color="auto"/>
              <w:bottom w:val="nil"/>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right w:val="nil"/>
            </w:tcBorders>
          </w:tcPr>
          <w:p w:rsidR="00122D42" w:rsidRDefault="00122D42">
            <w:pPr>
              <w:spacing w:line="360" w:lineRule="auto"/>
              <w:rPr>
                <w:rFonts w:asciiTheme="minorBidi" w:eastAsia="Calibri" w:hAnsiTheme="minorBidi"/>
                <w:b/>
              </w:rPr>
            </w:pPr>
          </w:p>
        </w:tc>
        <w:tc>
          <w:tcPr>
            <w:tcW w:w="10064" w:type="dxa"/>
            <w:tcBorders>
              <w:left w:val="nil"/>
              <w:right w:val="nil"/>
            </w:tcBorders>
          </w:tcPr>
          <w:p w:rsidR="00122D42" w:rsidRDefault="0041088A">
            <w:pPr>
              <w:spacing w:line="360" w:lineRule="auto"/>
              <w:rPr>
                <w:rFonts w:asciiTheme="minorBidi" w:eastAsia="Calibri" w:hAnsiTheme="minorBidi"/>
                <w:b/>
              </w:rPr>
            </w:pPr>
            <w:r>
              <w:rPr>
                <w:rFonts w:asciiTheme="minorBidi" w:eastAsia="Calibri" w:hAnsiTheme="minorBidi"/>
                <w:b/>
              </w:rPr>
              <w:t>HOW WELL</w:t>
            </w:r>
          </w:p>
        </w:tc>
        <w:tc>
          <w:tcPr>
            <w:tcW w:w="1843" w:type="dxa"/>
            <w:tcBorders>
              <w:top w:val="nil"/>
              <w:left w:val="nil"/>
              <w:bottom w:val="nil"/>
              <w:right w:val="single" w:sz="4" w:space="0" w:color="auto"/>
            </w:tcBorders>
          </w:tcPr>
          <w:p w:rsidR="00122D42" w:rsidRDefault="00122D42">
            <w:pPr>
              <w:spacing w:line="360" w:lineRule="auto"/>
              <w:rPr>
                <w:rFonts w:asciiTheme="minorBidi" w:eastAsia="Calibri" w:hAnsiTheme="minorBidi"/>
                <w:b/>
                <w:sz w:val="18"/>
                <w:szCs w:val="20"/>
              </w:rPr>
            </w:pPr>
          </w:p>
        </w:tc>
        <w:tc>
          <w:tcPr>
            <w:tcW w:w="1843" w:type="dxa"/>
            <w:tcBorders>
              <w:top w:val="nil"/>
              <w:left w:val="single" w:sz="4" w:space="0" w:color="auto"/>
              <w:bottom w:val="nil"/>
            </w:tcBorders>
          </w:tcPr>
          <w:p w:rsidR="00122D42" w:rsidRDefault="00122D42">
            <w:pPr>
              <w:spacing w:line="360" w:lineRule="auto"/>
              <w:rPr>
                <w:rFonts w:asciiTheme="minorBidi" w:eastAsia="Calibri" w:hAnsiTheme="minorBidi"/>
                <w:b/>
                <w:sz w:val="18"/>
                <w:szCs w:val="20"/>
              </w:rPr>
            </w:pPr>
          </w:p>
        </w:tc>
      </w:tr>
      <w:tr w:rsidR="00122D42">
        <w:tc>
          <w:tcPr>
            <w:tcW w:w="959" w:type="dxa"/>
            <w:tcBorders>
              <w:right w:val="nil"/>
            </w:tcBorders>
          </w:tcPr>
          <w:p w:rsidR="00122D42" w:rsidRDefault="0041088A">
            <w:pPr>
              <w:spacing w:line="360" w:lineRule="auto"/>
              <w:rPr>
                <w:rFonts w:asciiTheme="minorBidi" w:eastAsia="Calibri" w:hAnsiTheme="minorBidi"/>
                <w:b/>
                <w:bCs/>
              </w:rPr>
            </w:pPr>
            <w:r>
              <w:rPr>
                <w:rFonts w:asciiTheme="minorBidi" w:eastAsia="Calibri" w:hAnsiTheme="minorBidi"/>
                <w:b/>
                <w:bCs/>
              </w:rPr>
              <w:t>11.</w:t>
            </w:r>
          </w:p>
        </w:tc>
        <w:tc>
          <w:tcPr>
            <w:tcW w:w="10064" w:type="dxa"/>
            <w:tcBorders>
              <w:left w:val="nil"/>
              <w:right w:val="nil"/>
            </w:tcBorders>
          </w:tcPr>
          <w:p w:rsidR="00122D42" w:rsidRDefault="0041088A">
            <w:pPr>
              <w:spacing w:line="360" w:lineRule="auto"/>
              <w:rPr>
                <w:rFonts w:asciiTheme="minorBidi" w:eastAsia="Calibri" w:hAnsiTheme="minorBidi"/>
              </w:rPr>
            </w:pPr>
            <w:r>
              <w:rPr>
                <w:rFonts w:asciiTheme="minorBidi" w:eastAsia="Calibri" w:hAnsiTheme="minorBidi"/>
                <w:lang w:eastAsia="zh-CN"/>
              </w:rPr>
              <w:t xml:space="preserve">Planned: If intervention adherence or fidelity was assessed, describe how and by whom, and if any strategies were used to maintain or improve </w:t>
            </w:r>
            <w:r>
              <w:rPr>
                <w:rFonts w:asciiTheme="minorBidi" w:eastAsia="Calibri" w:hAnsiTheme="minorBidi"/>
                <w:lang w:eastAsia="zh-CN"/>
              </w:rPr>
              <w:t>fidelity, describe them.</w:t>
            </w:r>
          </w:p>
        </w:tc>
        <w:tc>
          <w:tcPr>
            <w:tcW w:w="1843" w:type="dxa"/>
            <w:tcBorders>
              <w:top w:val="nil"/>
              <w:left w:val="nil"/>
              <w:bottom w:val="nil"/>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top w:val="nil"/>
              <w:left w:val="single" w:sz="4" w:space="0" w:color="auto"/>
              <w:bottom w:val="nil"/>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r w:rsidR="00122D42">
        <w:tc>
          <w:tcPr>
            <w:tcW w:w="959" w:type="dxa"/>
            <w:tcBorders>
              <w:bottom w:val="single" w:sz="4" w:space="0" w:color="auto"/>
              <w:right w:val="nil"/>
            </w:tcBorders>
          </w:tcPr>
          <w:p w:rsidR="00122D42" w:rsidRDefault="0041088A">
            <w:pPr>
              <w:spacing w:line="360" w:lineRule="auto"/>
              <w:rPr>
                <w:rFonts w:asciiTheme="minorBidi" w:eastAsia="Calibri" w:hAnsiTheme="minorBidi"/>
                <w:b/>
                <w:bCs/>
                <w:lang w:val="en-US" w:eastAsia="zh-CN"/>
              </w:rPr>
            </w:pPr>
            <w:r>
              <w:rPr>
                <w:rFonts w:asciiTheme="minorBidi" w:eastAsia="Calibri" w:hAnsiTheme="minorBidi"/>
                <w:b/>
                <w:bCs/>
              </w:rPr>
              <w:t>12.</w:t>
            </w:r>
            <w:r>
              <w:rPr>
                <w:rFonts w:asciiTheme="minorBidi" w:eastAsia="Times New Roman" w:hAnsiTheme="minorBidi"/>
                <w:b/>
                <w:bCs/>
                <w:color w:val="000000"/>
                <w:kern w:val="24"/>
                <w:vertAlign w:val="superscript"/>
                <w:lang w:val="en-GB" w:eastAsia="zh-CN"/>
              </w:rPr>
              <w:t>ǂ</w:t>
            </w:r>
          </w:p>
          <w:p w:rsidR="00122D42" w:rsidRDefault="00122D42">
            <w:pPr>
              <w:spacing w:line="360" w:lineRule="auto"/>
              <w:rPr>
                <w:rFonts w:asciiTheme="minorBidi" w:eastAsia="Calibri" w:hAnsiTheme="minorBidi"/>
              </w:rPr>
            </w:pPr>
          </w:p>
        </w:tc>
        <w:tc>
          <w:tcPr>
            <w:tcW w:w="10064" w:type="dxa"/>
            <w:tcBorders>
              <w:left w:val="nil"/>
              <w:bottom w:val="single" w:sz="4" w:space="0" w:color="auto"/>
              <w:right w:val="nil"/>
            </w:tcBorders>
          </w:tcPr>
          <w:p w:rsidR="00122D42" w:rsidRDefault="0041088A">
            <w:pPr>
              <w:spacing w:line="360" w:lineRule="auto"/>
              <w:rPr>
                <w:rFonts w:asciiTheme="minorBidi" w:eastAsia="Calibri" w:hAnsiTheme="minorBidi"/>
              </w:rPr>
            </w:pPr>
            <w:r>
              <w:rPr>
                <w:rFonts w:asciiTheme="minorBidi" w:eastAsia="Calibri" w:hAnsiTheme="minorBidi"/>
                <w:bCs/>
                <w:iCs/>
              </w:rPr>
              <w:t>Actual: If intervention adherence or fidelity was assessed, describe the extent to which the intervention was delivered as planned.</w:t>
            </w:r>
          </w:p>
        </w:tc>
        <w:tc>
          <w:tcPr>
            <w:tcW w:w="1843" w:type="dxa"/>
            <w:tcBorders>
              <w:top w:val="nil"/>
              <w:left w:val="nil"/>
              <w:bottom w:val="single" w:sz="4" w:space="0" w:color="auto"/>
              <w:right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Chapter 2.2 Intervention group (IG)</w:t>
            </w:r>
          </w:p>
        </w:tc>
        <w:tc>
          <w:tcPr>
            <w:tcW w:w="1843" w:type="dxa"/>
            <w:tcBorders>
              <w:top w:val="nil"/>
              <w:left w:val="single" w:sz="4" w:space="0" w:color="auto"/>
              <w:bottom w:val="single" w:sz="4" w:space="0" w:color="auto"/>
            </w:tcBorders>
          </w:tcPr>
          <w:p w:rsidR="00122D42" w:rsidRDefault="0041088A">
            <w:pPr>
              <w:spacing w:line="360" w:lineRule="auto"/>
              <w:rPr>
                <w:rFonts w:asciiTheme="minorBidi" w:eastAsia="Calibri" w:hAnsiTheme="minorBidi"/>
                <w:sz w:val="18"/>
                <w:szCs w:val="20"/>
              </w:rPr>
            </w:pPr>
            <w:r>
              <w:rPr>
                <w:rFonts w:asciiTheme="minorBidi" w:eastAsia="Calibri" w:hAnsiTheme="minorBidi"/>
                <w:sz w:val="18"/>
                <w:szCs w:val="20"/>
              </w:rPr>
              <w:t>_____________</w:t>
            </w:r>
          </w:p>
        </w:tc>
      </w:tr>
    </w:tbl>
    <w:p w:rsidR="00122D42" w:rsidRDefault="0041088A">
      <w:pPr>
        <w:spacing w:before="240"/>
        <w:ind w:left="142" w:hanging="284"/>
        <w:rPr>
          <w:rFonts w:asciiTheme="minorBidi" w:eastAsia="Times New Roman" w:hAnsiTheme="minorBidi"/>
          <w:b/>
          <w:sz w:val="21"/>
          <w:szCs w:val="21"/>
          <w:u w:val="single"/>
          <w:lang w:eastAsia="zh-CN"/>
        </w:rPr>
      </w:pPr>
      <w:r>
        <w:rPr>
          <w:rFonts w:asciiTheme="minorBidi" w:eastAsia="Times New Roman" w:hAnsiTheme="minorBidi"/>
          <w:b/>
          <w:sz w:val="21"/>
          <w:szCs w:val="21"/>
          <w:u w:val="single"/>
          <w:lang w:eastAsia="zh-CN"/>
        </w:rPr>
        <w:lastRenderedPageBreak/>
        <w:t xml:space="preserve">References: </w:t>
      </w:r>
    </w:p>
    <w:p w:rsidR="00122D42" w:rsidRDefault="0041088A">
      <w:pPr>
        <w:ind w:left="142" w:hanging="284"/>
        <w:rPr>
          <w:rFonts w:asciiTheme="minorBidi" w:eastAsia="Times New Roman" w:hAnsiTheme="minorBidi"/>
          <w:sz w:val="21"/>
          <w:szCs w:val="21"/>
          <w:lang w:val="en-US" w:eastAsia="zh-CN"/>
        </w:rPr>
      </w:pPr>
      <w:r>
        <w:rPr>
          <w:rFonts w:asciiTheme="minorBidi" w:eastAsia="Times New Roman" w:hAnsiTheme="minorBidi"/>
          <w:sz w:val="21"/>
          <w:szCs w:val="21"/>
          <w:lang w:eastAsia="zh-CN"/>
        </w:rPr>
        <w:t xml:space="preserve">[1] Valentini J, Fröhlich D, Stolz R, Mahler C, Martus P, Klafke N, Horneber M, Frasch J, Kramer K, Bertz H, Grün B, Tomaschko-Ubeländer K, Joos S; CCC-Integrativ study group. </w:t>
      </w:r>
      <w:proofErr w:type="spellStart"/>
      <w:r>
        <w:rPr>
          <w:rFonts w:asciiTheme="minorBidi" w:eastAsia="Times New Roman" w:hAnsiTheme="minorBidi"/>
          <w:sz w:val="21"/>
          <w:szCs w:val="21"/>
          <w:lang w:val="en-US" w:eastAsia="zh-CN"/>
        </w:rPr>
        <w:t>Interprofessional</w:t>
      </w:r>
      <w:proofErr w:type="spellEnd"/>
      <w:r>
        <w:rPr>
          <w:rFonts w:asciiTheme="minorBidi" w:eastAsia="Times New Roman" w:hAnsiTheme="minorBidi"/>
          <w:sz w:val="21"/>
          <w:szCs w:val="21"/>
          <w:lang w:val="en-US" w:eastAsia="zh-CN"/>
        </w:rPr>
        <w:t xml:space="preserve"> evidence-based counselling </w:t>
      </w:r>
      <w:proofErr w:type="spellStart"/>
      <w:r>
        <w:rPr>
          <w:rFonts w:asciiTheme="minorBidi" w:eastAsia="Times New Roman" w:hAnsiTheme="minorBidi"/>
          <w:sz w:val="21"/>
          <w:szCs w:val="21"/>
          <w:lang w:val="en-US" w:eastAsia="zh-CN"/>
        </w:rPr>
        <w:t>programme</w:t>
      </w:r>
      <w:proofErr w:type="spellEnd"/>
      <w:r>
        <w:rPr>
          <w:rFonts w:asciiTheme="minorBidi" w:eastAsia="Times New Roman" w:hAnsiTheme="minorBidi"/>
          <w:sz w:val="21"/>
          <w:szCs w:val="21"/>
          <w:lang w:val="en-US" w:eastAsia="zh-CN"/>
        </w:rPr>
        <w:t xml:space="preserve"> for complementary and integrative healthcare in patients with cancer: study protocol for the controlled implementation study CCC-</w:t>
      </w:r>
      <w:proofErr w:type="spellStart"/>
      <w:r>
        <w:rPr>
          <w:rFonts w:asciiTheme="minorBidi" w:eastAsia="Times New Roman" w:hAnsiTheme="minorBidi"/>
          <w:sz w:val="21"/>
          <w:szCs w:val="21"/>
          <w:lang w:val="en-US" w:eastAsia="zh-CN"/>
        </w:rPr>
        <w:t>Integrativ</w:t>
      </w:r>
      <w:proofErr w:type="spellEnd"/>
      <w:r>
        <w:rPr>
          <w:rFonts w:asciiTheme="minorBidi" w:eastAsia="Times New Roman" w:hAnsiTheme="minorBidi"/>
          <w:sz w:val="21"/>
          <w:szCs w:val="21"/>
          <w:lang w:val="en-US" w:eastAsia="zh-CN"/>
        </w:rPr>
        <w:t>. BMJ Open. 2022 Feb 11</w:t>
      </w:r>
      <w:proofErr w:type="gramStart"/>
      <w:r>
        <w:rPr>
          <w:rFonts w:asciiTheme="minorBidi" w:eastAsia="Times New Roman" w:hAnsiTheme="minorBidi"/>
          <w:sz w:val="21"/>
          <w:szCs w:val="21"/>
          <w:lang w:val="en-US" w:eastAsia="zh-CN"/>
        </w:rPr>
        <w:t>;12</w:t>
      </w:r>
      <w:proofErr w:type="gramEnd"/>
      <w:r>
        <w:rPr>
          <w:rFonts w:asciiTheme="minorBidi" w:eastAsia="Times New Roman" w:hAnsiTheme="minorBidi"/>
          <w:sz w:val="21"/>
          <w:szCs w:val="21"/>
          <w:lang w:val="en-US" w:eastAsia="zh-CN"/>
        </w:rPr>
        <w:t xml:space="preserve">(2):e055076. </w:t>
      </w:r>
      <w:proofErr w:type="spellStart"/>
      <w:proofErr w:type="gramStart"/>
      <w:r>
        <w:rPr>
          <w:rFonts w:asciiTheme="minorBidi" w:eastAsia="Times New Roman" w:hAnsiTheme="minorBidi"/>
          <w:sz w:val="21"/>
          <w:szCs w:val="21"/>
          <w:lang w:val="en-US" w:eastAsia="zh-CN"/>
        </w:rPr>
        <w:t>doi</w:t>
      </w:r>
      <w:proofErr w:type="spellEnd"/>
      <w:proofErr w:type="gramEnd"/>
      <w:r>
        <w:rPr>
          <w:rFonts w:asciiTheme="minorBidi" w:eastAsia="Times New Roman" w:hAnsiTheme="minorBidi"/>
          <w:sz w:val="21"/>
          <w:szCs w:val="21"/>
          <w:lang w:val="en-US" w:eastAsia="zh-CN"/>
        </w:rPr>
        <w:t>: 10.1136/bmjopen-2021-055076. PMID: 35149568; PMCID: PMC8845169.</w:t>
      </w:r>
    </w:p>
    <w:p w:rsidR="00122D42" w:rsidRDefault="00122D42">
      <w:pPr>
        <w:spacing w:before="240"/>
        <w:ind w:left="142" w:hanging="284"/>
        <w:rPr>
          <w:rFonts w:asciiTheme="minorBidi" w:eastAsia="Times New Roman" w:hAnsiTheme="minorBidi"/>
          <w:sz w:val="21"/>
          <w:szCs w:val="21"/>
          <w:lang w:val="en-US" w:eastAsia="zh-CN"/>
        </w:rPr>
      </w:pPr>
    </w:p>
    <w:p w:rsidR="00122D42" w:rsidRDefault="0041088A">
      <w:pPr>
        <w:spacing w:before="240"/>
        <w:ind w:left="142" w:hanging="284"/>
        <w:rPr>
          <w:rFonts w:asciiTheme="minorBidi" w:eastAsia="Times New Roman" w:hAnsiTheme="minorBidi"/>
          <w:sz w:val="21"/>
          <w:szCs w:val="21"/>
          <w:lang w:val="en-US" w:eastAsia="zh-CN"/>
        </w:rPr>
      </w:pPr>
      <w:r>
        <w:rPr>
          <w:rFonts w:asciiTheme="minorBidi" w:eastAsia="Times New Roman" w:hAnsiTheme="minorBidi"/>
          <w:sz w:val="21"/>
          <w:szCs w:val="21"/>
          <w:lang w:val="en-US" w:eastAsia="zh-CN"/>
        </w:rPr>
        <w:t xml:space="preserve">** </w:t>
      </w:r>
      <w:r>
        <w:rPr>
          <w:rFonts w:asciiTheme="minorBidi" w:eastAsia="Times New Roman" w:hAnsiTheme="minorBidi"/>
          <w:b/>
          <w:bCs/>
          <w:sz w:val="21"/>
          <w:szCs w:val="21"/>
          <w:lang w:val="en-US" w:eastAsia="zh-CN"/>
        </w:rPr>
        <w:t>Authors</w:t>
      </w:r>
      <w:r>
        <w:rPr>
          <w:rFonts w:asciiTheme="minorBidi" w:eastAsia="Times New Roman" w:hAnsiTheme="minorBidi"/>
          <w:sz w:val="21"/>
          <w:szCs w:val="21"/>
          <w:lang w:val="en-US" w:eastAsia="zh-CN"/>
        </w:rPr>
        <w:t xml:space="preserve"> - use N/A if an item is not applicable for the intervention being described. </w:t>
      </w:r>
      <w:r>
        <w:rPr>
          <w:rFonts w:asciiTheme="minorBidi" w:eastAsia="Times New Roman" w:hAnsiTheme="minorBidi"/>
          <w:b/>
          <w:bCs/>
          <w:sz w:val="21"/>
          <w:szCs w:val="21"/>
          <w:lang w:val="en-US" w:eastAsia="zh-CN"/>
        </w:rPr>
        <w:t>Reviewers</w:t>
      </w:r>
      <w:r>
        <w:rPr>
          <w:rFonts w:asciiTheme="minorBidi" w:eastAsia="Times New Roman" w:hAnsiTheme="minorBidi"/>
          <w:sz w:val="21"/>
          <w:szCs w:val="21"/>
          <w:lang w:val="en-US" w:eastAsia="zh-CN"/>
        </w:rPr>
        <w:t xml:space="preserve"> – use ‘</w:t>
      </w:r>
      <w:r>
        <w:rPr>
          <w:rFonts w:asciiTheme="minorBidi" w:eastAsia="Times New Roman" w:hAnsiTheme="minorBidi"/>
          <w:sz w:val="24"/>
          <w:szCs w:val="24"/>
          <w:lang w:val="en-US" w:eastAsia="zh-CN"/>
        </w:rPr>
        <w:t>?’</w:t>
      </w:r>
      <w:r>
        <w:rPr>
          <w:rFonts w:asciiTheme="minorBidi" w:eastAsia="Times New Roman" w:hAnsiTheme="minorBidi"/>
          <w:sz w:val="21"/>
          <w:szCs w:val="21"/>
          <w:lang w:val="en-US" w:eastAsia="zh-CN"/>
        </w:rPr>
        <w:t xml:space="preserve"> if information about the element is not reported/not   sufficiently reported.        </w:t>
      </w:r>
    </w:p>
    <w:p w:rsidR="00122D42" w:rsidRDefault="0041088A">
      <w:pPr>
        <w:spacing w:before="240"/>
        <w:ind w:hanging="142"/>
        <w:rPr>
          <w:rFonts w:asciiTheme="minorBidi" w:eastAsia="宋体" w:hAnsiTheme="minorBidi"/>
          <w:sz w:val="21"/>
          <w:szCs w:val="21"/>
          <w:lang w:val="en-US" w:eastAsia="zh-CN"/>
        </w:rPr>
      </w:pPr>
      <w:r>
        <w:rPr>
          <w:rFonts w:asciiTheme="minorBidi" w:eastAsia="Times New Roman" w:hAnsiTheme="minorBidi"/>
          <w:sz w:val="21"/>
          <w:szCs w:val="21"/>
          <w:lang w:val="en-US" w:eastAsia="zh-CN"/>
        </w:rPr>
        <w:t>† If the information is not provided in the primary paper, g</w:t>
      </w:r>
      <w:r>
        <w:rPr>
          <w:rFonts w:asciiTheme="minorBidi" w:eastAsia="Times New Roman" w:hAnsiTheme="minorBidi"/>
          <w:sz w:val="21"/>
          <w:szCs w:val="21"/>
          <w:lang w:val="en-US" w:eastAsia="zh-CN"/>
        </w:rPr>
        <w:t xml:space="preserve">ive details of where this information is available. </w:t>
      </w:r>
      <w:r>
        <w:rPr>
          <w:rFonts w:asciiTheme="minorBidi" w:eastAsia="宋体" w:hAnsiTheme="minorBidi"/>
          <w:sz w:val="21"/>
          <w:szCs w:val="21"/>
          <w:lang w:val="en-US" w:eastAsia="zh-CN"/>
        </w:rPr>
        <w:t>This may include locations such as a published protocol      or other published papers (provide citation details) or a website (provide the URL).</w:t>
      </w:r>
    </w:p>
    <w:p w:rsidR="00122D42" w:rsidRDefault="0041088A">
      <w:pPr>
        <w:ind w:left="-142"/>
        <w:rPr>
          <w:rFonts w:asciiTheme="minorBidi" w:eastAsia="Times New Roman" w:hAnsiTheme="minorBidi"/>
          <w:color w:val="000000"/>
          <w:kern w:val="24"/>
          <w:sz w:val="21"/>
          <w:szCs w:val="21"/>
          <w:lang w:val="en-GB" w:eastAsia="zh-CN"/>
        </w:rPr>
      </w:pPr>
      <w:r>
        <w:rPr>
          <w:rFonts w:asciiTheme="minorBidi" w:eastAsia="Times New Roman" w:hAnsiTheme="minorBidi"/>
          <w:color w:val="000000"/>
          <w:kern w:val="24"/>
          <w:sz w:val="21"/>
          <w:szCs w:val="21"/>
          <w:lang w:val="en-GB" w:eastAsia="zh-CN"/>
        </w:rPr>
        <w:t xml:space="preserve">ǂ </w:t>
      </w:r>
      <w:proofErr w:type="gramStart"/>
      <w:r>
        <w:rPr>
          <w:rFonts w:asciiTheme="minorBidi" w:eastAsia="Times New Roman" w:hAnsiTheme="minorBidi"/>
          <w:color w:val="000000"/>
          <w:kern w:val="24"/>
          <w:sz w:val="21"/>
          <w:szCs w:val="21"/>
          <w:lang w:val="en-GB" w:eastAsia="zh-CN"/>
        </w:rPr>
        <w:t>If</w:t>
      </w:r>
      <w:proofErr w:type="gramEnd"/>
      <w:r>
        <w:rPr>
          <w:rFonts w:asciiTheme="minorBidi" w:eastAsia="Times New Roman" w:hAnsiTheme="minorBidi"/>
          <w:color w:val="000000"/>
          <w:kern w:val="24"/>
          <w:sz w:val="21"/>
          <w:szCs w:val="21"/>
          <w:lang w:val="en-GB" w:eastAsia="zh-CN"/>
        </w:rPr>
        <w:t xml:space="preserve"> completing the TIDieR checklist for a protocol, these</w:t>
      </w:r>
      <w:r>
        <w:rPr>
          <w:rFonts w:asciiTheme="minorBidi" w:eastAsia="Times New Roman" w:hAnsiTheme="minorBidi"/>
          <w:color w:val="000000"/>
          <w:kern w:val="24"/>
          <w:sz w:val="21"/>
          <w:szCs w:val="21"/>
          <w:lang w:val="en-GB" w:eastAsia="zh-CN"/>
        </w:rPr>
        <w:t xml:space="preserve"> items are not relevant to the protocol and cannot be described until the study is complete.</w:t>
      </w:r>
    </w:p>
    <w:p w:rsidR="00122D42" w:rsidRDefault="0041088A">
      <w:pPr>
        <w:spacing w:before="240"/>
        <w:ind w:hanging="142"/>
        <w:rPr>
          <w:rFonts w:cstheme="minorHAnsi"/>
          <w:sz w:val="21"/>
          <w:szCs w:val="21"/>
          <w:lang w:val="en-US"/>
        </w:rPr>
      </w:pPr>
      <w:r>
        <w:rPr>
          <w:rFonts w:cstheme="minorHAnsi"/>
          <w:sz w:val="21"/>
          <w:szCs w:val="21"/>
          <w:lang w:val="en-US"/>
        </w:rPr>
        <w:t xml:space="preserve">* We strongly recommend using this checklist in conjunction with the </w:t>
      </w:r>
      <w:proofErr w:type="spellStart"/>
      <w:r>
        <w:rPr>
          <w:rFonts w:cstheme="minorHAnsi"/>
          <w:sz w:val="21"/>
          <w:szCs w:val="21"/>
          <w:lang w:val="en-US"/>
        </w:rPr>
        <w:t>TIDieR</w:t>
      </w:r>
      <w:proofErr w:type="spellEnd"/>
      <w:r>
        <w:rPr>
          <w:rFonts w:cstheme="minorHAnsi"/>
          <w:sz w:val="21"/>
          <w:szCs w:val="21"/>
          <w:lang w:val="en-US"/>
        </w:rPr>
        <w:t xml:space="preserve"> guide (see </w:t>
      </w:r>
      <w:r>
        <w:rPr>
          <w:i/>
          <w:sz w:val="21"/>
          <w:szCs w:val="21"/>
          <w:lang w:val="en-US"/>
        </w:rPr>
        <w:t>BMJ</w:t>
      </w:r>
      <w:r>
        <w:rPr>
          <w:sz w:val="21"/>
          <w:szCs w:val="21"/>
          <w:lang w:val="en-US"/>
        </w:rPr>
        <w:t xml:space="preserve"> 2014</w:t>
      </w:r>
      <w:proofErr w:type="gramStart"/>
      <w:r>
        <w:rPr>
          <w:sz w:val="21"/>
          <w:szCs w:val="21"/>
          <w:lang w:val="en-US"/>
        </w:rPr>
        <w:t>;348:g1687</w:t>
      </w:r>
      <w:proofErr w:type="gramEnd"/>
      <w:r>
        <w:rPr>
          <w:sz w:val="21"/>
          <w:szCs w:val="21"/>
          <w:lang w:val="en-US"/>
        </w:rPr>
        <w:t xml:space="preserve">) </w:t>
      </w:r>
      <w:r>
        <w:rPr>
          <w:rFonts w:cstheme="minorHAnsi"/>
          <w:sz w:val="21"/>
          <w:szCs w:val="21"/>
          <w:lang w:val="en-US"/>
        </w:rPr>
        <w:t>which contains an explanation and elaboration for each i</w:t>
      </w:r>
      <w:r>
        <w:rPr>
          <w:rFonts w:cstheme="minorHAnsi"/>
          <w:sz w:val="21"/>
          <w:szCs w:val="21"/>
          <w:lang w:val="en-US"/>
        </w:rPr>
        <w:t>tem.</w:t>
      </w:r>
    </w:p>
    <w:p w:rsidR="00122D42" w:rsidRDefault="0041088A">
      <w:pPr>
        <w:ind w:hanging="142"/>
        <w:rPr>
          <w:rFonts w:cstheme="minorHAnsi"/>
          <w:sz w:val="21"/>
          <w:szCs w:val="21"/>
          <w:lang w:val="en-US"/>
        </w:rPr>
        <w:sectPr w:rsidR="00122D42">
          <w:pgSz w:w="16838" w:h="11906" w:orient="landscape"/>
          <w:pgMar w:top="1417" w:right="1417" w:bottom="1417" w:left="1134" w:header="708" w:footer="708" w:gutter="0"/>
          <w:cols w:space="708"/>
          <w:docGrid w:linePitch="360"/>
        </w:sectPr>
      </w:pPr>
      <w:r>
        <w:rPr>
          <w:rFonts w:cstheme="minorHAnsi"/>
          <w:sz w:val="21"/>
          <w:szCs w:val="21"/>
          <w:lang w:val="en-US"/>
        </w:rPr>
        <w:t xml:space="preserve">* The focus of </w:t>
      </w:r>
      <w:proofErr w:type="spellStart"/>
      <w:r>
        <w:rPr>
          <w:rFonts w:cstheme="minorHAnsi"/>
          <w:sz w:val="21"/>
          <w:szCs w:val="21"/>
          <w:lang w:val="en-US"/>
        </w:rPr>
        <w:t>TIDieR</w:t>
      </w:r>
      <w:proofErr w:type="spellEnd"/>
      <w:r>
        <w:rPr>
          <w:rFonts w:cstheme="minorHAnsi"/>
          <w:sz w:val="21"/>
          <w:szCs w:val="21"/>
          <w:lang w:val="en-US"/>
        </w:rPr>
        <w:t xml:space="preserve"> is on reporting details of the intervention elements (and where relevant, comparison elements) of a study. Other elements and methodological features of studies are covered by other reporting statements and</w:t>
      </w:r>
      <w:r>
        <w:rPr>
          <w:rFonts w:cstheme="minorHAnsi"/>
          <w:sz w:val="21"/>
          <w:szCs w:val="21"/>
          <w:lang w:val="en-US"/>
        </w:rPr>
        <w:t xml:space="preserve"> checklists and have not been duplicated as part of the </w:t>
      </w:r>
      <w:proofErr w:type="spellStart"/>
      <w:r>
        <w:rPr>
          <w:rFonts w:cstheme="minorHAnsi"/>
          <w:sz w:val="21"/>
          <w:szCs w:val="21"/>
          <w:lang w:val="en-US"/>
        </w:rPr>
        <w:t>TIDieR</w:t>
      </w:r>
      <w:proofErr w:type="spellEnd"/>
      <w:r>
        <w:rPr>
          <w:rFonts w:cstheme="minorHAnsi"/>
          <w:sz w:val="21"/>
          <w:szCs w:val="21"/>
          <w:lang w:val="en-US"/>
        </w:rPr>
        <w:t xml:space="preserve"> checklist. When a </w:t>
      </w:r>
      <w:proofErr w:type="spellStart"/>
      <w:r>
        <w:rPr>
          <w:rFonts w:cstheme="minorHAnsi"/>
          <w:b/>
          <w:bCs/>
          <w:sz w:val="21"/>
          <w:szCs w:val="21"/>
          <w:lang w:val="en-US"/>
        </w:rPr>
        <w:t>randomised</w:t>
      </w:r>
      <w:proofErr w:type="spellEnd"/>
      <w:r>
        <w:rPr>
          <w:rFonts w:cstheme="minorHAnsi"/>
          <w:b/>
          <w:bCs/>
          <w:sz w:val="21"/>
          <w:szCs w:val="21"/>
          <w:lang w:val="en-US"/>
        </w:rPr>
        <w:t xml:space="preserve"> trial</w:t>
      </w:r>
      <w:r>
        <w:rPr>
          <w:rFonts w:cstheme="minorHAnsi"/>
          <w:sz w:val="21"/>
          <w:szCs w:val="21"/>
          <w:lang w:val="en-US"/>
        </w:rPr>
        <w:t xml:space="preserve"> is being reported, the </w:t>
      </w:r>
      <w:proofErr w:type="spellStart"/>
      <w:r>
        <w:rPr>
          <w:rFonts w:cstheme="minorHAnsi"/>
          <w:sz w:val="21"/>
          <w:szCs w:val="21"/>
          <w:lang w:val="en-US"/>
        </w:rPr>
        <w:t>TIDieR</w:t>
      </w:r>
      <w:proofErr w:type="spellEnd"/>
      <w:r>
        <w:rPr>
          <w:rFonts w:cstheme="minorHAnsi"/>
          <w:sz w:val="21"/>
          <w:szCs w:val="21"/>
          <w:lang w:val="en-US"/>
        </w:rPr>
        <w:t xml:space="preserve"> checklist should be used in conjunction with the CONSORT statement (see </w:t>
      </w:r>
      <w:hyperlink r:id="rId7" w:history="1">
        <w:r>
          <w:rPr>
            <w:rStyle w:val="a8"/>
            <w:rFonts w:cstheme="minorHAnsi"/>
            <w:sz w:val="21"/>
            <w:szCs w:val="21"/>
            <w:lang w:val="en-US"/>
          </w:rPr>
          <w:t>www.con</w:t>
        </w:r>
        <w:r>
          <w:rPr>
            <w:rStyle w:val="a8"/>
            <w:rFonts w:cstheme="minorHAnsi"/>
            <w:sz w:val="21"/>
            <w:szCs w:val="21"/>
            <w:lang w:val="en-US"/>
          </w:rPr>
          <w:t>sort-statement.org</w:t>
        </w:r>
      </w:hyperlink>
      <w:r>
        <w:rPr>
          <w:rFonts w:cstheme="minorHAnsi"/>
          <w:sz w:val="21"/>
          <w:szCs w:val="21"/>
          <w:lang w:val="en-US"/>
        </w:rPr>
        <w:t xml:space="preserve">) as an extension of </w:t>
      </w:r>
      <w:r>
        <w:rPr>
          <w:rFonts w:cstheme="minorHAnsi"/>
          <w:b/>
          <w:bCs/>
          <w:sz w:val="21"/>
          <w:szCs w:val="21"/>
          <w:lang w:val="en-US"/>
        </w:rPr>
        <w:t xml:space="preserve">Item 5 of the CONSORT 2010 Statement. </w:t>
      </w:r>
      <w:r>
        <w:rPr>
          <w:rFonts w:cstheme="minorHAnsi"/>
          <w:sz w:val="21"/>
          <w:szCs w:val="21"/>
          <w:lang w:val="en-US"/>
        </w:rPr>
        <w:t>When a</w:t>
      </w:r>
      <w:r>
        <w:rPr>
          <w:rFonts w:cstheme="minorHAnsi"/>
          <w:b/>
          <w:bCs/>
          <w:sz w:val="21"/>
          <w:szCs w:val="21"/>
          <w:lang w:val="en-US"/>
        </w:rPr>
        <w:t xml:space="preserve"> clinical trial</w:t>
      </w:r>
      <w:r>
        <w:rPr>
          <w:rFonts w:cstheme="minorHAnsi"/>
          <w:sz w:val="21"/>
          <w:szCs w:val="21"/>
          <w:lang w:val="en-US"/>
        </w:rPr>
        <w:t xml:space="preserve"> </w:t>
      </w:r>
      <w:r>
        <w:rPr>
          <w:rFonts w:cstheme="minorHAnsi"/>
          <w:b/>
          <w:bCs/>
          <w:sz w:val="21"/>
          <w:szCs w:val="21"/>
          <w:lang w:val="en-US"/>
        </w:rPr>
        <w:t>protocol</w:t>
      </w:r>
      <w:r>
        <w:rPr>
          <w:rFonts w:cstheme="minorHAnsi"/>
          <w:sz w:val="21"/>
          <w:szCs w:val="21"/>
          <w:lang w:val="en-US"/>
        </w:rPr>
        <w:t xml:space="preserve"> is being reported, the </w:t>
      </w:r>
      <w:proofErr w:type="spellStart"/>
      <w:r>
        <w:rPr>
          <w:rFonts w:cstheme="minorHAnsi"/>
          <w:sz w:val="21"/>
          <w:szCs w:val="21"/>
          <w:lang w:val="en-US"/>
        </w:rPr>
        <w:t>TIDieR</w:t>
      </w:r>
      <w:proofErr w:type="spellEnd"/>
      <w:r>
        <w:rPr>
          <w:rFonts w:cstheme="minorHAnsi"/>
          <w:sz w:val="21"/>
          <w:szCs w:val="21"/>
          <w:lang w:val="en-US"/>
        </w:rPr>
        <w:t xml:space="preserve"> checklist should be used in conjunction with the SPIRIT statement as an extension of </w:t>
      </w:r>
      <w:r>
        <w:rPr>
          <w:rFonts w:cstheme="minorHAnsi"/>
          <w:b/>
          <w:bCs/>
          <w:sz w:val="21"/>
          <w:szCs w:val="21"/>
          <w:lang w:val="en-US"/>
        </w:rPr>
        <w:t>Item 11 of the SPIRIT 2013 Statem</w:t>
      </w:r>
      <w:r>
        <w:rPr>
          <w:rFonts w:cstheme="minorHAnsi"/>
          <w:b/>
          <w:bCs/>
          <w:sz w:val="21"/>
          <w:szCs w:val="21"/>
          <w:lang w:val="en-US"/>
        </w:rPr>
        <w:t>ent</w:t>
      </w:r>
      <w:r>
        <w:rPr>
          <w:rFonts w:cstheme="minorHAnsi"/>
          <w:sz w:val="21"/>
          <w:szCs w:val="21"/>
          <w:lang w:val="en-US"/>
        </w:rPr>
        <w:t xml:space="preserve"> (see </w:t>
      </w:r>
      <w:hyperlink r:id="rId8" w:history="1">
        <w:r>
          <w:rPr>
            <w:rStyle w:val="a8"/>
            <w:rFonts w:cstheme="minorHAnsi"/>
            <w:sz w:val="21"/>
            <w:szCs w:val="21"/>
            <w:lang w:val="en-US"/>
          </w:rPr>
          <w:t>www.spirit-statement.org</w:t>
        </w:r>
      </w:hyperlink>
      <w:r>
        <w:rPr>
          <w:rFonts w:cstheme="minorHAnsi"/>
          <w:sz w:val="21"/>
          <w:szCs w:val="21"/>
          <w:lang w:val="en-US"/>
        </w:rPr>
        <w:t xml:space="preserve">). For alternate study designs, </w:t>
      </w:r>
      <w:proofErr w:type="spellStart"/>
      <w:r>
        <w:rPr>
          <w:rFonts w:cstheme="minorHAnsi"/>
          <w:sz w:val="21"/>
          <w:szCs w:val="21"/>
          <w:lang w:val="en-US"/>
        </w:rPr>
        <w:t>TIDieR</w:t>
      </w:r>
      <w:proofErr w:type="spellEnd"/>
      <w:r>
        <w:rPr>
          <w:rFonts w:cstheme="minorHAnsi"/>
          <w:sz w:val="21"/>
          <w:szCs w:val="21"/>
          <w:lang w:val="en-US"/>
        </w:rPr>
        <w:t xml:space="preserve"> can be used in conjunction with the appropriate checklist for that study design (see </w:t>
      </w:r>
      <w:hyperlink r:id="rId9" w:history="1">
        <w:r>
          <w:rPr>
            <w:rStyle w:val="a8"/>
            <w:rFonts w:cstheme="minorHAnsi"/>
            <w:sz w:val="21"/>
            <w:szCs w:val="21"/>
            <w:lang w:val="en-US"/>
          </w:rPr>
          <w:t>www.</w:t>
        </w:r>
        <w:r>
          <w:rPr>
            <w:rStyle w:val="a8"/>
            <w:rFonts w:cstheme="minorHAnsi"/>
            <w:sz w:val="21"/>
            <w:szCs w:val="21"/>
            <w:lang w:val="en-US"/>
          </w:rPr>
          <w:t>equator-network.org</w:t>
        </w:r>
      </w:hyperlink>
      <w:r>
        <w:rPr>
          <w:rFonts w:cstheme="minorHAnsi"/>
          <w:sz w:val="21"/>
          <w:szCs w:val="21"/>
          <w:lang w:val="en-US"/>
        </w:rPr>
        <w:t xml:space="preserve">). </w:t>
      </w:r>
    </w:p>
    <w:p w:rsidR="00122D42" w:rsidRDefault="0041088A">
      <w:pPr>
        <w:pStyle w:val="3"/>
        <w:rPr>
          <w:lang w:val="en-US"/>
        </w:rPr>
      </w:pPr>
      <w:r>
        <w:rPr>
          <w:lang w:val="en-US"/>
        </w:rPr>
        <w:lastRenderedPageBreak/>
        <w:t>Supplement 2:_ICD_organs</w:t>
      </w:r>
    </w:p>
    <w:p w:rsidR="00122D42" w:rsidRDefault="00122D42">
      <w:pPr>
        <w:ind w:hanging="142"/>
        <w:rPr>
          <w:rFonts w:cstheme="minorHAnsi"/>
          <w:sz w:val="24"/>
          <w:szCs w:val="24"/>
          <w:lang w:val="en-US"/>
        </w:rPr>
      </w:pPr>
    </w:p>
    <w:tbl>
      <w:tblPr>
        <w:tblW w:w="8259" w:type="dxa"/>
        <w:tblCellMar>
          <w:left w:w="0" w:type="dxa"/>
          <w:right w:w="0" w:type="dxa"/>
        </w:tblCellMar>
        <w:tblLook w:val="0600" w:firstRow="0" w:lastRow="0" w:firstColumn="0" w:lastColumn="0" w:noHBand="1" w:noVBand="1"/>
      </w:tblPr>
      <w:tblGrid>
        <w:gridCol w:w="886"/>
        <w:gridCol w:w="7373"/>
      </w:tblGrid>
      <w:tr w:rsidR="00122D42">
        <w:trPr>
          <w:trHeight w:val="393"/>
        </w:trPr>
        <w:tc>
          <w:tcPr>
            <w:tcW w:w="8259" w:type="dxa"/>
            <w:gridSpan w:val="2"/>
            <w:tcBorders>
              <w:top w:val="nil"/>
              <w:left w:val="nil"/>
              <w:bottom w:val="single" w:sz="8" w:space="0" w:color="3C3C41"/>
              <w:right w:val="nil"/>
            </w:tcBorders>
            <w:shd w:val="clear" w:color="auto" w:fill="auto"/>
            <w:tcMar>
              <w:top w:w="11" w:type="dxa"/>
              <w:left w:w="11" w:type="dxa"/>
              <w:bottom w:w="0" w:type="dxa"/>
              <w:right w:w="11" w:type="dxa"/>
            </w:tcMar>
            <w:vAlign w:val="bottom"/>
            <w:hideMark/>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b/>
                <w:bCs/>
                <w:color w:val="000000"/>
                <w:kern w:val="24"/>
                <w:sz w:val="20"/>
                <w:szCs w:val="20"/>
                <w:lang w:val="en-US" w:eastAsia="en-GB"/>
              </w:rPr>
              <w:t>ICD-10 code description</w:t>
            </w:r>
          </w:p>
        </w:tc>
      </w:tr>
      <w:tr w:rsidR="00122D42">
        <w:trPr>
          <w:trHeight w:val="393"/>
        </w:trPr>
        <w:tc>
          <w:tcPr>
            <w:tcW w:w="886" w:type="dxa"/>
            <w:tcBorders>
              <w:top w:val="single" w:sz="8" w:space="0" w:color="3C3C41"/>
              <w:left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C00-C14</w:t>
            </w:r>
          </w:p>
        </w:tc>
        <w:tc>
          <w:tcPr>
            <w:tcW w:w="7373" w:type="dxa"/>
            <w:tcBorders>
              <w:top w:val="single" w:sz="8" w:space="0" w:color="3C3C41"/>
              <w:left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theme="minorHAnsi"/>
                <w:sz w:val="20"/>
                <w:szCs w:val="36"/>
                <w:lang w:val="en-US" w:eastAsia="en-GB"/>
              </w:rPr>
            </w:pPr>
            <w:r>
              <w:rPr>
                <w:rFonts w:eastAsia="Times New Roman" w:cstheme="minorHAnsi"/>
                <w:sz w:val="20"/>
                <w:szCs w:val="36"/>
                <w:lang w:val="en-US" w:eastAsia="en-GB"/>
              </w:rPr>
              <w:t>Malignant neoplasms of lip, oral cavity and pharynx</w:t>
            </w:r>
          </w:p>
        </w:tc>
      </w:tr>
      <w:tr w:rsidR="00122D42">
        <w:trPr>
          <w:trHeight w:val="393"/>
        </w:trPr>
        <w:tc>
          <w:tcPr>
            <w:tcW w:w="886"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C15-C26</w:t>
            </w:r>
          </w:p>
        </w:tc>
        <w:tc>
          <w:tcPr>
            <w:tcW w:w="7373"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digestive organs</w:t>
            </w:r>
          </w:p>
        </w:tc>
      </w:tr>
      <w:tr w:rsidR="00122D42">
        <w:trPr>
          <w:trHeight w:val="393"/>
        </w:trPr>
        <w:tc>
          <w:tcPr>
            <w:tcW w:w="886"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C30-C39</w:t>
            </w:r>
          </w:p>
        </w:tc>
        <w:tc>
          <w:tcPr>
            <w:tcW w:w="7373"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respiratory and intrathoracic organs</w:t>
            </w:r>
          </w:p>
        </w:tc>
      </w:tr>
      <w:tr w:rsidR="00122D42">
        <w:trPr>
          <w:trHeight w:val="393"/>
        </w:trPr>
        <w:tc>
          <w:tcPr>
            <w:tcW w:w="886"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C40-C41</w:t>
            </w:r>
          </w:p>
        </w:tc>
        <w:tc>
          <w:tcPr>
            <w:tcW w:w="7373"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bone and articular cartilage</w:t>
            </w:r>
          </w:p>
        </w:tc>
      </w:tr>
      <w:tr w:rsidR="00122D42">
        <w:trPr>
          <w:trHeight w:val="393"/>
        </w:trPr>
        <w:tc>
          <w:tcPr>
            <w:tcW w:w="886"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C43-C44</w:t>
            </w:r>
          </w:p>
        </w:tc>
        <w:tc>
          <w:tcPr>
            <w:tcW w:w="7373"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Melanoma and other malignant neoplasms of skin</w:t>
            </w:r>
          </w:p>
        </w:tc>
      </w:tr>
      <w:tr w:rsidR="00122D42">
        <w:trPr>
          <w:trHeight w:val="393"/>
        </w:trPr>
        <w:tc>
          <w:tcPr>
            <w:tcW w:w="886"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C45-C49</w:t>
            </w:r>
          </w:p>
        </w:tc>
        <w:tc>
          <w:tcPr>
            <w:tcW w:w="7373"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mesothelial and soft tissue</w:t>
            </w:r>
          </w:p>
        </w:tc>
      </w:tr>
      <w:tr w:rsidR="00122D42">
        <w:trPr>
          <w:trHeight w:val="393"/>
        </w:trPr>
        <w:tc>
          <w:tcPr>
            <w:tcW w:w="886" w:type="dxa"/>
            <w:tcBorders>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C50-C50</w:t>
            </w:r>
          </w:p>
        </w:tc>
        <w:tc>
          <w:tcPr>
            <w:tcW w:w="7373" w:type="dxa"/>
            <w:tcBorders>
              <w:left w:val="nil"/>
              <w:bottom w:val="nil"/>
              <w:right w:val="nil"/>
            </w:tcBorders>
            <w:shd w:val="clear" w:color="auto" w:fill="auto"/>
            <w:tcMar>
              <w:top w:w="11" w:type="dxa"/>
              <w:left w:w="11" w:type="dxa"/>
              <w:bottom w:w="0" w:type="dxa"/>
              <w:right w:w="11" w:type="dxa"/>
            </w:tcMar>
            <w:vAlign w:val="bottom"/>
          </w:tcPr>
          <w:p w:rsidR="00122D42" w:rsidRDefault="0041088A">
            <w:pPr>
              <w:ind w:right="2856"/>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the breast</w:t>
            </w:r>
          </w:p>
        </w:tc>
      </w:tr>
      <w:tr w:rsidR="00122D42">
        <w:trPr>
          <w:trHeight w:val="393"/>
        </w:trPr>
        <w:tc>
          <w:tcPr>
            <w:tcW w:w="886" w:type="dxa"/>
            <w:tcBorders>
              <w:top w:val="nil"/>
              <w:left w:val="nil"/>
              <w:bottom w:val="nil"/>
              <w:right w:val="nil"/>
            </w:tcBorders>
            <w:shd w:val="clear" w:color="auto" w:fill="auto"/>
            <w:tcMar>
              <w:top w:w="11" w:type="dxa"/>
              <w:left w:w="11" w:type="dxa"/>
              <w:bottom w:w="0" w:type="dxa"/>
              <w:right w:w="11" w:type="dxa"/>
            </w:tcMar>
            <w:vAlign w:val="bottom"/>
            <w:hideMark/>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C51-C58</w:t>
            </w:r>
          </w:p>
        </w:tc>
        <w:tc>
          <w:tcPr>
            <w:tcW w:w="7373" w:type="dxa"/>
            <w:tcBorders>
              <w:top w:val="nil"/>
              <w:left w:val="nil"/>
              <w:bottom w:val="nil"/>
              <w:right w:val="nil"/>
            </w:tcBorders>
            <w:shd w:val="clear" w:color="auto" w:fill="auto"/>
            <w:tcMar>
              <w:top w:w="11" w:type="dxa"/>
              <w:left w:w="11" w:type="dxa"/>
              <w:bottom w:w="0" w:type="dxa"/>
              <w:right w:w="11" w:type="dxa"/>
            </w:tcMar>
            <w:vAlign w:val="bottom"/>
            <w:hideMark/>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 xml:space="preserve">Malignant neoplasms of </w:t>
            </w:r>
            <w:r>
              <w:rPr>
                <w:rFonts w:ascii="Calibri" w:eastAsia="Times New Roman" w:hAnsi="Calibri" w:cs="Calibri"/>
                <w:color w:val="000000"/>
                <w:kern w:val="24"/>
                <w:sz w:val="20"/>
                <w:szCs w:val="20"/>
                <w:lang w:val="en-US" w:eastAsia="en-GB"/>
              </w:rPr>
              <w:t>female genital organs</w:t>
            </w:r>
          </w:p>
        </w:tc>
      </w:tr>
      <w:tr w:rsidR="00122D42">
        <w:trPr>
          <w:trHeight w:val="393"/>
        </w:trPr>
        <w:tc>
          <w:tcPr>
            <w:tcW w:w="886" w:type="dxa"/>
            <w:tcBorders>
              <w:top w:val="nil"/>
              <w:left w:val="nil"/>
              <w:bottom w:val="nil"/>
              <w:right w:val="nil"/>
            </w:tcBorders>
            <w:shd w:val="clear" w:color="auto" w:fill="auto"/>
            <w:tcMar>
              <w:top w:w="11" w:type="dxa"/>
              <w:left w:w="11" w:type="dxa"/>
              <w:bottom w:w="0" w:type="dxa"/>
              <w:right w:w="11" w:type="dxa"/>
            </w:tcMar>
            <w:vAlign w:val="bottom"/>
            <w:hideMark/>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C60-C63</w:t>
            </w:r>
          </w:p>
        </w:tc>
        <w:tc>
          <w:tcPr>
            <w:tcW w:w="7373" w:type="dxa"/>
            <w:tcBorders>
              <w:top w:val="nil"/>
              <w:left w:val="nil"/>
              <w:bottom w:val="nil"/>
              <w:right w:val="nil"/>
            </w:tcBorders>
            <w:shd w:val="clear" w:color="auto" w:fill="auto"/>
            <w:tcMar>
              <w:top w:w="11" w:type="dxa"/>
              <w:left w:w="11" w:type="dxa"/>
              <w:bottom w:w="0" w:type="dxa"/>
              <w:right w:w="11" w:type="dxa"/>
            </w:tcMar>
            <w:vAlign w:val="bottom"/>
            <w:hideMark/>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male genital organs</w:t>
            </w:r>
          </w:p>
        </w:tc>
      </w:tr>
      <w:tr w:rsidR="00122D42">
        <w:trPr>
          <w:trHeight w:val="393"/>
        </w:trPr>
        <w:tc>
          <w:tcPr>
            <w:tcW w:w="886" w:type="dxa"/>
            <w:tcBorders>
              <w:top w:val="nil"/>
              <w:left w:val="nil"/>
              <w:bottom w:val="nil"/>
              <w:right w:val="nil"/>
            </w:tcBorders>
            <w:shd w:val="clear" w:color="auto" w:fill="auto"/>
            <w:tcMar>
              <w:top w:w="11" w:type="dxa"/>
              <w:left w:w="11" w:type="dxa"/>
              <w:bottom w:w="0" w:type="dxa"/>
              <w:right w:w="11" w:type="dxa"/>
            </w:tcMar>
            <w:vAlign w:val="bottom"/>
            <w:hideMark/>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C64-C68</w:t>
            </w:r>
          </w:p>
        </w:tc>
        <w:tc>
          <w:tcPr>
            <w:tcW w:w="7373" w:type="dxa"/>
            <w:tcBorders>
              <w:top w:val="nil"/>
              <w:left w:val="nil"/>
              <w:bottom w:val="nil"/>
              <w:right w:val="nil"/>
            </w:tcBorders>
            <w:shd w:val="clear" w:color="auto" w:fill="auto"/>
            <w:tcMar>
              <w:top w:w="11" w:type="dxa"/>
              <w:left w:w="11" w:type="dxa"/>
              <w:bottom w:w="0" w:type="dxa"/>
              <w:right w:w="11" w:type="dxa"/>
            </w:tcMar>
            <w:vAlign w:val="bottom"/>
            <w:hideMark/>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urinary tract</w:t>
            </w:r>
          </w:p>
        </w:tc>
      </w:tr>
      <w:tr w:rsidR="00122D42">
        <w:trPr>
          <w:trHeight w:val="393"/>
        </w:trPr>
        <w:tc>
          <w:tcPr>
            <w:tcW w:w="886" w:type="dxa"/>
            <w:tcBorders>
              <w:top w:val="nil"/>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C69-C72</w:t>
            </w:r>
          </w:p>
        </w:tc>
        <w:tc>
          <w:tcPr>
            <w:tcW w:w="7373" w:type="dxa"/>
            <w:tcBorders>
              <w:top w:val="nil"/>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eye, brain and other parts of central nervous system</w:t>
            </w:r>
          </w:p>
        </w:tc>
      </w:tr>
      <w:tr w:rsidR="00122D42">
        <w:trPr>
          <w:trHeight w:val="393"/>
        </w:trPr>
        <w:tc>
          <w:tcPr>
            <w:tcW w:w="886" w:type="dxa"/>
            <w:tcBorders>
              <w:top w:val="nil"/>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C73-C75</w:t>
            </w:r>
          </w:p>
        </w:tc>
        <w:tc>
          <w:tcPr>
            <w:tcW w:w="7373" w:type="dxa"/>
            <w:tcBorders>
              <w:top w:val="nil"/>
              <w:left w:val="nil"/>
              <w:bottom w:val="nil"/>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 xml:space="preserve">Malignant neoplasms of thyroid and other </w:t>
            </w:r>
            <w:r>
              <w:rPr>
                <w:rFonts w:ascii="Calibri" w:eastAsia="Times New Roman" w:hAnsi="Calibri" w:cs="Calibri"/>
                <w:color w:val="000000"/>
                <w:kern w:val="24"/>
                <w:sz w:val="20"/>
                <w:szCs w:val="20"/>
                <w:lang w:val="en-US" w:eastAsia="en-GB"/>
              </w:rPr>
              <w:t>endocrine glands</w:t>
            </w:r>
          </w:p>
        </w:tc>
      </w:tr>
      <w:tr w:rsidR="00122D42">
        <w:trPr>
          <w:trHeight w:val="393"/>
        </w:trPr>
        <w:tc>
          <w:tcPr>
            <w:tcW w:w="886" w:type="dxa"/>
            <w:tcBorders>
              <w:top w:val="nil"/>
              <w:left w:val="nil"/>
              <w:right w:val="nil"/>
            </w:tcBorders>
            <w:shd w:val="clear" w:color="auto" w:fill="auto"/>
            <w:tcMar>
              <w:top w:w="11" w:type="dxa"/>
              <w:left w:w="11" w:type="dxa"/>
              <w:bottom w:w="0" w:type="dxa"/>
              <w:right w:w="11" w:type="dxa"/>
            </w:tcMar>
            <w:vAlign w:val="center"/>
          </w:tcPr>
          <w:p w:rsidR="00122D42" w:rsidRDefault="0041088A">
            <w:pPr>
              <w:jc w:val="both"/>
              <w:textAlignment w:val="center"/>
              <w:rPr>
                <w:rFonts w:eastAsia="Times New Roman" w:cs="Arial"/>
                <w:sz w:val="36"/>
                <w:szCs w:val="36"/>
                <w:lang w:val="en-US" w:eastAsia="en-GB"/>
              </w:rPr>
            </w:pPr>
            <w:r>
              <w:rPr>
                <w:rFonts w:ascii="Calibri" w:eastAsia="Times New Roman" w:hAnsi="Calibri" w:cs="Calibri"/>
                <w:color w:val="3C3C41"/>
                <w:kern w:val="24"/>
                <w:sz w:val="20"/>
                <w:szCs w:val="20"/>
                <w:lang w:val="en-US" w:eastAsia="en-GB"/>
              </w:rPr>
              <w:t>C76-C80</w:t>
            </w:r>
          </w:p>
        </w:tc>
        <w:tc>
          <w:tcPr>
            <w:tcW w:w="7373" w:type="dxa"/>
            <w:tcBorders>
              <w:top w:val="nil"/>
              <w:left w:val="nil"/>
              <w:right w:val="nil"/>
            </w:tcBorders>
            <w:shd w:val="clear" w:color="auto" w:fill="auto"/>
            <w:tcMar>
              <w:top w:w="11" w:type="dxa"/>
              <w:left w:w="11" w:type="dxa"/>
              <w:bottom w:w="0" w:type="dxa"/>
              <w:right w:w="11" w:type="dxa"/>
            </w:tcMar>
            <w:vAlign w:val="center"/>
          </w:tcPr>
          <w:p w:rsidR="00122D42" w:rsidRDefault="0041088A">
            <w:pPr>
              <w:jc w:val="both"/>
              <w:textAlignment w:val="center"/>
              <w:rPr>
                <w:rFonts w:eastAsia="Times New Roman" w:cs="Arial"/>
                <w:sz w:val="36"/>
                <w:szCs w:val="36"/>
                <w:lang w:val="en-US" w:eastAsia="en-GB"/>
              </w:rPr>
            </w:pPr>
            <w:r>
              <w:rPr>
                <w:rFonts w:ascii="Calibri" w:eastAsia="Times New Roman" w:hAnsi="Calibri" w:cs="Calibri"/>
                <w:color w:val="000000"/>
                <w:kern w:val="24"/>
                <w:sz w:val="20"/>
                <w:szCs w:val="20"/>
                <w:lang w:val="en-US" w:eastAsia="en-GB"/>
              </w:rPr>
              <w:t>Malignant neoplasms of ill-defined, other secondary and unspecified sites</w:t>
            </w:r>
          </w:p>
        </w:tc>
      </w:tr>
      <w:tr w:rsidR="00122D42">
        <w:trPr>
          <w:trHeight w:val="393"/>
        </w:trPr>
        <w:tc>
          <w:tcPr>
            <w:tcW w:w="886" w:type="dxa"/>
            <w:tcBorders>
              <w:top w:val="nil"/>
              <w:left w:val="nil"/>
              <w:bottom w:val="single" w:sz="4" w:space="0" w:color="auto"/>
              <w:right w:val="nil"/>
            </w:tcBorders>
            <w:shd w:val="clear" w:color="auto" w:fill="auto"/>
            <w:tcMar>
              <w:top w:w="11" w:type="dxa"/>
              <w:left w:w="11" w:type="dxa"/>
              <w:bottom w:w="0" w:type="dxa"/>
              <w:right w:w="11" w:type="dxa"/>
            </w:tcMar>
            <w:vAlign w:val="center"/>
          </w:tcPr>
          <w:p w:rsidR="00122D42" w:rsidRDefault="0041088A">
            <w:pPr>
              <w:textAlignment w:val="bottom"/>
              <w:rPr>
                <w:rFonts w:eastAsia="Times New Roman" w:cs="Arial"/>
                <w:sz w:val="36"/>
                <w:szCs w:val="36"/>
                <w:highlight w:val="yellow"/>
                <w:lang w:val="en-US" w:eastAsia="en-GB"/>
              </w:rPr>
            </w:pPr>
            <w:r>
              <w:rPr>
                <w:rFonts w:ascii="Calibri" w:eastAsia="Times New Roman" w:hAnsi="Calibri" w:cs="Calibri"/>
                <w:color w:val="3C3C41"/>
                <w:kern w:val="24"/>
                <w:sz w:val="20"/>
                <w:szCs w:val="20"/>
                <w:lang w:val="en-US" w:eastAsia="en-GB"/>
              </w:rPr>
              <w:t>C81-C97</w:t>
            </w:r>
          </w:p>
        </w:tc>
        <w:tc>
          <w:tcPr>
            <w:tcW w:w="7373" w:type="dxa"/>
            <w:tcBorders>
              <w:top w:val="nil"/>
              <w:left w:val="nil"/>
              <w:bottom w:val="single" w:sz="4" w:space="0" w:color="auto"/>
              <w:right w:val="nil"/>
            </w:tcBorders>
            <w:shd w:val="clear" w:color="auto" w:fill="auto"/>
            <w:tcMar>
              <w:top w:w="11" w:type="dxa"/>
              <w:left w:w="11" w:type="dxa"/>
              <w:bottom w:w="0" w:type="dxa"/>
              <w:right w:w="11" w:type="dxa"/>
            </w:tcMar>
            <w:vAlign w:val="bottom"/>
          </w:tcPr>
          <w:p w:rsidR="00122D42" w:rsidRDefault="0041088A">
            <w:pPr>
              <w:jc w:val="both"/>
              <w:textAlignment w:val="bottom"/>
              <w:rPr>
                <w:rFonts w:eastAsia="Times New Roman" w:cs="Arial"/>
                <w:sz w:val="36"/>
                <w:szCs w:val="36"/>
                <w:highlight w:val="yellow"/>
                <w:lang w:val="en-US" w:eastAsia="en-GB"/>
              </w:rPr>
            </w:pPr>
            <w:r>
              <w:rPr>
                <w:rFonts w:ascii="Calibri" w:eastAsia="Times New Roman" w:hAnsi="Calibri" w:cs="Calibri"/>
                <w:color w:val="000000"/>
                <w:kern w:val="24"/>
                <w:sz w:val="20"/>
                <w:szCs w:val="20"/>
                <w:lang w:val="en-US" w:eastAsia="en-GB"/>
              </w:rPr>
              <w:t xml:space="preserve">Malignant neoplasms, stated or presumed to be primary, of lymphoid, </w:t>
            </w:r>
            <w:proofErr w:type="spellStart"/>
            <w:r>
              <w:rPr>
                <w:rFonts w:ascii="Calibri" w:eastAsia="Times New Roman" w:hAnsi="Calibri" w:cs="Calibri"/>
                <w:color w:val="000000"/>
                <w:kern w:val="24"/>
                <w:sz w:val="20"/>
                <w:szCs w:val="20"/>
                <w:lang w:val="en-US" w:eastAsia="en-GB"/>
              </w:rPr>
              <w:t>haematopoietic</w:t>
            </w:r>
            <w:proofErr w:type="spellEnd"/>
            <w:r>
              <w:rPr>
                <w:rFonts w:ascii="Calibri" w:eastAsia="Times New Roman" w:hAnsi="Calibri" w:cs="Calibri"/>
                <w:color w:val="000000"/>
                <w:kern w:val="24"/>
                <w:sz w:val="20"/>
                <w:szCs w:val="20"/>
                <w:lang w:val="en-US" w:eastAsia="en-GB"/>
              </w:rPr>
              <w:t xml:space="preserve"> and related tissue</w:t>
            </w:r>
          </w:p>
        </w:tc>
      </w:tr>
      <w:tr w:rsidR="00122D42">
        <w:trPr>
          <w:trHeight w:val="393"/>
        </w:trPr>
        <w:tc>
          <w:tcPr>
            <w:tcW w:w="886" w:type="dxa"/>
            <w:tcBorders>
              <w:top w:val="single" w:sz="4" w:space="0" w:color="auto"/>
              <w:left w:val="nil"/>
              <w:bottom w:val="nil"/>
              <w:right w:val="nil"/>
            </w:tcBorders>
            <w:shd w:val="clear" w:color="auto" w:fill="auto"/>
            <w:tcMar>
              <w:top w:w="11" w:type="dxa"/>
              <w:left w:w="11" w:type="dxa"/>
              <w:bottom w:w="0" w:type="dxa"/>
              <w:right w:w="11" w:type="dxa"/>
            </w:tcMar>
            <w:vAlign w:val="bottom"/>
          </w:tcPr>
          <w:p w:rsidR="00122D42" w:rsidRDefault="00122D42">
            <w:pPr>
              <w:jc w:val="both"/>
              <w:textAlignment w:val="bottom"/>
              <w:rPr>
                <w:rFonts w:ascii="Calibri" w:eastAsia="Times New Roman" w:hAnsi="Calibri" w:cs="Calibri"/>
                <w:color w:val="3C3C41"/>
                <w:kern w:val="24"/>
                <w:sz w:val="20"/>
                <w:szCs w:val="20"/>
                <w:lang w:val="en-US" w:eastAsia="en-GB"/>
              </w:rPr>
            </w:pPr>
          </w:p>
        </w:tc>
        <w:tc>
          <w:tcPr>
            <w:tcW w:w="7373" w:type="dxa"/>
            <w:tcBorders>
              <w:top w:val="single" w:sz="4" w:space="0" w:color="auto"/>
              <w:left w:val="nil"/>
              <w:bottom w:val="nil"/>
              <w:right w:val="nil"/>
            </w:tcBorders>
            <w:shd w:val="clear" w:color="auto" w:fill="auto"/>
            <w:tcMar>
              <w:top w:w="11" w:type="dxa"/>
              <w:left w:w="11" w:type="dxa"/>
              <w:bottom w:w="0" w:type="dxa"/>
              <w:right w:w="11" w:type="dxa"/>
            </w:tcMar>
            <w:vAlign w:val="bottom"/>
          </w:tcPr>
          <w:p w:rsidR="00122D42" w:rsidRDefault="00122D42">
            <w:pPr>
              <w:jc w:val="both"/>
              <w:textAlignment w:val="bottom"/>
              <w:rPr>
                <w:rFonts w:ascii="Calibri" w:eastAsia="Times New Roman" w:hAnsi="Calibri" w:cs="Calibri"/>
                <w:color w:val="000000"/>
                <w:kern w:val="24"/>
                <w:sz w:val="20"/>
                <w:szCs w:val="20"/>
                <w:lang w:val="en-US" w:eastAsia="en-GB"/>
              </w:rPr>
            </w:pPr>
          </w:p>
        </w:tc>
      </w:tr>
    </w:tbl>
    <w:p w:rsidR="00122D42" w:rsidRDefault="00122D42">
      <w:pPr>
        <w:rPr>
          <w:lang w:val="en-US"/>
        </w:rPr>
      </w:pPr>
    </w:p>
    <w:p w:rsidR="00122D42" w:rsidRDefault="0041088A">
      <w:pPr>
        <w:pStyle w:val="3"/>
        <w:rPr>
          <w:lang w:val="en-US"/>
        </w:rPr>
      </w:pPr>
      <w:r>
        <w:rPr>
          <w:lang w:val="en-US" w:eastAsia="en-US"/>
        </w:rPr>
        <w:br w:type="page"/>
      </w:r>
      <w:r>
        <w:rPr>
          <w:lang w:val="en-US"/>
        </w:rPr>
        <w:lastRenderedPageBreak/>
        <w:t xml:space="preserve">Supplement 3: Dropouts </w:t>
      </w:r>
      <w:r>
        <w:rPr>
          <w:lang w:val="en-US"/>
        </w:rPr>
        <w:t>Socio-demographics and clinical Data</w:t>
      </w:r>
    </w:p>
    <w:p w:rsidR="00122D42" w:rsidRDefault="00122D42">
      <w:pPr>
        <w:rPr>
          <w:lang w:val="en-US"/>
        </w:rPr>
      </w:pPr>
    </w:p>
    <w:p w:rsidR="00122D42" w:rsidRDefault="0041088A">
      <w:pPr>
        <w:rPr>
          <w:i/>
          <w:lang w:val="en-US"/>
        </w:rPr>
      </w:pPr>
      <w:r>
        <w:rPr>
          <w:b/>
          <w:lang w:val="en-US"/>
        </w:rPr>
        <w:t xml:space="preserve">Supplementary Table </w:t>
      </w:r>
      <w:bookmarkStart w:id="3" w:name="unnamed-chunk-1"/>
      <w:r>
        <w:rPr>
          <w:b/>
          <w:lang w:val="en-US"/>
        </w:rPr>
        <w:t>3a +3b</w:t>
      </w:r>
      <w:r>
        <w:rPr>
          <w:b/>
          <w:i/>
        </w:rPr>
        <w:fldChar w:fldCharType="begin"/>
      </w:r>
      <w:r>
        <w:rPr>
          <w:b/>
          <w:lang w:val="en-US"/>
        </w:rPr>
        <w:instrText>SEQ tab \* Arabic</w:instrText>
      </w:r>
      <w:r>
        <w:rPr>
          <w:b/>
          <w:i/>
        </w:rPr>
        <w:fldChar w:fldCharType="separate"/>
      </w:r>
      <w:r>
        <w:rPr>
          <w:b/>
          <w:noProof/>
          <w:lang w:val="en-US"/>
        </w:rPr>
        <w:t>1</w:t>
      </w:r>
      <w:r>
        <w:rPr>
          <w:b/>
          <w:i/>
        </w:rPr>
        <w:fldChar w:fldCharType="end"/>
      </w:r>
      <w:bookmarkEnd w:id="3"/>
      <w:r>
        <w:rPr>
          <w:lang w:val="en-US"/>
        </w:rPr>
        <w:t>: Socio-demographics and anamnesis of dropouts (primary endpoint T2) vs completers.</w:t>
      </w:r>
    </w:p>
    <w:p w:rsidR="00122D42" w:rsidRDefault="00122D42">
      <w:pPr>
        <w:rPr>
          <w:lang w:val="en-US"/>
        </w:rPr>
      </w:pPr>
    </w:p>
    <w:p w:rsidR="00122D42" w:rsidRDefault="0041088A">
      <w:pPr>
        <w:rPr>
          <w:b/>
          <w:bCs/>
        </w:rPr>
      </w:pPr>
      <w:r>
        <w:rPr>
          <w:b/>
          <w:bCs/>
        </w:rPr>
        <w:t>Table 3a</w:t>
      </w:r>
    </w:p>
    <w:tbl>
      <w:tblPr>
        <w:tblStyle w:val="Table"/>
        <w:tblW w:w="9143" w:type="dxa"/>
        <w:jc w:val="center"/>
        <w:tblLayout w:type="fixed"/>
        <w:tblLook w:val="0420" w:firstRow="1" w:lastRow="0" w:firstColumn="0" w:lastColumn="0" w:noHBand="0" w:noVBand="1"/>
      </w:tblPr>
      <w:tblGrid>
        <w:gridCol w:w="2284"/>
        <w:gridCol w:w="1609"/>
        <w:gridCol w:w="1609"/>
        <w:gridCol w:w="1609"/>
        <w:gridCol w:w="1132"/>
        <w:gridCol w:w="900"/>
      </w:tblGrid>
      <w:tr w:rsidR="00122D42" w:rsidTr="00122D42">
        <w:trPr>
          <w:cnfStyle w:val="100000000000" w:firstRow="1" w:lastRow="0" w:firstColumn="0" w:lastColumn="0" w:oddVBand="0" w:evenVBand="0" w:oddHBand="0" w:evenHBand="0" w:firstRowFirstColumn="0" w:firstRowLastColumn="0" w:lastRowFirstColumn="0" w:lastRowLastColumn="0"/>
          <w:cantSplit/>
          <w:tblHeader/>
          <w:jc w:val="center"/>
        </w:trPr>
        <w:tc>
          <w:tcPr>
            <w:tcW w:w="2284" w:type="dxa"/>
            <w:tcBorders>
              <w:top w:val="single" w:sz="16" w:space="0" w:color="000000"/>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sz w:val="16"/>
                <w:szCs w:val="16"/>
              </w:rPr>
            </w:pP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Total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     Completer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     Dropout   </w:t>
            </w:r>
          </w:p>
        </w:tc>
        <w:tc>
          <w:tcPr>
            <w:tcW w:w="1132"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p-value</w:t>
            </w:r>
          </w:p>
        </w:tc>
        <w:tc>
          <w:tcPr>
            <w:tcW w:w="900"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 N  </w:t>
            </w:r>
          </w:p>
        </w:tc>
      </w:tr>
      <w:tr w:rsidR="00122D42" w:rsidTr="00122D42">
        <w:trPr>
          <w:cnfStyle w:val="100000000000" w:firstRow="1" w:lastRow="0" w:firstColumn="0" w:lastColumn="0" w:oddVBand="0" w:evenVBand="0" w:oddHBand="0" w:evenHBand="0" w:firstRowFirstColumn="0" w:firstRowLastColumn="0" w:lastRowFirstColumn="0" w:lastRowLastColumn="0"/>
          <w:cantSplit/>
          <w:tblHeader/>
          <w:jc w:val="center"/>
        </w:trPr>
        <w:tc>
          <w:tcPr>
            <w:tcW w:w="2284" w:type="dxa"/>
            <w:tcBorders>
              <w:bottom w:val="single" w:sz="18" w:space="0" w:color="auto"/>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sz w:val="16"/>
                <w:szCs w:val="16"/>
              </w:rPr>
            </w:pPr>
          </w:p>
        </w:tc>
        <w:tc>
          <w:tcPr>
            <w:tcW w:w="1609"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N=1128   </w:t>
            </w:r>
          </w:p>
        </w:tc>
        <w:tc>
          <w:tcPr>
            <w:tcW w:w="1609"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N=986   </w:t>
            </w:r>
          </w:p>
        </w:tc>
        <w:tc>
          <w:tcPr>
            <w:tcW w:w="1609"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N=142   </w:t>
            </w:r>
          </w:p>
        </w:tc>
        <w:tc>
          <w:tcPr>
            <w:tcW w:w="1132"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w:t>
            </w:r>
          </w:p>
        </w:tc>
        <w:tc>
          <w:tcPr>
            <w:tcW w:w="900"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w:t>
            </w:r>
          </w:p>
        </w:tc>
      </w:tr>
      <w:tr w:rsidR="00122D42" w:rsidTr="00122D42">
        <w:trPr>
          <w:cantSplit/>
          <w:jc w:val="center"/>
        </w:trPr>
        <w:tc>
          <w:tcPr>
            <w:tcW w:w="9143" w:type="dxa"/>
            <w:gridSpan w:val="6"/>
            <w:tcBorders>
              <w:top w:val="single" w:sz="18" w:space="0" w:color="auto"/>
              <w:bottom w:val="single" w:sz="4" w:space="0" w:color="auto"/>
            </w:tcBorders>
            <w:shd w:val="clear" w:color="auto" w:fill="F2F2F2" w:themeFill="background1" w:themeFillShade="F2"/>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b/>
                <w:color w:val="000000"/>
                <w:sz w:val="16"/>
                <w:szCs w:val="16"/>
              </w:rPr>
            </w:pPr>
            <w:r>
              <w:rPr>
                <w:rFonts w:ascii="Arial" w:eastAsia="Arial" w:hAnsi="Arial" w:cs="Arial"/>
                <w:b/>
                <w:color w:val="000000"/>
                <w:sz w:val="16"/>
                <w:szCs w:val="16"/>
              </w:rPr>
              <w:t>Socio-demographics</w:t>
            </w:r>
          </w:p>
        </w:tc>
      </w:tr>
      <w:tr w:rsidR="00122D42" w:rsidTr="00122D42">
        <w:trPr>
          <w:cantSplit/>
          <w:jc w:val="center"/>
        </w:trPr>
        <w:tc>
          <w:tcPr>
            <w:tcW w:w="2284" w:type="dxa"/>
            <w:tcBorders>
              <w:top w:val="single" w:sz="4"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
                <w:color w:val="000000"/>
                <w:sz w:val="16"/>
                <w:szCs w:val="16"/>
              </w:rPr>
            </w:pPr>
            <w:r>
              <w:rPr>
                <w:rFonts w:ascii="Arial" w:eastAsia="Arial" w:hAnsi="Arial" w:cs="Arial"/>
                <w:b/>
                <w:color w:val="000000"/>
                <w:sz w:val="16"/>
                <w:szCs w:val="16"/>
              </w:rPr>
              <w:t>Group</w:t>
            </w:r>
          </w:p>
        </w:tc>
        <w:tc>
          <w:tcPr>
            <w:tcW w:w="1609" w:type="dxa"/>
            <w:tcBorders>
              <w:top w:val="single" w:sz="4" w:space="0" w:color="auto"/>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1609" w:type="dxa"/>
            <w:tcBorders>
              <w:top w:val="single" w:sz="4" w:space="0" w:color="auto"/>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1609" w:type="dxa"/>
            <w:tcBorders>
              <w:top w:val="single" w:sz="4" w:space="0" w:color="auto"/>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1132" w:type="dxa"/>
            <w:tcBorders>
              <w:top w:val="single" w:sz="4"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0.493</w:t>
            </w:r>
          </w:p>
        </w:tc>
        <w:tc>
          <w:tcPr>
            <w:tcW w:w="900" w:type="dxa"/>
            <w:tcBorders>
              <w:top w:val="single" w:sz="4"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1128</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Cs/>
                <w:color w:val="000000"/>
                <w:sz w:val="16"/>
                <w:szCs w:val="16"/>
              </w:rPr>
            </w:pPr>
            <w:r>
              <w:rPr>
                <w:rFonts w:ascii="Arial" w:eastAsia="Arial" w:hAnsi="Arial" w:cs="Arial"/>
                <w:b/>
                <w:color w:val="000000"/>
                <w:sz w:val="16"/>
                <w:szCs w:val="16"/>
              </w:rPr>
              <w:t xml:space="preserve">   </w:t>
            </w:r>
            <w:r>
              <w:rPr>
                <w:rFonts w:ascii="Arial" w:eastAsia="Arial" w:hAnsi="Arial" w:cs="Arial"/>
                <w:bCs/>
                <w:color w:val="000000"/>
                <w:sz w:val="16"/>
                <w:szCs w:val="16"/>
              </w:rPr>
              <w:t>Control</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443 (39.3%)</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383 (38.8%)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60 (42.3%)</w:t>
            </w:r>
          </w:p>
        </w:tc>
        <w:tc>
          <w:tcPr>
            <w:tcW w:w="1132"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900"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Cs/>
                <w:color w:val="000000"/>
                <w:sz w:val="16"/>
                <w:szCs w:val="16"/>
              </w:rPr>
            </w:pPr>
            <w:r>
              <w:rPr>
                <w:rFonts w:ascii="Arial" w:eastAsia="Arial" w:hAnsi="Arial" w:cs="Arial"/>
                <w:b/>
                <w:color w:val="000000"/>
                <w:sz w:val="16"/>
                <w:szCs w:val="16"/>
              </w:rPr>
              <w:t xml:space="preserve">   </w:t>
            </w:r>
            <w:r>
              <w:rPr>
                <w:rFonts w:ascii="Arial" w:eastAsia="Arial" w:hAnsi="Arial" w:cs="Arial"/>
                <w:bCs/>
                <w:color w:val="000000"/>
                <w:sz w:val="16"/>
                <w:szCs w:val="16"/>
              </w:rPr>
              <w:t>Intervention</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685 (60.7%)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603 (61.2%)</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82 (57.7%)</w:t>
            </w:r>
          </w:p>
        </w:tc>
        <w:tc>
          <w:tcPr>
            <w:tcW w:w="1132"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900"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
                <w:color w:val="000000"/>
                <w:sz w:val="16"/>
                <w:szCs w:val="16"/>
              </w:rPr>
            </w:pPr>
            <w:r>
              <w:rPr>
                <w:rFonts w:ascii="Arial" w:eastAsia="Arial" w:hAnsi="Arial" w:cs="Arial"/>
                <w:b/>
                <w:color w:val="000000"/>
                <w:sz w:val="16"/>
                <w:szCs w:val="16"/>
              </w:rPr>
              <w:t>CCC center</w:t>
            </w:r>
          </w:p>
        </w:tc>
        <w:tc>
          <w:tcPr>
            <w:tcW w:w="1609"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1609"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1609"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0.171</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1128</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Cs/>
                <w:color w:val="000000"/>
                <w:sz w:val="16"/>
                <w:szCs w:val="16"/>
              </w:rPr>
            </w:pPr>
            <w:r>
              <w:rPr>
                <w:rFonts w:ascii="Arial" w:eastAsia="Arial" w:hAnsi="Arial" w:cs="Arial"/>
                <w:bCs/>
                <w:color w:val="000000"/>
                <w:sz w:val="16"/>
                <w:szCs w:val="16"/>
              </w:rPr>
              <w:t xml:space="preserve">  </w:t>
            </w:r>
            <w:proofErr w:type="spellStart"/>
            <w:r>
              <w:rPr>
                <w:rFonts w:ascii="Arial" w:eastAsia="Arial" w:hAnsi="Arial" w:cs="Arial"/>
                <w:bCs/>
                <w:color w:val="000000"/>
                <w:sz w:val="16"/>
                <w:szCs w:val="16"/>
              </w:rPr>
              <w:t>Tuebingen</w:t>
            </w:r>
            <w:proofErr w:type="spellEnd"/>
            <w:r>
              <w:rPr>
                <w:rFonts w:ascii="Arial" w:eastAsia="Arial" w:hAnsi="Arial" w:cs="Arial"/>
                <w:bCs/>
                <w:color w:val="000000"/>
                <w:sz w:val="16"/>
                <w:szCs w:val="16"/>
              </w:rPr>
              <w:t>-Stuttgart</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lang w:val="en-GB"/>
              </w:rPr>
            </w:pPr>
            <w:r>
              <w:rPr>
                <w:rFonts w:ascii="Arial" w:eastAsia="Arial" w:hAnsi="Arial" w:cs="Arial"/>
                <w:color w:val="000000"/>
                <w:sz w:val="16"/>
                <w:szCs w:val="16"/>
                <w:lang w:val="en-GB"/>
              </w:rPr>
              <w:t>287 (25.4%)</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253 (25.7%)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34</w:t>
            </w:r>
            <w:r>
              <w:rPr>
                <w:rFonts w:ascii="Arial" w:eastAsia="Arial" w:hAnsi="Arial" w:cs="Arial"/>
                <w:color w:val="000000"/>
                <w:sz w:val="16"/>
                <w:szCs w:val="16"/>
              </w:rPr>
              <w:t xml:space="preserve"> (23.9%)</w:t>
            </w:r>
          </w:p>
        </w:tc>
        <w:tc>
          <w:tcPr>
            <w:tcW w:w="1132"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900"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Cs/>
                <w:color w:val="000000"/>
                <w:sz w:val="16"/>
                <w:szCs w:val="16"/>
              </w:rPr>
            </w:pPr>
            <w:r>
              <w:rPr>
                <w:rFonts w:ascii="Arial" w:eastAsia="Arial" w:hAnsi="Arial" w:cs="Arial"/>
                <w:b/>
                <w:color w:val="000000"/>
                <w:sz w:val="16"/>
                <w:szCs w:val="16"/>
              </w:rPr>
              <w:t xml:space="preserve"> </w:t>
            </w:r>
            <w:r>
              <w:rPr>
                <w:rFonts w:ascii="Arial" w:eastAsia="Arial" w:hAnsi="Arial" w:cs="Arial"/>
                <w:bCs/>
                <w:color w:val="000000"/>
                <w:sz w:val="16"/>
                <w:szCs w:val="16"/>
              </w:rPr>
              <w:t xml:space="preserve"> Freiburg</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322 (28.5%)</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275 (27.9%)</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47 (33.1%)</w:t>
            </w:r>
          </w:p>
        </w:tc>
        <w:tc>
          <w:tcPr>
            <w:tcW w:w="1132"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900"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Cs/>
                <w:color w:val="000000"/>
                <w:sz w:val="16"/>
                <w:szCs w:val="16"/>
              </w:rPr>
            </w:pPr>
            <w:r>
              <w:rPr>
                <w:rFonts w:ascii="Arial" w:eastAsia="Arial" w:hAnsi="Arial" w:cs="Arial"/>
                <w:bCs/>
                <w:color w:val="000000"/>
                <w:sz w:val="16"/>
                <w:szCs w:val="16"/>
              </w:rPr>
              <w:t xml:space="preserve">  Heidelberg</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lang w:val="en-GB"/>
              </w:rPr>
            </w:pPr>
            <w:r>
              <w:rPr>
                <w:rFonts w:ascii="Arial" w:eastAsia="Arial" w:hAnsi="Arial" w:cs="Arial"/>
                <w:color w:val="000000"/>
                <w:sz w:val="16"/>
                <w:szCs w:val="16"/>
                <w:lang w:val="en-GB"/>
              </w:rPr>
              <w:t>280 (24.8%)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254 (25.8%)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26 (18.3%)</w:t>
            </w:r>
          </w:p>
        </w:tc>
        <w:tc>
          <w:tcPr>
            <w:tcW w:w="1132"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900"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Cs/>
                <w:color w:val="000000"/>
                <w:sz w:val="16"/>
                <w:szCs w:val="16"/>
              </w:rPr>
            </w:pPr>
            <w:r>
              <w:rPr>
                <w:rFonts w:ascii="Arial" w:eastAsia="Arial" w:hAnsi="Arial" w:cs="Arial"/>
                <w:b/>
                <w:color w:val="000000"/>
                <w:sz w:val="16"/>
                <w:szCs w:val="16"/>
              </w:rPr>
              <w:t xml:space="preserve">  </w:t>
            </w:r>
            <w:r>
              <w:rPr>
                <w:rFonts w:ascii="Arial" w:eastAsia="Arial" w:hAnsi="Arial" w:cs="Arial"/>
                <w:bCs/>
                <w:color w:val="000000"/>
                <w:sz w:val="16"/>
                <w:szCs w:val="16"/>
              </w:rPr>
              <w:t>Ulm</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239 (21.2%)</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204 (20.7%)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rFonts w:ascii="Arial" w:eastAsia="Arial" w:hAnsi="Arial" w:cs="Arial"/>
                <w:color w:val="000000"/>
                <w:sz w:val="16"/>
                <w:szCs w:val="16"/>
              </w:rPr>
            </w:pPr>
            <w:r>
              <w:rPr>
                <w:rFonts w:ascii="Arial" w:eastAsia="Arial" w:hAnsi="Arial" w:cs="Arial"/>
                <w:color w:val="000000"/>
                <w:sz w:val="16"/>
                <w:szCs w:val="16"/>
              </w:rPr>
              <w:t>35 (24.6%)</w:t>
            </w:r>
          </w:p>
        </w:tc>
        <w:tc>
          <w:tcPr>
            <w:tcW w:w="1132"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c>
          <w:tcPr>
            <w:tcW w:w="900" w:type="dxa"/>
            <w:shd w:val="clear" w:color="auto" w:fill="FFFFFF"/>
            <w:tcMar>
              <w:top w:w="0" w:type="dxa"/>
              <w:left w:w="0" w:type="dxa"/>
              <w:bottom w:w="0" w:type="dxa"/>
              <w:right w:w="0" w:type="dxa"/>
            </w:tcMar>
            <w:vAlign w:val="center"/>
          </w:tcPr>
          <w:p w:rsidR="00122D42" w:rsidRDefault="00122D42">
            <w:pPr>
              <w:keepNext/>
              <w:spacing w:after="100"/>
              <w:ind w:left="100" w:right="100"/>
              <w:jc w:val="center"/>
              <w:rPr>
                <w:rFonts w:ascii="Arial" w:eastAsia="Arial" w:hAnsi="Arial" w:cs="Arial"/>
                <w:color w:val="000000"/>
                <w:sz w:val="16"/>
                <w:szCs w:val="16"/>
              </w:rPr>
            </w:pP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b/>
                <w:sz w:val="16"/>
                <w:szCs w:val="16"/>
              </w:rPr>
            </w:pPr>
            <w:r>
              <w:rPr>
                <w:rFonts w:ascii="Arial" w:eastAsia="Arial" w:hAnsi="Arial" w:cs="Arial"/>
                <w:b/>
                <w:color w:val="000000"/>
                <w:sz w:val="16"/>
                <w:szCs w:val="16"/>
              </w:rPr>
              <w:t>Sex</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0.151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1128</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sz w:val="16"/>
                <w:szCs w:val="16"/>
              </w:rPr>
            </w:pPr>
            <w:r>
              <w:rPr>
                <w:rFonts w:ascii="Arial" w:eastAsia="Arial" w:hAnsi="Arial" w:cs="Arial"/>
                <w:color w:val="000000"/>
                <w:sz w:val="16"/>
                <w:szCs w:val="16"/>
              </w:rPr>
              <w:t xml:space="preserve">    Male</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305 (27.0%)</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259 (26.3%)</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46 (32.4%)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sz w:val="16"/>
                <w:szCs w:val="16"/>
              </w:rPr>
            </w:pPr>
            <w:r>
              <w:rPr>
                <w:rFonts w:ascii="Arial" w:eastAsia="Arial" w:hAnsi="Arial" w:cs="Arial"/>
                <w:color w:val="000000"/>
                <w:sz w:val="16"/>
                <w:szCs w:val="16"/>
              </w:rPr>
              <w:t xml:space="preserve">    Female</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823 (73.0%)</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727 (73.7%)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96 (67.6%)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b/>
                <w:sz w:val="16"/>
                <w:szCs w:val="16"/>
                <w:lang w:val="de-DE"/>
              </w:rPr>
            </w:pPr>
            <w:r>
              <w:rPr>
                <w:rFonts w:ascii="Arial" w:eastAsia="Arial" w:hAnsi="Arial" w:cs="Arial"/>
                <w:b/>
                <w:color w:val="000000"/>
                <w:sz w:val="16"/>
                <w:szCs w:val="16"/>
                <w:lang w:val="de-DE"/>
              </w:rPr>
              <w:t>Age [years]</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57.1 (12.2)</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56.9 (11.9)</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58.7 (13.9)</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0.135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1128</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b/>
                <w:sz w:val="16"/>
                <w:szCs w:val="16"/>
              </w:rPr>
            </w:pPr>
            <w:r>
              <w:rPr>
                <w:rFonts w:ascii="Arial" w:eastAsia="Arial" w:hAnsi="Arial" w:cs="Arial"/>
                <w:b/>
                <w:color w:val="000000"/>
                <w:sz w:val="16"/>
                <w:szCs w:val="16"/>
              </w:rPr>
              <w:t>Education</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0.753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1115</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sz w:val="16"/>
                <w:szCs w:val="16"/>
              </w:rPr>
            </w:pPr>
            <w:r>
              <w:rPr>
                <w:rFonts w:ascii="Arial" w:eastAsia="Arial" w:hAnsi="Arial" w:cs="Arial"/>
                <w:color w:val="000000"/>
                <w:sz w:val="16"/>
                <w:szCs w:val="16"/>
              </w:rPr>
              <w:t xml:space="preserve">    University/ College degree</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405 (36.3%)</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359 (36.8%)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46 (32.9%)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sz w:val="16"/>
                <w:szCs w:val="16"/>
              </w:rPr>
            </w:pPr>
            <w:r>
              <w:rPr>
                <w:rFonts w:ascii="Arial" w:eastAsia="Arial" w:hAnsi="Arial" w:cs="Arial"/>
                <w:color w:val="000000"/>
                <w:sz w:val="16"/>
                <w:szCs w:val="16"/>
              </w:rPr>
              <w:t xml:space="preserve">    Highschool</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179 (16.1%)</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157 (16.1%)</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22 (15.7%)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sz w:val="16"/>
                <w:szCs w:val="16"/>
                <w:lang w:val="de-DE"/>
              </w:rPr>
            </w:pPr>
            <w:r>
              <w:rPr>
                <w:rFonts w:ascii="Arial" w:eastAsia="Arial" w:hAnsi="Arial" w:cs="Arial"/>
                <w:color w:val="000000"/>
                <w:sz w:val="16"/>
                <w:szCs w:val="16"/>
                <w:lang w:val="de-DE"/>
              </w:rPr>
              <w:t xml:space="preserve">    Secondary school or similar</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343 (30.8%)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298 (30.6%)</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45 (32.1%)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color w:val="000000"/>
                <w:sz w:val="16"/>
                <w:szCs w:val="16"/>
              </w:rPr>
            </w:pPr>
            <w:r>
              <w:rPr>
                <w:rFonts w:ascii="Arial" w:eastAsia="Arial" w:hAnsi="Arial" w:cs="Arial"/>
                <w:color w:val="000000"/>
                <w:sz w:val="16"/>
                <w:szCs w:val="16"/>
              </w:rPr>
              <w:t xml:space="preserve">    None/ Basic secondary school </w:t>
            </w:r>
          </w:p>
          <w:p w:rsidR="00122D42" w:rsidRDefault="0041088A">
            <w:pPr>
              <w:keepNext/>
              <w:spacing w:after="100"/>
              <w:ind w:left="100" w:right="100"/>
              <w:rPr>
                <w:sz w:val="16"/>
                <w:szCs w:val="16"/>
              </w:rPr>
            </w:pPr>
            <w:r>
              <w:rPr>
                <w:rFonts w:ascii="Arial" w:eastAsia="Arial" w:hAnsi="Arial" w:cs="Arial"/>
                <w:color w:val="000000"/>
                <w:sz w:val="16"/>
                <w:szCs w:val="16"/>
              </w:rPr>
              <w:t xml:space="preserve">    (8 years)</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188 (16.9%)</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161 (16.5%)</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27 (19.3%)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b/>
                <w:color w:val="000000"/>
                <w:sz w:val="16"/>
                <w:szCs w:val="16"/>
              </w:rPr>
            </w:pPr>
            <w:r>
              <w:rPr>
                <w:rFonts w:ascii="Arial" w:eastAsia="Arial" w:hAnsi="Arial" w:cs="Arial"/>
                <w:b/>
                <w:color w:val="000000"/>
                <w:sz w:val="16"/>
                <w:szCs w:val="16"/>
              </w:rPr>
              <w:t>Working status</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0.028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1112</w:t>
            </w:r>
          </w:p>
        </w:tc>
      </w:tr>
      <w:tr w:rsidR="00122D42" w:rsidTr="00122D42">
        <w:trPr>
          <w:cantSplit/>
          <w:jc w:val="center"/>
        </w:trPr>
        <w:tc>
          <w:tcPr>
            <w:tcW w:w="2284"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6"/>
                <w:szCs w:val="16"/>
              </w:rPr>
            </w:pPr>
            <w:r>
              <w:rPr>
                <w:rFonts w:ascii="Arial" w:eastAsia="Arial" w:hAnsi="Arial" w:cs="Arial"/>
                <w:color w:val="000000"/>
                <w:sz w:val="16"/>
                <w:szCs w:val="16"/>
              </w:rPr>
              <w:t xml:space="preserve">    Full-time</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353 (31.7%)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312 (32.0%)</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41 (29.7%)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6"/>
                <w:szCs w:val="16"/>
              </w:rPr>
            </w:pPr>
            <w:r>
              <w:rPr>
                <w:rFonts w:ascii="Arial" w:eastAsia="Arial" w:hAnsi="Arial" w:cs="Arial"/>
                <w:color w:val="000000"/>
                <w:sz w:val="16"/>
                <w:szCs w:val="16"/>
              </w:rPr>
              <w:t xml:space="preserve">    Part-time</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272 (24.5%)</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250 (25.7%)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22 (15.9%)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6"/>
                <w:szCs w:val="16"/>
              </w:rPr>
            </w:pPr>
            <w:r>
              <w:rPr>
                <w:rFonts w:ascii="Arial" w:eastAsia="Arial" w:hAnsi="Arial" w:cs="Arial"/>
                <w:color w:val="000000"/>
                <w:sz w:val="16"/>
                <w:szCs w:val="16"/>
              </w:rPr>
              <w:t xml:space="preserve">    Not working</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96 (8.63%)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80 (8.21%)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16 (11.6%)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6"/>
                <w:szCs w:val="16"/>
              </w:rPr>
            </w:pPr>
            <w:r>
              <w:rPr>
                <w:rFonts w:ascii="Arial" w:eastAsia="Arial" w:hAnsi="Arial" w:cs="Arial"/>
                <w:color w:val="000000"/>
                <w:sz w:val="16"/>
                <w:szCs w:val="16"/>
              </w:rPr>
              <w:t xml:space="preserve">    Retired</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391 (35.2%)</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332 (34.1%)</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59 (42.8%)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b/>
                <w:color w:val="000000"/>
                <w:sz w:val="16"/>
                <w:szCs w:val="16"/>
              </w:rPr>
            </w:pPr>
            <w:r>
              <w:rPr>
                <w:rFonts w:ascii="Arial" w:eastAsia="Arial" w:hAnsi="Arial" w:cs="Arial"/>
                <w:b/>
                <w:color w:val="000000"/>
                <w:sz w:val="16"/>
                <w:szCs w:val="16"/>
              </w:rPr>
              <w:t>Marital Status</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0.999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1102</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color w:val="000000"/>
                <w:sz w:val="16"/>
                <w:szCs w:val="16"/>
              </w:rPr>
            </w:pPr>
            <w:r>
              <w:rPr>
                <w:rFonts w:ascii="Arial" w:eastAsia="Arial" w:hAnsi="Arial" w:cs="Arial"/>
                <w:color w:val="000000"/>
                <w:sz w:val="16"/>
                <w:szCs w:val="16"/>
              </w:rPr>
              <w:t xml:space="preserve">    Single</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240 (21.8%)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210 (21.8%)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30 (21.6%) </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color w:val="000000"/>
                <w:sz w:val="16"/>
                <w:szCs w:val="16"/>
              </w:rPr>
            </w:pPr>
            <w:r>
              <w:rPr>
                <w:rFonts w:ascii="Arial" w:eastAsia="Arial" w:hAnsi="Arial" w:cs="Arial"/>
                <w:color w:val="000000"/>
                <w:sz w:val="16"/>
                <w:szCs w:val="16"/>
              </w:rPr>
              <w:t xml:space="preserve">    In a relationship/married</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862 (78.2%)</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753 (78.2%)</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109 (78.4%)</w:t>
            </w:r>
          </w:p>
        </w:tc>
        <w:tc>
          <w:tcPr>
            <w:tcW w:w="1132"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rPr>
          <w:cantSplit/>
          <w:jc w:val="center"/>
        </w:trPr>
        <w:tc>
          <w:tcPr>
            <w:tcW w:w="2284" w:type="dxa"/>
            <w:tcBorders>
              <w:bottom w:val="single" w:sz="16" w:space="0" w:color="666666"/>
            </w:tcBorders>
            <w:shd w:val="clear" w:color="auto" w:fill="FFFFFF"/>
            <w:tcMar>
              <w:top w:w="0" w:type="dxa"/>
              <w:left w:w="0" w:type="dxa"/>
              <w:bottom w:w="0" w:type="dxa"/>
              <w:right w:w="0" w:type="dxa"/>
            </w:tcMar>
            <w:vAlign w:val="center"/>
          </w:tcPr>
          <w:p w:rsidR="00122D42" w:rsidRDefault="0041088A">
            <w:pPr>
              <w:keepNext/>
              <w:spacing w:after="100"/>
              <w:ind w:left="100" w:right="100"/>
              <w:rPr>
                <w:b/>
                <w:sz w:val="16"/>
                <w:szCs w:val="16"/>
              </w:rPr>
            </w:pPr>
            <w:r>
              <w:rPr>
                <w:rFonts w:ascii="Arial" w:eastAsia="Arial" w:hAnsi="Arial" w:cs="Arial"/>
                <w:b/>
                <w:color w:val="000000"/>
                <w:sz w:val="16"/>
                <w:szCs w:val="16"/>
              </w:rPr>
              <w:t>BMI (kg/m2)</w:t>
            </w:r>
          </w:p>
        </w:tc>
        <w:tc>
          <w:tcPr>
            <w:tcW w:w="1609" w:type="dxa"/>
            <w:tcBorders>
              <w:bottom w:val="single" w:sz="16" w:space="0" w:color="666666"/>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24.9 (5.13)</w:t>
            </w:r>
          </w:p>
        </w:tc>
        <w:tc>
          <w:tcPr>
            <w:tcW w:w="1609" w:type="dxa"/>
            <w:tcBorders>
              <w:bottom w:val="single" w:sz="16" w:space="0" w:color="666666"/>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24.8 (5.02)</w:t>
            </w:r>
          </w:p>
        </w:tc>
        <w:tc>
          <w:tcPr>
            <w:tcW w:w="1609" w:type="dxa"/>
            <w:tcBorders>
              <w:bottom w:val="single" w:sz="16" w:space="0" w:color="666666"/>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25.2 (5.83)</w:t>
            </w:r>
          </w:p>
        </w:tc>
        <w:tc>
          <w:tcPr>
            <w:tcW w:w="1132" w:type="dxa"/>
            <w:tcBorders>
              <w:bottom w:val="single" w:sz="16" w:space="0" w:color="666666"/>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0.433 </w:t>
            </w:r>
          </w:p>
        </w:tc>
        <w:tc>
          <w:tcPr>
            <w:tcW w:w="900" w:type="dxa"/>
            <w:tcBorders>
              <w:bottom w:val="single" w:sz="16" w:space="0" w:color="666666"/>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color w:val="000000"/>
                <w:sz w:val="16"/>
                <w:szCs w:val="16"/>
              </w:rPr>
              <w:t>1109</w:t>
            </w:r>
          </w:p>
        </w:tc>
      </w:tr>
    </w:tbl>
    <w:p w:rsidR="00122D42" w:rsidRDefault="00122D42"/>
    <w:p w:rsidR="00122D42" w:rsidRDefault="0041088A">
      <w:r>
        <w:br w:type="page"/>
      </w:r>
    </w:p>
    <w:p w:rsidR="00122D42" w:rsidRDefault="0041088A">
      <w:pPr>
        <w:rPr>
          <w:b/>
          <w:bCs/>
        </w:rPr>
      </w:pPr>
      <w:r>
        <w:rPr>
          <w:b/>
          <w:bCs/>
        </w:rPr>
        <w:lastRenderedPageBreak/>
        <w:t>Table 3b</w:t>
      </w:r>
    </w:p>
    <w:tbl>
      <w:tblPr>
        <w:tblStyle w:val="Table"/>
        <w:tblW w:w="9143" w:type="dxa"/>
        <w:jc w:val="center"/>
        <w:tblLayout w:type="fixed"/>
        <w:tblLook w:val="0420" w:firstRow="1" w:lastRow="0" w:firstColumn="0" w:lastColumn="0" w:noHBand="0" w:noVBand="1"/>
      </w:tblPr>
      <w:tblGrid>
        <w:gridCol w:w="2284"/>
        <w:gridCol w:w="1609"/>
        <w:gridCol w:w="1609"/>
        <w:gridCol w:w="1609"/>
        <w:gridCol w:w="1132"/>
        <w:gridCol w:w="900"/>
      </w:tblGrid>
      <w:tr w:rsidR="00122D42" w:rsidTr="00122D42">
        <w:trPr>
          <w:cnfStyle w:val="100000000000" w:firstRow="1" w:lastRow="0" w:firstColumn="0" w:lastColumn="0" w:oddVBand="0" w:evenVBand="0" w:oddHBand="0" w:evenHBand="0" w:firstRowFirstColumn="0" w:firstRowLastColumn="0" w:lastRowFirstColumn="0" w:lastRowLastColumn="0"/>
          <w:cantSplit/>
          <w:tblHeader/>
          <w:jc w:val="center"/>
        </w:trPr>
        <w:tc>
          <w:tcPr>
            <w:tcW w:w="2284" w:type="dxa"/>
            <w:tcBorders>
              <w:top w:val="single" w:sz="16" w:space="0" w:color="000000"/>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sz w:val="16"/>
                <w:szCs w:val="16"/>
              </w:rPr>
            </w:pP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Total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     Completer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     Dropout   </w:t>
            </w:r>
          </w:p>
        </w:tc>
        <w:tc>
          <w:tcPr>
            <w:tcW w:w="1132"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p-value</w:t>
            </w:r>
          </w:p>
        </w:tc>
        <w:tc>
          <w:tcPr>
            <w:tcW w:w="900"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color w:val="000000"/>
                <w:sz w:val="16"/>
                <w:szCs w:val="16"/>
              </w:rPr>
              <w:t xml:space="preserve"> N  </w:t>
            </w:r>
          </w:p>
        </w:tc>
      </w:tr>
      <w:tr w:rsidR="00122D42" w:rsidTr="00122D42">
        <w:trPr>
          <w:cnfStyle w:val="100000000000" w:firstRow="1" w:lastRow="0" w:firstColumn="0" w:lastColumn="0" w:oddVBand="0" w:evenVBand="0" w:oddHBand="0" w:evenHBand="0" w:firstRowFirstColumn="0" w:firstRowLastColumn="0" w:lastRowFirstColumn="0" w:lastRowLastColumn="0"/>
          <w:cantSplit/>
          <w:tblHeader/>
          <w:jc w:val="center"/>
        </w:trPr>
        <w:tc>
          <w:tcPr>
            <w:tcW w:w="2284" w:type="dxa"/>
            <w:tcBorders>
              <w:bottom w:val="single" w:sz="18" w:space="0" w:color="auto"/>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sz w:val="16"/>
                <w:szCs w:val="16"/>
              </w:rPr>
            </w:pPr>
          </w:p>
        </w:tc>
        <w:tc>
          <w:tcPr>
            <w:tcW w:w="1609"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N=1128   </w:t>
            </w:r>
          </w:p>
        </w:tc>
        <w:tc>
          <w:tcPr>
            <w:tcW w:w="1609"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N=986   </w:t>
            </w:r>
          </w:p>
        </w:tc>
        <w:tc>
          <w:tcPr>
            <w:tcW w:w="1609"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N=142   </w:t>
            </w:r>
          </w:p>
        </w:tc>
        <w:tc>
          <w:tcPr>
            <w:tcW w:w="1132"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w:t>
            </w:r>
          </w:p>
        </w:tc>
        <w:tc>
          <w:tcPr>
            <w:tcW w:w="900" w:type="dxa"/>
            <w:tcBorders>
              <w:bottom w:val="single" w:sz="18" w:space="0" w:color="auto"/>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6"/>
                <w:szCs w:val="16"/>
              </w:rPr>
            </w:pPr>
            <w:r>
              <w:rPr>
                <w:rFonts w:ascii="Arial" w:eastAsia="Arial" w:hAnsi="Arial" w:cs="Arial"/>
                <w:b/>
                <w:i/>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9143" w:type="dxa"/>
            <w:gridSpan w:val="6"/>
            <w:shd w:val="clear" w:color="auto" w:fill="F2F2F2" w:themeFill="background1" w:themeFillShade="F2"/>
          </w:tcPr>
          <w:p w:rsidR="00122D42" w:rsidRDefault="0041088A">
            <w:pPr>
              <w:keepNext/>
              <w:spacing w:after="100"/>
              <w:ind w:left="100" w:right="100"/>
              <w:jc w:val="center"/>
              <w:rPr>
                <w:rFonts w:ascii="Arial" w:eastAsia="Arial" w:hAnsi="Arial" w:cs="Arial"/>
                <w:b/>
                <w:color w:val="000000"/>
                <w:sz w:val="16"/>
                <w:szCs w:val="16"/>
              </w:rPr>
            </w:pPr>
            <w:r>
              <w:rPr>
                <w:rFonts w:ascii="Arial" w:eastAsia="Arial" w:hAnsi="Arial" w:cs="Arial"/>
                <w:b/>
                <w:color w:val="000000"/>
                <w:sz w:val="16"/>
                <w:szCs w:val="16"/>
              </w:rPr>
              <w:t>Clinical data</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b/>
                <w:color w:val="000000"/>
                <w:sz w:val="16"/>
                <w:szCs w:val="16"/>
              </w:rPr>
            </w:pPr>
            <w:r>
              <w:rPr>
                <w:rFonts w:ascii="Arial" w:eastAsia="Arial" w:hAnsi="Arial" w:cs="Arial"/>
                <w:b/>
                <w:color w:val="000000"/>
                <w:sz w:val="16"/>
                <w:szCs w:val="16"/>
              </w:rPr>
              <w:t>Diagnosis stage</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0.034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1128</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Initial diagnosis</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682 (60.5%)</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608 (61.7%)</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74 (52.1%)</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Progression</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332 (29.4%)</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277 (28.1%)</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55 (38.7%)</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Relapse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114 (10.1%)</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101 (10.2%)</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13 (9.15%)</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b/>
                <w:color w:val="000000"/>
                <w:sz w:val="16"/>
                <w:szCs w:val="16"/>
              </w:rPr>
            </w:pPr>
            <w:r>
              <w:rPr>
                <w:rFonts w:ascii="Arial" w:eastAsia="Arial" w:hAnsi="Arial" w:cs="Arial"/>
                <w:b/>
                <w:color w:val="000000"/>
                <w:sz w:val="16"/>
                <w:szCs w:val="16"/>
              </w:rPr>
              <w:t>Intention</w:t>
            </w:r>
            <w:r>
              <w:rPr>
                <w:rFonts w:ascii="Arial" w:eastAsia="Arial" w:hAnsi="Arial" w:cs="Arial"/>
                <w:b/>
                <w:color w:val="000000"/>
                <w:sz w:val="16"/>
                <w:szCs w:val="16"/>
              </w:rPr>
              <w:t xml:space="preserve"> of treatment</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&lt;0.001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1128</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Curative</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540 (47.9%)</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500 (50.7%)</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40 (28.2%)</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Palliative</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407 (36.1%)</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325 (33.0%)</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82 (57.7%)</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Unclear</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181 (16.0%)</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161 (16.3%)</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20 (14.1%)</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b/>
                <w:color w:val="000000"/>
                <w:sz w:val="16"/>
                <w:szCs w:val="16"/>
              </w:rPr>
            </w:pPr>
            <w:r>
              <w:rPr>
                <w:rFonts w:ascii="Arial" w:eastAsia="Arial" w:hAnsi="Arial" w:cs="Arial"/>
                <w:b/>
                <w:color w:val="000000"/>
                <w:sz w:val="16"/>
                <w:szCs w:val="16"/>
              </w:rPr>
              <w:t>Chronic condition</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0.739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1127</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Yes</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720 (63.9%)</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627 (63.7%)</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93 (65.5%)</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No</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407 (36.1%)</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358 (36.3%)</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49 (34.5%)</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b/>
                <w:color w:val="000000"/>
                <w:sz w:val="16"/>
                <w:szCs w:val="16"/>
              </w:rPr>
            </w:pPr>
            <w:r>
              <w:rPr>
                <w:rFonts w:ascii="Arial" w:eastAsia="Arial" w:hAnsi="Arial" w:cs="Arial"/>
                <w:b/>
                <w:color w:val="000000"/>
                <w:sz w:val="16"/>
                <w:szCs w:val="16"/>
              </w:rPr>
              <w:t>Main Cancer Diagnosis</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0.004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1128</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Breast cancer</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467 (41.4%)</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426 (43.2%)</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41 (28.9%)</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Gastrointestinal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233 (20.7%)</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191 (19.4%)</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42 (29.6%)</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w:t>
            </w:r>
            <w:proofErr w:type="spellStart"/>
            <w:r>
              <w:rPr>
                <w:rFonts w:ascii="Arial" w:eastAsia="Arial" w:hAnsi="Arial" w:cs="Arial"/>
                <w:color w:val="000000"/>
                <w:sz w:val="16"/>
                <w:szCs w:val="16"/>
              </w:rPr>
              <w:t>Gynaecological</w:t>
            </w:r>
            <w:proofErr w:type="spellEnd"/>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118 (10.5%)</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100 (10.1%)</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18 (12.7%)</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Other</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310 (27.5%)</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269 (27.3%)</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41 (28.9%)</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b/>
                <w:color w:val="000000"/>
                <w:sz w:val="16"/>
                <w:szCs w:val="16"/>
              </w:rPr>
            </w:pPr>
            <w:r>
              <w:rPr>
                <w:rFonts w:ascii="Arial" w:eastAsia="Arial" w:hAnsi="Arial" w:cs="Arial"/>
                <w:b/>
                <w:color w:val="000000"/>
                <w:sz w:val="16"/>
                <w:szCs w:val="16"/>
              </w:rPr>
              <w:t>Metastases</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&lt;0.001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1051</w:t>
            </w:r>
          </w:p>
        </w:tc>
      </w:tr>
      <w:tr w:rsidR="00122D42" w:rsidTr="00122D42">
        <w:tblPrEx>
          <w:jc w:val="left"/>
          <w:tblLook w:val="04A0" w:firstRow="1" w:lastRow="0" w:firstColumn="1" w:lastColumn="0" w:noHBand="0" w:noVBand="1"/>
        </w:tblPrEx>
        <w:trPr>
          <w:trHeight w:val="20"/>
        </w:trPr>
        <w:tc>
          <w:tcPr>
            <w:tcW w:w="2284" w:type="dxa"/>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Yes</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472 (44.9%)</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389 (42.4%)</w:t>
            </w:r>
          </w:p>
        </w:tc>
        <w:tc>
          <w:tcPr>
            <w:tcW w:w="1609"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83 (61.9%)</w:t>
            </w:r>
          </w:p>
        </w:tc>
        <w:tc>
          <w:tcPr>
            <w:tcW w:w="1132"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r w:rsidR="00122D42" w:rsidTr="00122D42">
        <w:tblPrEx>
          <w:jc w:val="left"/>
          <w:tblLook w:val="04A0" w:firstRow="1" w:lastRow="0" w:firstColumn="1" w:lastColumn="0" w:noHBand="0" w:noVBand="1"/>
        </w:tblPrEx>
        <w:trPr>
          <w:trHeight w:val="20"/>
        </w:trPr>
        <w:tc>
          <w:tcPr>
            <w:tcW w:w="2284" w:type="dxa"/>
            <w:tcBorders>
              <w:bottom w:val="single" w:sz="4" w:space="0" w:color="auto"/>
            </w:tcBorders>
          </w:tcPr>
          <w:p w:rsidR="00122D42" w:rsidRDefault="0041088A">
            <w:pPr>
              <w:keepNext/>
              <w:spacing w:after="100"/>
              <w:ind w:right="100"/>
              <w:rPr>
                <w:rFonts w:ascii="Arial" w:eastAsia="Arial" w:hAnsi="Arial" w:cs="Arial"/>
                <w:color w:val="000000"/>
                <w:sz w:val="16"/>
                <w:szCs w:val="16"/>
              </w:rPr>
            </w:pPr>
            <w:r>
              <w:rPr>
                <w:rFonts w:ascii="Arial" w:eastAsia="Arial" w:hAnsi="Arial" w:cs="Arial"/>
                <w:color w:val="000000"/>
                <w:sz w:val="16"/>
                <w:szCs w:val="16"/>
              </w:rPr>
              <w:t xml:space="preserve">    No</w:t>
            </w:r>
          </w:p>
        </w:tc>
        <w:tc>
          <w:tcPr>
            <w:tcW w:w="1609" w:type="dxa"/>
            <w:tcBorders>
              <w:bottom w:val="single" w:sz="4" w:space="0" w:color="auto"/>
            </w:tcBorders>
          </w:tcPr>
          <w:p w:rsidR="00122D42" w:rsidRDefault="0041088A">
            <w:pPr>
              <w:keepNext/>
              <w:spacing w:after="100"/>
              <w:ind w:left="100" w:right="100"/>
              <w:jc w:val="center"/>
              <w:rPr>
                <w:sz w:val="16"/>
                <w:szCs w:val="16"/>
              </w:rPr>
            </w:pPr>
            <w:r>
              <w:rPr>
                <w:rFonts w:ascii="Arial" w:eastAsia="Arial" w:hAnsi="Arial" w:cs="Arial"/>
                <w:color w:val="000000"/>
                <w:sz w:val="16"/>
                <w:szCs w:val="16"/>
              </w:rPr>
              <w:t>579 (55.1%)</w:t>
            </w:r>
          </w:p>
        </w:tc>
        <w:tc>
          <w:tcPr>
            <w:tcW w:w="1609" w:type="dxa"/>
            <w:tcBorders>
              <w:bottom w:val="single" w:sz="4" w:space="0" w:color="auto"/>
            </w:tcBorders>
          </w:tcPr>
          <w:p w:rsidR="00122D42" w:rsidRDefault="0041088A">
            <w:pPr>
              <w:keepNext/>
              <w:spacing w:after="100"/>
              <w:ind w:left="100" w:right="100"/>
              <w:jc w:val="center"/>
              <w:rPr>
                <w:sz w:val="16"/>
                <w:szCs w:val="16"/>
              </w:rPr>
            </w:pPr>
            <w:r>
              <w:rPr>
                <w:rFonts w:ascii="Arial" w:eastAsia="Arial" w:hAnsi="Arial" w:cs="Arial"/>
                <w:color w:val="000000"/>
                <w:sz w:val="16"/>
                <w:szCs w:val="16"/>
              </w:rPr>
              <w:t>528 (57.6%)</w:t>
            </w:r>
          </w:p>
        </w:tc>
        <w:tc>
          <w:tcPr>
            <w:tcW w:w="1609" w:type="dxa"/>
            <w:tcBorders>
              <w:bottom w:val="single" w:sz="4" w:space="0" w:color="auto"/>
            </w:tcBorders>
          </w:tcPr>
          <w:p w:rsidR="00122D42" w:rsidRDefault="0041088A">
            <w:pPr>
              <w:keepNext/>
              <w:spacing w:after="100"/>
              <w:ind w:left="100" w:right="100"/>
              <w:jc w:val="center"/>
              <w:rPr>
                <w:sz w:val="16"/>
                <w:szCs w:val="16"/>
              </w:rPr>
            </w:pPr>
            <w:r>
              <w:rPr>
                <w:rFonts w:ascii="Arial" w:eastAsia="Arial" w:hAnsi="Arial" w:cs="Arial"/>
                <w:color w:val="000000"/>
                <w:sz w:val="16"/>
                <w:szCs w:val="16"/>
              </w:rPr>
              <w:t>51 (38.1%)</w:t>
            </w:r>
          </w:p>
        </w:tc>
        <w:tc>
          <w:tcPr>
            <w:tcW w:w="1132" w:type="dxa"/>
            <w:tcBorders>
              <w:bottom w:val="single" w:sz="4" w:space="0" w:color="auto"/>
            </w:tcBorders>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c>
          <w:tcPr>
            <w:tcW w:w="900" w:type="dxa"/>
            <w:tcBorders>
              <w:bottom w:val="single" w:sz="4" w:space="0" w:color="auto"/>
            </w:tcBorders>
          </w:tcPr>
          <w:p w:rsidR="00122D42" w:rsidRDefault="0041088A">
            <w:pPr>
              <w:keepNext/>
              <w:spacing w:after="100"/>
              <w:ind w:left="100" w:right="100"/>
              <w:jc w:val="center"/>
              <w:rPr>
                <w:sz w:val="16"/>
                <w:szCs w:val="16"/>
              </w:rPr>
            </w:pPr>
            <w:r>
              <w:rPr>
                <w:rFonts w:ascii="Arial" w:eastAsia="Arial" w:hAnsi="Arial" w:cs="Arial"/>
                <w:color w:val="000000"/>
                <w:sz w:val="16"/>
                <w:szCs w:val="16"/>
              </w:rPr>
              <w:t xml:space="preserve">    </w:t>
            </w:r>
          </w:p>
        </w:tc>
      </w:tr>
    </w:tbl>
    <w:p w:rsidR="00122D42" w:rsidRDefault="00122D42"/>
    <w:p w:rsidR="00122D42" w:rsidRDefault="0041088A">
      <w:pPr>
        <w:spacing w:line="360" w:lineRule="auto"/>
        <w:ind w:firstLine="425"/>
        <w:jc w:val="both"/>
        <w:rPr>
          <w:lang w:val="en-US"/>
        </w:rPr>
      </w:pPr>
      <w:r>
        <w:rPr>
          <w:lang w:val="en-US"/>
        </w:rPr>
        <w:t xml:space="preserve">We found a statistically significant association between work status and study completion (p = .028), with retired or non-working participants being more likely to be lost to follow-up. We furthermore found an association between the main cancer diagnosis </w:t>
      </w:r>
      <w:r>
        <w:rPr>
          <w:lang w:val="en-US"/>
        </w:rPr>
        <w:t>and dropping out of the study (p = .004), with patients suffering from colon cancer exhibiting a nearly 2.5-fold higher odds (unadjusted odds ratio (OR): 2.28; 95% CI: 1.43 – 3.63) and patients with cancer of the female of reproductive organs having an alm</w:t>
      </w:r>
      <w:r>
        <w:rPr>
          <w:lang w:val="en-US"/>
        </w:rPr>
        <w:t>ost 2-fold higher odds (OR: 1.87, 95% CI: 1.01 – 3.36) of being lost to follow-up than patients with a mamma carcinoma. Moreover, a significant association between treatment intention and dropout was detected (p &lt; .001) with palliatively treated patients h</w:t>
      </w:r>
      <w:r>
        <w:rPr>
          <w:lang w:val="en-US"/>
        </w:rPr>
        <w:t>aving 3-fold higher odds (OR: 3.14, 95% CI: 2.11 – 4.74) of dropping out than curatively treated participants. This is accordant with the association between manifestation of metastases and study completion (p &lt; .001) in favor of patients without metastase</w:t>
      </w:r>
      <w:r>
        <w:rPr>
          <w:lang w:val="en-US"/>
        </w:rPr>
        <w:t xml:space="preserve">s (OR: 2.20, 95% CI 1.52 – 3.22). </w:t>
      </w:r>
    </w:p>
    <w:p w:rsidR="00122D42" w:rsidRDefault="0041088A">
      <w:pPr>
        <w:spacing w:line="360" w:lineRule="auto"/>
        <w:ind w:firstLine="425"/>
        <w:jc w:val="both"/>
        <w:rPr>
          <w:lang w:val="en-US"/>
        </w:rPr>
      </w:pPr>
      <w:r>
        <w:rPr>
          <w:lang w:val="en-US"/>
        </w:rPr>
        <w:t>No significant difference in the PAM-13 baseline scores could be found between completers and dropouts (p = .443). Dropout rates at T3 were 20.9% (23.7% in CO, 19.1% in IG), lower than the expected dropout rate of 30% ass</w:t>
      </w:r>
      <w:r>
        <w:rPr>
          <w:lang w:val="en-US"/>
        </w:rPr>
        <w:t>umed for sample size calculations.</w:t>
      </w:r>
    </w:p>
    <w:p w:rsidR="00122D42" w:rsidRDefault="0041088A">
      <w:pPr>
        <w:rPr>
          <w:rFonts w:asciiTheme="minorHAnsi" w:hAnsiTheme="minorHAnsi" w:cstheme="minorHAnsi"/>
          <w:b/>
          <w:bCs/>
          <w:sz w:val="28"/>
          <w:szCs w:val="28"/>
          <w:lang w:val="en-US" w:eastAsia="en-US"/>
        </w:rPr>
      </w:pPr>
      <w:r>
        <w:rPr>
          <w:rFonts w:asciiTheme="minorHAnsi" w:hAnsiTheme="minorHAnsi" w:cstheme="minorHAnsi"/>
          <w:b/>
          <w:bCs/>
          <w:sz w:val="28"/>
          <w:szCs w:val="28"/>
          <w:lang w:val="en-US" w:eastAsia="en-US"/>
        </w:rPr>
        <w:br w:type="page"/>
      </w:r>
      <w:r>
        <w:rPr>
          <w:rStyle w:val="3Char"/>
          <w:i/>
          <w:iCs/>
          <w:noProof/>
          <w:lang w:val="en-US" w:eastAsia="zh-CN"/>
        </w:rPr>
        <w:lastRenderedPageBreak/>
        <w:drawing>
          <wp:anchor distT="0" distB="0" distL="114300" distR="114300" simplePos="0" relativeHeight="251660288" behindDoc="0" locked="0" layoutInCell="1" allowOverlap="1">
            <wp:simplePos x="0" y="0"/>
            <wp:positionH relativeFrom="column">
              <wp:posOffset>-205740</wp:posOffset>
            </wp:positionH>
            <wp:positionV relativeFrom="paragraph">
              <wp:posOffset>288925</wp:posOffset>
            </wp:positionV>
            <wp:extent cx="6400800" cy="3600450"/>
            <wp:effectExtent l="0" t="0" r="0" b="0"/>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3Char"/>
          <w:i/>
          <w:iCs/>
          <w:lang w:val="en-US"/>
        </w:rPr>
        <w:t>Supplement 4: Main cancer diagnosis</w:t>
      </w:r>
      <w:r>
        <w:rPr>
          <w:rFonts w:asciiTheme="minorHAnsi" w:hAnsiTheme="minorHAnsi" w:cstheme="minorHAnsi"/>
          <w:b/>
          <w:bCs/>
          <w:sz w:val="28"/>
          <w:szCs w:val="28"/>
          <w:lang w:val="en-US" w:eastAsia="en-US"/>
        </w:rPr>
        <w:t xml:space="preserve"> </w:t>
      </w:r>
      <w:r>
        <w:rPr>
          <w:lang w:val="en-US"/>
        </w:rPr>
        <w:t xml:space="preserve"> </w:t>
      </w:r>
      <w:r>
        <w:rPr>
          <w:rFonts w:asciiTheme="minorHAnsi" w:hAnsiTheme="minorHAnsi" w:cstheme="minorHAnsi"/>
          <w:b/>
          <w:bCs/>
          <w:sz w:val="28"/>
          <w:szCs w:val="28"/>
          <w:lang w:val="en-US" w:eastAsia="en-US"/>
        </w:rPr>
        <w:t xml:space="preserve"> </w:t>
      </w:r>
      <w:r>
        <w:rPr>
          <w:rFonts w:asciiTheme="minorHAnsi" w:hAnsiTheme="minorHAnsi" w:cstheme="minorHAnsi"/>
          <w:b/>
          <w:bCs/>
          <w:sz w:val="28"/>
          <w:szCs w:val="28"/>
          <w:lang w:val="en-US" w:eastAsia="en-US"/>
        </w:rPr>
        <w:br w:type="page"/>
      </w:r>
    </w:p>
    <w:p w:rsidR="00122D42" w:rsidRDefault="0041088A">
      <w:pPr>
        <w:pStyle w:val="3"/>
        <w:rPr>
          <w:rStyle w:val="3Char"/>
          <w:lang w:val="en-US"/>
        </w:rPr>
      </w:pPr>
      <w:r>
        <w:rPr>
          <w:rStyle w:val="3Char"/>
          <w:lang w:val="en-US"/>
        </w:rPr>
        <w:lastRenderedPageBreak/>
        <w:t xml:space="preserve">Supplement 5: </w:t>
      </w:r>
      <w:proofErr w:type="spellStart"/>
      <w:r>
        <w:rPr>
          <w:rStyle w:val="3Char"/>
          <w:lang w:val="en-US"/>
        </w:rPr>
        <w:t>Sociodemographics</w:t>
      </w:r>
      <w:proofErr w:type="spellEnd"/>
      <w:r>
        <w:rPr>
          <w:rStyle w:val="3Char"/>
          <w:lang w:val="en-US"/>
        </w:rPr>
        <w:t xml:space="preserve"> and anamnesis by CCC study sites</w:t>
      </w:r>
    </w:p>
    <w:p w:rsidR="00122D42" w:rsidRDefault="0041088A">
      <w:pPr>
        <w:pStyle w:val="TableCaption"/>
      </w:pPr>
      <w:r>
        <w:rPr>
          <w:b/>
        </w:rPr>
        <w:t>Supplementary Table 5a</w:t>
      </w:r>
      <w:r>
        <w:t xml:space="preserve">: </w:t>
      </w:r>
      <w:proofErr w:type="spellStart"/>
      <w:r>
        <w:t>Sociodemographics</w:t>
      </w:r>
      <w:proofErr w:type="spellEnd"/>
      <w:r>
        <w:t xml:space="preserve"> and anamnesis by CCC study sites (Intervention Group)</w:t>
      </w:r>
    </w:p>
    <w:tbl>
      <w:tblPr>
        <w:tblStyle w:val="Table"/>
        <w:tblW w:w="10808" w:type="dxa"/>
        <w:tblInd w:w="-657" w:type="dxa"/>
        <w:tblLayout w:type="fixed"/>
        <w:tblLook w:val="0420" w:firstRow="1" w:lastRow="0" w:firstColumn="0" w:lastColumn="0" w:noHBand="0" w:noVBand="1"/>
      </w:tblPr>
      <w:tblGrid>
        <w:gridCol w:w="1701"/>
        <w:gridCol w:w="1448"/>
        <w:gridCol w:w="1609"/>
        <w:gridCol w:w="1609"/>
        <w:gridCol w:w="1609"/>
        <w:gridCol w:w="1609"/>
        <w:gridCol w:w="656"/>
        <w:gridCol w:w="567"/>
      </w:tblGrid>
      <w:tr w:rsidR="00122D42" w:rsidTr="00122D42">
        <w:trPr>
          <w:cnfStyle w:val="100000000000" w:firstRow="1" w:lastRow="0" w:firstColumn="0" w:lastColumn="0" w:oddVBand="0" w:evenVBand="0" w:oddHBand="0" w:evenHBand="0" w:firstRowFirstColumn="0" w:firstRowLastColumn="0" w:lastRowFirstColumn="0" w:lastRowLastColumn="0"/>
          <w:cantSplit/>
          <w:tblHeader/>
        </w:trPr>
        <w:tc>
          <w:tcPr>
            <w:tcW w:w="1701" w:type="dxa"/>
            <w:tcBorders>
              <w:top w:val="single" w:sz="16" w:space="0" w:color="000000"/>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sz w:val="14"/>
                <w:szCs w:val="14"/>
              </w:rPr>
            </w:pPr>
          </w:p>
        </w:tc>
        <w:tc>
          <w:tcPr>
            <w:tcW w:w="1448"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color w:val="000000"/>
                <w:sz w:val="14"/>
                <w:szCs w:val="14"/>
              </w:rPr>
              <w:t xml:space="preserve">   TOTAL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color w:val="000000"/>
                <w:sz w:val="14"/>
                <w:szCs w:val="14"/>
              </w:rPr>
              <w:t xml:space="preserve">     C</w:t>
            </w:r>
            <w:r>
              <w:rPr>
                <w:rFonts w:ascii="Arial" w:eastAsia="Arial" w:hAnsi="Arial" w:cs="Arial"/>
                <w:b/>
                <w:color w:val="000000"/>
                <w:sz w:val="14"/>
                <w:szCs w:val="14"/>
              </w:rPr>
              <w:t xml:space="preserve">CC-TÜ-S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color w:val="000000"/>
                <w:sz w:val="14"/>
                <w:szCs w:val="14"/>
              </w:rPr>
              <w:t xml:space="preserve">     CCC-FR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color w:val="000000"/>
                <w:sz w:val="14"/>
                <w:szCs w:val="14"/>
              </w:rPr>
              <w:t xml:space="preserve">     CCC HD     </w:t>
            </w:r>
          </w:p>
        </w:tc>
        <w:tc>
          <w:tcPr>
            <w:tcW w:w="1609"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color w:val="000000"/>
                <w:sz w:val="14"/>
                <w:szCs w:val="14"/>
              </w:rPr>
              <w:t xml:space="preserve">     CCC Ulm     </w:t>
            </w:r>
          </w:p>
        </w:tc>
        <w:tc>
          <w:tcPr>
            <w:tcW w:w="656"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color w:val="000000"/>
                <w:sz w:val="14"/>
                <w:szCs w:val="14"/>
              </w:rPr>
              <w:t>p-value</w:t>
            </w:r>
          </w:p>
        </w:tc>
        <w:tc>
          <w:tcPr>
            <w:tcW w:w="567" w:type="dxa"/>
            <w:tcBorders>
              <w:top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color w:val="000000"/>
                <w:sz w:val="14"/>
                <w:szCs w:val="14"/>
              </w:rPr>
              <w:t xml:space="preserve"> N </w:t>
            </w:r>
          </w:p>
        </w:tc>
      </w:tr>
      <w:tr w:rsidR="00122D42" w:rsidTr="00122D42">
        <w:trPr>
          <w:cnfStyle w:val="100000000000" w:firstRow="1" w:lastRow="0" w:firstColumn="0" w:lastColumn="0" w:oddVBand="0" w:evenVBand="0" w:oddHBand="0" w:evenHBand="0" w:firstRowFirstColumn="0" w:firstRowLastColumn="0" w:lastRowFirstColumn="0" w:lastRowLastColumn="0"/>
          <w:cantSplit/>
          <w:tblHeader/>
        </w:trPr>
        <w:tc>
          <w:tcPr>
            <w:tcW w:w="1701" w:type="dxa"/>
            <w:tcBorders>
              <w:bottom w:val="single" w:sz="16" w:space="0" w:color="000000"/>
            </w:tcBorders>
            <w:shd w:val="clear" w:color="auto" w:fill="FFFFFF"/>
            <w:tcMar>
              <w:top w:w="0" w:type="dxa"/>
              <w:left w:w="0" w:type="dxa"/>
              <w:bottom w:w="0" w:type="dxa"/>
              <w:right w:w="0" w:type="dxa"/>
            </w:tcMar>
            <w:vAlign w:val="center"/>
          </w:tcPr>
          <w:p w:rsidR="00122D42" w:rsidRDefault="00122D42">
            <w:pPr>
              <w:keepNext/>
              <w:spacing w:after="100"/>
              <w:ind w:left="100" w:right="100"/>
              <w:jc w:val="center"/>
              <w:rPr>
                <w:sz w:val="14"/>
                <w:szCs w:val="14"/>
              </w:rPr>
            </w:pPr>
          </w:p>
        </w:tc>
        <w:tc>
          <w:tcPr>
            <w:tcW w:w="1448" w:type="dxa"/>
            <w:tcBorders>
              <w:bottom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i/>
                <w:color w:val="000000"/>
                <w:sz w:val="14"/>
                <w:szCs w:val="14"/>
              </w:rPr>
              <w:t xml:space="preserve">   N=685   </w:t>
            </w:r>
          </w:p>
        </w:tc>
        <w:tc>
          <w:tcPr>
            <w:tcW w:w="1609" w:type="dxa"/>
            <w:tcBorders>
              <w:bottom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i/>
                <w:color w:val="000000"/>
                <w:sz w:val="14"/>
                <w:szCs w:val="14"/>
              </w:rPr>
              <w:t xml:space="preserve">   N=181   </w:t>
            </w:r>
          </w:p>
        </w:tc>
        <w:tc>
          <w:tcPr>
            <w:tcW w:w="1609" w:type="dxa"/>
            <w:tcBorders>
              <w:bottom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i/>
                <w:color w:val="000000"/>
                <w:sz w:val="14"/>
                <w:szCs w:val="14"/>
              </w:rPr>
              <w:t xml:space="preserve">   N=213   </w:t>
            </w:r>
          </w:p>
        </w:tc>
        <w:tc>
          <w:tcPr>
            <w:tcW w:w="1609" w:type="dxa"/>
            <w:tcBorders>
              <w:bottom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i/>
                <w:color w:val="000000"/>
                <w:sz w:val="14"/>
                <w:szCs w:val="14"/>
              </w:rPr>
              <w:t xml:space="preserve">   N=157   </w:t>
            </w:r>
          </w:p>
        </w:tc>
        <w:tc>
          <w:tcPr>
            <w:tcW w:w="1609" w:type="dxa"/>
            <w:tcBorders>
              <w:bottom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i/>
                <w:color w:val="000000"/>
                <w:sz w:val="14"/>
                <w:szCs w:val="14"/>
              </w:rPr>
              <w:t xml:space="preserve">   N=134   </w:t>
            </w:r>
          </w:p>
        </w:tc>
        <w:tc>
          <w:tcPr>
            <w:tcW w:w="656" w:type="dxa"/>
            <w:tcBorders>
              <w:bottom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i/>
                <w:color w:val="000000"/>
                <w:sz w:val="14"/>
                <w:szCs w:val="14"/>
              </w:rPr>
              <w:t xml:space="preserve">       </w:t>
            </w:r>
          </w:p>
        </w:tc>
        <w:tc>
          <w:tcPr>
            <w:tcW w:w="567" w:type="dxa"/>
            <w:tcBorders>
              <w:bottom w:val="single" w:sz="16" w:space="0" w:color="000000"/>
            </w:tcBorders>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b/>
                <w:i/>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b/>
                <w:bCs/>
                <w:sz w:val="14"/>
                <w:szCs w:val="14"/>
              </w:rPr>
            </w:pPr>
            <w:r>
              <w:rPr>
                <w:rFonts w:ascii="Arial" w:eastAsia="Arial" w:hAnsi="Arial" w:cs="Arial"/>
                <w:b/>
                <w:bCs/>
                <w:color w:val="000000"/>
                <w:sz w:val="14"/>
                <w:szCs w:val="14"/>
              </w:rPr>
              <w:t>Sex</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0.006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685</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Male</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167 (24.4%)</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44 (24.3%)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67 (31.5%)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36 (22.9%)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20 (14.9%)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Female</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518 (75.6%)</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137 (75.7%)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146 (68.5%)</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121 (77.1%)</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114 (85.1%)</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b/>
                <w:bCs/>
                <w:sz w:val="14"/>
                <w:szCs w:val="14"/>
              </w:rPr>
            </w:pPr>
            <w:r>
              <w:rPr>
                <w:rFonts w:ascii="Arial" w:eastAsia="Arial" w:hAnsi="Arial" w:cs="Arial"/>
                <w:b/>
                <w:bCs/>
                <w:color w:val="000000"/>
                <w:sz w:val="14"/>
                <w:szCs w:val="14"/>
              </w:rPr>
              <w:t>Age (years)</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55.4 (11.8)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56.0 (11.8)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54.2 (11.6)</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55.3 (10.9)</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56.4 (12.8)</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0.312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685</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b/>
                <w:bCs/>
                <w:sz w:val="14"/>
                <w:szCs w:val="14"/>
              </w:rPr>
            </w:pPr>
            <w:r>
              <w:rPr>
                <w:rFonts w:ascii="Arial" w:eastAsia="Arial" w:hAnsi="Arial" w:cs="Arial"/>
                <w:b/>
                <w:bCs/>
                <w:color w:val="000000"/>
                <w:sz w:val="14"/>
                <w:szCs w:val="14"/>
              </w:rPr>
              <w:t>Education</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0.003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680</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University/ College degree</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282 (41.5%)</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90 (50.0%)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79 (37.6%)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73 (46.8%)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40 (29.9%)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Highschool</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124 (18.2%)</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31 (17.2%)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37 (17.6%)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33 (21.2%)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23 (17.2%)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Secondary school or similar </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193 (28.4%)</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44 (24.4%)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60 (28.6%)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38 (24.4%)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51 (38.1%)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0"/>
              <w:ind w:left="100" w:right="100"/>
              <w:rPr>
                <w:sz w:val="14"/>
                <w:szCs w:val="14"/>
              </w:rPr>
            </w:pPr>
            <w:r>
              <w:rPr>
                <w:rFonts w:ascii="Arial" w:eastAsia="Arial" w:hAnsi="Arial" w:cs="Arial"/>
                <w:color w:val="000000"/>
                <w:sz w:val="14"/>
                <w:szCs w:val="14"/>
              </w:rPr>
              <w:t xml:space="preserve">    None/ Basic secondary school (8 years)</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81 (11.9%)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15 (8.33%)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34 (16.2%)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12 (7.69%)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20 (14.9%)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b/>
                <w:bCs/>
                <w:sz w:val="14"/>
                <w:szCs w:val="14"/>
              </w:rPr>
            </w:pPr>
            <w:r>
              <w:rPr>
                <w:rFonts w:ascii="Arial" w:eastAsia="Arial" w:hAnsi="Arial" w:cs="Arial"/>
                <w:b/>
                <w:bCs/>
                <w:color w:val="000000"/>
                <w:sz w:val="14"/>
                <w:szCs w:val="14"/>
              </w:rPr>
              <w:t>Working status</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0.215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678</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Full-time</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228 (33.6%)</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54 (30.2%)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73 (35.1%)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66 (42.0%)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35 (26.1%)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Part-time</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193 (28.5%)</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56 (31.3%)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59 (28.4%)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39 (24.8%)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39 (29.1%)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Not working</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53 (7.82%)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12 (6.70%)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14 (6.73%)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12 (7.64%)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15 (11.2%)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Retired</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204 (30.1%)</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57 (31.8%)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62 (29.8%)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40 (25.5%)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45 (33.6%)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b/>
                <w:bCs/>
                <w:sz w:val="14"/>
                <w:szCs w:val="14"/>
              </w:rPr>
            </w:pPr>
            <w:r>
              <w:rPr>
                <w:rFonts w:ascii="Arial" w:eastAsia="Arial" w:hAnsi="Arial" w:cs="Arial"/>
                <w:b/>
                <w:bCs/>
                <w:color w:val="000000"/>
                <w:sz w:val="14"/>
                <w:szCs w:val="14"/>
              </w:rPr>
              <w:t>Marital Status</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0.772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669</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Single</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136 (20.3%)</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36 (20.1%)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39 (19.2%)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36 (23.2%) </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25 (18.9%) </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sz w:val="14"/>
                <w:szCs w:val="14"/>
              </w:rPr>
            </w:pPr>
            <w:r>
              <w:rPr>
                <w:rFonts w:ascii="Arial" w:eastAsia="Arial" w:hAnsi="Arial" w:cs="Arial"/>
                <w:color w:val="000000"/>
                <w:sz w:val="14"/>
                <w:szCs w:val="14"/>
              </w:rPr>
              <w:t xml:space="preserve">    In a relationship/married</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533 (79.7%)</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143 (79.9%)</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164 (80.8%)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119 (76.8%)</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107 (81.1%)</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w:t>
            </w:r>
          </w:p>
        </w:tc>
      </w:tr>
      <w:tr w:rsidR="00122D42" w:rsidTr="00122D42">
        <w:trPr>
          <w:cantSplit/>
        </w:trPr>
        <w:tc>
          <w:tcPr>
            <w:tcW w:w="1701" w:type="dxa"/>
            <w:shd w:val="clear" w:color="auto" w:fill="FFFFFF"/>
            <w:tcMar>
              <w:top w:w="0" w:type="dxa"/>
              <w:left w:w="0" w:type="dxa"/>
              <w:bottom w:w="0" w:type="dxa"/>
              <w:right w:w="0" w:type="dxa"/>
            </w:tcMar>
            <w:vAlign w:val="center"/>
          </w:tcPr>
          <w:p w:rsidR="00122D42" w:rsidRDefault="0041088A">
            <w:pPr>
              <w:keepNext/>
              <w:spacing w:after="100"/>
              <w:ind w:left="100" w:right="100"/>
              <w:rPr>
                <w:b/>
                <w:bCs/>
                <w:sz w:val="14"/>
                <w:szCs w:val="14"/>
              </w:rPr>
            </w:pPr>
            <w:r>
              <w:rPr>
                <w:rFonts w:ascii="Arial" w:eastAsia="Arial" w:hAnsi="Arial" w:cs="Arial"/>
                <w:b/>
                <w:bCs/>
                <w:color w:val="000000"/>
                <w:sz w:val="14"/>
                <w:szCs w:val="14"/>
              </w:rPr>
              <w:t>BMI (kg/m2)</w:t>
            </w:r>
          </w:p>
        </w:tc>
        <w:tc>
          <w:tcPr>
            <w:tcW w:w="1448"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24.5 (4.89)</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24.5 (5.21)</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24.2 (4.63)</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24.2 (4.61)</w:t>
            </w:r>
          </w:p>
        </w:tc>
        <w:tc>
          <w:tcPr>
            <w:tcW w:w="1609"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25.6 (5.09)</w:t>
            </w:r>
          </w:p>
        </w:tc>
        <w:tc>
          <w:tcPr>
            <w:tcW w:w="656"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 xml:space="preserve"> 0.043 </w:t>
            </w:r>
          </w:p>
        </w:tc>
        <w:tc>
          <w:tcPr>
            <w:tcW w:w="567" w:type="dxa"/>
            <w:shd w:val="clear" w:color="auto" w:fill="FFFFFF"/>
            <w:tcMar>
              <w:top w:w="0" w:type="dxa"/>
              <w:left w:w="0" w:type="dxa"/>
              <w:bottom w:w="0" w:type="dxa"/>
              <w:right w:w="0" w:type="dxa"/>
            </w:tcMar>
            <w:vAlign w:val="center"/>
          </w:tcPr>
          <w:p w:rsidR="00122D42" w:rsidRDefault="0041088A">
            <w:pPr>
              <w:keepNext/>
              <w:spacing w:after="100"/>
              <w:ind w:left="100" w:right="100"/>
              <w:jc w:val="center"/>
              <w:rPr>
                <w:sz w:val="14"/>
                <w:szCs w:val="14"/>
              </w:rPr>
            </w:pPr>
            <w:r>
              <w:rPr>
                <w:rFonts w:ascii="Arial" w:eastAsia="Arial" w:hAnsi="Arial" w:cs="Arial"/>
                <w:color w:val="000000"/>
                <w:sz w:val="14"/>
                <w:szCs w:val="14"/>
              </w:rPr>
              <w:t>671</w:t>
            </w:r>
          </w:p>
        </w:tc>
      </w:tr>
      <w:tr w:rsidR="00122D42" w:rsidTr="00122D42">
        <w:trPr>
          <w:cantSplit/>
          <w:trHeight w:val="340"/>
        </w:trPr>
        <w:tc>
          <w:tcPr>
            <w:tcW w:w="10808" w:type="dxa"/>
            <w:gridSpan w:val="8"/>
            <w:shd w:val="clear" w:color="auto" w:fill="F2F2F2" w:themeFill="background1" w:themeFillShade="F2"/>
            <w:tcMar>
              <w:top w:w="0" w:type="dxa"/>
              <w:left w:w="0" w:type="dxa"/>
              <w:bottom w:w="0" w:type="dxa"/>
              <w:right w:w="0" w:type="dxa"/>
            </w:tcMar>
            <w:vAlign w:val="center"/>
          </w:tcPr>
          <w:p w:rsidR="00122D42" w:rsidRDefault="0041088A">
            <w:pPr>
              <w:spacing w:after="0"/>
              <w:jc w:val="center"/>
              <w:rPr>
                <w:rFonts w:ascii="Arial" w:eastAsia="Arial" w:hAnsi="Arial" w:cs="Arial"/>
                <w:b/>
                <w:color w:val="000000"/>
                <w:sz w:val="14"/>
                <w:szCs w:val="14"/>
              </w:rPr>
            </w:pPr>
            <w:r>
              <w:rPr>
                <w:rFonts w:ascii="Arial" w:eastAsia="Arial" w:hAnsi="Arial" w:cs="Arial"/>
                <w:b/>
                <w:color w:val="000000"/>
                <w:sz w:val="14"/>
                <w:szCs w:val="14"/>
              </w:rPr>
              <w:t>Clinical Data</w:t>
            </w: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b/>
                <w:bCs/>
                <w:color w:val="000000"/>
                <w:sz w:val="14"/>
                <w:szCs w:val="14"/>
              </w:rPr>
            </w:pPr>
            <w:r>
              <w:rPr>
                <w:rFonts w:ascii="Arial" w:eastAsia="Arial" w:hAnsi="Arial" w:cs="Arial"/>
                <w:b/>
                <w:bCs/>
                <w:color w:val="000000"/>
                <w:sz w:val="14"/>
                <w:szCs w:val="14"/>
              </w:rPr>
              <w:t>Diagnosis stage</w:t>
            </w:r>
          </w:p>
        </w:tc>
        <w:tc>
          <w:tcPr>
            <w:tcW w:w="1448"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b/>
                <w:bCs/>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b/>
                <w:bCs/>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b/>
                <w:bCs/>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b/>
                <w:bCs/>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656" w:type="dxa"/>
            <w:shd w:val="clear" w:color="auto" w:fill="FFFFFF"/>
            <w:tcMar>
              <w:top w:w="0" w:type="dxa"/>
              <w:left w:w="0" w:type="dxa"/>
              <w:bottom w:w="0" w:type="dxa"/>
              <w:right w:w="0" w:type="dxa"/>
            </w:tcMar>
          </w:tcPr>
          <w:p w:rsidR="00122D42" w:rsidRDefault="0041088A">
            <w:pPr>
              <w:jc w:val="center"/>
              <w:rPr>
                <w:rFonts w:ascii="Arial" w:eastAsia="Arial" w:hAnsi="Arial" w:cs="Arial"/>
                <w:color w:val="000000"/>
                <w:sz w:val="14"/>
                <w:szCs w:val="14"/>
              </w:rPr>
            </w:pPr>
            <w:r>
              <w:rPr>
                <w:rFonts w:ascii="Arial" w:eastAsia="Arial" w:hAnsi="Arial" w:cs="Arial"/>
                <w:color w:val="000000"/>
                <w:sz w:val="14"/>
                <w:szCs w:val="14"/>
              </w:rPr>
              <w:t>&lt;0.001</w:t>
            </w:r>
          </w:p>
        </w:tc>
        <w:tc>
          <w:tcPr>
            <w:tcW w:w="567" w:type="dxa"/>
            <w:shd w:val="clear" w:color="auto" w:fill="FFFFFF"/>
            <w:tcMar>
              <w:top w:w="0" w:type="dxa"/>
              <w:left w:w="0" w:type="dxa"/>
              <w:bottom w:w="0" w:type="dxa"/>
              <w:right w:w="0" w:type="dxa"/>
            </w:tcMar>
          </w:tcPr>
          <w:p w:rsidR="00122D42" w:rsidRDefault="0041088A">
            <w:pPr>
              <w:jc w:val="center"/>
              <w:rPr>
                <w:rFonts w:ascii="Arial" w:eastAsia="Arial" w:hAnsi="Arial" w:cs="Arial"/>
                <w:color w:val="000000"/>
                <w:sz w:val="14"/>
                <w:szCs w:val="14"/>
              </w:rPr>
            </w:pPr>
            <w:r>
              <w:rPr>
                <w:rFonts w:ascii="Arial" w:eastAsia="Arial" w:hAnsi="Arial" w:cs="Arial"/>
                <w:color w:val="000000"/>
                <w:sz w:val="14"/>
                <w:szCs w:val="14"/>
              </w:rPr>
              <w:t>685</w:t>
            </w: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Initial diagnosis</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409 (59.7%)</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118 (65.2%)</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118 (55.4%)</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75 (47.8%)</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98 (73.1%)</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Progression</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200 (29.2%)</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42 (23.2%)</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66 (31.0%)</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66 (42.0%)</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26 (19.4%)</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Relapse </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76 (11.1%)</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21 (11.6%)</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 xml:space="preserve">29 </w:t>
            </w:r>
            <w:r>
              <w:rPr>
                <w:rFonts w:ascii="Arial" w:eastAsia="Arial" w:hAnsi="Arial" w:cs="Arial"/>
                <w:color w:val="000000"/>
                <w:sz w:val="14"/>
                <w:szCs w:val="14"/>
              </w:rPr>
              <w:t>(13.6%)</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16 (10.2%)</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10 (7.46%)</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b/>
                <w:color w:val="000000"/>
                <w:sz w:val="14"/>
                <w:szCs w:val="14"/>
              </w:rPr>
            </w:pPr>
            <w:r>
              <w:rPr>
                <w:rFonts w:ascii="Arial" w:eastAsia="Arial" w:hAnsi="Arial" w:cs="Arial"/>
                <w:b/>
                <w:color w:val="000000"/>
                <w:sz w:val="14"/>
                <w:szCs w:val="14"/>
              </w:rPr>
              <w:t>Intention of treatment</w:t>
            </w:r>
          </w:p>
        </w:tc>
        <w:tc>
          <w:tcPr>
            <w:tcW w:w="1448"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656"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&lt;0.001</w:t>
            </w:r>
          </w:p>
        </w:tc>
        <w:tc>
          <w:tcPr>
            <w:tcW w:w="567"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685</w:t>
            </w: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Curative</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346 (50.5%)</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132 (72.9%)</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68 (31.9%)</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74 (47.1%)</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72 (53.7%)</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Palliative</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250 (36.5%)</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31 (17.1%)</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103 (48.4%)</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71 (45.2%)</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45 (33.6%)</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Unclear</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89 (13.0%)</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18 (9.94%)</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42 (19.7%)</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12 (7.64%)</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17 (12.7%)</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b/>
                <w:color w:val="000000"/>
                <w:sz w:val="14"/>
                <w:szCs w:val="14"/>
              </w:rPr>
            </w:pPr>
            <w:r>
              <w:rPr>
                <w:rFonts w:ascii="Arial" w:eastAsia="Arial" w:hAnsi="Arial" w:cs="Arial"/>
                <w:b/>
                <w:color w:val="000000"/>
                <w:sz w:val="14"/>
                <w:szCs w:val="14"/>
              </w:rPr>
              <w:t>Chronic condition</w:t>
            </w:r>
          </w:p>
        </w:tc>
        <w:tc>
          <w:tcPr>
            <w:tcW w:w="1448"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656"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&lt;0.001</w:t>
            </w:r>
          </w:p>
        </w:tc>
        <w:tc>
          <w:tcPr>
            <w:tcW w:w="567"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685</w:t>
            </w: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Yes</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415 (60.6%)</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108 (59.7%)</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146 (68.5%)</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105 (66.9%)</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56 (41.8%)</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No</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270 (39.4%)</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73 (40.3%)</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67 (31.5%)</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52 (33.1%)</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78 (58.2%)</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b/>
                <w:color w:val="000000"/>
                <w:sz w:val="14"/>
                <w:szCs w:val="14"/>
              </w:rPr>
            </w:pPr>
            <w:r>
              <w:rPr>
                <w:rFonts w:ascii="Arial" w:eastAsia="Arial" w:hAnsi="Arial" w:cs="Arial"/>
                <w:b/>
                <w:color w:val="000000"/>
                <w:sz w:val="14"/>
                <w:szCs w:val="14"/>
              </w:rPr>
              <w:t>Main Cancer Diagnosis</w:t>
            </w:r>
          </w:p>
        </w:tc>
        <w:tc>
          <w:tcPr>
            <w:tcW w:w="1448"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656"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&lt;0.001</w:t>
            </w:r>
          </w:p>
        </w:tc>
        <w:tc>
          <w:tcPr>
            <w:tcW w:w="567"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685</w:t>
            </w: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Breast cancer</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300 (43.8%)</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88 (48.6%)</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65 (30.5%)</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72 (45.9%)</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75 (56.0%)</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Other</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193 (28.2%)</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58 (32.0%)</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67 (31.5%)</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39 (24.8%)</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29 (21.6%)</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Gastrointestinal</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130 (19.0%)</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17 (9.39%)</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59 (27.7%)</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39 (24.8%)</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15 (11.2%)</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w:t>
            </w:r>
            <w:proofErr w:type="spellStart"/>
            <w:r>
              <w:rPr>
                <w:rFonts w:ascii="Arial" w:eastAsia="Arial" w:hAnsi="Arial" w:cs="Arial"/>
                <w:color w:val="000000"/>
                <w:sz w:val="14"/>
                <w:szCs w:val="14"/>
              </w:rPr>
              <w:t>Gynaecological</w:t>
            </w:r>
            <w:proofErr w:type="spellEnd"/>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62 (9.05%)</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18 (9.94%)</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22 (10.3%)</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 (4.46%)</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15 (11.2%)</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b/>
                <w:color w:val="000000"/>
                <w:sz w:val="14"/>
                <w:szCs w:val="14"/>
              </w:rPr>
            </w:pPr>
            <w:r>
              <w:rPr>
                <w:rFonts w:ascii="Arial" w:eastAsia="Arial" w:hAnsi="Arial" w:cs="Arial"/>
                <w:b/>
                <w:color w:val="000000"/>
                <w:sz w:val="14"/>
                <w:szCs w:val="14"/>
              </w:rPr>
              <w:t>Metastases</w:t>
            </w:r>
          </w:p>
        </w:tc>
        <w:tc>
          <w:tcPr>
            <w:tcW w:w="1448"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1609"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656"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&lt;0.001</w:t>
            </w:r>
          </w:p>
        </w:tc>
        <w:tc>
          <w:tcPr>
            <w:tcW w:w="567"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633</w:t>
            </w:r>
          </w:p>
        </w:tc>
      </w:tr>
      <w:tr w:rsidR="00122D42" w:rsidTr="00122D42">
        <w:trPr>
          <w:cantSplit/>
        </w:trPr>
        <w:tc>
          <w:tcPr>
            <w:tcW w:w="1701" w:type="dxa"/>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Yes</w:t>
            </w:r>
          </w:p>
        </w:tc>
        <w:tc>
          <w:tcPr>
            <w:tcW w:w="1448"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359 (56.7%)</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108 (66.7%)</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89 (45.4%)</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78 (52.0%)</w:t>
            </w:r>
          </w:p>
        </w:tc>
        <w:tc>
          <w:tcPr>
            <w:tcW w:w="1609" w:type="dxa"/>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84 (67.2%)</w:t>
            </w:r>
          </w:p>
        </w:tc>
        <w:tc>
          <w:tcPr>
            <w:tcW w:w="656"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r w:rsidR="00122D42" w:rsidTr="00122D42">
        <w:trPr>
          <w:cantSplit/>
        </w:trPr>
        <w:tc>
          <w:tcPr>
            <w:tcW w:w="1701" w:type="dxa"/>
            <w:tcBorders>
              <w:bottom w:val="single" w:sz="16" w:space="0" w:color="666666"/>
            </w:tcBorders>
            <w:shd w:val="clear" w:color="auto" w:fill="FFFFFF"/>
            <w:tcMar>
              <w:top w:w="0" w:type="dxa"/>
              <w:left w:w="0" w:type="dxa"/>
              <w:bottom w:w="0" w:type="dxa"/>
              <w:right w:w="0" w:type="dxa"/>
            </w:tcMar>
          </w:tcPr>
          <w:p w:rsidR="00122D42" w:rsidRDefault="0041088A">
            <w:pPr>
              <w:keepNext/>
              <w:spacing w:after="100"/>
              <w:ind w:left="100" w:right="100"/>
              <w:rPr>
                <w:rFonts w:ascii="Arial" w:eastAsia="Arial" w:hAnsi="Arial" w:cs="Arial"/>
                <w:color w:val="000000"/>
                <w:sz w:val="14"/>
                <w:szCs w:val="14"/>
              </w:rPr>
            </w:pPr>
            <w:r>
              <w:rPr>
                <w:rFonts w:ascii="Arial" w:eastAsia="Arial" w:hAnsi="Arial" w:cs="Arial"/>
                <w:color w:val="000000"/>
                <w:sz w:val="14"/>
                <w:szCs w:val="14"/>
              </w:rPr>
              <w:t xml:space="preserve">      No</w:t>
            </w:r>
          </w:p>
        </w:tc>
        <w:tc>
          <w:tcPr>
            <w:tcW w:w="1448" w:type="dxa"/>
            <w:tcBorders>
              <w:bottom w:val="single" w:sz="16" w:space="0" w:color="666666"/>
            </w:tcBorders>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274 (43.3%)</w:t>
            </w:r>
          </w:p>
        </w:tc>
        <w:tc>
          <w:tcPr>
            <w:tcW w:w="1609" w:type="dxa"/>
            <w:tcBorders>
              <w:bottom w:val="single" w:sz="16" w:space="0" w:color="666666"/>
            </w:tcBorders>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54 (33.3%)</w:t>
            </w:r>
          </w:p>
        </w:tc>
        <w:tc>
          <w:tcPr>
            <w:tcW w:w="1609" w:type="dxa"/>
            <w:tcBorders>
              <w:bottom w:val="single" w:sz="16" w:space="0" w:color="666666"/>
            </w:tcBorders>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107 (54.6%)</w:t>
            </w:r>
          </w:p>
        </w:tc>
        <w:tc>
          <w:tcPr>
            <w:tcW w:w="1609" w:type="dxa"/>
            <w:tcBorders>
              <w:bottom w:val="single" w:sz="16" w:space="0" w:color="666666"/>
            </w:tcBorders>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72 (48.0%)</w:t>
            </w:r>
          </w:p>
        </w:tc>
        <w:tc>
          <w:tcPr>
            <w:tcW w:w="1609" w:type="dxa"/>
            <w:tcBorders>
              <w:bottom w:val="single" w:sz="16" w:space="0" w:color="666666"/>
            </w:tcBorders>
            <w:shd w:val="clear" w:color="auto" w:fill="FFFFFF"/>
            <w:tcMar>
              <w:top w:w="0" w:type="dxa"/>
              <w:left w:w="0" w:type="dxa"/>
              <w:bottom w:w="0" w:type="dxa"/>
              <w:right w:w="0" w:type="dxa"/>
            </w:tcMar>
          </w:tcPr>
          <w:p w:rsidR="00122D42" w:rsidRDefault="0041088A">
            <w:pPr>
              <w:keepNext/>
              <w:spacing w:after="100"/>
              <w:ind w:left="100" w:right="100"/>
              <w:jc w:val="center"/>
              <w:rPr>
                <w:rFonts w:ascii="Arial" w:eastAsia="Arial" w:hAnsi="Arial" w:cs="Arial"/>
                <w:color w:val="000000"/>
                <w:sz w:val="14"/>
                <w:szCs w:val="14"/>
              </w:rPr>
            </w:pPr>
            <w:r>
              <w:rPr>
                <w:rFonts w:ascii="Arial" w:eastAsia="Arial" w:hAnsi="Arial" w:cs="Arial"/>
                <w:color w:val="000000"/>
                <w:sz w:val="14"/>
                <w:szCs w:val="14"/>
              </w:rPr>
              <w:t>41 (32.8%)</w:t>
            </w:r>
          </w:p>
        </w:tc>
        <w:tc>
          <w:tcPr>
            <w:tcW w:w="656" w:type="dxa"/>
            <w:tcBorders>
              <w:bottom w:val="single" w:sz="16" w:space="0" w:color="666666"/>
            </w:tcBorders>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c>
          <w:tcPr>
            <w:tcW w:w="567" w:type="dxa"/>
            <w:tcBorders>
              <w:bottom w:val="single" w:sz="16" w:space="0" w:color="666666"/>
            </w:tcBorders>
            <w:shd w:val="clear" w:color="auto" w:fill="FFFFFF"/>
            <w:tcMar>
              <w:top w:w="0" w:type="dxa"/>
              <w:left w:w="0" w:type="dxa"/>
              <w:bottom w:w="0" w:type="dxa"/>
              <w:right w:w="0" w:type="dxa"/>
            </w:tcMar>
          </w:tcPr>
          <w:p w:rsidR="00122D42" w:rsidRDefault="00122D42">
            <w:pPr>
              <w:keepNext/>
              <w:spacing w:after="100"/>
              <w:ind w:left="100" w:right="100"/>
              <w:jc w:val="center"/>
              <w:rPr>
                <w:rFonts w:ascii="Arial" w:eastAsia="Arial" w:hAnsi="Arial" w:cs="Arial"/>
                <w:color w:val="000000"/>
                <w:sz w:val="14"/>
                <w:szCs w:val="14"/>
              </w:rPr>
            </w:pPr>
          </w:p>
        </w:tc>
      </w:tr>
    </w:tbl>
    <w:p w:rsidR="00122D42" w:rsidRDefault="00122D42"/>
    <w:p w:rsidR="00122D42" w:rsidRDefault="0041088A">
      <w:r>
        <w:br w:type="page"/>
      </w:r>
    </w:p>
    <w:p w:rsidR="00122D42" w:rsidRDefault="0041088A">
      <w:pPr>
        <w:pStyle w:val="TableCaption"/>
      </w:pPr>
      <w:r>
        <w:rPr>
          <w:b/>
        </w:rPr>
        <w:lastRenderedPageBreak/>
        <w:t>Supplementary Table 5b</w:t>
      </w:r>
      <w:r>
        <w:t xml:space="preserve">: </w:t>
      </w:r>
      <w:proofErr w:type="spellStart"/>
      <w:r>
        <w:t>Sociodemographics</w:t>
      </w:r>
      <w:proofErr w:type="spellEnd"/>
      <w:r>
        <w:t xml:space="preserve"> and anamnesis by CCC study sites (Control Group)</w:t>
      </w:r>
    </w:p>
    <w:tbl>
      <w:tblPr>
        <w:tblW w:w="9398" w:type="dxa"/>
        <w:tblInd w:w="-552" w:type="dxa"/>
        <w:tblCellMar>
          <w:left w:w="0" w:type="dxa"/>
          <w:right w:w="0" w:type="dxa"/>
        </w:tblCellMar>
        <w:tblLook w:val="0420" w:firstRow="1" w:lastRow="0" w:firstColumn="0" w:lastColumn="0" w:noHBand="0" w:noVBand="1"/>
      </w:tblPr>
      <w:tblGrid>
        <w:gridCol w:w="2012"/>
        <w:gridCol w:w="1121"/>
        <w:gridCol w:w="1328"/>
        <w:gridCol w:w="1237"/>
        <w:gridCol w:w="1238"/>
        <w:gridCol w:w="1082"/>
        <w:gridCol w:w="828"/>
        <w:gridCol w:w="552"/>
      </w:tblGrid>
      <w:tr w:rsidR="00122D42">
        <w:trPr>
          <w:trHeight w:val="544"/>
        </w:trPr>
        <w:tc>
          <w:tcPr>
            <w:tcW w:w="2012"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lang w:val="en-US"/>
              </w:rPr>
            </w:pPr>
            <w:r>
              <w:rPr>
                <w:rFonts w:cs="Arial"/>
                <w:b/>
                <w:sz w:val="14"/>
                <w:szCs w:val="14"/>
                <w:lang w:val="en-US"/>
              </w:rPr>
              <w:t> </w:t>
            </w:r>
          </w:p>
        </w:tc>
        <w:tc>
          <w:tcPr>
            <w:tcW w:w="1121"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eastAsia="Arial" w:cs="Arial"/>
                <w:b/>
                <w:color w:val="000000"/>
                <w:sz w:val="14"/>
                <w:szCs w:val="14"/>
                <w:lang w:val="en-US"/>
              </w:rPr>
              <w:t xml:space="preserve">   </w:t>
            </w:r>
            <w:r>
              <w:rPr>
                <w:rFonts w:eastAsia="Arial" w:cs="Arial"/>
                <w:b/>
                <w:color w:val="000000"/>
                <w:sz w:val="14"/>
                <w:szCs w:val="14"/>
              </w:rPr>
              <w:t xml:space="preserve">TOTAL  </w:t>
            </w:r>
          </w:p>
        </w:tc>
        <w:tc>
          <w:tcPr>
            <w:tcW w:w="1328"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eastAsia="Arial" w:cs="Arial"/>
                <w:b/>
                <w:color w:val="000000"/>
                <w:sz w:val="14"/>
                <w:szCs w:val="14"/>
              </w:rPr>
              <w:t xml:space="preserve">     CCC-TÜ-S     </w:t>
            </w:r>
          </w:p>
        </w:tc>
        <w:tc>
          <w:tcPr>
            <w:tcW w:w="1237"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sz w:val="14"/>
                <w:szCs w:val="14"/>
              </w:rPr>
            </w:pPr>
            <w:r>
              <w:rPr>
                <w:rFonts w:eastAsia="Arial" w:cs="Arial"/>
                <w:b/>
                <w:color w:val="000000"/>
                <w:sz w:val="14"/>
                <w:szCs w:val="14"/>
              </w:rPr>
              <w:t xml:space="preserve">     CCC-FR     </w:t>
            </w:r>
          </w:p>
        </w:tc>
        <w:tc>
          <w:tcPr>
            <w:tcW w:w="1238"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sz w:val="14"/>
                <w:szCs w:val="14"/>
              </w:rPr>
            </w:pPr>
            <w:r>
              <w:rPr>
                <w:rFonts w:eastAsia="Arial" w:cs="Arial"/>
                <w:b/>
                <w:color w:val="000000"/>
                <w:sz w:val="14"/>
                <w:szCs w:val="14"/>
              </w:rPr>
              <w:t xml:space="preserve">     CCC HD     </w:t>
            </w:r>
          </w:p>
        </w:tc>
        <w:tc>
          <w:tcPr>
            <w:tcW w:w="1082"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sz w:val="14"/>
                <w:szCs w:val="14"/>
              </w:rPr>
            </w:pPr>
            <w:r>
              <w:rPr>
                <w:rFonts w:eastAsia="Arial" w:cs="Arial"/>
                <w:b/>
                <w:color w:val="000000"/>
                <w:sz w:val="14"/>
                <w:szCs w:val="14"/>
              </w:rPr>
              <w:t xml:space="preserve">     CCC Ulm     </w:t>
            </w:r>
          </w:p>
        </w:tc>
        <w:tc>
          <w:tcPr>
            <w:tcW w:w="828"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sz w:val="14"/>
                <w:szCs w:val="14"/>
              </w:rPr>
            </w:pPr>
            <w:r>
              <w:rPr>
                <w:rFonts w:eastAsia="Arial" w:cs="Arial"/>
                <w:b/>
                <w:color w:val="000000"/>
                <w:sz w:val="14"/>
                <w:szCs w:val="14"/>
              </w:rPr>
              <w:t>p-value</w:t>
            </w:r>
          </w:p>
        </w:tc>
        <w:tc>
          <w:tcPr>
            <w:tcW w:w="552"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sz w:val="14"/>
                <w:szCs w:val="14"/>
              </w:rPr>
            </w:pPr>
            <w:r>
              <w:rPr>
                <w:rFonts w:eastAsia="Arial" w:cs="Arial"/>
                <w:b/>
                <w:color w:val="000000"/>
                <w:sz w:val="14"/>
                <w:szCs w:val="14"/>
              </w:rPr>
              <w:t xml:space="preserve"> N </w:t>
            </w:r>
          </w:p>
        </w:tc>
      </w:tr>
      <w:tr w:rsidR="00122D42">
        <w:trPr>
          <w:trHeight w:val="285"/>
        </w:trPr>
        <w:tc>
          <w:tcPr>
            <w:tcW w:w="2012"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w:t>
            </w:r>
          </w:p>
        </w:tc>
        <w:tc>
          <w:tcPr>
            <w:tcW w:w="1121"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xml:space="preserve">   N=443   </w:t>
            </w:r>
          </w:p>
        </w:tc>
        <w:tc>
          <w:tcPr>
            <w:tcW w:w="1328"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xml:space="preserve">      N=106       </w:t>
            </w:r>
          </w:p>
        </w:tc>
        <w:tc>
          <w:tcPr>
            <w:tcW w:w="1237"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xml:space="preserve">   N=109   </w:t>
            </w:r>
          </w:p>
        </w:tc>
        <w:tc>
          <w:tcPr>
            <w:tcW w:w="1238"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xml:space="preserve">   N=123   </w:t>
            </w:r>
          </w:p>
        </w:tc>
        <w:tc>
          <w:tcPr>
            <w:tcW w:w="1082"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xml:space="preserve">   N=105   </w:t>
            </w:r>
          </w:p>
        </w:tc>
        <w:tc>
          <w:tcPr>
            <w:tcW w:w="828"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xml:space="preserve">       </w:t>
            </w:r>
          </w:p>
        </w:tc>
        <w:tc>
          <w:tcPr>
            <w:tcW w:w="552" w:type="dxa"/>
            <w:tcBorders>
              <w:top w:val="nil"/>
              <w:left w:val="nil"/>
              <w:bottom w:val="single" w:sz="18" w:space="0" w:color="000000"/>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jc w:val="center"/>
              <w:rPr>
                <w:rFonts w:cs="Arial"/>
                <w:b/>
                <w:sz w:val="14"/>
                <w:szCs w:val="14"/>
              </w:rPr>
            </w:pPr>
            <w:r>
              <w:rPr>
                <w:rFonts w:cs="Arial"/>
                <w:b/>
                <w:sz w:val="14"/>
                <w:szCs w:val="14"/>
              </w:rPr>
              <w:t xml:space="preserve">   </w:t>
            </w:r>
          </w:p>
        </w:tc>
      </w:tr>
      <w:tr w:rsidR="00122D42">
        <w:trPr>
          <w:trHeight w:val="259"/>
        </w:trPr>
        <w:tc>
          <w:tcPr>
            <w:tcW w:w="2012"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b/>
                <w:bCs/>
                <w:sz w:val="14"/>
                <w:szCs w:val="14"/>
              </w:rPr>
            </w:pPr>
            <w:r>
              <w:rPr>
                <w:rFonts w:eastAsia="Arial" w:cs="Arial"/>
                <w:b/>
                <w:bCs/>
                <w:color w:val="000000"/>
                <w:sz w:val="14"/>
                <w:szCs w:val="14"/>
              </w:rPr>
              <w:t>Sex</w:t>
            </w:r>
          </w:p>
        </w:tc>
        <w:tc>
          <w:tcPr>
            <w:tcW w:w="1121"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pStyle w:val="TableCaption"/>
              <w:rPr>
                <w:i w:val="0"/>
                <w:sz w:val="18"/>
                <w:szCs w:val="18"/>
                <w:lang w:val="de-DE"/>
              </w:rPr>
            </w:pPr>
            <w:r>
              <w:rPr>
                <w:i w:val="0"/>
                <w:sz w:val="18"/>
                <w:szCs w:val="18"/>
              </w:rPr>
              <w:t xml:space="preserve">           </w:t>
            </w:r>
          </w:p>
        </w:tc>
        <w:tc>
          <w:tcPr>
            <w:tcW w:w="1328"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pStyle w:val="TableCaption"/>
              <w:rPr>
                <w:i w:val="0"/>
                <w:sz w:val="18"/>
                <w:szCs w:val="18"/>
                <w:lang w:val="de-DE"/>
              </w:rPr>
            </w:pPr>
            <w:r>
              <w:rPr>
                <w:i w:val="0"/>
                <w:sz w:val="18"/>
                <w:szCs w:val="18"/>
              </w:rPr>
              <w:t xml:space="preserve">                  </w:t>
            </w:r>
          </w:p>
        </w:tc>
        <w:tc>
          <w:tcPr>
            <w:tcW w:w="1237"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pStyle w:val="TableCaption"/>
              <w:rPr>
                <w:i w:val="0"/>
                <w:sz w:val="18"/>
                <w:szCs w:val="18"/>
                <w:lang w:val="de-DE"/>
              </w:rPr>
            </w:pPr>
            <w:r>
              <w:rPr>
                <w:i w:val="0"/>
                <w:sz w:val="18"/>
                <w:szCs w:val="18"/>
              </w:rPr>
              <w:t xml:space="preserve">           </w:t>
            </w:r>
          </w:p>
        </w:tc>
        <w:tc>
          <w:tcPr>
            <w:tcW w:w="1238"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pStyle w:val="TableCaption"/>
              <w:rPr>
                <w:i w:val="0"/>
                <w:sz w:val="18"/>
                <w:szCs w:val="18"/>
                <w:lang w:val="de-DE"/>
              </w:rPr>
            </w:pPr>
            <w:r>
              <w:rPr>
                <w:i w:val="0"/>
                <w:sz w:val="18"/>
                <w:szCs w:val="18"/>
              </w:rPr>
              <w:t xml:space="preserve">           </w:t>
            </w:r>
          </w:p>
        </w:tc>
        <w:tc>
          <w:tcPr>
            <w:tcW w:w="1082"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pStyle w:val="TableCaption"/>
              <w:rPr>
                <w:i w:val="0"/>
                <w:sz w:val="18"/>
                <w:szCs w:val="18"/>
                <w:lang w:val="de-DE"/>
              </w:rPr>
            </w:pPr>
            <w:r>
              <w:rPr>
                <w:i w:val="0"/>
                <w:sz w:val="18"/>
                <w:szCs w:val="18"/>
              </w:rPr>
              <w:t xml:space="preserve">           </w:t>
            </w:r>
          </w:p>
        </w:tc>
        <w:tc>
          <w:tcPr>
            <w:tcW w:w="828"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0.006 </w:t>
            </w:r>
          </w:p>
        </w:tc>
        <w:tc>
          <w:tcPr>
            <w:tcW w:w="552" w:type="dxa"/>
            <w:tcBorders>
              <w:top w:val="single" w:sz="18" w:space="0" w:color="000000"/>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443</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Male</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138 (31.2%)</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26 (24.5%)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32 (29.4%)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33 (26.8%)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47 (44.8%)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Female</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305 (68.8%)</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80 (75.5%)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77 (70.6%)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90 (73.2%)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58 (55.2%)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b/>
                <w:color w:val="000000"/>
                <w:sz w:val="14"/>
                <w:szCs w:val="14"/>
              </w:rPr>
            </w:pPr>
            <w:r>
              <w:rPr>
                <w:rFonts w:eastAsia="Arial" w:cs="Arial"/>
                <w:b/>
                <w:color w:val="000000"/>
                <w:sz w:val="14"/>
                <w:szCs w:val="14"/>
              </w:rPr>
              <w:t>Age (years)</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59.9 (12.3)</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62.1 (11.5)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59.6 (12.6)</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56.9 (11.9)</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61.4 (12.7)</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0.006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443</w:t>
            </w:r>
          </w:p>
        </w:tc>
      </w:tr>
      <w:tr w:rsidR="00122D42">
        <w:trPr>
          <w:trHeight w:val="272"/>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b/>
                <w:color w:val="000000"/>
                <w:sz w:val="14"/>
                <w:szCs w:val="14"/>
              </w:rPr>
            </w:pPr>
            <w:r>
              <w:rPr>
                <w:rFonts w:eastAsia="Arial" w:cs="Arial"/>
                <w:b/>
                <w:color w:val="000000"/>
                <w:sz w:val="14"/>
                <w:szCs w:val="14"/>
              </w:rPr>
              <w:t>Education</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0.362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435</w:t>
            </w:r>
          </w:p>
        </w:tc>
      </w:tr>
      <w:tr w:rsidR="00122D42">
        <w:trPr>
          <w:trHeight w:val="272"/>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University/ College degree</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123 (28.3%)</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30 (28.6%)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35 (33.3%)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38 (30.9%)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20 (19.6%)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72"/>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Highschool</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55 (12.6%) </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14 (13.3%)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14 (13.3%)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16 (13.0%)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11 (10.8%)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72"/>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Secondary school or similar</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150 (34.5%)</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38 (36.2%)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33 (31.4%)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43 (35.0%)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36 (35.3%)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72"/>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lang w:val="en-US"/>
              </w:rPr>
            </w:pPr>
            <w:r>
              <w:rPr>
                <w:rFonts w:eastAsia="Arial" w:cs="Arial"/>
                <w:color w:val="000000"/>
                <w:sz w:val="14"/>
                <w:szCs w:val="14"/>
                <w:lang w:val="en-US"/>
              </w:rPr>
              <w:t xml:space="preserve">    None/ Basic secondary school (8 years)</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107 (24.6%)</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23 (21.9%)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23 (21.9%)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26 (21.1%)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35 (34.3%)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b/>
                <w:bCs/>
                <w:sz w:val="14"/>
                <w:szCs w:val="14"/>
              </w:rPr>
            </w:pPr>
            <w:r>
              <w:rPr>
                <w:rFonts w:eastAsia="Arial" w:cs="Arial"/>
                <w:b/>
                <w:bCs/>
                <w:color w:val="000000"/>
                <w:sz w:val="14"/>
                <w:szCs w:val="14"/>
              </w:rPr>
              <w:t>Working status</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0.445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434</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sz w:val="14"/>
                <w:szCs w:val="14"/>
              </w:rPr>
            </w:pPr>
            <w:r>
              <w:rPr>
                <w:rFonts w:eastAsia="Arial" w:cs="Arial"/>
                <w:color w:val="000000"/>
                <w:sz w:val="14"/>
                <w:szCs w:val="14"/>
              </w:rPr>
              <w:t xml:space="preserve">    Full-time</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125 (28.8%)</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30 (29.1%)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28 (26.4%)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42 (34.4%)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25 (24.3%)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sz w:val="14"/>
                <w:szCs w:val="14"/>
              </w:rPr>
            </w:pPr>
            <w:r>
              <w:rPr>
                <w:rFonts w:eastAsia="Arial" w:cs="Arial"/>
                <w:color w:val="000000"/>
                <w:sz w:val="14"/>
                <w:szCs w:val="14"/>
              </w:rPr>
              <w:t xml:space="preserve">    Part-time</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79 (18.2%) </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22 (21.4%)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21 (19.8%)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21 (17.2%)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15 (14.6%)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sz w:val="14"/>
                <w:szCs w:val="14"/>
              </w:rPr>
            </w:pPr>
            <w:r>
              <w:rPr>
                <w:rFonts w:eastAsia="Arial" w:cs="Arial"/>
                <w:color w:val="000000"/>
                <w:sz w:val="14"/>
                <w:szCs w:val="14"/>
              </w:rPr>
              <w:t xml:space="preserve">    Not working</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43 (9.91%) </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10 (9.71%)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14 (13.2%)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11 (9.02%)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8 (7.77%)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sz w:val="14"/>
                <w:szCs w:val="14"/>
              </w:rPr>
            </w:pPr>
            <w:r>
              <w:rPr>
                <w:rFonts w:eastAsia="Arial" w:cs="Arial"/>
                <w:color w:val="000000"/>
                <w:sz w:val="14"/>
                <w:szCs w:val="14"/>
              </w:rPr>
              <w:t xml:space="preserve">    Retired</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187 (43.1%)</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41 (39.8%)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43 (40.6%)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48 (39.3%)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55 (53.4%)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b/>
                <w:bCs/>
                <w:sz w:val="14"/>
                <w:szCs w:val="14"/>
              </w:rPr>
            </w:pPr>
            <w:r>
              <w:rPr>
                <w:rFonts w:eastAsia="Arial" w:cs="Arial"/>
                <w:b/>
                <w:bCs/>
                <w:color w:val="000000"/>
                <w:sz w:val="14"/>
                <w:szCs w:val="14"/>
              </w:rPr>
              <w:t>Marital Status</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0.425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433</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sz w:val="14"/>
                <w:szCs w:val="14"/>
              </w:rPr>
            </w:pPr>
            <w:r>
              <w:rPr>
                <w:rFonts w:eastAsia="Arial" w:cs="Arial"/>
                <w:color w:val="000000"/>
                <w:sz w:val="14"/>
                <w:szCs w:val="14"/>
              </w:rPr>
              <w:t xml:space="preserve">    Single</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104 (24.0%)</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22 (21.2%)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31 (29.0%)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31 (25.2%)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20 (20.2%)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sz w:val="14"/>
                <w:szCs w:val="14"/>
              </w:rPr>
            </w:pPr>
            <w:r>
              <w:rPr>
                <w:rFonts w:eastAsia="Arial" w:cs="Arial"/>
                <w:color w:val="000000"/>
                <w:sz w:val="14"/>
                <w:szCs w:val="14"/>
              </w:rPr>
              <w:t xml:space="preserve">    In a relationship/married</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329 (76.0%)</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82 (78.8%)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76 (71.0%) </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92 (74.8%) </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79 (79.8%) </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b/>
                <w:color w:val="000000"/>
                <w:sz w:val="14"/>
                <w:szCs w:val="14"/>
              </w:rPr>
            </w:pPr>
            <w:r>
              <w:rPr>
                <w:rFonts w:eastAsia="Arial" w:cs="Arial"/>
                <w:b/>
                <w:color w:val="000000"/>
                <w:sz w:val="14"/>
                <w:szCs w:val="14"/>
              </w:rPr>
              <w:t>BMI (kg/m2)</w:t>
            </w:r>
          </w:p>
        </w:tc>
        <w:tc>
          <w:tcPr>
            <w:tcW w:w="1121"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25.4 (5.44)</w:t>
            </w:r>
          </w:p>
        </w:tc>
        <w:tc>
          <w:tcPr>
            <w:tcW w:w="13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25.4 (4.86)    </w:t>
            </w:r>
          </w:p>
        </w:tc>
        <w:tc>
          <w:tcPr>
            <w:tcW w:w="1237"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25.0 (5.08)</w:t>
            </w:r>
          </w:p>
        </w:tc>
        <w:tc>
          <w:tcPr>
            <w:tcW w:w="123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25.2 (5.45)</w:t>
            </w:r>
          </w:p>
        </w:tc>
        <w:tc>
          <w:tcPr>
            <w:tcW w:w="108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25.8 (6.32)</w:t>
            </w:r>
          </w:p>
        </w:tc>
        <w:tc>
          <w:tcPr>
            <w:tcW w:w="828"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0.715 </w:t>
            </w:r>
          </w:p>
        </w:tc>
        <w:tc>
          <w:tcPr>
            <w:tcW w:w="552" w:type="dxa"/>
            <w:tcBorders>
              <w:top w:val="nil"/>
              <w:left w:val="nil"/>
              <w:bottom w:val="nil"/>
              <w:right w:val="nil"/>
            </w:tcBorders>
            <w:shd w:val="clear" w:color="auto" w:fill="auto"/>
            <w:tcMar>
              <w:top w:w="15" w:type="dxa"/>
              <w:left w:w="15" w:type="dxa"/>
              <w:bottom w:w="0" w:type="dxa"/>
              <w:right w:w="15" w:type="dxa"/>
            </w:tcMar>
            <w:vAlign w:val="center"/>
            <w:hideMark/>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438</w:t>
            </w:r>
          </w:p>
        </w:tc>
      </w:tr>
      <w:tr w:rsidR="00122D42">
        <w:trPr>
          <w:trHeight w:val="259"/>
        </w:trPr>
        <w:tc>
          <w:tcPr>
            <w:tcW w:w="9398" w:type="dxa"/>
            <w:gridSpan w:val="8"/>
            <w:tcBorders>
              <w:top w:val="nil"/>
              <w:left w:val="nil"/>
              <w:bottom w:val="nil"/>
              <w:right w:val="nil"/>
            </w:tcBorders>
            <w:shd w:val="clear" w:color="auto" w:fill="F2F2F2" w:themeFill="background1" w:themeFillShade="F2"/>
            <w:tcMar>
              <w:top w:w="15" w:type="dxa"/>
              <w:left w:w="15" w:type="dxa"/>
              <w:bottom w:w="0" w:type="dxa"/>
              <w:right w:w="15" w:type="dxa"/>
            </w:tcMar>
            <w:vAlign w:val="center"/>
          </w:tcPr>
          <w:p w:rsidR="00122D42" w:rsidRDefault="0041088A">
            <w:pPr>
              <w:keepNext/>
              <w:spacing w:after="100"/>
              <w:ind w:left="100" w:right="100"/>
              <w:jc w:val="center"/>
              <w:rPr>
                <w:rFonts w:eastAsia="Arial" w:cs="Arial"/>
                <w:color w:val="000000"/>
                <w:sz w:val="14"/>
                <w:szCs w:val="14"/>
              </w:rPr>
            </w:pPr>
            <w:r>
              <w:rPr>
                <w:rFonts w:eastAsia="Arial" w:cs="Arial"/>
                <w:b/>
                <w:color w:val="000000" w:themeColor="text1"/>
                <w:sz w:val="14"/>
                <w:szCs w:val="14"/>
              </w:rPr>
              <w:t>Clinical Data</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b/>
                <w:bCs/>
                <w:color w:val="000000"/>
                <w:sz w:val="14"/>
                <w:szCs w:val="14"/>
              </w:rPr>
            </w:pPr>
            <w:r>
              <w:rPr>
                <w:rFonts w:eastAsia="Arial" w:cs="Arial"/>
                <w:b/>
                <w:bCs/>
                <w:color w:val="000000"/>
                <w:sz w:val="14"/>
                <w:szCs w:val="14"/>
              </w:rPr>
              <w:t xml:space="preserve">Diagnosis </w:t>
            </w:r>
            <w:r>
              <w:rPr>
                <w:rFonts w:eastAsia="Arial" w:cs="Arial"/>
                <w:b/>
                <w:bCs/>
                <w:color w:val="000000"/>
                <w:sz w:val="14"/>
                <w:szCs w:val="14"/>
              </w:rPr>
              <w:t>stage</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0.004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443</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Initial diagnosis</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273 (61.6%)</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73 (68.9%)</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58 (53.2%)</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88 (71.5%)</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54 (51.4%)</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Progression</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132 (29.8%)</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24 (22.6%)</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39 (35.8%)</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25 (20.3%)</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44 (41.9%)</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Relapse </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38 (8.58%) </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9 (8.49%) </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12 (11.0%)</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10 (8.13%)</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7 (6.67%) </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b/>
                <w:color w:val="000000"/>
                <w:sz w:val="14"/>
                <w:szCs w:val="14"/>
              </w:rPr>
            </w:pPr>
            <w:r>
              <w:rPr>
                <w:rFonts w:eastAsia="Arial" w:cs="Arial"/>
                <w:b/>
                <w:color w:val="000000"/>
                <w:sz w:val="14"/>
                <w:szCs w:val="14"/>
              </w:rPr>
              <w:t>Intention of treatment</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&lt;0.001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443</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Curative</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194 (43.8%)</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57 (53.8%)</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26 (23.9%)</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68 (55.3%)</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43 (41.0%)</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Palliative</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157 (35.4%)</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19 (17.9%)</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38 (34.9%)</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51 (41.5%)</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49 (46.7%)</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Unclear</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92 (20.8%) </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30 (28.3%)</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45 (41.3%)</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4 (3.25%) </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13 (12.4%)</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b/>
                <w:color w:val="000000"/>
                <w:sz w:val="14"/>
                <w:szCs w:val="14"/>
              </w:rPr>
            </w:pPr>
            <w:r>
              <w:rPr>
                <w:rFonts w:eastAsia="Arial" w:cs="Arial"/>
                <w:b/>
                <w:color w:val="000000"/>
                <w:sz w:val="14"/>
                <w:szCs w:val="14"/>
              </w:rPr>
              <w:t>Chronic condition</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0.128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442</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Yes</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305 (69.0%)</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75 (70.8%)</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83 (76.9%)</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81 (65.9%)</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66 (62.9%)</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No</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137 (31.0%)</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31 (29.2%)</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25 (23.1%)</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42 (34.1%)</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39 (37.1%)</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b/>
                <w:color w:val="000000"/>
                <w:sz w:val="14"/>
                <w:szCs w:val="14"/>
              </w:rPr>
              <w:t>Main Cancer Diagnosis</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&lt;0.001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443</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Breast cancer</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167 (37.7%)</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58 (54.7%)</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31 (28.4%)</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55 (44.7%)</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23 (21.9%)</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Other</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117 (26.4%)</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24 (22.6%)</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39 (35.8%)</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18 (14.6%)</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36 (34.3%)</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Gastrointestinal</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103 (23.3%)</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7 (6.60%) </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26 (23.9%)</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35 (28.5%)</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35 (33.3%)</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bottom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Gynaecological</w:t>
            </w:r>
          </w:p>
        </w:tc>
        <w:tc>
          <w:tcPr>
            <w:tcW w:w="1121"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56 (12.6%) </w:t>
            </w:r>
          </w:p>
        </w:tc>
        <w:tc>
          <w:tcPr>
            <w:tcW w:w="13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17 (16.0%)</w:t>
            </w:r>
          </w:p>
        </w:tc>
        <w:tc>
          <w:tcPr>
            <w:tcW w:w="1237"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13 (11.9%)</w:t>
            </w:r>
          </w:p>
        </w:tc>
        <w:tc>
          <w:tcPr>
            <w:tcW w:w="123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15 (12.2%)</w:t>
            </w:r>
          </w:p>
        </w:tc>
        <w:tc>
          <w:tcPr>
            <w:tcW w:w="108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11 (10.5%)</w:t>
            </w:r>
          </w:p>
        </w:tc>
        <w:tc>
          <w:tcPr>
            <w:tcW w:w="828"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top w:val="nil"/>
              <w:left w:val="nil"/>
              <w:bottom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top w:val="nil"/>
              <w:left w:val="nil"/>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b/>
                <w:color w:val="000000"/>
                <w:sz w:val="14"/>
                <w:szCs w:val="14"/>
              </w:rPr>
            </w:pPr>
            <w:r>
              <w:rPr>
                <w:rFonts w:eastAsia="Arial" w:cs="Arial"/>
                <w:b/>
                <w:color w:val="000000"/>
                <w:sz w:val="14"/>
                <w:szCs w:val="14"/>
              </w:rPr>
              <w:t>Metastases</w:t>
            </w:r>
          </w:p>
        </w:tc>
        <w:tc>
          <w:tcPr>
            <w:tcW w:w="1121" w:type="dxa"/>
            <w:tcBorders>
              <w:top w:val="nil"/>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328" w:type="dxa"/>
            <w:tcBorders>
              <w:top w:val="nil"/>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7" w:type="dxa"/>
            <w:tcBorders>
              <w:top w:val="nil"/>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238" w:type="dxa"/>
            <w:tcBorders>
              <w:top w:val="nil"/>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1082" w:type="dxa"/>
            <w:tcBorders>
              <w:top w:val="nil"/>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828" w:type="dxa"/>
            <w:tcBorders>
              <w:top w:val="nil"/>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0.001 </w:t>
            </w:r>
          </w:p>
        </w:tc>
        <w:tc>
          <w:tcPr>
            <w:tcW w:w="552" w:type="dxa"/>
            <w:tcBorders>
              <w:top w:val="nil"/>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418</w:t>
            </w:r>
          </w:p>
        </w:tc>
      </w:tr>
      <w:tr w:rsidR="00122D42">
        <w:trPr>
          <w:trHeight w:val="259"/>
        </w:trPr>
        <w:tc>
          <w:tcPr>
            <w:tcW w:w="2012" w:type="dxa"/>
            <w:tcBorders>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Yes</w:t>
            </w:r>
          </w:p>
        </w:tc>
        <w:tc>
          <w:tcPr>
            <w:tcW w:w="1121" w:type="dxa"/>
            <w:tcBorders>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220 (52.6%)</w:t>
            </w:r>
          </w:p>
        </w:tc>
        <w:tc>
          <w:tcPr>
            <w:tcW w:w="1328" w:type="dxa"/>
            <w:tcBorders>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68 (67.3%)</w:t>
            </w:r>
          </w:p>
        </w:tc>
        <w:tc>
          <w:tcPr>
            <w:tcW w:w="1237" w:type="dxa"/>
            <w:tcBorders>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39 (41.5%)</w:t>
            </w:r>
          </w:p>
        </w:tc>
        <w:tc>
          <w:tcPr>
            <w:tcW w:w="1238" w:type="dxa"/>
            <w:tcBorders>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68 (55.3%)</w:t>
            </w:r>
          </w:p>
        </w:tc>
        <w:tc>
          <w:tcPr>
            <w:tcW w:w="1082" w:type="dxa"/>
            <w:tcBorders>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45 (45.0%)</w:t>
            </w:r>
          </w:p>
        </w:tc>
        <w:tc>
          <w:tcPr>
            <w:tcW w:w="828" w:type="dxa"/>
            <w:tcBorders>
              <w:left w:val="nil"/>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lef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r w:rsidR="00122D42">
        <w:trPr>
          <w:trHeight w:val="259"/>
        </w:trPr>
        <w:tc>
          <w:tcPr>
            <w:tcW w:w="2012" w:type="dxa"/>
            <w:tcBorders>
              <w:bottom w:val="single" w:sz="4" w:space="0" w:color="auto"/>
              <w:right w:val="nil"/>
            </w:tcBorders>
            <w:shd w:val="clear" w:color="auto" w:fill="auto"/>
            <w:tcMar>
              <w:top w:w="15" w:type="dxa"/>
              <w:left w:w="15" w:type="dxa"/>
              <w:bottom w:w="0" w:type="dxa"/>
              <w:right w:w="15" w:type="dxa"/>
            </w:tcMa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No</w:t>
            </w:r>
          </w:p>
        </w:tc>
        <w:tc>
          <w:tcPr>
            <w:tcW w:w="1121" w:type="dxa"/>
            <w:tcBorders>
              <w:left w:val="nil"/>
              <w:bottom w:val="single" w:sz="4" w:space="0" w:color="auto"/>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198 (47.4%)</w:t>
            </w:r>
          </w:p>
        </w:tc>
        <w:tc>
          <w:tcPr>
            <w:tcW w:w="1328" w:type="dxa"/>
            <w:tcBorders>
              <w:left w:val="nil"/>
              <w:bottom w:val="single" w:sz="4" w:space="0" w:color="auto"/>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33 (32.7%)</w:t>
            </w:r>
          </w:p>
        </w:tc>
        <w:tc>
          <w:tcPr>
            <w:tcW w:w="1237" w:type="dxa"/>
            <w:tcBorders>
              <w:left w:val="nil"/>
              <w:bottom w:val="single" w:sz="4" w:space="0" w:color="auto"/>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55 (58.5%)</w:t>
            </w:r>
          </w:p>
        </w:tc>
        <w:tc>
          <w:tcPr>
            <w:tcW w:w="1238" w:type="dxa"/>
            <w:tcBorders>
              <w:left w:val="nil"/>
              <w:bottom w:val="single" w:sz="4" w:space="0" w:color="auto"/>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55 (44.7%)</w:t>
            </w:r>
          </w:p>
        </w:tc>
        <w:tc>
          <w:tcPr>
            <w:tcW w:w="1082" w:type="dxa"/>
            <w:tcBorders>
              <w:left w:val="nil"/>
              <w:bottom w:val="single" w:sz="4" w:space="0" w:color="auto"/>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55 (55.0%)</w:t>
            </w:r>
          </w:p>
        </w:tc>
        <w:tc>
          <w:tcPr>
            <w:tcW w:w="828" w:type="dxa"/>
            <w:tcBorders>
              <w:left w:val="nil"/>
              <w:bottom w:val="single" w:sz="4" w:space="0" w:color="auto"/>
              <w:right w:val="nil"/>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c>
          <w:tcPr>
            <w:tcW w:w="552" w:type="dxa"/>
            <w:tcBorders>
              <w:left w:val="nil"/>
              <w:bottom w:val="single" w:sz="4" w:space="0" w:color="auto"/>
            </w:tcBorders>
            <w:shd w:val="clear" w:color="auto" w:fill="auto"/>
            <w:tcMar>
              <w:top w:w="15" w:type="dxa"/>
              <w:left w:w="15" w:type="dxa"/>
              <w:bottom w:w="0" w:type="dxa"/>
              <w:right w:w="15" w:type="dxa"/>
            </w:tcMar>
            <w:vAlign w:val="center"/>
          </w:tcPr>
          <w:p w:rsidR="00122D42" w:rsidRDefault="0041088A">
            <w:pPr>
              <w:keepNext/>
              <w:spacing w:after="100"/>
              <w:ind w:left="100" w:right="100"/>
              <w:rPr>
                <w:rFonts w:eastAsia="Arial" w:cs="Arial"/>
                <w:color w:val="000000"/>
                <w:sz w:val="14"/>
                <w:szCs w:val="14"/>
              </w:rPr>
            </w:pPr>
            <w:r>
              <w:rPr>
                <w:rFonts w:eastAsia="Arial" w:cs="Arial"/>
                <w:color w:val="000000"/>
                <w:sz w:val="14"/>
                <w:szCs w:val="14"/>
              </w:rPr>
              <w:t xml:space="preserve">   </w:t>
            </w:r>
          </w:p>
        </w:tc>
      </w:tr>
    </w:tbl>
    <w:p w:rsidR="00122D42" w:rsidRDefault="0041088A">
      <w:pPr>
        <w:pStyle w:val="3"/>
        <w:rPr>
          <w:lang w:val="en-US" w:eastAsia="en-US"/>
        </w:rPr>
      </w:pPr>
      <w:r>
        <w:rPr>
          <w:lang w:val="en-US" w:eastAsia="en-US"/>
        </w:rPr>
        <w:br w:type="page"/>
      </w:r>
      <w:r>
        <w:rPr>
          <w:lang w:val="en-US" w:eastAsia="en-US"/>
        </w:rPr>
        <w:lastRenderedPageBreak/>
        <w:t>Supplement 6: Level changes (Control and Intervention Group)</w:t>
      </w:r>
    </w:p>
    <w:p w:rsidR="00122D42" w:rsidRDefault="00122D42">
      <w:pPr>
        <w:rPr>
          <w:lang w:val="en-US" w:eastAsia="en-US"/>
        </w:rPr>
      </w:pPr>
    </w:p>
    <w:p w:rsidR="00122D42" w:rsidRDefault="0041088A">
      <w:pPr>
        <w:rPr>
          <w:lang w:val="en-US" w:eastAsia="en-US"/>
        </w:rPr>
      </w:pPr>
      <w:r>
        <w:rPr>
          <w:lang w:val="en-US" w:eastAsia="en-US"/>
        </w:rPr>
        <w:t>Figure 6a Level changes (Control and Intervention Group)</w:t>
      </w:r>
    </w:p>
    <w:p w:rsidR="00122D42" w:rsidRDefault="0041088A">
      <w:pPr>
        <w:rPr>
          <w:rStyle w:val="3Char"/>
        </w:rPr>
      </w:pPr>
      <w:r>
        <w:rPr>
          <w:noProof/>
          <w:lang w:val="en-US" w:eastAsia="zh-CN"/>
        </w:rPr>
        <w:drawing>
          <wp:inline distT="0" distB="0" distL="0" distR="0">
            <wp:extent cx="5638800" cy="4027714"/>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4931" cy="4032094"/>
                    </a:xfrm>
                    <a:prstGeom prst="rect">
                      <a:avLst/>
                    </a:prstGeom>
                    <a:noFill/>
                    <a:ln>
                      <a:noFill/>
                    </a:ln>
                  </pic:spPr>
                </pic:pic>
              </a:graphicData>
            </a:graphic>
          </wp:inline>
        </w:drawing>
      </w:r>
    </w:p>
    <w:p w:rsidR="00122D42" w:rsidRDefault="0041088A">
      <w:pPr>
        <w:rPr>
          <w:lang w:val="en-US" w:eastAsia="en-US"/>
        </w:rPr>
      </w:pPr>
      <w:r>
        <w:rPr>
          <w:lang w:val="en-US" w:eastAsia="en-US"/>
        </w:rPr>
        <w:t>Figure 6b Level changes (Intervention Group)</w:t>
      </w:r>
    </w:p>
    <w:p w:rsidR="00122D42" w:rsidRDefault="00122D42">
      <w:pPr>
        <w:rPr>
          <w:rStyle w:val="3Char"/>
          <w:lang w:val="en-US"/>
        </w:rPr>
      </w:pPr>
    </w:p>
    <w:p w:rsidR="00122D42" w:rsidRDefault="0041088A">
      <w:pPr>
        <w:rPr>
          <w:rStyle w:val="3Char"/>
          <w:lang w:val="en-US"/>
        </w:rPr>
      </w:pPr>
      <w:r>
        <w:rPr>
          <w:noProof/>
          <w:lang w:val="en-US" w:eastAsia="zh-CN"/>
        </w:rPr>
        <w:drawing>
          <wp:inline distT="0" distB="0" distL="0" distR="0">
            <wp:extent cx="5618480" cy="4013200"/>
            <wp:effectExtent l="0" t="0" r="1270" b="635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26171" cy="4018694"/>
                    </a:xfrm>
                    <a:prstGeom prst="rect">
                      <a:avLst/>
                    </a:prstGeom>
                    <a:noFill/>
                    <a:ln>
                      <a:noFill/>
                    </a:ln>
                  </pic:spPr>
                </pic:pic>
              </a:graphicData>
            </a:graphic>
          </wp:inline>
        </w:drawing>
      </w:r>
      <w:r>
        <w:rPr>
          <w:rStyle w:val="3Char"/>
          <w:lang w:val="en-US"/>
        </w:rPr>
        <w:t xml:space="preserve"> </w:t>
      </w:r>
      <w:r>
        <w:rPr>
          <w:rStyle w:val="3Char"/>
          <w:lang w:val="en-US"/>
        </w:rPr>
        <w:br w:type="page"/>
      </w:r>
    </w:p>
    <w:p w:rsidR="00122D42" w:rsidRDefault="0041088A">
      <w:pPr>
        <w:pStyle w:val="3"/>
        <w:rPr>
          <w:rStyle w:val="3Char"/>
          <w:lang w:val="en-US"/>
        </w:rPr>
      </w:pPr>
      <w:r>
        <w:rPr>
          <w:rStyle w:val="3Char"/>
          <w:lang w:val="en-US"/>
        </w:rPr>
        <w:lastRenderedPageBreak/>
        <w:t xml:space="preserve">Supplement 7: </w:t>
      </w:r>
      <w:r>
        <w:rPr>
          <w:rStyle w:val="3Char"/>
          <w:lang w:val="en-US"/>
        </w:rPr>
        <w:t>ANCOVA for patient activation measure (PAM-13) on 12-week (T2) post-test scores.</w:t>
      </w:r>
    </w:p>
    <w:p w:rsidR="00122D42" w:rsidRDefault="00122D42">
      <w:pPr>
        <w:rPr>
          <w:rStyle w:val="3Char"/>
          <w:lang w:val="en-US"/>
        </w:rPr>
      </w:pPr>
    </w:p>
    <w:tbl>
      <w:tblPr>
        <w:tblStyle w:val="a9"/>
        <w:tblW w:w="7513" w:type="dxa"/>
        <w:tblLook w:val="04A0" w:firstRow="1" w:lastRow="0" w:firstColumn="1" w:lastColumn="0" w:noHBand="0" w:noVBand="1"/>
      </w:tblPr>
      <w:tblGrid>
        <w:gridCol w:w="1741"/>
        <w:gridCol w:w="872"/>
        <w:gridCol w:w="1821"/>
        <w:gridCol w:w="1827"/>
        <w:gridCol w:w="1252"/>
      </w:tblGrid>
      <w:tr w:rsidR="00122D42">
        <w:trPr>
          <w:trHeight w:val="277"/>
        </w:trPr>
        <w:tc>
          <w:tcPr>
            <w:tcW w:w="0" w:type="auto"/>
            <w:vMerge w:val="restart"/>
            <w:tcBorders>
              <w:left w:val="nil"/>
              <w:right w:val="nil"/>
            </w:tcBorders>
          </w:tcPr>
          <w:p w:rsidR="00122D42" w:rsidRDefault="0041088A">
            <w:pPr>
              <w:rPr>
                <w:b/>
                <w:bCs/>
                <w:lang w:val="en-US"/>
              </w:rPr>
            </w:pPr>
            <w:r>
              <w:rPr>
                <w:b/>
                <w:bCs/>
                <w:lang w:val="en-US"/>
              </w:rPr>
              <w:t>Parameter</w:t>
            </w:r>
          </w:p>
        </w:tc>
        <w:tc>
          <w:tcPr>
            <w:tcW w:w="5772" w:type="dxa"/>
            <w:gridSpan w:val="4"/>
            <w:tcBorders>
              <w:left w:val="nil"/>
              <w:bottom w:val="single" w:sz="4" w:space="0" w:color="auto"/>
              <w:right w:val="nil"/>
            </w:tcBorders>
          </w:tcPr>
          <w:p w:rsidR="00122D42" w:rsidRDefault="0041088A">
            <w:pPr>
              <w:jc w:val="center"/>
              <w:rPr>
                <w:b/>
                <w:bCs/>
                <w:lang w:val="en-US"/>
              </w:rPr>
            </w:pPr>
            <w:r>
              <w:rPr>
                <w:b/>
                <w:bCs/>
                <w:lang w:val="en-US"/>
              </w:rPr>
              <w:t xml:space="preserve">PAM-13 Score </w:t>
            </w:r>
            <w:r>
              <w:rPr>
                <w:b/>
                <w:bCs/>
                <w:vertAlign w:val="superscript"/>
                <w:lang w:val="en-US"/>
              </w:rPr>
              <w:t>$</w:t>
            </w:r>
          </w:p>
        </w:tc>
      </w:tr>
      <w:tr w:rsidR="00122D42">
        <w:trPr>
          <w:trHeight w:val="277"/>
        </w:trPr>
        <w:tc>
          <w:tcPr>
            <w:tcW w:w="0" w:type="auto"/>
            <w:vMerge/>
            <w:tcBorders>
              <w:left w:val="nil"/>
              <w:right w:val="nil"/>
            </w:tcBorders>
          </w:tcPr>
          <w:p w:rsidR="00122D42" w:rsidRDefault="00122D42">
            <w:pPr>
              <w:rPr>
                <w:lang w:val="en-US"/>
              </w:rPr>
            </w:pPr>
          </w:p>
        </w:tc>
        <w:tc>
          <w:tcPr>
            <w:tcW w:w="0" w:type="auto"/>
            <w:tcBorders>
              <w:left w:val="nil"/>
              <w:right w:val="nil"/>
            </w:tcBorders>
          </w:tcPr>
          <w:p w:rsidR="00122D42" w:rsidRDefault="0041088A">
            <w:pPr>
              <w:jc w:val="center"/>
              <w:rPr>
                <w:lang w:val="en-US"/>
              </w:rPr>
            </w:pPr>
            <w:proofErr w:type="spellStart"/>
            <w:r>
              <w:rPr>
                <w:b/>
                <w:bCs/>
                <w:lang w:val="en-US"/>
              </w:rPr>
              <w:t>numDF</w:t>
            </w:r>
            <w:proofErr w:type="spellEnd"/>
          </w:p>
        </w:tc>
        <w:tc>
          <w:tcPr>
            <w:tcW w:w="1821" w:type="dxa"/>
            <w:tcBorders>
              <w:left w:val="nil"/>
              <w:right w:val="nil"/>
            </w:tcBorders>
          </w:tcPr>
          <w:p w:rsidR="00122D42" w:rsidRDefault="0041088A">
            <w:pPr>
              <w:jc w:val="center"/>
              <w:rPr>
                <w:lang w:val="en-US"/>
              </w:rPr>
            </w:pPr>
            <w:proofErr w:type="spellStart"/>
            <w:r>
              <w:rPr>
                <w:b/>
                <w:bCs/>
                <w:lang w:val="en-US"/>
              </w:rPr>
              <w:t>denDF</w:t>
            </w:r>
            <w:proofErr w:type="spellEnd"/>
          </w:p>
        </w:tc>
        <w:tc>
          <w:tcPr>
            <w:tcW w:w="1827" w:type="dxa"/>
            <w:tcBorders>
              <w:left w:val="nil"/>
              <w:right w:val="nil"/>
            </w:tcBorders>
          </w:tcPr>
          <w:p w:rsidR="00122D42" w:rsidRDefault="0041088A">
            <w:pPr>
              <w:jc w:val="center"/>
              <w:rPr>
                <w:lang w:val="en-US"/>
              </w:rPr>
            </w:pPr>
            <w:r>
              <w:rPr>
                <w:b/>
                <w:bCs/>
                <w:lang w:val="en-US"/>
              </w:rPr>
              <w:t>F-value</w:t>
            </w:r>
          </w:p>
        </w:tc>
        <w:tc>
          <w:tcPr>
            <w:tcW w:w="1252" w:type="dxa"/>
            <w:tcBorders>
              <w:left w:val="nil"/>
              <w:right w:val="nil"/>
            </w:tcBorders>
          </w:tcPr>
          <w:p w:rsidR="00122D42" w:rsidRDefault="0041088A">
            <w:pPr>
              <w:jc w:val="center"/>
              <w:rPr>
                <w:b/>
                <w:bCs/>
                <w:lang w:val="en-US"/>
              </w:rPr>
            </w:pPr>
            <w:r>
              <w:rPr>
                <w:b/>
                <w:bCs/>
                <w:lang w:val="en-US"/>
              </w:rPr>
              <w:t>p</w:t>
            </w:r>
          </w:p>
        </w:tc>
      </w:tr>
      <w:tr w:rsidR="00122D42">
        <w:trPr>
          <w:trHeight w:val="262"/>
        </w:trPr>
        <w:tc>
          <w:tcPr>
            <w:tcW w:w="0" w:type="auto"/>
            <w:tcBorders>
              <w:left w:val="nil"/>
              <w:bottom w:val="nil"/>
              <w:right w:val="nil"/>
            </w:tcBorders>
            <w:shd w:val="clear" w:color="auto" w:fill="EEECE1" w:themeFill="background2"/>
          </w:tcPr>
          <w:p w:rsidR="00122D42" w:rsidRDefault="0041088A">
            <w:pPr>
              <w:rPr>
                <w:b/>
                <w:bCs/>
                <w:i/>
                <w:iCs/>
                <w:lang w:val="en-US"/>
              </w:rPr>
            </w:pPr>
            <w:r>
              <w:rPr>
                <w:b/>
                <w:bCs/>
                <w:i/>
                <w:iCs/>
                <w:lang w:val="en-US"/>
              </w:rPr>
              <w:t>Primary Analysis</w:t>
            </w:r>
          </w:p>
        </w:tc>
        <w:tc>
          <w:tcPr>
            <w:tcW w:w="0" w:type="auto"/>
            <w:tcBorders>
              <w:left w:val="nil"/>
              <w:bottom w:val="nil"/>
              <w:right w:val="nil"/>
            </w:tcBorders>
            <w:shd w:val="clear" w:color="auto" w:fill="EEECE1" w:themeFill="background2"/>
          </w:tcPr>
          <w:p w:rsidR="00122D42" w:rsidRDefault="00122D42">
            <w:pPr>
              <w:rPr>
                <w:lang w:val="en-US"/>
              </w:rPr>
            </w:pPr>
          </w:p>
        </w:tc>
        <w:tc>
          <w:tcPr>
            <w:tcW w:w="1821" w:type="dxa"/>
            <w:tcBorders>
              <w:left w:val="nil"/>
              <w:bottom w:val="nil"/>
              <w:right w:val="nil"/>
            </w:tcBorders>
            <w:shd w:val="clear" w:color="auto" w:fill="EEECE1" w:themeFill="background2"/>
          </w:tcPr>
          <w:p w:rsidR="00122D42" w:rsidRDefault="00122D42">
            <w:pPr>
              <w:rPr>
                <w:lang w:val="en-US"/>
              </w:rPr>
            </w:pPr>
          </w:p>
        </w:tc>
        <w:tc>
          <w:tcPr>
            <w:tcW w:w="1827" w:type="dxa"/>
            <w:tcBorders>
              <w:left w:val="nil"/>
              <w:bottom w:val="nil"/>
              <w:right w:val="nil"/>
            </w:tcBorders>
            <w:shd w:val="clear" w:color="auto" w:fill="EEECE1" w:themeFill="background2"/>
          </w:tcPr>
          <w:p w:rsidR="00122D42" w:rsidRDefault="00122D42">
            <w:pPr>
              <w:rPr>
                <w:b/>
                <w:bCs/>
                <w:lang w:val="en-US"/>
              </w:rPr>
            </w:pPr>
          </w:p>
        </w:tc>
        <w:tc>
          <w:tcPr>
            <w:tcW w:w="1252" w:type="dxa"/>
            <w:tcBorders>
              <w:left w:val="nil"/>
              <w:bottom w:val="nil"/>
              <w:right w:val="nil"/>
            </w:tcBorders>
            <w:shd w:val="clear" w:color="auto" w:fill="EEECE1" w:themeFill="background2"/>
          </w:tcPr>
          <w:p w:rsidR="00122D42" w:rsidRDefault="00122D42">
            <w:pPr>
              <w:rPr>
                <w:highlight w:val="yellow"/>
                <w:lang w:val="en-US"/>
              </w:rPr>
            </w:pPr>
          </w:p>
        </w:tc>
      </w:tr>
      <w:tr w:rsidR="00122D42">
        <w:trPr>
          <w:trHeight w:val="262"/>
        </w:trPr>
        <w:tc>
          <w:tcPr>
            <w:tcW w:w="7513" w:type="dxa"/>
            <w:gridSpan w:val="5"/>
            <w:tcBorders>
              <w:left w:val="nil"/>
              <w:bottom w:val="nil"/>
              <w:right w:val="nil"/>
            </w:tcBorders>
          </w:tcPr>
          <w:p w:rsidR="00122D42" w:rsidRDefault="0041088A">
            <w:pPr>
              <w:rPr>
                <w:highlight w:val="yellow"/>
                <w:lang w:val="en-US"/>
              </w:rPr>
            </w:pPr>
            <w:r>
              <w:rPr>
                <w:b/>
                <w:bCs/>
                <w:i/>
                <w:iCs/>
                <w:lang w:val="en-US"/>
              </w:rPr>
              <w:t>MODEL 1</w:t>
            </w:r>
          </w:p>
        </w:tc>
      </w:tr>
      <w:tr w:rsidR="00122D42">
        <w:trPr>
          <w:trHeight w:val="262"/>
        </w:trPr>
        <w:tc>
          <w:tcPr>
            <w:tcW w:w="0" w:type="auto"/>
            <w:tcBorders>
              <w:left w:val="nil"/>
              <w:bottom w:val="nil"/>
              <w:right w:val="nil"/>
            </w:tcBorders>
          </w:tcPr>
          <w:p w:rsidR="00122D42" w:rsidRDefault="0041088A">
            <w:pPr>
              <w:rPr>
                <w:i/>
                <w:iCs/>
                <w:lang w:val="en-US"/>
              </w:rPr>
            </w:pPr>
            <w:r>
              <w:rPr>
                <w:i/>
                <w:iCs/>
                <w:lang w:val="en-US"/>
              </w:rPr>
              <w:t>Intercept</w:t>
            </w:r>
          </w:p>
        </w:tc>
        <w:tc>
          <w:tcPr>
            <w:tcW w:w="0" w:type="auto"/>
            <w:tcBorders>
              <w:left w:val="nil"/>
              <w:bottom w:val="nil"/>
              <w:right w:val="nil"/>
            </w:tcBorders>
          </w:tcPr>
          <w:p w:rsidR="00122D42" w:rsidRDefault="0041088A">
            <w:pPr>
              <w:jc w:val="center"/>
              <w:rPr>
                <w:lang w:val="en-US"/>
              </w:rPr>
            </w:pPr>
            <w:r>
              <w:rPr>
                <w:lang w:val="en-US"/>
              </w:rPr>
              <w:t>1</w:t>
            </w:r>
          </w:p>
        </w:tc>
        <w:tc>
          <w:tcPr>
            <w:tcW w:w="1821" w:type="dxa"/>
            <w:tcBorders>
              <w:left w:val="nil"/>
              <w:bottom w:val="nil"/>
              <w:right w:val="nil"/>
            </w:tcBorders>
          </w:tcPr>
          <w:p w:rsidR="00122D42" w:rsidRDefault="0041088A">
            <w:pPr>
              <w:jc w:val="center"/>
              <w:rPr>
                <w:highlight w:val="yellow"/>
                <w:lang w:val="en-US"/>
              </w:rPr>
            </w:pPr>
            <w:r>
              <w:rPr>
                <w:lang w:val="en-US"/>
              </w:rPr>
              <w:t>1054.05</w:t>
            </w:r>
          </w:p>
        </w:tc>
        <w:tc>
          <w:tcPr>
            <w:tcW w:w="1827" w:type="dxa"/>
            <w:tcBorders>
              <w:left w:val="nil"/>
              <w:bottom w:val="nil"/>
              <w:right w:val="nil"/>
            </w:tcBorders>
          </w:tcPr>
          <w:p w:rsidR="00122D42" w:rsidRDefault="0041088A">
            <w:pPr>
              <w:jc w:val="center"/>
              <w:rPr>
                <w:lang w:val="en-US"/>
              </w:rPr>
            </w:pPr>
            <w:r>
              <w:rPr>
                <w:lang w:val="en-US"/>
              </w:rPr>
              <w:t>172.149</w:t>
            </w:r>
          </w:p>
        </w:tc>
        <w:tc>
          <w:tcPr>
            <w:tcW w:w="1252" w:type="dxa"/>
            <w:tcBorders>
              <w:left w:val="nil"/>
              <w:bottom w:val="nil"/>
              <w:right w:val="nil"/>
            </w:tcBorders>
          </w:tcPr>
          <w:p w:rsidR="00122D42" w:rsidRDefault="0041088A">
            <w:pPr>
              <w:jc w:val="center"/>
              <w:rPr>
                <w:highlight w:val="yellow"/>
                <w:lang w:val="en-US"/>
              </w:rPr>
            </w:pPr>
            <w:r>
              <w:rPr>
                <w:b/>
                <w:bCs/>
                <w:lang w:val="en-US"/>
              </w:rPr>
              <w:t>&lt; 0.001</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Group</w:t>
            </w:r>
          </w:p>
        </w:tc>
        <w:tc>
          <w:tcPr>
            <w:tcW w:w="0" w:type="auto"/>
            <w:tcBorders>
              <w:top w:val="nil"/>
              <w:left w:val="nil"/>
              <w:bottom w:val="nil"/>
              <w:right w:val="nil"/>
            </w:tcBorders>
          </w:tcPr>
          <w:p w:rsidR="00122D42" w:rsidRDefault="0041088A">
            <w:pPr>
              <w:jc w:val="center"/>
              <w:rPr>
                <w:lang w:val="en-US"/>
              </w:rPr>
            </w:pPr>
            <w:r>
              <w:rPr>
                <w:lang w:val="en-US"/>
              </w:rPr>
              <w:t>1</w:t>
            </w:r>
          </w:p>
        </w:tc>
        <w:tc>
          <w:tcPr>
            <w:tcW w:w="1821" w:type="dxa"/>
            <w:tcBorders>
              <w:top w:val="nil"/>
              <w:left w:val="nil"/>
              <w:bottom w:val="nil"/>
              <w:right w:val="nil"/>
            </w:tcBorders>
          </w:tcPr>
          <w:p w:rsidR="00122D42" w:rsidRDefault="0041088A">
            <w:pPr>
              <w:jc w:val="center"/>
              <w:rPr>
                <w:highlight w:val="yellow"/>
                <w:lang w:val="en-US"/>
              </w:rPr>
            </w:pPr>
            <w:r>
              <w:rPr>
                <w:lang w:val="en-US"/>
              </w:rPr>
              <w:t>1866.82</w:t>
            </w:r>
          </w:p>
        </w:tc>
        <w:tc>
          <w:tcPr>
            <w:tcW w:w="1827" w:type="dxa"/>
            <w:tcBorders>
              <w:top w:val="nil"/>
              <w:left w:val="nil"/>
              <w:bottom w:val="nil"/>
              <w:right w:val="nil"/>
            </w:tcBorders>
          </w:tcPr>
          <w:p w:rsidR="00122D42" w:rsidRDefault="0041088A">
            <w:pPr>
              <w:jc w:val="center"/>
              <w:rPr>
                <w:lang w:val="en-US"/>
              </w:rPr>
            </w:pPr>
            <w:r>
              <w:rPr>
                <w:lang w:val="en-US"/>
              </w:rPr>
              <w:t>8.623</w:t>
            </w:r>
          </w:p>
        </w:tc>
        <w:tc>
          <w:tcPr>
            <w:tcW w:w="1252" w:type="dxa"/>
            <w:tcBorders>
              <w:top w:val="nil"/>
              <w:left w:val="nil"/>
              <w:bottom w:val="nil"/>
              <w:right w:val="nil"/>
            </w:tcBorders>
          </w:tcPr>
          <w:p w:rsidR="00122D42" w:rsidRDefault="0041088A">
            <w:pPr>
              <w:jc w:val="center"/>
              <w:rPr>
                <w:b/>
                <w:bCs/>
                <w:highlight w:val="yellow"/>
                <w:lang w:val="en-US"/>
              </w:rPr>
            </w:pPr>
            <w:r>
              <w:rPr>
                <w:b/>
                <w:bCs/>
                <w:lang w:val="en-US"/>
              </w:rPr>
              <w:t>0.003</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CCC study site</w:t>
            </w:r>
          </w:p>
        </w:tc>
        <w:tc>
          <w:tcPr>
            <w:tcW w:w="0" w:type="auto"/>
            <w:tcBorders>
              <w:top w:val="nil"/>
              <w:left w:val="nil"/>
              <w:bottom w:val="nil"/>
              <w:right w:val="nil"/>
            </w:tcBorders>
          </w:tcPr>
          <w:p w:rsidR="00122D42" w:rsidRDefault="0041088A">
            <w:pPr>
              <w:jc w:val="center"/>
              <w:rPr>
                <w:lang w:val="en-US"/>
              </w:rPr>
            </w:pPr>
            <w:r>
              <w:rPr>
                <w:lang w:val="en-US"/>
              </w:rPr>
              <w:t>3</w:t>
            </w:r>
          </w:p>
        </w:tc>
        <w:tc>
          <w:tcPr>
            <w:tcW w:w="1821" w:type="dxa"/>
            <w:tcBorders>
              <w:top w:val="nil"/>
              <w:left w:val="nil"/>
              <w:bottom w:val="nil"/>
              <w:right w:val="nil"/>
            </w:tcBorders>
          </w:tcPr>
          <w:p w:rsidR="00122D42" w:rsidRDefault="0041088A">
            <w:pPr>
              <w:jc w:val="center"/>
              <w:rPr>
                <w:highlight w:val="yellow"/>
                <w:lang w:val="en-US"/>
              </w:rPr>
            </w:pPr>
            <w:r>
              <w:rPr>
                <w:lang w:val="en-US"/>
              </w:rPr>
              <w:t>2225.42</w:t>
            </w:r>
          </w:p>
        </w:tc>
        <w:tc>
          <w:tcPr>
            <w:tcW w:w="1827" w:type="dxa"/>
            <w:tcBorders>
              <w:top w:val="nil"/>
              <w:left w:val="nil"/>
              <w:bottom w:val="nil"/>
              <w:right w:val="nil"/>
            </w:tcBorders>
          </w:tcPr>
          <w:p w:rsidR="00122D42" w:rsidRDefault="0041088A">
            <w:pPr>
              <w:jc w:val="center"/>
              <w:rPr>
                <w:lang w:val="en-US"/>
              </w:rPr>
            </w:pPr>
            <w:r>
              <w:rPr>
                <w:lang w:val="en-US"/>
              </w:rPr>
              <w:t>1.023</w:t>
            </w:r>
          </w:p>
        </w:tc>
        <w:tc>
          <w:tcPr>
            <w:tcW w:w="1252" w:type="dxa"/>
            <w:tcBorders>
              <w:top w:val="nil"/>
              <w:left w:val="nil"/>
              <w:bottom w:val="nil"/>
              <w:right w:val="nil"/>
            </w:tcBorders>
          </w:tcPr>
          <w:p w:rsidR="00122D42" w:rsidRDefault="0041088A">
            <w:pPr>
              <w:jc w:val="center"/>
              <w:rPr>
                <w:highlight w:val="yellow"/>
                <w:lang w:val="en-US"/>
              </w:rPr>
            </w:pPr>
            <w:r>
              <w:rPr>
                <w:lang w:val="en-US"/>
              </w:rPr>
              <w:t>0.381</w:t>
            </w:r>
          </w:p>
        </w:tc>
      </w:tr>
      <w:tr w:rsidR="00122D42">
        <w:trPr>
          <w:trHeight w:val="277"/>
        </w:trPr>
        <w:tc>
          <w:tcPr>
            <w:tcW w:w="0" w:type="auto"/>
            <w:tcBorders>
              <w:top w:val="nil"/>
              <w:left w:val="nil"/>
              <w:bottom w:val="dotted" w:sz="4" w:space="0" w:color="auto"/>
              <w:right w:val="nil"/>
            </w:tcBorders>
          </w:tcPr>
          <w:p w:rsidR="00122D42" w:rsidRDefault="0041088A">
            <w:pPr>
              <w:rPr>
                <w:i/>
                <w:iCs/>
                <w:lang w:val="en-US"/>
              </w:rPr>
            </w:pPr>
            <w:r>
              <w:rPr>
                <w:i/>
                <w:iCs/>
                <w:lang w:val="en-US"/>
              </w:rPr>
              <w:t>Baseline Score</w:t>
            </w:r>
          </w:p>
        </w:tc>
        <w:tc>
          <w:tcPr>
            <w:tcW w:w="0" w:type="auto"/>
            <w:tcBorders>
              <w:top w:val="nil"/>
              <w:left w:val="nil"/>
              <w:bottom w:val="dotted" w:sz="4" w:space="0" w:color="auto"/>
              <w:right w:val="nil"/>
            </w:tcBorders>
          </w:tcPr>
          <w:p w:rsidR="00122D42" w:rsidRDefault="0041088A">
            <w:pPr>
              <w:jc w:val="center"/>
              <w:rPr>
                <w:lang w:val="en-US"/>
              </w:rPr>
            </w:pPr>
            <w:r>
              <w:rPr>
                <w:lang w:val="en-US"/>
              </w:rPr>
              <w:t>1</w:t>
            </w:r>
          </w:p>
        </w:tc>
        <w:tc>
          <w:tcPr>
            <w:tcW w:w="1821" w:type="dxa"/>
            <w:tcBorders>
              <w:top w:val="nil"/>
              <w:left w:val="nil"/>
              <w:bottom w:val="dotted" w:sz="4" w:space="0" w:color="auto"/>
              <w:right w:val="nil"/>
            </w:tcBorders>
          </w:tcPr>
          <w:p w:rsidR="00122D42" w:rsidRDefault="0041088A">
            <w:pPr>
              <w:jc w:val="center"/>
              <w:rPr>
                <w:highlight w:val="yellow"/>
                <w:lang w:val="en-US"/>
              </w:rPr>
            </w:pPr>
            <w:r>
              <w:rPr>
                <w:lang w:val="en-US"/>
              </w:rPr>
              <w:t>1186.08</w:t>
            </w:r>
          </w:p>
        </w:tc>
        <w:tc>
          <w:tcPr>
            <w:tcW w:w="1827" w:type="dxa"/>
            <w:tcBorders>
              <w:top w:val="nil"/>
              <w:left w:val="nil"/>
              <w:bottom w:val="dotted" w:sz="4" w:space="0" w:color="auto"/>
              <w:right w:val="nil"/>
            </w:tcBorders>
          </w:tcPr>
          <w:p w:rsidR="00122D42" w:rsidRDefault="0041088A">
            <w:pPr>
              <w:jc w:val="center"/>
              <w:rPr>
                <w:lang w:val="en-US"/>
              </w:rPr>
            </w:pPr>
            <w:r>
              <w:rPr>
                <w:lang w:val="en-US"/>
              </w:rPr>
              <w:t>272.70</w:t>
            </w:r>
          </w:p>
        </w:tc>
        <w:tc>
          <w:tcPr>
            <w:tcW w:w="1252" w:type="dxa"/>
            <w:tcBorders>
              <w:top w:val="nil"/>
              <w:left w:val="nil"/>
              <w:bottom w:val="dotted" w:sz="4" w:space="0" w:color="auto"/>
              <w:right w:val="nil"/>
            </w:tcBorders>
          </w:tcPr>
          <w:p w:rsidR="00122D42" w:rsidRDefault="0041088A">
            <w:pPr>
              <w:jc w:val="center"/>
              <w:rPr>
                <w:highlight w:val="yellow"/>
                <w:lang w:val="en-US"/>
              </w:rPr>
            </w:pPr>
            <w:r>
              <w:rPr>
                <w:b/>
                <w:bCs/>
                <w:lang w:val="en-US"/>
              </w:rPr>
              <w:t>&lt; 0.001</w:t>
            </w:r>
          </w:p>
        </w:tc>
      </w:tr>
      <w:tr w:rsidR="00122D42">
        <w:trPr>
          <w:trHeight w:val="277"/>
        </w:trPr>
        <w:tc>
          <w:tcPr>
            <w:tcW w:w="0" w:type="auto"/>
            <w:tcBorders>
              <w:top w:val="dotted" w:sz="4" w:space="0" w:color="auto"/>
              <w:left w:val="nil"/>
              <w:bottom w:val="single" w:sz="4" w:space="0" w:color="auto"/>
              <w:right w:val="nil"/>
            </w:tcBorders>
          </w:tcPr>
          <w:p w:rsidR="00122D42" w:rsidRDefault="0041088A">
            <w:pPr>
              <w:rPr>
                <w:i/>
                <w:iCs/>
                <w:lang w:val="en-US"/>
              </w:rPr>
            </w:pPr>
            <w:r>
              <w:rPr>
                <w:i/>
                <w:iCs/>
                <w:lang w:val="en-US"/>
              </w:rPr>
              <w:t>Pooled R</w:t>
            </w:r>
            <w:r>
              <w:rPr>
                <w:i/>
                <w:iCs/>
                <w:vertAlign w:val="superscript"/>
                <w:lang w:val="en-US"/>
              </w:rPr>
              <w:t>2</w:t>
            </w:r>
          </w:p>
        </w:tc>
        <w:tc>
          <w:tcPr>
            <w:tcW w:w="5772" w:type="dxa"/>
            <w:gridSpan w:val="4"/>
            <w:tcBorders>
              <w:top w:val="dotted" w:sz="4" w:space="0" w:color="auto"/>
              <w:left w:val="nil"/>
              <w:bottom w:val="single" w:sz="4" w:space="0" w:color="auto"/>
              <w:right w:val="nil"/>
            </w:tcBorders>
          </w:tcPr>
          <w:p w:rsidR="00122D42" w:rsidRDefault="0041088A">
            <w:pPr>
              <w:jc w:val="center"/>
              <w:rPr>
                <w:i/>
                <w:iCs/>
                <w:lang w:val="en-US"/>
              </w:rPr>
            </w:pPr>
            <w:r>
              <w:rPr>
                <w:i/>
                <w:iCs/>
                <w:lang w:val="en-US"/>
              </w:rPr>
              <w:t>0.357 (95% CI: 0.33-0.42)</w:t>
            </w:r>
          </w:p>
        </w:tc>
      </w:tr>
      <w:tr w:rsidR="00122D42">
        <w:trPr>
          <w:trHeight w:val="262"/>
        </w:trPr>
        <w:tc>
          <w:tcPr>
            <w:tcW w:w="7513" w:type="dxa"/>
            <w:gridSpan w:val="5"/>
            <w:tcBorders>
              <w:left w:val="nil"/>
              <w:bottom w:val="single" w:sz="4" w:space="0" w:color="auto"/>
              <w:right w:val="nil"/>
            </w:tcBorders>
            <w:shd w:val="clear" w:color="auto" w:fill="EEECE1" w:themeFill="background2"/>
          </w:tcPr>
          <w:p w:rsidR="00122D42" w:rsidRDefault="0041088A">
            <w:pPr>
              <w:rPr>
                <w:b/>
                <w:bCs/>
                <w:i/>
                <w:iCs/>
                <w:lang w:val="en-US"/>
              </w:rPr>
            </w:pPr>
            <w:r>
              <w:rPr>
                <w:b/>
                <w:bCs/>
                <w:i/>
                <w:iCs/>
                <w:lang w:val="en-US"/>
              </w:rPr>
              <w:t>Secondary Analysis</w:t>
            </w:r>
          </w:p>
        </w:tc>
      </w:tr>
      <w:tr w:rsidR="00122D42">
        <w:trPr>
          <w:trHeight w:val="262"/>
        </w:trPr>
        <w:tc>
          <w:tcPr>
            <w:tcW w:w="7513" w:type="dxa"/>
            <w:gridSpan w:val="5"/>
            <w:tcBorders>
              <w:left w:val="nil"/>
              <w:bottom w:val="single" w:sz="4" w:space="0" w:color="auto"/>
              <w:right w:val="nil"/>
            </w:tcBorders>
          </w:tcPr>
          <w:p w:rsidR="00122D42" w:rsidRDefault="0041088A">
            <w:pPr>
              <w:rPr>
                <w:highlight w:val="yellow"/>
                <w:lang w:val="en-US"/>
              </w:rPr>
            </w:pPr>
            <w:r>
              <w:rPr>
                <w:b/>
                <w:bCs/>
                <w:i/>
                <w:iCs/>
                <w:lang w:val="en-US"/>
              </w:rPr>
              <w:t>MODEL 2</w:t>
            </w:r>
          </w:p>
        </w:tc>
      </w:tr>
      <w:tr w:rsidR="00122D42">
        <w:trPr>
          <w:trHeight w:val="277"/>
        </w:trPr>
        <w:tc>
          <w:tcPr>
            <w:tcW w:w="0" w:type="auto"/>
            <w:tcBorders>
              <w:top w:val="single" w:sz="4" w:space="0" w:color="auto"/>
              <w:left w:val="nil"/>
              <w:bottom w:val="nil"/>
              <w:right w:val="nil"/>
            </w:tcBorders>
          </w:tcPr>
          <w:p w:rsidR="00122D42" w:rsidRDefault="0041088A">
            <w:pPr>
              <w:rPr>
                <w:i/>
                <w:iCs/>
                <w:lang w:val="en-US"/>
              </w:rPr>
            </w:pPr>
            <w:r>
              <w:rPr>
                <w:i/>
                <w:iCs/>
                <w:lang w:val="en-US"/>
              </w:rPr>
              <w:t>Intercept</w:t>
            </w:r>
          </w:p>
        </w:tc>
        <w:tc>
          <w:tcPr>
            <w:tcW w:w="0" w:type="auto"/>
            <w:tcBorders>
              <w:top w:val="single" w:sz="4" w:space="0" w:color="auto"/>
              <w:left w:val="nil"/>
              <w:bottom w:val="nil"/>
              <w:right w:val="nil"/>
            </w:tcBorders>
          </w:tcPr>
          <w:p w:rsidR="00122D42" w:rsidRDefault="0041088A">
            <w:pPr>
              <w:jc w:val="center"/>
              <w:rPr>
                <w:lang w:val="en-US"/>
              </w:rPr>
            </w:pPr>
            <w:r>
              <w:rPr>
                <w:lang w:val="en-US"/>
              </w:rPr>
              <w:t>1</w:t>
            </w:r>
          </w:p>
        </w:tc>
        <w:tc>
          <w:tcPr>
            <w:tcW w:w="1821" w:type="dxa"/>
            <w:tcBorders>
              <w:top w:val="single" w:sz="4" w:space="0" w:color="auto"/>
              <w:left w:val="nil"/>
              <w:bottom w:val="nil"/>
              <w:right w:val="nil"/>
            </w:tcBorders>
          </w:tcPr>
          <w:p w:rsidR="00122D42" w:rsidRDefault="0041088A">
            <w:pPr>
              <w:jc w:val="center"/>
              <w:rPr>
                <w:lang w:val="en-US"/>
              </w:rPr>
            </w:pPr>
            <w:r>
              <w:rPr>
                <w:lang w:val="en-US"/>
              </w:rPr>
              <w:t>3102.57</w:t>
            </w:r>
          </w:p>
        </w:tc>
        <w:tc>
          <w:tcPr>
            <w:tcW w:w="1827" w:type="dxa"/>
            <w:tcBorders>
              <w:top w:val="single" w:sz="4" w:space="0" w:color="auto"/>
              <w:left w:val="nil"/>
              <w:bottom w:val="nil"/>
              <w:right w:val="nil"/>
            </w:tcBorders>
          </w:tcPr>
          <w:p w:rsidR="00122D42" w:rsidRDefault="0041088A">
            <w:pPr>
              <w:jc w:val="center"/>
              <w:rPr>
                <w:lang w:val="en-US"/>
              </w:rPr>
            </w:pPr>
            <w:r>
              <w:rPr>
                <w:lang w:val="en-US"/>
              </w:rPr>
              <w:t>71.238</w:t>
            </w:r>
          </w:p>
        </w:tc>
        <w:tc>
          <w:tcPr>
            <w:tcW w:w="1252" w:type="dxa"/>
            <w:tcBorders>
              <w:top w:val="single" w:sz="4" w:space="0" w:color="auto"/>
              <w:left w:val="nil"/>
              <w:bottom w:val="nil"/>
              <w:right w:val="nil"/>
            </w:tcBorders>
          </w:tcPr>
          <w:p w:rsidR="00122D42" w:rsidRDefault="0041088A">
            <w:pPr>
              <w:jc w:val="center"/>
              <w:rPr>
                <w:lang w:val="en-US"/>
              </w:rPr>
            </w:pPr>
            <w:r>
              <w:rPr>
                <w:b/>
                <w:bCs/>
                <w:lang w:val="en-US"/>
              </w:rPr>
              <w:t>&lt; 0.001</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Group</w:t>
            </w:r>
          </w:p>
        </w:tc>
        <w:tc>
          <w:tcPr>
            <w:tcW w:w="0" w:type="auto"/>
            <w:tcBorders>
              <w:top w:val="nil"/>
              <w:left w:val="nil"/>
              <w:bottom w:val="nil"/>
              <w:right w:val="nil"/>
            </w:tcBorders>
          </w:tcPr>
          <w:p w:rsidR="00122D42" w:rsidRDefault="0041088A">
            <w:pPr>
              <w:jc w:val="center"/>
              <w:rPr>
                <w:lang w:val="en-US"/>
              </w:rPr>
            </w:pPr>
            <w:r>
              <w:rPr>
                <w:lang w:val="en-US"/>
              </w:rPr>
              <w:t>1</w:t>
            </w:r>
          </w:p>
        </w:tc>
        <w:tc>
          <w:tcPr>
            <w:tcW w:w="1821" w:type="dxa"/>
            <w:tcBorders>
              <w:top w:val="nil"/>
              <w:left w:val="nil"/>
              <w:bottom w:val="nil"/>
              <w:right w:val="nil"/>
            </w:tcBorders>
          </w:tcPr>
          <w:p w:rsidR="00122D42" w:rsidRDefault="0041088A">
            <w:pPr>
              <w:jc w:val="center"/>
              <w:rPr>
                <w:lang w:val="en-US"/>
              </w:rPr>
            </w:pPr>
            <w:r>
              <w:rPr>
                <w:lang w:val="en-US"/>
              </w:rPr>
              <w:t>2308.40</w:t>
            </w:r>
          </w:p>
        </w:tc>
        <w:tc>
          <w:tcPr>
            <w:tcW w:w="1827" w:type="dxa"/>
            <w:tcBorders>
              <w:top w:val="nil"/>
              <w:left w:val="nil"/>
              <w:bottom w:val="nil"/>
              <w:right w:val="nil"/>
            </w:tcBorders>
          </w:tcPr>
          <w:p w:rsidR="00122D42" w:rsidRDefault="0041088A">
            <w:pPr>
              <w:jc w:val="center"/>
              <w:rPr>
                <w:lang w:val="en-US"/>
              </w:rPr>
            </w:pPr>
            <w:r>
              <w:rPr>
                <w:lang w:val="en-US"/>
              </w:rPr>
              <w:t>8.564</w:t>
            </w:r>
          </w:p>
        </w:tc>
        <w:tc>
          <w:tcPr>
            <w:tcW w:w="1252" w:type="dxa"/>
            <w:tcBorders>
              <w:top w:val="nil"/>
              <w:left w:val="nil"/>
              <w:bottom w:val="nil"/>
              <w:right w:val="nil"/>
            </w:tcBorders>
          </w:tcPr>
          <w:p w:rsidR="00122D42" w:rsidRDefault="0041088A">
            <w:pPr>
              <w:jc w:val="center"/>
              <w:rPr>
                <w:b/>
                <w:bCs/>
                <w:lang w:val="en-US"/>
              </w:rPr>
            </w:pPr>
            <w:r>
              <w:rPr>
                <w:b/>
                <w:bCs/>
                <w:lang w:val="en-US"/>
              </w:rPr>
              <w:t>0.003</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CCC study site</w:t>
            </w:r>
          </w:p>
        </w:tc>
        <w:tc>
          <w:tcPr>
            <w:tcW w:w="0" w:type="auto"/>
            <w:tcBorders>
              <w:top w:val="nil"/>
              <w:left w:val="nil"/>
              <w:bottom w:val="nil"/>
              <w:right w:val="nil"/>
            </w:tcBorders>
          </w:tcPr>
          <w:p w:rsidR="00122D42" w:rsidRDefault="0041088A">
            <w:pPr>
              <w:jc w:val="center"/>
              <w:rPr>
                <w:lang w:val="en-US"/>
              </w:rPr>
            </w:pPr>
            <w:r>
              <w:rPr>
                <w:lang w:val="en-US"/>
              </w:rPr>
              <w:t>3</w:t>
            </w:r>
          </w:p>
        </w:tc>
        <w:tc>
          <w:tcPr>
            <w:tcW w:w="1821" w:type="dxa"/>
            <w:tcBorders>
              <w:top w:val="nil"/>
              <w:left w:val="nil"/>
              <w:bottom w:val="nil"/>
              <w:right w:val="nil"/>
            </w:tcBorders>
          </w:tcPr>
          <w:p w:rsidR="00122D42" w:rsidRDefault="0041088A">
            <w:pPr>
              <w:jc w:val="center"/>
              <w:rPr>
                <w:lang w:val="en-US"/>
              </w:rPr>
            </w:pPr>
            <w:r>
              <w:rPr>
                <w:lang w:val="en-US"/>
              </w:rPr>
              <w:t>2551.98</w:t>
            </w:r>
          </w:p>
        </w:tc>
        <w:tc>
          <w:tcPr>
            <w:tcW w:w="1827" w:type="dxa"/>
            <w:tcBorders>
              <w:top w:val="nil"/>
              <w:left w:val="nil"/>
              <w:bottom w:val="nil"/>
              <w:right w:val="nil"/>
            </w:tcBorders>
          </w:tcPr>
          <w:p w:rsidR="00122D42" w:rsidRDefault="0041088A">
            <w:pPr>
              <w:jc w:val="center"/>
              <w:rPr>
                <w:lang w:val="en-US"/>
              </w:rPr>
            </w:pPr>
            <w:r>
              <w:rPr>
                <w:lang w:val="en-US"/>
              </w:rPr>
              <w:t>0.987</w:t>
            </w:r>
          </w:p>
        </w:tc>
        <w:tc>
          <w:tcPr>
            <w:tcW w:w="1252" w:type="dxa"/>
            <w:tcBorders>
              <w:top w:val="nil"/>
              <w:left w:val="nil"/>
              <w:bottom w:val="nil"/>
              <w:right w:val="nil"/>
            </w:tcBorders>
          </w:tcPr>
          <w:p w:rsidR="00122D42" w:rsidRDefault="0041088A">
            <w:pPr>
              <w:jc w:val="center"/>
              <w:rPr>
                <w:lang w:val="en-US"/>
              </w:rPr>
            </w:pPr>
            <w:r>
              <w:rPr>
                <w:lang w:val="en-US"/>
              </w:rPr>
              <w:t>0.399</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Sex</w:t>
            </w:r>
          </w:p>
        </w:tc>
        <w:tc>
          <w:tcPr>
            <w:tcW w:w="0" w:type="auto"/>
            <w:tcBorders>
              <w:top w:val="nil"/>
              <w:left w:val="nil"/>
              <w:bottom w:val="nil"/>
              <w:right w:val="nil"/>
            </w:tcBorders>
          </w:tcPr>
          <w:p w:rsidR="00122D42" w:rsidRDefault="0041088A">
            <w:pPr>
              <w:jc w:val="center"/>
              <w:rPr>
                <w:lang w:val="en-US"/>
              </w:rPr>
            </w:pPr>
            <w:r>
              <w:rPr>
                <w:lang w:val="en-US"/>
              </w:rPr>
              <w:t>1</w:t>
            </w:r>
          </w:p>
        </w:tc>
        <w:tc>
          <w:tcPr>
            <w:tcW w:w="1821" w:type="dxa"/>
            <w:tcBorders>
              <w:top w:val="nil"/>
              <w:left w:val="nil"/>
              <w:bottom w:val="nil"/>
              <w:right w:val="nil"/>
            </w:tcBorders>
          </w:tcPr>
          <w:p w:rsidR="00122D42" w:rsidRDefault="0041088A">
            <w:pPr>
              <w:jc w:val="center"/>
              <w:rPr>
                <w:lang w:val="en-US"/>
              </w:rPr>
            </w:pPr>
            <w:r>
              <w:rPr>
                <w:lang w:val="en-US"/>
              </w:rPr>
              <w:t>2959.39</w:t>
            </w:r>
          </w:p>
        </w:tc>
        <w:tc>
          <w:tcPr>
            <w:tcW w:w="1827" w:type="dxa"/>
            <w:tcBorders>
              <w:top w:val="nil"/>
              <w:left w:val="nil"/>
              <w:bottom w:val="nil"/>
              <w:right w:val="nil"/>
            </w:tcBorders>
          </w:tcPr>
          <w:p w:rsidR="00122D42" w:rsidRDefault="0041088A">
            <w:pPr>
              <w:jc w:val="center"/>
              <w:rPr>
                <w:lang w:val="en-US"/>
              </w:rPr>
            </w:pPr>
            <w:r>
              <w:rPr>
                <w:lang w:val="en-US"/>
              </w:rPr>
              <w:t>0.204</w:t>
            </w:r>
          </w:p>
        </w:tc>
        <w:tc>
          <w:tcPr>
            <w:tcW w:w="1252" w:type="dxa"/>
            <w:tcBorders>
              <w:top w:val="nil"/>
              <w:left w:val="nil"/>
              <w:bottom w:val="nil"/>
              <w:right w:val="nil"/>
            </w:tcBorders>
          </w:tcPr>
          <w:p w:rsidR="00122D42" w:rsidRDefault="0041088A">
            <w:pPr>
              <w:jc w:val="center"/>
              <w:rPr>
                <w:lang w:val="en-US"/>
              </w:rPr>
            </w:pPr>
            <w:r>
              <w:rPr>
                <w:lang w:val="en-US"/>
              </w:rPr>
              <w:t>0.894</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Age</w:t>
            </w:r>
          </w:p>
        </w:tc>
        <w:tc>
          <w:tcPr>
            <w:tcW w:w="0" w:type="auto"/>
            <w:tcBorders>
              <w:top w:val="nil"/>
              <w:left w:val="nil"/>
              <w:bottom w:val="nil"/>
              <w:right w:val="nil"/>
            </w:tcBorders>
          </w:tcPr>
          <w:p w:rsidR="00122D42" w:rsidRDefault="0041088A">
            <w:pPr>
              <w:jc w:val="center"/>
              <w:rPr>
                <w:lang w:val="en-US"/>
              </w:rPr>
            </w:pPr>
            <w:r>
              <w:rPr>
                <w:lang w:val="en-US"/>
              </w:rPr>
              <w:t>1</w:t>
            </w:r>
          </w:p>
        </w:tc>
        <w:tc>
          <w:tcPr>
            <w:tcW w:w="1821" w:type="dxa"/>
            <w:tcBorders>
              <w:top w:val="nil"/>
              <w:left w:val="nil"/>
              <w:bottom w:val="nil"/>
              <w:right w:val="nil"/>
            </w:tcBorders>
          </w:tcPr>
          <w:p w:rsidR="00122D42" w:rsidRDefault="0041088A">
            <w:pPr>
              <w:jc w:val="center"/>
              <w:rPr>
                <w:lang w:val="en-US"/>
              </w:rPr>
            </w:pPr>
            <w:r>
              <w:rPr>
                <w:lang w:val="en-US"/>
              </w:rPr>
              <w:t>1182.02</w:t>
            </w:r>
          </w:p>
        </w:tc>
        <w:tc>
          <w:tcPr>
            <w:tcW w:w="1827" w:type="dxa"/>
            <w:tcBorders>
              <w:top w:val="nil"/>
              <w:left w:val="nil"/>
              <w:bottom w:val="nil"/>
              <w:right w:val="nil"/>
            </w:tcBorders>
          </w:tcPr>
          <w:p w:rsidR="00122D42" w:rsidRDefault="0041088A">
            <w:pPr>
              <w:jc w:val="center"/>
              <w:rPr>
                <w:lang w:val="en-US"/>
              </w:rPr>
            </w:pPr>
            <w:r>
              <w:rPr>
                <w:lang w:val="en-US"/>
              </w:rPr>
              <w:t>2.279</w:t>
            </w:r>
          </w:p>
        </w:tc>
        <w:tc>
          <w:tcPr>
            <w:tcW w:w="1252" w:type="dxa"/>
            <w:tcBorders>
              <w:top w:val="nil"/>
              <w:left w:val="nil"/>
              <w:bottom w:val="nil"/>
              <w:right w:val="nil"/>
            </w:tcBorders>
          </w:tcPr>
          <w:p w:rsidR="00122D42" w:rsidRDefault="0041088A">
            <w:pPr>
              <w:jc w:val="center"/>
              <w:rPr>
                <w:lang w:val="en-US"/>
              </w:rPr>
            </w:pPr>
            <w:r>
              <w:rPr>
                <w:lang w:val="en-US"/>
              </w:rPr>
              <w:t>0.131</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Main Diagnosis</w:t>
            </w:r>
          </w:p>
        </w:tc>
        <w:tc>
          <w:tcPr>
            <w:tcW w:w="0" w:type="auto"/>
            <w:tcBorders>
              <w:top w:val="nil"/>
              <w:left w:val="nil"/>
              <w:bottom w:val="nil"/>
              <w:right w:val="nil"/>
            </w:tcBorders>
          </w:tcPr>
          <w:p w:rsidR="00122D42" w:rsidRDefault="0041088A">
            <w:pPr>
              <w:jc w:val="center"/>
              <w:rPr>
                <w:lang w:val="en-US"/>
              </w:rPr>
            </w:pPr>
            <w:r>
              <w:rPr>
                <w:lang w:val="en-US"/>
              </w:rPr>
              <w:t>3</w:t>
            </w:r>
          </w:p>
        </w:tc>
        <w:tc>
          <w:tcPr>
            <w:tcW w:w="1821" w:type="dxa"/>
            <w:tcBorders>
              <w:top w:val="nil"/>
              <w:left w:val="nil"/>
              <w:bottom w:val="nil"/>
              <w:right w:val="nil"/>
            </w:tcBorders>
          </w:tcPr>
          <w:p w:rsidR="00122D42" w:rsidRDefault="0041088A">
            <w:pPr>
              <w:jc w:val="center"/>
              <w:rPr>
                <w:lang w:val="en-US"/>
              </w:rPr>
            </w:pPr>
            <w:r>
              <w:rPr>
                <w:lang w:val="en-US"/>
              </w:rPr>
              <w:t>1615.7</w:t>
            </w:r>
          </w:p>
        </w:tc>
        <w:tc>
          <w:tcPr>
            <w:tcW w:w="1827" w:type="dxa"/>
            <w:tcBorders>
              <w:top w:val="nil"/>
              <w:left w:val="nil"/>
              <w:bottom w:val="nil"/>
              <w:right w:val="nil"/>
            </w:tcBorders>
          </w:tcPr>
          <w:p w:rsidR="00122D42" w:rsidRDefault="0041088A">
            <w:pPr>
              <w:jc w:val="center"/>
              <w:rPr>
                <w:lang w:val="en-US"/>
              </w:rPr>
            </w:pPr>
            <w:r>
              <w:rPr>
                <w:lang w:val="en-US"/>
              </w:rPr>
              <w:t>0.648</w:t>
            </w:r>
          </w:p>
        </w:tc>
        <w:tc>
          <w:tcPr>
            <w:tcW w:w="1252" w:type="dxa"/>
            <w:tcBorders>
              <w:top w:val="nil"/>
              <w:left w:val="nil"/>
              <w:bottom w:val="nil"/>
              <w:right w:val="nil"/>
            </w:tcBorders>
          </w:tcPr>
          <w:p w:rsidR="00122D42" w:rsidRDefault="0041088A">
            <w:pPr>
              <w:jc w:val="center"/>
              <w:rPr>
                <w:lang w:val="en-US"/>
              </w:rPr>
            </w:pPr>
            <w:r>
              <w:rPr>
                <w:lang w:val="en-US"/>
              </w:rPr>
              <w:t>0.421</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Disease stage</w:t>
            </w:r>
          </w:p>
        </w:tc>
        <w:tc>
          <w:tcPr>
            <w:tcW w:w="0" w:type="auto"/>
            <w:tcBorders>
              <w:top w:val="nil"/>
              <w:left w:val="nil"/>
              <w:bottom w:val="nil"/>
              <w:right w:val="nil"/>
            </w:tcBorders>
          </w:tcPr>
          <w:p w:rsidR="00122D42" w:rsidRDefault="0041088A">
            <w:pPr>
              <w:jc w:val="center"/>
              <w:rPr>
                <w:lang w:val="en-US"/>
              </w:rPr>
            </w:pPr>
            <w:r>
              <w:rPr>
                <w:lang w:val="en-US"/>
              </w:rPr>
              <w:t>2</w:t>
            </w:r>
          </w:p>
        </w:tc>
        <w:tc>
          <w:tcPr>
            <w:tcW w:w="1821" w:type="dxa"/>
            <w:tcBorders>
              <w:top w:val="nil"/>
              <w:left w:val="nil"/>
              <w:bottom w:val="nil"/>
              <w:right w:val="nil"/>
            </w:tcBorders>
          </w:tcPr>
          <w:p w:rsidR="00122D42" w:rsidRDefault="0041088A">
            <w:pPr>
              <w:jc w:val="center"/>
              <w:rPr>
                <w:lang w:val="en-US"/>
              </w:rPr>
            </w:pPr>
            <w:r>
              <w:rPr>
                <w:lang w:val="en-US"/>
              </w:rPr>
              <w:t>555.37</w:t>
            </w:r>
          </w:p>
        </w:tc>
        <w:tc>
          <w:tcPr>
            <w:tcW w:w="1827" w:type="dxa"/>
            <w:tcBorders>
              <w:top w:val="nil"/>
              <w:left w:val="nil"/>
              <w:bottom w:val="nil"/>
              <w:right w:val="nil"/>
            </w:tcBorders>
          </w:tcPr>
          <w:p w:rsidR="00122D42" w:rsidRDefault="0041088A">
            <w:pPr>
              <w:jc w:val="center"/>
              <w:rPr>
                <w:lang w:val="en-US"/>
              </w:rPr>
            </w:pPr>
            <w:r>
              <w:rPr>
                <w:lang w:val="en-US"/>
              </w:rPr>
              <w:t>0.409</w:t>
            </w:r>
          </w:p>
        </w:tc>
        <w:tc>
          <w:tcPr>
            <w:tcW w:w="1252" w:type="dxa"/>
            <w:tcBorders>
              <w:top w:val="nil"/>
              <w:left w:val="nil"/>
              <w:bottom w:val="nil"/>
              <w:right w:val="nil"/>
            </w:tcBorders>
          </w:tcPr>
          <w:p w:rsidR="00122D42" w:rsidRDefault="0041088A">
            <w:pPr>
              <w:jc w:val="center"/>
              <w:rPr>
                <w:lang w:val="en-US"/>
              </w:rPr>
            </w:pPr>
            <w:r>
              <w:rPr>
                <w:lang w:val="en-US"/>
              </w:rPr>
              <w:t>0.664</w:t>
            </w:r>
          </w:p>
        </w:tc>
      </w:tr>
      <w:tr w:rsidR="00122D42">
        <w:trPr>
          <w:trHeight w:val="277"/>
        </w:trPr>
        <w:tc>
          <w:tcPr>
            <w:tcW w:w="0" w:type="auto"/>
            <w:tcBorders>
              <w:top w:val="nil"/>
              <w:left w:val="nil"/>
              <w:bottom w:val="nil"/>
              <w:right w:val="nil"/>
            </w:tcBorders>
          </w:tcPr>
          <w:p w:rsidR="00122D42" w:rsidRDefault="0041088A">
            <w:pPr>
              <w:rPr>
                <w:i/>
                <w:iCs/>
                <w:lang w:val="en-US"/>
              </w:rPr>
            </w:pPr>
            <w:r>
              <w:rPr>
                <w:i/>
                <w:iCs/>
                <w:lang w:val="en-US"/>
              </w:rPr>
              <w:t>Metastases</w:t>
            </w:r>
          </w:p>
        </w:tc>
        <w:tc>
          <w:tcPr>
            <w:tcW w:w="0" w:type="auto"/>
            <w:tcBorders>
              <w:top w:val="nil"/>
              <w:left w:val="nil"/>
              <w:bottom w:val="nil"/>
              <w:right w:val="nil"/>
            </w:tcBorders>
          </w:tcPr>
          <w:p w:rsidR="00122D42" w:rsidRDefault="0041088A">
            <w:pPr>
              <w:jc w:val="center"/>
              <w:rPr>
                <w:lang w:val="en-US"/>
              </w:rPr>
            </w:pPr>
            <w:r>
              <w:rPr>
                <w:lang w:val="en-US"/>
              </w:rPr>
              <w:t>1</w:t>
            </w:r>
          </w:p>
        </w:tc>
        <w:tc>
          <w:tcPr>
            <w:tcW w:w="1821" w:type="dxa"/>
            <w:tcBorders>
              <w:top w:val="nil"/>
              <w:left w:val="nil"/>
              <w:bottom w:val="nil"/>
              <w:right w:val="nil"/>
            </w:tcBorders>
          </w:tcPr>
          <w:p w:rsidR="00122D42" w:rsidRDefault="0041088A">
            <w:pPr>
              <w:jc w:val="center"/>
              <w:rPr>
                <w:lang w:val="en-US"/>
              </w:rPr>
            </w:pPr>
            <w:r>
              <w:rPr>
                <w:lang w:val="en-US"/>
              </w:rPr>
              <w:t>546.97</w:t>
            </w:r>
          </w:p>
        </w:tc>
        <w:tc>
          <w:tcPr>
            <w:tcW w:w="1827" w:type="dxa"/>
            <w:tcBorders>
              <w:top w:val="nil"/>
              <w:left w:val="nil"/>
              <w:bottom w:val="nil"/>
              <w:right w:val="nil"/>
            </w:tcBorders>
          </w:tcPr>
          <w:p w:rsidR="00122D42" w:rsidRDefault="0041088A">
            <w:pPr>
              <w:jc w:val="center"/>
              <w:rPr>
                <w:lang w:val="en-US"/>
              </w:rPr>
            </w:pPr>
            <w:r>
              <w:rPr>
                <w:lang w:val="en-US"/>
              </w:rPr>
              <w:t>0.388</w:t>
            </w:r>
          </w:p>
        </w:tc>
        <w:tc>
          <w:tcPr>
            <w:tcW w:w="1252" w:type="dxa"/>
            <w:tcBorders>
              <w:top w:val="nil"/>
              <w:left w:val="nil"/>
              <w:bottom w:val="nil"/>
              <w:right w:val="nil"/>
            </w:tcBorders>
          </w:tcPr>
          <w:p w:rsidR="00122D42" w:rsidRDefault="0041088A">
            <w:pPr>
              <w:jc w:val="center"/>
              <w:rPr>
                <w:lang w:val="en-US"/>
              </w:rPr>
            </w:pPr>
            <w:r>
              <w:rPr>
                <w:lang w:val="en-US"/>
              </w:rPr>
              <w:t>0.679</w:t>
            </w:r>
          </w:p>
        </w:tc>
      </w:tr>
      <w:tr w:rsidR="00122D42">
        <w:trPr>
          <w:trHeight w:val="277"/>
        </w:trPr>
        <w:tc>
          <w:tcPr>
            <w:tcW w:w="0" w:type="auto"/>
            <w:tcBorders>
              <w:top w:val="nil"/>
              <w:left w:val="nil"/>
              <w:bottom w:val="dotted" w:sz="4" w:space="0" w:color="auto"/>
              <w:right w:val="nil"/>
            </w:tcBorders>
          </w:tcPr>
          <w:p w:rsidR="00122D42" w:rsidRDefault="0041088A">
            <w:pPr>
              <w:rPr>
                <w:i/>
                <w:iCs/>
                <w:lang w:val="en-US"/>
              </w:rPr>
            </w:pPr>
            <w:r>
              <w:rPr>
                <w:i/>
                <w:iCs/>
                <w:lang w:val="en-US"/>
              </w:rPr>
              <w:t>Baseline Score</w:t>
            </w:r>
          </w:p>
        </w:tc>
        <w:tc>
          <w:tcPr>
            <w:tcW w:w="0" w:type="auto"/>
            <w:tcBorders>
              <w:top w:val="nil"/>
              <w:left w:val="nil"/>
              <w:bottom w:val="dotted" w:sz="4" w:space="0" w:color="auto"/>
              <w:right w:val="nil"/>
            </w:tcBorders>
          </w:tcPr>
          <w:p w:rsidR="00122D42" w:rsidRDefault="0041088A">
            <w:pPr>
              <w:jc w:val="center"/>
              <w:rPr>
                <w:lang w:val="en-US"/>
              </w:rPr>
            </w:pPr>
            <w:r>
              <w:rPr>
                <w:lang w:val="en-US"/>
              </w:rPr>
              <w:t>1</w:t>
            </w:r>
          </w:p>
        </w:tc>
        <w:tc>
          <w:tcPr>
            <w:tcW w:w="1821" w:type="dxa"/>
            <w:tcBorders>
              <w:top w:val="nil"/>
              <w:left w:val="nil"/>
              <w:bottom w:val="dotted" w:sz="4" w:space="0" w:color="auto"/>
              <w:right w:val="nil"/>
            </w:tcBorders>
          </w:tcPr>
          <w:p w:rsidR="00122D42" w:rsidRDefault="0041088A">
            <w:pPr>
              <w:jc w:val="center"/>
              <w:rPr>
                <w:lang w:val="en-US"/>
              </w:rPr>
            </w:pPr>
            <w:r>
              <w:rPr>
                <w:lang w:val="en-US"/>
              </w:rPr>
              <w:t>1184.77</w:t>
            </w:r>
          </w:p>
        </w:tc>
        <w:tc>
          <w:tcPr>
            <w:tcW w:w="1827" w:type="dxa"/>
            <w:tcBorders>
              <w:top w:val="nil"/>
              <w:left w:val="nil"/>
              <w:bottom w:val="dotted" w:sz="4" w:space="0" w:color="auto"/>
              <w:right w:val="nil"/>
            </w:tcBorders>
          </w:tcPr>
          <w:p w:rsidR="00122D42" w:rsidRDefault="0041088A">
            <w:pPr>
              <w:jc w:val="center"/>
              <w:rPr>
                <w:lang w:val="en-US"/>
              </w:rPr>
            </w:pPr>
            <w:r>
              <w:rPr>
                <w:lang w:val="en-US"/>
              </w:rPr>
              <w:t>502.446</w:t>
            </w:r>
          </w:p>
        </w:tc>
        <w:tc>
          <w:tcPr>
            <w:tcW w:w="1252" w:type="dxa"/>
            <w:tcBorders>
              <w:top w:val="nil"/>
              <w:left w:val="nil"/>
              <w:bottom w:val="dotted" w:sz="4" w:space="0" w:color="auto"/>
              <w:right w:val="nil"/>
            </w:tcBorders>
          </w:tcPr>
          <w:p w:rsidR="00122D42" w:rsidRDefault="0041088A">
            <w:pPr>
              <w:jc w:val="center"/>
              <w:rPr>
                <w:lang w:val="en-US"/>
              </w:rPr>
            </w:pPr>
            <w:r>
              <w:rPr>
                <w:b/>
                <w:bCs/>
                <w:lang w:val="en-US"/>
              </w:rPr>
              <w:t>&lt; 0.001</w:t>
            </w:r>
          </w:p>
        </w:tc>
      </w:tr>
      <w:tr w:rsidR="00122D42">
        <w:trPr>
          <w:trHeight w:val="277"/>
        </w:trPr>
        <w:tc>
          <w:tcPr>
            <w:tcW w:w="0" w:type="auto"/>
            <w:tcBorders>
              <w:top w:val="dotted" w:sz="4" w:space="0" w:color="auto"/>
              <w:left w:val="nil"/>
              <w:right w:val="nil"/>
            </w:tcBorders>
          </w:tcPr>
          <w:p w:rsidR="00122D42" w:rsidRDefault="0041088A">
            <w:pPr>
              <w:rPr>
                <w:i/>
                <w:iCs/>
                <w:lang w:val="en-US"/>
              </w:rPr>
            </w:pPr>
            <w:r>
              <w:rPr>
                <w:i/>
                <w:iCs/>
                <w:lang w:val="en-US"/>
              </w:rPr>
              <w:t>Pooled R</w:t>
            </w:r>
            <w:r>
              <w:rPr>
                <w:i/>
                <w:iCs/>
                <w:vertAlign w:val="superscript"/>
                <w:lang w:val="en-US"/>
              </w:rPr>
              <w:t>2</w:t>
            </w:r>
          </w:p>
        </w:tc>
        <w:tc>
          <w:tcPr>
            <w:tcW w:w="5772" w:type="dxa"/>
            <w:gridSpan w:val="4"/>
            <w:tcBorders>
              <w:top w:val="dotted" w:sz="4" w:space="0" w:color="auto"/>
              <w:left w:val="nil"/>
              <w:right w:val="nil"/>
            </w:tcBorders>
          </w:tcPr>
          <w:p w:rsidR="00122D42" w:rsidRDefault="0041088A">
            <w:pPr>
              <w:jc w:val="center"/>
              <w:rPr>
                <w:i/>
                <w:iCs/>
                <w:lang w:val="en-US"/>
              </w:rPr>
            </w:pPr>
            <w:r>
              <w:rPr>
                <w:i/>
                <w:iCs/>
                <w:lang w:val="en-US"/>
              </w:rPr>
              <w:t>0.378 (95%CI: 0.33 – 0.43)</w:t>
            </w:r>
          </w:p>
        </w:tc>
      </w:tr>
    </w:tbl>
    <w:p w:rsidR="00122D42" w:rsidRDefault="0041088A">
      <w:pPr>
        <w:spacing w:line="240" w:lineRule="auto"/>
        <w:rPr>
          <w:sz w:val="16"/>
          <w:szCs w:val="16"/>
          <w:lang w:val="en-US"/>
        </w:rPr>
      </w:pPr>
      <w:proofErr w:type="spellStart"/>
      <w:r>
        <w:rPr>
          <w:sz w:val="16"/>
          <w:szCs w:val="16"/>
          <w:lang w:val="en-US"/>
        </w:rPr>
        <w:t>Anova</w:t>
      </w:r>
      <w:proofErr w:type="spellEnd"/>
      <w:r>
        <w:rPr>
          <w:sz w:val="16"/>
          <w:szCs w:val="16"/>
          <w:lang w:val="en-US"/>
        </w:rPr>
        <w:t xml:space="preserve"> table (type III tests): Results are pooled over m=50 MI sets. </w:t>
      </w:r>
    </w:p>
    <w:p w:rsidR="00122D42" w:rsidRDefault="0041088A">
      <w:pPr>
        <w:spacing w:line="240" w:lineRule="auto"/>
        <w:rPr>
          <w:sz w:val="16"/>
          <w:szCs w:val="16"/>
          <w:lang w:val="en-US"/>
        </w:rPr>
      </w:pPr>
      <w:r>
        <w:rPr>
          <w:sz w:val="16"/>
          <w:szCs w:val="16"/>
          <w:lang w:val="en-US"/>
        </w:rPr>
        <w:t xml:space="preserve">Several </w:t>
      </w:r>
      <w:r>
        <w:rPr>
          <w:i/>
          <w:iCs/>
          <w:sz w:val="16"/>
          <w:szCs w:val="16"/>
          <w:lang w:val="en-US"/>
        </w:rPr>
        <w:t>F</w:t>
      </w:r>
      <w:r>
        <w:rPr>
          <w:sz w:val="16"/>
          <w:szCs w:val="16"/>
          <w:lang w:val="en-US"/>
        </w:rPr>
        <w:t xml:space="preserve"> statistics from multiply imputed datasets are combined using an approximation based on </w:t>
      </w:r>
      <w:r>
        <w:rPr>
          <w:i/>
          <w:iCs/>
          <w:sz w:val="16"/>
          <w:szCs w:val="16"/>
          <w:lang w:val="en-US"/>
        </w:rPr>
        <w:t>χ2</w:t>
      </w:r>
      <w:r>
        <w:rPr>
          <w:sz w:val="16"/>
          <w:szCs w:val="16"/>
          <w:lang w:val="en-US"/>
        </w:rPr>
        <w:t xml:space="preserve"> statistics.</w:t>
      </w:r>
    </w:p>
    <w:p w:rsidR="00122D42" w:rsidRDefault="0041088A">
      <w:pPr>
        <w:spacing w:line="240" w:lineRule="auto"/>
        <w:rPr>
          <w:sz w:val="16"/>
          <w:szCs w:val="16"/>
          <w:lang w:val="en-US"/>
        </w:rPr>
      </w:pPr>
      <w:r>
        <w:rPr>
          <w:sz w:val="16"/>
          <w:szCs w:val="16"/>
          <w:lang w:val="en-US"/>
        </w:rPr>
        <w:t xml:space="preserve">$ = range 0-100; </w:t>
      </w:r>
      <w:proofErr w:type="spellStart"/>
      <w:r>
        <w:rPr>
          <w:sz w:val="16"/>
          <w:szCs w:val="16"/>
          <w:lang w:val="en-US"/>
        </w:rPr>
        <w:t>numDF</w:t>
      </w:r>
      <w:proofErr w:type="spellEnd"/>
      <w:r>
        <w:rPr>
          <w:sz w:val="16"/>
          <w:szCs w:val="16"/>
          <w:lang w:val="en-US"/>
        </w:rPr>
        <w:t xml:space="preserve">=degrees of freedom of numerator; </w:t>
      </w:r>
      <w:proofErr w:type="spellStart"/>
      <w:r>
        <w:rPr>
          <w:sz w:val="16"/>
          <w:szCs w:val="16"/>
          <w:lang w:val="en-US"/>
        </w:rPr>
        <w:t>denDF</w:t>
      </w:r>
      <w:proofErr w:type="spellEnd"/>
      <w:r>
        <w:rPr>
          <w:sz w:val="16"/>
          <w:szCs w:val="16"/>
          <w:lang w:val="en-US"/>
        </w:rPr>
        <w:t>=degreed of freedom</w:t>
      </w:r>
      <w:r>
        <w:rPr>
          <w:sz w:val="16"/>
          <w:szCs w:val="16"/>
          <w:lang w:val="en-US"/>
        </w:rPr>
        <w:t xml:space="preserve"> of denominator.</w:t>
      </w:r>
    </w:p>
    <w:p w:rsidR="00122D42" w:rsidRDefault="0041088A">
      <w:pPr>
        <w:spacing w:line="240" w:lineRule="auto"/>
        <w:rPr>
          <w:sz w:val="16"/>
          <w:szCs w:val="16"/>
          <w:lang w:val="en-US"/>
        </w:rPr>
      </w:pPr>
      <w:r>
        <w:rPr>
          <w:sz w:val="16"/>
          <w:szCs w:val="16"/>
          <w:lang w:val="en-US"/>
        </w:rPr>
        <w:t xml:space="preserve">Bold numbers indicate statistical significance of p &lt; 0.05. </w:t>
      </w:r>
    </w:p>
    <w:p w:rsidR="00122D42" w:rsidRDefault="00122D42">
      <w:pPr>
        <w:rPr>
          <w:lang w:val="en-US"/>
        </w:rPr>
      </w:pPr>
    </w:p>
    <w:p w:rsidR="00122D42" w:rsidRDefault="0041088A">
      <w:pPr>
        <w:rPr>
          <w:rFonts w:asciiTheme="minorHAnsi" w:hAnsiTheme="minorHAnsi" w:cstheme="minorHAnsi"/>
          <w:b/>
          <w:bCs/>
          <w:sz w:val="28"/>
          <w:szCs w:val="28"/>
          <w:lang w:val="en-US" w:eastAsia="en-US"/>
        </w:rPr>
      </w:pPr>
      <w:r>
        <w:rPr>
          <w:rFonts w:asciiTheme="minorHAnsi" w:hAnsiTheme="minorHAnsi" w:cstheme="minorHAnsi"/>
          <w:b/>
          <w:bCs/>
          <w:sz w:val="28"/>
          <w:szCs w:val="28"/>
          <w:lang w:val="en-US" w:eastAsia="en-US"/>
        </w:rPr>
        <w:br w:type="page"/>
      </w:r>
    </w:p>
    <w:p w:rsidR="00122D42" w:rsidRDefault="0041088A">
      <w:pPr>
        <w:pStyle w:val="3"/>
        <w:rPr>
          <w:lang w:val="en-US"/>
        </w:rPr>
      </w:pPr>
      <w:bookmarkStart w:id="4" w:name="_Hlk135747316"/>
      <w:r>
        <w:rPr>
          <w:lang w:val="en-US"/>
        </w:rPr>
        <w:lastRenderedPageBreak/>
        <w:t>Supplement 8: Sensitivity Analysis - Linear Mixed Model (LMM), T1-T2</w:t>
      </w:r>
    </w:p>
    <w:tbl>
      <w:tblPr>
        <w:tblW w:w="8061" w:type="dxa"/>
        <w:tblCellMar>
          <w:left w:w="0" w:type="dxa"/>
          <w:right w:w="0" w:type="dxa"/>
        </w:tblCellMar>
        <w:tblLook w:val="04A0" w:firstRow="1" w:lastRow="0" w:firstColumn="1" w:lastColumn="0" w:noHBand="0" w:noVBand="1"/>
      </w:tblPr>
      <w:tblGrid>
        <w:gridCol w:w="2172"/>
        <w:gridCol w:w="1105"/>
        <w:gridCol w:w="1771"/>
        <w:gridCol w:w="1801"/>
        <w:gridCol w:w="1212"/>
      </w:tblGrid>
      <w:tr w:rsidR="00122D42">
        <w:trPr>
          <w:trHeight w:val="211"/>
        </w:trPr>
        <w:tc>
          <w:tcPr>
            <w:tcW w:w="2172" w:type="dxa"/>
            <w:vMerge w:val="restart"/>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bookmarkStart w:id="5" w:name="_Hlk135062934"/>
            <w:r>
              <w:rPr>
                <w:b/>
                <w:bCs/>
                <w:lang w:val="en-US"/>
              </w:rPr>
              <w:t>Parameter</w:t>
            </w:r>
          </w:p>
        </w:tc>
        <w:tc>
          <w:tcPr>
            <w:tcW w:w="5889" w:type="dxa"/>
            <w:gridSpan w:val="4"/>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jc w:val="center"/>
            </w:pPr>
            <w:r>
              <w:rPr>
                <w:b/>
                <w:bCs/>
                <w:lang w:val="en-US"/>
              </w:rPr>
              <w:t xml:space="preserve">PAM-13 Score </w:t>
            </w:r>
            <w:r>
              <w:rPr>
                <w:b/>
                <w:bCs/>
                <w:vertAlign w:val="superscript"/>
                <w:lang w:val="en-US"/>
              </w:rPr>
              <w:t>$</w:t>
            </w:r>
          </w:p>
        </w:tc>
      </w:tr>
      <w:tr w:rsidR="00122D42">
        <w:trPr>
          <w:trHeight w:val="216"/>
        </w:trPr>
        <w:tc>
          <w:tcPr>
            <w:tcW w:w="0" w:type="auto"/>
            <w:vMerge/>
            <w:tcBorders>
              <w:top w:val="single" w:sz="8" w:space="0" w:color="000000"/>
              <w:left w:val="nil"/>
              <w:bottom w:val="single" w:sz="8" w:space="0" w:color="000000"/>
              <w:right w:val="nil"/>
            </w:tcBorders>
            <w:vAlign w:val="center"/>
            <w:hideMark/>
          </w:tcPr>
          <w:p w:rsidR="00122D42" w:rsidRDefault="00122D42">
            <w:pPr>
              <w:spacing w:line="240" w:lineRule="auto"/>
            </w:pPr>
          </w:p>
        </w:tc>
        <w:tc>
          <w:tcPr>
            <w:tcW w:w="1105"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proofErr w:type="spellStart"/>
            <w:r>
              <w:rPr>
                <w:b/>
                <w:bCs/>
                <w:lang w:val="en-US"/>
              </w:rPr>
              <w:t>numDF</w:t>
            </w:r>
            <w:proofErr w:type="spellEnd"/>
          </w:p>
        </w:tc>
        <w:tc>
          <w:tcPr>
            <w:tcW w:w="177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proofErr w:type="spellStart"/>
            <w:r>
              <w:rPr>
                <w:b/>
                <w:bCs/>
                <w:lang w:val="en-US"/>
              </w:rPr>
              <w:t>denDF</w:t>
            </w:r>
            <w:proofErr w:type="spellEnd"/>
          </w:p>
        </w:tc>
        <w:tc>
          <w:tcPr>
            <w:tcW w:w="180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lang w:val="en-US"/>
              </w:rPr>
              <w:t>F-value</w:t>
            </w:r>
          </w:p>
        </w:tc>
        <w:tc>
          <w:tcPr>
            <w:tcW w:w="1212"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lang w:val="en-US"/>
              </w:rPr>
              <w:t>p</w:t>
            </w:r>
          </w:p>
        </w:tc>
      </w:tr>
      <w:tr w:rsidR="00122D42">
        <w:trPr>
          <w:trHeight w:val="216"/>
        </w:trPr>
        <w:tc>
          <w:tcPr>
            <w:tcW w:w="2172"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rPr>
              <w:t>Fixed Effects</w:t>
            </w:r>
          </w:p>
        </w:tc>
        <w:tc>
          <w:tcPr>
            <w:tcW w:w="1105"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c>
          <w:tcPr>
            <w:tcW w:w="177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c>
          <w:tcPr>
            <w:tcW w:w="180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c>
          <w:tcPr>
            <w:tcW w:w="1212"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r>
      <w:tr w:rsidR="00122D42">
        <w:trPr>
          <w:trHeight w:val="216"/>
        </w:trPr>
        <w:tc>
          <w:tcPr>
            <w:tcW w:w="2172"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Intercept</w:t>
            </w:r>
          </w:p>
        </w:tc>
        <w:tc>
          <w:tcPr>
            <w:tcW w:w="1105"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w:t>
            </w:r>
          </w:p>
        </w:tc>
        <w:tc>
          <w:tcPr>
            <w:tcW w:w="1771"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294.01</w:t>
            </w:r>
          </w:p>
        </w:tc>
        <w:tc>
          <w:tcPr>
            <w:tcW w:w="1801"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20341.203</w:t>
            </w:r>
          </w:p>
        </w:tc>
        <w:tc>
          <w:tcPr>
            <w:tcW w:w="1212"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&lt;.001</w:t>
            </w:r>
          </w:p>
        </w:tc>
      </w:tr>
      <w:tr w:rsidR="00122D42">
        <w:trPr>
          <w:trHeight w:val="216"/>
        </w:trPr>
        <w:tc>
          <w:tcPr>
            <w:tcW w:w="217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Time</w:t>
            </w:r>
          </w:p>
        </w:tc>
        <w:tc>
          <w:tcPr>
            <w:tcW w:w="1105"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w:t>
            </w:r>
          </w:p>
        </w:tc>
        <w:tc>
          <w:tcPr>
            <w:tcW w:w="177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29906.41</w:t>
            </w:r>
          </w:p>
        </w:tc>
        <w:tc>
          <w:tcPr>
            <w:tcW w:w="180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6.677</w:t>
            </w:r>
          </w:p>
        </w:tc>
        <w:tc>
          <w:tcPr>
            <w:tcW w:w="121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0.010</w:t>
            </w:r>
          </w:p>
        </w:tc>
      </w:tr>
      <w:tr w:rsidR="00122D42">
        <w:trPr>
          <w:trHeight w:val="216"/>
        </w:trPr>
        <w:tc>
          <w:tcPr>
            <w:tcW w:w="217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Group</w:t>
            </w:r>
          </w:p>
        </w:tc>
        <w:tc>
          <w:tcPr>
            <w:tcW w:w="1105"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w:t>
            </w:r>
          </w:p>
        </w:tc>
        <w:tc>
          <w:tcPr>
            <w:tcW w:w="177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5924.72</w:t>
            </w:r>
          </w:p>
        </w:tc>
        <w:tc>
          <w:tcPr>
            <w:tcW w:w="180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3.122</w:t>
            </w:r>
          </w:p>
        </w:tc>
        <w:tc>
          <w:tcPr>
            <w:tcW w:w="121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0.077</w:t>
            </w:r>
          </w:p>
        </w:tc>
      </w:tr>
      <w:tr w:rsidR="00122D42">
        <w:trPr>
          <w:trHeight w:val="216"/>
        </w:trPr>
        <w:tc>
          <w:tcPr>
            <w:tcW w:w="217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CCC-study site</w:t>
            </w:r>
          </w:p>
        </w:tc>
        <w:tc>
          <w:tcPr>
            <w:tcW w:w="1105"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3</w:t>
            </w:r>
          </w:p>
        </w:tc>
        <w:tc>
          <w:tcPr>
            <w:tcW w:w="177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79988.06</w:t>
            </w:r>
          </w:p>
        </w:tc>
        <w:tc>
          <w:tcPr>
            <w:tcW w:w="180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2.499</w:t>
            </w:r>
          </w:p>
        </w:tc>
        <w:tc>
          <w:tcPr>
            <w:tcW w:w="121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0.058</w:t>
            </w:r>
          </w:p>
        </w:tc>
      </w:tr>
      <w:tr w:rsidR="00122D42">
        <w:trPr>
          <w:trHeight w:val="216"/>
        </w:trPr>
        <w:tc>
          <w:tcPr>
            <w:tcW w:w="2172"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Time x Group</w:t>
            </w:r>
          </w:p>
        </w:tc>
        <w:tc>
          <w:tcPr>
            <w:tcW w:w="1105"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w:t>
            </w:r>
          </w:p>
        </w:tc>
        <w:tc>
          <w:tcPr>
            <w:tcW w:w="1771"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t>2422.91</w:t>
            </w:r>
          </w:p>
        </w:tc>
        <w:tc>
          <w:tcPr>
            <w:tcW w:w="1801"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t xml:space="preserve">4.375 </w:t>
            </w:r>
          </w:p>
        </w:tc>
        <w:tc>
          <w:tcPr>
            <w:tcW w:w="1212"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rPr>
              <w:t>0.036</w:t>
            </w:r>
          </w:p>
        </w:tc>
      </w:tr>
      <w:tr w:rsidR="00122D42">
        <w:trPr>
          <w:trHeight w:val="216"/>
        </w:trPr>
        <w:tc>
          <w:tcPr>
            <w:tcW w:w="2172" w:type="dxa"/>
            <w:tcBorders>
              <w:top w:val="dotted" w:sz="8" w:space="0" w:color="000000"/>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rPr>
              <w:t>Random Effects</w:t>
            </w:r>
          </w:p>
        </w:tc>
        <w:tc>
          <w:tcPr>
            <w:tcW w:w="5889" w:type="dxa"/>
            <w:gridSpan w:val="4"/>
            <w:tcBorders>
              <w:top w:val="dotted" w:sz="8" w:space="0" w:color="000000"/>
              <w:left w:val="nil"/>
              <w:bottom w:val="dotted"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r>
      <w:tr w:rsidR="00122D42">
        <w:trPr>
          <w:trHeight w:val="216"/>
        </w:trPr>
        <w:tc>
          <w:tcPr>
            <w:tcW w:w="2172" w:type="dxa"/>
            <w:tcBorders>
              <w:top w:val="dotted"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Intercept subject</w:t>
            </w:r>
          </w:p>
        </w:tc>
        <w:tc>
          <w:tcPr>
            <w:tcW w:w="5889" w:type="dxa"/>
            <w:gridSpan w:val="4"/>
            <w:tcBorders>
              <w:top w:val="dotted"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122.49</w:t>
            </w:r>
          </w:p>
        </w:tc>
      </w:tr>
      <w:tr w:rsidR="00122D42">
        <w:trPr>
          <w:trHeight w:val="216"/>
        </w:trPr>
        <w:tc>
          <w:tcPr>
            <w:tcW w:w="2172" w:type="dxa"/>
            <w:tcBorders>
              <w:top w:val="nil"/>
              <w:left w:val="nil"/>
              <w:right w:val="nil"/>
            </w:tcBorders>
            <w:shd w:val="clear" w:color="auto" w:fill="auto"/>
            <w:tcMar>
              <w:top w:w="15" w:type="dxa"/>
              <w:left w:w="108" w:type="dxa"/>
              <w:bottom w:w="0" w:type="dxa"/>
              <w:right w:w="108" w:type="dxa"/>
            </w:tcMar>
            <w:hideMark/>
          </w:tcPr>
          <w:p w:rsidR="00122D42" w:rsidRDefault="0041088A">
            <w:pPr>
              <w:spacing w:line="240" w:lineRule="auto"/>
            </w:pPr>
            <w:r>
              <w:t>Residual</w:t>
            </w:r>
          </w:p>
        </w:tc>
        <w:tc>
          <w:tcPr>
            <w:tcW w:w="5889" w:type="dxa"/>
            <w:gridSpan w:val="4"/>
            <w:tcBorders>
              <w:top w:val="nil"/>
              <w:left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77.27</w:t>
            </w:r>
          </w:p>
        </w:tc>
      </w:tr>
      <w:tr w:rsidR="00122D42">
        <w:trPr>
          <w:trHeight w:val="216"/>
        </w:trPr>
        <w:tc>
          <w:tcPr>
            <w:tcW w:w="2172" w:type="dxa"/>
            <w:tcBorders>
              <w:top w:val="nil"/>
              <w:left w:val="nil"/>
              <w:bottom w:val="single" w:sz="4" w:space="0" w:color="auto"/>
              <w:right w:val="nil"/>
            </w:tcBorders>
            <w:shd w:val="clear" w:color="auto" w:fill="auto"/>
            <w:tcMar>
              <w:top w:w="15" w:type="dxa"/>
              <w:left w:w="108" w:type="dxa"/>
              <w:bottom w:w="0" w:type="dxa"/>
              <w:right w:w="108" w:type="dxa"/>
            </w:tcMar>
            <w:hideMark/>
          </w:tcPr>
          <w:p w:rsidR="00122D42" w:rsidRDefault="0041088A">
            <w:pPr>
              <w:spacing w:line="240" w:lineRule="auto"/>
            </w:pPr>
            <w:r>
              <w:t>ICC</w:t>
            </w:r>
          </w:p>
        </w:tc>
        <w:tc>
          <w:tcPr>
            <w:tcW w:w="5889" w:type="dxa"/>
            <w:gridSpan w:val="4"/>
            <w:tcBorders>
              <w:top w:val="nil"/>
              <w:left w:val="nil"/>
              <w:bottom w:val="single" w:sz="4" w:space="0" w:color="auto"/>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0.613</w:t>
            </w:r>
          </w:p>
        </w:tc>
      </w:tr>
    </w:tbl>
    <w:p w:rsidR="00122D42" w:rsidRDefault="0041088A">
      <w:pPr>
        <w:spacing w:line="240" w:lineRule="auto"/>
        <w:rPr>
          <w:sz w:val="16"/>
          <w:szCs w:val="16"/>
          <w:lang w:val="en-US"/>
        </w:rPr>
      </w:pPr>
      <w:r>
        <w:rPr>
          <w:sz w:val="16"/>
          <w:szCs w:val="16"/>
          <w:lang w:val="en-US"/>
        </w:rPr>
        <w:t xml:space="preserve">Results are pooled over m=50 MI sets. </w:t>
      </w:r>
    </w:p>
    <w:p w:rsidR="00122D42" w:rsidRDefault="0041088A">
      <w:pPr>
        <w:spacing w:line="240" w:lineRule="auto"/>
        <w:rPr>
          <w:sz w:val="16"/>
          <w:szCs w:val="16"/>
          <w:lang w:val="en-US"/>
        </w:rPr>
      </w:pPr>
      <w:r>
        <w:rPr>
          <w:sz w:val="16"/>
          <w:szCs w:val="16"/>
          <w:lang w:val="en-US"/>
        </w:rPr>
        <w:t xml:space="preserve">Several </w:t>
      </w:r>
      <w:r>
        <w:rPr>
          <w:i/>
          <w:iCs/>
          <w:sz w:val="16"/>
          <w:szCs w:val="16"/>
          <w:lang w:val="en-US"/>
        </w:rPr>
        <w:t>F</w:t>
      </w:r>
      <w:r>
        <w:rPr>
          <w:sz w:val="16"/>
          <w:szCs w:val="16"/>
          <w:lang w:val="en-US"/>
        </w:rPr>
        <w:t xml:space="preserve"> statistics from multiply imputed datasets are combined using an approximation based on </w:t>
      </w:r>
      <w:r>
        <w:rPr>
          <w:i/>
          <w:iCs/>
          <w:sz w:val="16"/>
          <w:szCs w:val="16"/>
          <w:lang w:val="en-US"/>
        </w:rPr>
        <w:t>χ2</w:t>
      </w:r>
      <w:r>
        <w:rPr>
          <w:sz w:val="16"/>
          <w:szCs w:val="16"/>
          <w:lang w:val="en-US"/>
        </w:rPr>
        <w:t xml:space="preserve"> statistics.</w:t>
      </w:r>
    </w:p>
    <w:p w:rsidR="00122D42" w:rsidRDefault="0041088A">
      <w:pPr>
        <w:spacing w:line="240" w:lineRule="auto"/>
        <w:rPr>
          <w:sz w:val="16"/>
          <w:szCs w:val="16"/>
          <w:lang w:val="en-US"/>
        </w:rPr>
      </w:pPr>
      <w:r>
        <w:rPr>
          <w:sz w:val="16"/>
          <w:szCs w:val="16"/>
          <w:lang w:val="en-US"/>
        </w:rPr>
        <w:t xml:space="preserve">$ = range 0-100; </w:t>
      </w:r>
      <w:proofErr w:type="spellStart"/>
      <w:r>
        <w:rPr>
          <w:sz w:val="16"/>
          <w:szCs w:val="16"/>
          <w:lang w:val="en-US"/>
        </w:rPr>
        <w:t>numDF</w:t>
      </w:r>
      <w:proofErr w:type="spellEnd"/>
      <w:r>
        <w:rPr>
          <w:sz w:val="16"/>
          <w:szCs w:val="16"/>
          <w:lang w:val="en-US"/>
        </w:rPr>
        <w:t xml:space="preserve">=degrees of freedom of numerator; </w:t>
      </w:r>
      <w:proofErr w:type="spellStart"/>
      <w:r>
        <w:rPr>
          <w:sz w:val="16"/>
          <w:szCs w:val="16"/>
          <w:lang w:val="en-US"/>
        </w:rPr>
        <w:t>denDF</w:t>
      </w:r>
      <w:proofErr w:type="spellEnd"/>
      <w:r>
        <w:rPr>
          <w:sz w:val="16"/>
          <w:szCs w:val="16"/>
          <w:lang w:val="en-US"/>
        </w:rPr>
        <w:t>=degreed of freedom of denominator (Kenward-Roger approximation).</w:t>
      </w:r>
    </w:p>
    <w:p w:rsidR="00122D42" w:rsidRDefault="0041088A">
      <w:pPr>
        <w:spacing w:line="240" w:lineRule="auto"/>
        <w:rPr>
          <w:sz w:val="16"/>
          <w:szCs w:val="16"/>
          <w:lang w:val="en-US"/>
        </w:rPr>
      </w:pPr>
      <w:r>
        <w:rPr>
          <w:sz w:val="16"/>
          <w:szCs w:val="16"/>
          <w:lang w:val="en-US"/>
        </w:rPr>
        <w:t>Bold numbers indicate stat</w:t>
      </w:r>
      <w:r>
        <w:rPr>
          <w:sz w:val="16"/>
          <w:szCs w:val="16"/>
          <w:lang w:val="en-US"/>
        </w:rPr>
        <w:t>istical significance of p &lt; 0.05. ICC = intra class coefficient</w:t>
      </w:r>
    </w:p>
    <w:bookmarkEnd w:id="4"/>
    <w:bookmarkEnd w:id="5"/>
    <w:p w:rsidR="00122D42" w:rsidRDefault="00122D42">
      <w:pPr>
        <w:rPr>
          <w:lang w:val="en-US"/>
        </w:rPr>
      </w:pPr>
    </w:p>
    <w:p w:rsidR="00122D42" w:rsidRDefault="0041088A">
      <w:pPr>
        <w:rPr>
          <w:rFonts w:asciiTheme="minorHAnsi" w:hAnsiTheme="minorHAnsi" w:cstheme="minorHAnsi"/>
          <w:b/>
          <w:bCs/>
          <w:sz w:val="28"/>
          <w:szCs w:val="28"/>
          <w:lang w:val="en-US" w:eastAsia="en-US"/>
        </w:rPr>
      </w:pPr>
      <w:r>
        <w:rPr>
          <w:rFonts w:asciiTheme="minorHAnsi" w:hAnsiTheme="minorHAnsi" w:cstheme="minorHAnsi"/>
          <w:b/>
          <w:bCs/>
          <w:sz w:val="28"/>
          <w:szCs w:val="28"/>
          <w:lang w:val="en-US" w:eastAsia="en-US"/>
        </w:rPr>
        <w:br w:type="page"/>
      </w:r>
    </w:p>
    <w:p w:rsidR="00122D42" w:rsidRDefault="0041088A">
      <w:pPr>
        <w:pStyle w:val="3"/>
        <w:rPr>
          <w:lang w:val="en-US"/>
        </w:rPr>
      </w:pPr>
      <w:r>
        <w:rPr>
          <w:lang w:val="en-US"/>
        </w:rPr>
        <w:lastRenderedPageBreak/>
        <w:t>Supplement 9: Linear Mixed Model (LMM), T1-T3</w:t>
      </w:r>
    </w:p>
    <w:tbl>
      <w:tblPr>
        <w:tblW w:w="8061" w:type="dxa"/>
        <w:tblCellMar>
          <w:left w:w="0" w:type="dxa"/>
          <w:right w:w="0" w:type="dxa"/>
        </w:tblCellMar>
        <w:tblLook w:val="04A0" w:firstRow="1" w:lastRow="0" w:firstColumn="1" w:lastColumn="0" w:noHBand="0" w:noVBand="1"/>
      </w:tblPr>
      <w:tblGrid>
        <w:gridCol w:w="2172"/>
        <w:gridCol w:w="1105"/>
        <w:gridCol w:w="1771"/>
        <w:gridCol w:w="1801"/>
        <w:gridCol w:w="1212"/>
      </w:tblGrid>
      <w:tr w:rsidR="00122D42">
        <w:trPr>
          <w:trHeight w:val="211"/>
        </w:trPr>
        <w:tc>
          <w:tcPr>
            <w:tcW w:w="2172" w:type="dxa"/>
            <w:vMerge w:val="restart"/>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lang w:val="en-US"/>
              </w:rPr>
              <w:t>Parameter</w:t>
            </w:r>
          </w:p>
        </w:tc>
        <w:tc>
          <w:tcPr>
            <w:tcW w:w="5889" w:type="dxa"/>
            <w:gridSpan w:val="4"/>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jc w:val="center"/>
            </w:pPr>
            <w:r>
              <w:rPr>
                <w:b/>
                <w:bCs/>
                <w:lang w:val="en-US"/>
              </w:rPr>
              <w:t xml:space="preserve">PAM-13 Score </w:t>
            </w:r>
            <w:r>
              <w:rPr>
                <w:b/>
                <w:bCs/>
                <w:vertAlign w:val="superscript"/>
                <w:lang w:val="en-US"/>
              </w:rPr>
              <w:t>$</w:t>
            </w:r>
          </w:p>
        </w:tc>
      </w:tr>
      <w:tr w:rsidR="00122D42">
        <w:trPr>
          <w:trHeight w:val="216"/>
        </w:trPr>
        <w:tc>
          <w:tcPr>
            <w:tcW w:w="0" w:type="auto"/>
            <w:vMerge/>
            <w:tcBorders>
              <w:top w:val="single" w:sz="8" w:space="0" w:color="000000"/>
              <w:left w:val="nil"/>
              <w:bottom w:val="single" w:sz="8" w:space="0" w:color="000000"/>
              <w:right w:val="nil"/>
            </w:tcBorders>
            <w:vAlign w:val="center"/>
            <w:hideMark/>
          </w:tcPr>
          <w:p w:rsidR="00122D42" w:rsidRDefault="00122D42">
            <w:pPr>
              <w:spacing w:line="240" w:lineRule="auto"/>
            </w:pPr>
          </w:p>
        </w:tc>
        <w:tc>
          <w:tcPr>
            <w:tcW w:w="1105"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proofErr w:type="spellStart"/>
            <w:r>
              <w:rPr>
                <w:b/>
                <w:bCs/>
                <w:lang w:val="en-US"/>
              </w:rPr>
              <w:t>numDF</w:t>
            </w:r>
            <w:proofErr w:type="spellEnd"/>
          </w:p>
        </w:tc>
        <w:tc>
          <w:tcPr>
            <w:tcW w:w="177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proofErr w:type="spellStart"/>
            <w:r>
              <w:rPr>
                <w:b/>
                <w:bCs/>
                <w:lang w:val="en-US"/>
              </w:rPr>
              <w:t>denDF</w:t>
            </w:r>
            <w:proofErr w:type="spellEnd"/>
          </w:p>
        </w:tc>
        <w:tc>
          <w:tcPr>
            <w:tcW w:w="180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lang w:val="en-US"/>
              </w:rPr>
              <w:t>F-value</w:t>
            </w:r>
          </w:p>
        </w:tc>
        <w:tc>
          <w:tcPr>
            <w:tcW w:w="1212"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lang w:val="en-US"/>
              </w:rPr>
              <w:t>p</w:t>
            </w:r>
          </w:p>
        </w:tc>
      </w:tr>
      <w:tr w:rsidR="00122D42">
        <w:trPr>
          <w:trHeight w:val="216"/>
        </w:trPr>
        <w:tc>
          <w:tcPr>
            <w:tcW w:w="2172"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rPr>
              <w:t>Fixed Effects</w:t>
            </w:r>
          </w:p>
        </w:tc>
        <w:tc>
          <w:tcPr>
            <w:tcW w:w="1105"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c>
          <w:tcPr>
            <w:tcW w:w="177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c>
          <w:tcPr>
            <w:tcW w:w="1801"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c>
          <w:tcPr>
            <w:tcW w:w="1212" w:type="dxa"/>
            <w:tcBorders>
              <w:top w:val="single" w:sz="8" w:space="0" w:color="000000"/>
              <w:left w:val="nil"/>
              <w:bottom w:val="single"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r>
      <w:tr w:rsidR="00122D42">
        <w:trPr>
          <w:trHeight w:val="216"/>
        </w:trPr>
        <w:tc>
          <w:tcPr>
            <w:tcW w:w="2172"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Intercept</w:t>
            </w:r>
          </w:p>
        </w:tc>
        <w:tc>
          <w:tcPr>
            <w:tcW w:w="1105"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w:t>
            </w:r>
          </w:p>
        </w:tc>
        <w:tc>
          <w:tcPr>
            <w:tcW w:w="1771"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194.88</w:t>
            </w:r>
          </w:p>
        </w:tc>
        <w:tc>
          <w:tcPr>
            <w:tcW w:w="1801"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19469.333</w:t>
            </w:r>
          </w:p>
        </w:tc>
        <w:tc>
          <w:tcPr>
            <w:tcW w:w="1212" w:type="dxa"/>
            <w:tcBorders>
              <w:top w:val="single"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&lt;.001</w:t>
            </w:r>
          </w:p>
        </w:tc>
      </w:tr>
      <w:tr w:rsidR="00122D42">
        <w:trPr>
          <w:trHeight w:val="216"/>
        </w:trPr>
        <w:tc>
          <w:tcPr>
            <w:tcW w:w="217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Time</w:t>
            </w:r>
          </w:p>
        </w:tc>
        <w:tc>
          <w:tcPr>
            <w:tcW w:w="1105"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w:t>
            </w:r>
          </w:p>
        </w:tc>
        <w:tc>
          <w:tcPr>
            <w:tcW w:w="177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18089.72</w:t>
            </w:r>
          </w:p>
        </w:tc>
        <w:tc>
          <w:tcPr>
            <w:tcW w:w="180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8.742</w:t>
            </w:r>
          </w:p>
        </w:tc>
        <w:tc>
          <w:tcPr>
            <w:tcW w:w="121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0.003</w:t>
            </w:r>
          </w:p>
        </w:tc>
      </w:tr>
      <w:tr w:rsidR="00122D42">
        <w:trPr>
          <w:trHeight w:val="216"/>
        </w:trPr>
        <w:tc>
          <w:tcPr>
            <w:tcW w:w="217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Group</w:t>
            </w:r>
          </w:p>
        </w:tc>
        <w:tc>
          <w:tcPr>
            <w:tcW w:w="1105"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2</w:t>
            </w:r>
          </w:p>
        </w:tc>
        <w:tc>
          <w:tcPr>
            <w:tcW w:w="177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4541.53</w:t>
            </w:r>
          </w:p>
        </w:tc>
        <w:tc>
          <w:tcPr>
            <w:tcW w:w="180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1.566</w:t>
            </w:r>
          </w:p>
        </w:tc>
        <w:tc>
          <w:tcPr>
            <w:tcW w:w="121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0.209</w:t>
            </w:r>
          </w:p>
        </w:tc>
      </w:tr>
      <w:tr w:rsidR="00122D42">
        <w:trPr>
          <w:trHeight w:val="216"/>
        </w:trPr>
        <w:tc>
          <w:tcPr>
            <w:tcW w:w="217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CCC-study site</w:t>
            </w:r>
          </w:p>
        </w:tc>
        <w:tc>
          <w:tcPr>
            <w:tcW w:w="1105"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3</w:t>
            </w:r>
          </w:p>
        </w:tc>
        <w:tc>
          <w:tcPr>
            <w:tcW w:w="177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30693.06</w:t>
            </w:r>
          </w:p>
        </w:tc>
        <w:tc>
          <w:tcPr>
            <w:tcW w:w="1801"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1.827</w:t>
            </w:r>
          </w:p>
        </w:tc>
        <w:tc>
          <w:tcPr>
            <w:tcW w:w="1212" w:type="dxa"/>
            <w:tcBorders>
              <w:top w:val="nil"/>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0.140</w:t>
            </w:r>
          </w:p>
        </w:tc>
      </w:tr>
      <w:tr w:rsidR="00122D42">
        <w:trPr>
          <w:trHeight w:val="216"/>
        </w:trPr>
        <w:tc>
          <w:tcPr>
            <w:tcW w:w="2172"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i/>
                <w:iCs/>
                <w:lang w:val="en-US"/>
              </w:rPr>
              <w:t>Time x Group</w:t>
            </w:r>
          </w:p>
        </w:tc>
        <w:tc>
          <w:tcPr>
            <w:tcW w:w="1105"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w:t>
            </w:r>
          </w:p>
        </w:tc>
        <w:tc>
          <w:tcPr>
            <w:tcW w:w="1771"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t>3316.04</w:t>
            </w:r>
          </w:p>
        </w:tc>
        <w:tc>
          <w:tcPr>
            <w:tcW w:w="1801"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t xml:space="preserve">2.337 </w:t>
            </w:r>
          </w:p>
        </w:tc>
        <w:tc>
          <w:tcPr>
            <w:tcW w:w="1212" w:type="dxa"/>
            <w:tcBorders>
              <w:top w:val="nil"/>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Cs/>
              </w:rPr>
              <w:t>0.096</w:t>
            </w:r>
          </w:p>
        </w:tc>
      </w:tr>
      <w:tr w:rsidR="00122D42">
        <w:trPr>
          <w:trHeight w:val="216"/>
        </w:trPr>
        <w:tc>
          <w:tcPr>
            <w:tcW w:w="2172" w:type="dxa"/>
            <w:tcBorders>
              <w:top w:val="dotted" w:sz="8" w:space="0" w:color="000000"/>
              <w:left w:val="nil"/>
              <w:bottom w:val="dotted" w:sz="8" w:space="0" w:color="000000"/>
              <w:right w:val="nil"/>
            </w:tcBorders>
            <w:shd w:val="clear" w:color="auto" w:fill="auto"/>
            <w:tcMar>
              <w:top w:w="15" w:type="dxa"/>
              <w:left w:w="108" w:type="dxa"/>
              <w:bottom w:w="0" w:type="dxa"/>
              <w:right w:w="108" w:type="dxa"/>
            </w:tcMar>
            <w:hideMark/>
          </w:tcPr>
          <w:p w:rsidR="00122D42" w:rsidRDefault="0041088A">
            <w:pPr>
              <w:spacing w:line="240" w:lineRule="auto"/>
            </w:pPr>
            <w:r>
              <w:rPr>
                <w:b/>
                <w:bCs/>
              </w:rPr>
              <w:t>Random Effects</w:t>
            </w:r>
          </w:p>
        </w:tc>
        <w:tc>
          <w:tcPr>
            <w:tcW w:w="5889" w:type="dxa"/>
            <w:gridSpan w:val="4"/>
            <w:tcBorders>
              <w:top w:val="dotted" w:sz="8" w:space="0" w:color="000000"/>
              <w:left w:val="nil"/>
              <w:bottom w:val="dotted" w:sz="8" w:space="0" w:color="000000"/>
              <w:right w:val="nil"/>
            </w:tcBorders>
            <w:shd w:val="clear" w:color="auto" w:fill="auto"/>
            <w:tcMar>
              <w:top w:w="15" w:type="dxa"/>
              <w:left w:w="108" w:type="dxa"/>
              <w:bottom w:w="0" w:type="dxa"/>
              <w:right w:w="108" w:type="dxa"/>
            </w:tcMar>
            <w:hideMark/>
          </w:tcPr>
          <w:p w:rsidR="00122D42" w:rsidRDefault="00122D42">
            <w:pPr>
              <w:spacing w:line="240" w:lineRule="auto"/>
            </w:pPr>
          </w:p>
        </w:tc>
      </w:tr>
      <w:tr w:rsidR="00122D42">
        <w:trPr>
          <w:trHeight w:val="216"/>
        </w:trPr>
        <w:tc>
          <w:tcPr>
            <w:tcW w:w="2172" w:type="dxa"/>
            <w:tcBorders>
              <w:top w:val="dotted"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t>Intercept subject</w:t>
            </w:r>
          </w:p>
        </w:tc>
        <w:tc>
          <w:tcPr>
            <w:tcW w:w="5889" w:type="dxa"/>
            <w:gridSpan w:val="4"/>
            <w:tcBorders>
              <w:top w:val="dotted" w:sz="8" w:space="0" w:color="000000"/>
              <w:left w:val="nil"/>
              <w:bottom w:val="nil"/>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113.739</w:t>
            </w:r>
          </w:p>
        </w:tc>
      </w:tr>
      <w:tr w:rsidR="00122D42">
        <w:trPr>
          <w:trHeight w:val="216"/>
        </w:trPr>
        <w:tc>
          <w:tcPr>
            <w:tcW w:w="2172" w:type="dxa"/>
            <w:tcBorders>
              <w:top w:val="nil"/>
              <w:left w:val="nil"/>
              <w:right w:val="nil"/>
            </w:tcBorders>
            <w:shd w:val="clear" w:color="auto" w:fill="auto"/>
            <w:tcMar>
              <w:top w:w="15" w:type="dxa"/>
              <w:left w:w="108" w:type="dxa"/>
              <w:bottom w:w="0" w:type="dxa"/>
              <w:right w:w="108" w:type="dxa"/>
            </w:tcMar>
            <w:hideMark/>
          </w:tcPr>
          <w:p w:rsidR="00122D42" w:rsidRDefault="0041088A">
            <w:pPr>
              <w:spacing w:line="240" w:lineRule="auto"/>
            </w:pPr>
            <w:r>
              <w:t>Residual</w:t>
            </w:r>
          </w:p>
        </w:tc>
        <w:tc>
          <w:tcPr>
            <w:tcW w:w="5889" w:type="dxa"/>
            <w:gridSpan w:val="4"/>
            <w:tcBorders>
              <w:top w:val="nil"/>
              <w:left w:val="nil"/>
              <w:right w:val="nil"/>
            </w:tcBorders>
            <w:shd w:val="clear" w:color="auto" w:fill="auto"/>
            <w:tcMar>
              <w:top w:w="15" w:type="dxa"/>
              <w:left w:w="108" w:type="dxa"/>
              <w:bottom w:w="0" w:type="dxa"/>
              <w:right w:w="108" w:type="dxa"/>
            </w:tcMar>
            <w:hideMark/>
          </w:tcPr>
          <w:p w:rsidR="00122D42" w:rsidRDefault="0041088A">
            <w:pPr>
              <w:spacing w:line="240" w:lineRule="auto"/>
            </w:pPr>
            <w:r>
              <w:t>84.958</w:t>
            </w:r>
          </w:p>
        </w:tc>
      </w:tr>
      <w:tr w:rsidR="00122D42">
        <w:trPr>
          <w:trHeight w:val="216"/>
        </w:trPr>
        <w:tc>
          <w:tcPr>
            <w:tcW w:w="2172" w:type="dxa"/>
            <w:tcBorders>
              <w:top w:val="nil"/>
              <w:left w:val="nil"/>
              <w:bottom w:val="single" w:sz="4" w:space="0" w:color="auto"/>
              <w:right w:val="nil"/>
            </w:tcBorders>
            <w:shd w:val="clear" w:color="auto" w:fill="auto"/>
            <w:tcMar>
              <w:top w:w="15" w:type="dxa"/>
              <w:left w:w="108" w:type="dxa"/>
              <w:bottom w:w="0" w:type="dxa"/>
              <w:right w:w="108" w:type="dxa"/>
            </w:tcMar>
            <w:hideMark/>
          </w:tcPr>
          <w:p w:rsidR="00122D42" w:rsidRDefault="0041088A">
            <w:pPr>
              <w:spacing w:line="240" w:lineRule="auto"/>
            </w:pPr>
            <w:r>
              <w:t>ICC|subject</w:t>
            </w:r>
          </w:p>
        </w:tc>
        <w:tc>
          <w:tcPr>
            <w:tcW w:w="5889" w:type="dxa"/>
            <w:gridSpan w:val="4"/>
            <w:tcBorders>
              <w:top w:val="nil"/>
              <w:left w:val="nil"/>
              <w:bottom w:val="single" w:sz="4" w:space="0" w:color="auto"/>
              <w:right w:val="nil"/>
            </w:tcBorders>
            <w:shd w:val="clear" w:color="auto" w:fill="auto"/>
            <w:tcMar>
              <w:top w:w="15" w:type="dxa"/>
              <w:left w:w="108" w:type="dxa"/>
              <w:bottom w:w="0" w:type="dxa"/>
              <w:right w:w="108" w:type="dxa"/>
            </w:tcMar>
            <w:hideMark/>
          </w:tcPr>
          <w:p w:rsidR="00122D42" w:rsidRDefault="0041088A">
            <w:pPr>
              <w:spacing w:line="240" w:lineRule="auto"/>
            </w:pPr>
            <w:r>
              <w:rPr>
                <w:lang w:val="en-US"/>
              </w:rPr>
              <w:t>0.572</w:t>
            </w:r>
          </w:p>
        </w:tc>
      </w:tr>
    </w:tbl>
    <w:p w:rsidR="00122D42" w:rsidRDefault="0041088A">
      <w:pPr>
        <w:spacing w:line="240" w:lineRule="auto"/>
        <w:rPr>
          <w:sz w:val="16"/>
          <w:szCs w:val="16"/>
          <w:lang w:val="en-US"/>
        </w:rPr>
      </w:pPr>
      <w:r>
        <w:rPr>
          <w:sz w:val="16"/>
          <w:szCs w:val="16"/>
          <w:lang w:val="en-US"/>
        </w:rPr>
        <w:t xml:space="preserve">Results are pooled over m=50 MI sets. </w:t>
      </w:r>
    </w:p>
    <w:p w:rsidR="00122D42" w:rsidRDefault="0041088A">
      <w:pPr>
        <w:spacing w:line="240" w:lineRule="auto"/>
        <w:rPr>
          <w:sz w:val="16"/>
          <w:szCs w:val="16"/>
          <w:lang w:val="en-US"/>
        </w:rPr>
      </w:pPr>
      <w:r>
        <w:rPr>
          <w:sz w:val="16"/>
          <w:szCs w:val="16"/>
          <w:lang w:val="en-US"/>
        </w:rPr>
        <w:t xml:space="preserve">Several </w:t>
      </w:r>
      <w:r>
        <w:rPr>
          <w:i/>
          <w:iCs/>
          <w:sz w:val="16"/>
          <w:szCs w:val="16"/>
          <w:lang w:val="en-US"/>
        </w:rPr>
        <w:t>F</w:t>
      </w:r>
      <w:r>
        <w:rPr>
          <w:sz w:val="16"/>
          <w:szCs w:val="16"/>
          <w:lang w:val="en-US"/>
        </w:rPr>
        <w:t xml:space="preserve"> statistics from multiply imputed datasets are combined using an approximation based on </w:t>
      </w:r>
      <w:r>
        <w:rPr>
          <w:i/>
          <w:iCs/>
          <w:sz w:val="16"/>
          <w:szCs w:val="16"/>
          <w:lang w:val="en-US"/>
        </w:rPr>
        <w:t>χ2</w:t>
      </w:r>
      <w:r>
        <w:rPr>
          <w:sz w:val="16"/>
          <w:szCs w:val="16"/>
          <w:lang w:val="en-US"/>
        </w:rPr>
        <w:t xml:space="preserve"> statistics.</w:t>
      </w:r>
    </w:p>
    <w:p w:rsidR="00122D42" w:rsidRDefault="0041088A">
      <w:pPr>
        <w:spacing w:line="240" w:lineRule="auto"/>
        <w:rPr>
          <w:sz w:val="16"/>
          <w:szCs w:val="16"/>
          <w:lang w:val="en-US"/>
        </w:rPr>
      </w:pPr>
      <w:r>
        <w:rPr>
          <w:sz w:val="16"/>
          <w:szCs w:val="16"/>
          <w:lang w:val="en-US"/>
        </w:rPr>
        <w:t xml:space="preserve">$ = range 0-100; </w:t>
      </w:r>
      <w:proofErr w:type="spellStart"/>
      <w:r>
        <w:rPr>
          <w:sz w:val="16"/>
          <w:szCs w:val="16"/>
          <w:lang w:val="en-US"/>
        </w:rPr>
        <w:t>numDF</w:t>
      </w:r>
      <w:proofErr w:type="spellEnd"/>
      <w:r>
        <w:rPr>
          <w:sz w:val="16"/>
          <w:szCs w:val="16"/>
          <w:lang w:val="en-US"/>
        </w:rPr>
        <w:t xml:space="preserve">=degrees of freedom of numerator; </w:t>
      </w:r>
      <w:proofErr w:type="spellStart"/>
      <w:r>
        <w:rPr>
          <w:sz w:val="16"/>
          <w:szCs w:val="16"/>
          <w:lang w:val="en-US"/>
        </w:rPr>
        <w:t>denDF</w:t>
      </w:r>
      <w:proofErr w:type="spellEnd"/>
      <w:r>
        <w:rPr>
          <w:sz w:val="16"/>
          <w:szCs w:val="16"/>
          <w:lang w:val="en-US"/>
        </w:rPr>
        <w:t>=degreed of freedom of denominator (Kenward-Roger approximation).</w:t>
      </w:r>
    </w:p>
    <w:p w:rsidR="00122D42" w:rsidRDefault="0041088A">
      <w:pPr>
        <w:spacing w:line="240" w:lineRule="auto"/>
        <w:rPr>
          <w:sz w:val="16"/>
          <w:szCs w:val="16"/>
          <w:lang w:val="en-US"/>
        </w:rPr>
      </w:pPr>
      <w:r>
        <w:rPr>
          <w:sz w:val="16"/>
          <w:szCs w:val="16"/>
          <w:lang w:val="en-US"/>
        </w:rPr>
        <w:t>Bold numbers indicate stat</w:t>
      </w:r>
      <w:r>
        <w:rPr>
          <w:sz w:val="16"/>
          <w:szCs w:val="16"/>
          <w:lang w:val="en-US"/>
        </w:rPr>
        <w:t>istical significance of p &lt; 0.05. ICC = intra class coefficient</w:t>
      </w:r>
    </w:p>
    <w:p w:rsidR="00122D42" w:rsidRDefault="0041088A">
      <w:pPr>
        <w:rPr>
          <w:sz w:val="16"/>
          <w:szCs w:val="16"/>
          <w:lang w:val="en-US"/>
        </w:rPr>
      </w:pPr>
      <w:r>
        <w:rPr>
          <w:sz w:val="16"/>
          <w:szCs w:val="16"/>
          <w:lang w:val="en-US"/>
        </w:rPr>
        <w:br w:type="page"/>
      </w:r>
    </w:p>
    <w:p w:rsidR="00122D42" w:rsidRDefault="0041088A">
      <w:pPr>
        <w:pStyle w:val="3"/>
        <w:rPr>
          <w:lang w:val="en-US" w:eastAsia="en-US"/>
        </w:rPr>
      </w:pPr>
      <w:r>
        <w:rPr>
          <w:lang w:val="en-US" w:eastAsia="en-US"/>
        </w:rPr>
        <w:lastRenderedPageBreak/>
        <w:t xml:space="preserve">Supplement 10: Appendix Methods: </w:t>
      </w:r>
    </w:p>
    <w:p w:rsidR="00122D42" w:rsidRDefault="0041088A">
      <w:pPr>
        <w:pStyle w:val="3"/>
        <w:rPr>
          <w:lang w:val="en-US" w:eastAsia="en-US"/>
        </w:rPr>
      </w:pPr>
      <w:r>
        <w:rPr>
          <w:lang w:val="en-US" w:eastAsia="en-US"/>
        </w:rPr>
        <w:t>Appendix 1 - Participant eligibility and recruitment</w:t>
      </w:r>
    </w:p>
    <w:p w:rsidR="00122D42" w:rsidRDefault="0041088A">
      <w:pPr>
        <w:spacing w:line="480" w:lineRule="auto"/>
        <w:ind w:firstLine="426"/>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Eligible participants were recruited from outpatient oncology clinics at the four CCCs using targeted </w:t>
      </w:r>
      <w:r>
        <w:rPr>
          <w:rFonts w:asciiTheme="minorHAnsi" w:hAnsiTheme="minorHAnsi" w:cstheme="minorHAnsi"/>
          <w:sz w:val="24"/>
          <w:szCs w:val="24"/>
          <w:lang w:val="en-US"/>
        </w:rPr>
        <w:t xml:space="preserve">convenience sampling (flyers, newspaper reports, word-of-mouth, </w:t>
      </w:r>
      <w:proofErr w:type="gramStart"/>
      <w:r>
        <w:rPr>
          <w:rFonts w:asciiTheme="minorHAnsi" w:hAnsiTheme="minorHAnsi" w:cstheme="minorHAnsi"/>
          <w:sz w:val="24"/>
          <w:szCs w:val="24"/>
          <w:lang w:val="en-US"/>
        </w:rPr>
        <w:t>invitation</w:t>
      </w:r>
      <w:proofErr w:type="gramEnd"/>
      <w:r>
        <w:rPr>
          <w:rFonts w:asciiTheme="minorHAnsi" w:hAnsiTheme="minorHAnsi" w:cstheme="minorHAnsi"/>
          <w:sz w:val="24"/>
          <w:szCs w:val="24"/>
          <w:lang w:val="en-US"/>
        </w:rPr>
        <w:t xml:space="preserve"> from treating physicians). Since a randomized group allocation was not feasible and since we also refrained from using cluster randomization due to the possibility that patients tre</w:t>
      </w:r>
      <w:r>
        <w:rPr>
          <w:rFonts w:asciiTheme="minorHAnsi" w:hAnsiTheme="minorHAnsi" w:cstheme="minorHAnsi"/>
          <w:sz w:val="24"/>
          <w:szCs w:val="24"/>
          <w:lang w:val="en-US"/>
        </w:rPr>
        <w:t>ated in one of the CCCs might seek counseling in another CCC, different time intervals for the recruitment of intervention and control group were chosen. The control group was recruited over a period of 6 months from August 2020 to January 2021. After recr</w:t>
      </w:r>
      <w:r>
        <w:rPr>
          <w:rFonts w:asciiTheme="minorHAnsi" w:hAnsiTheme="minorHAnsi" w:cstheme="minorHAnsi"/>
          <w:sz w:val="24"/>
          <w:szCs w:val="24"/>
          <w:lang w:val="en-US"/>
        </w:rPr>
        <w:t>uitment of the CO was successfully completed, the recruitment and counseling program for the IG started from January 2021 and was offered for 18 months in total until June 2022.</w:t>
      </w:r>
    </w:p>
    <w:p w:rsidR="00122D42" w:rsidRDefault="0041088A">
      <w:pPr>
        <w:spacing w:line="480" w:lineRule="auto"/>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Eligibility criteria for participants for CO and IG: </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 xml:space="preserve">Diagnosis of cancer </w:t>
      </w:r>
      <w:r>
        <w:rPr>
          <w:rFonts w:cstheme="minorHAnsi"/>
          <w:sz w:val="24"/>
          <w:szCs w:val="24"/>
          <w:lang w:val="en-US"/>
        </w:rPr>
        <w:t>including progression or recurrence within the last 6 months (all cancer types eligible).</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Patient must be able to attend counseling on-site.</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Treatment at one of the participating CCCs or counseling for a second opinion.</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Age ≥ 18 years.</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Written informed con</w:t>
      </w:r>
      <w:r>
        <w:rPr>
          <w:rFonts w:cstheme="minorHAnsi"/>
          <w:sz w:val="24"/>
          <w:szCs w:val="24"/>
          <w:lang w:val="en-US"/>
        </w:rPr>
        <w:t>sent to the study and consent to the processing of personal data.</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For IG: need for CIH counseling.</w:t>
      </w:r>
    </w:p>
    <w:p w:rsidR="00122D42" w:rsidRDefault="0041088A">
      <w:pPr>
        <w:spacing w:line="480" w:lineRule="auto"/>
        <w:jc w:val="both"/>
        <w:rPr>
          <w:rFonts w:asciiTheme="minorHAnsi" w:hAnsiTheme="minorHAnsi" w:cstheme="minorHAnsi"/>
          <w:sz w:val="24"/>
          <w:szCs w:val="24"/>
          <w:lang w:val="en-US"/>
        </w:rPr>
      </w:pPr>
      <w:r>
        <w:rPr>
          <w:rFonts w:asciiTheme="minorHAnsi" w:hAnsiTheme="minorHAnsi" w:cstheme="minorHAnsi"/>
          <w:sz w:val="24"/>
          <w:szCs w:val="24"/>
          <w:lang w:val="en-US"/>
        </w:rPr>
        <w:t>Exclusion criteria:</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 xml:space="preserve">For IG: participation in CO. </w:t>
      </w:r>
    </w:p>
    <w:p w:rsidR="00122D42" w:rsidRDefault="0041088A">
      <w:pPr>
        <w:pStyle w:val="a4"/>
        <w:numPr>
          <w:ilvl w:val="0"/>
          <w:numId w:val="1"/>
        </w:numPr>
        <w:spacing w:line="480" w:lineRule="auto"/>
        <w:rPr>
          <w:rFonts w:cstheme="minorHAnsi"/>
          <w:sz w:val="24"/>
          <w:szCs w:val="24"/>
          <w:lang w:val="en-US"/>
        </w:rPr>
      </w:pPr>
      <w:r>
        <w:rPr>
          <w:rFonts w:cstheme="minorHAnsi"/>
          <w:sz w:val="24"/>
          <w:szCs w:val="24"/>
          <w:lang w:val="en-US"/>
        </w:rPr>
        <w:t>Language/cognitive impairments preventing patients from completing questionnaires independently.</w:t>
      </w:r>
    </w:p>
    <w:p w:rsidR="00122D42" w:rsidRDefault="0041088A">
      <w:pPr>
        <w:spacing w:after="240" w:line="480" w:lineRule="auto"/>
        <w:jc w:val="both"/>
        <w:rPr>
          <w:rFonts w:asciiTheme="minorHAnsi" w:hAnsiTheme="minorHAnsi" w:cstheme="minorHAnsi"/>
          <w:bCs/>
          <w:sz w:val="24"/>
          <w:szCs w:val="24"/>
          <w:lang w:val="en-US"/>
        </w:rPr>
      </w:pPr>
      <w:r>
        <w:rPr>
          <w:rFonts w:asciiTheme="minorHAnsi" w:hAnsiTheme="minorHAnsi" w:cstheme="minorHAnsi"/>
          <w:sz w:val="24"/>
          <w:szCs w:val="24"/>
          <w:lang w:val="en-US"/>
        </w:rPr>
        <w:lastRenderedPageBreak/>
        <w:t xml:space="preserve">Regarding </w:t>
      </w:r>
      <w:r>
        <w:rPr>
          <w:rFonts w:asciiTheme="minorHAnsi" w:hAnsiTheme="minorHAnsi" w:cstheme="minorHAnsi"/>
          <w:sz w:val="24"/>
          <w:szCs w:val="24"/>
          <w:lang w:val="en-US"/>
        </w:rPr>
        <w:t xml:space="preserve">the recruiting procedure, it has to be mentioned that while patients in the CO were approached </w:t>
      </w:r>
      <w:r>
        <w:rPr>
          <w:rFonts w:asciiTheme="minorHAnsi" w:hAnsiTheme="minorHAnsi" w:cstheme="minorHAnsi"/>
          <w:bCs/>
          <w:sz w:val="24"/>
          <w:szCs w:val="24"/>
          <w:lang w:val="en-US"/>
        </w:rPr>
        <w:t>with a request for study participation</w:t>
      </w:r>
      <w:r>
        <w:rPr>
          <w:rFonts w:asciiTheme="minorHAnsi" w:hAnsiTheme="minorHAnsi" w:cstheme="minorHAnsi"/>
          <w:sz w:val="24"/>
          <w:szCs w:val="24"/>
          <w:lang w:val="en-US"/>
        </w:rPr>
        <w:t xml:space="preserve"> by the study staff </w:t>
      </w:r>
      <w:r>
        <w:rPr>
          <w:rFonts w:asciiTheme="minorHAnsi" w:hAnsiTheme="minorHAnsi" w:cstheme="minorHAnsi"/>
          <w:bCs/>
          <w:sz w:val="24"/>
          <w:szCs w:val="24"/>
          <w:lang w:val="en-US"/>
        </w:rPr>
        <w:t>(doctors, nurses, study assistants) during waiting times at the outpatient clinics of the CCCs, individ</w:t>
      </w:r>
      <w:r>
        <w:rPr>
          <w:rFonts w:asciiTheme="minorHAnsi" w:hAnsiTheme="minorHAnsi" w:cstheme="minorHAnsi"/>
          <w:bCs/>
          <w:sz w:val="24"/>
          <w:szCs w:val="24"/>
          <w:lang w:val="en-US"/>
        </w:rPr>
        <w:t xml:space="preserve">uals who wanted to participate in the intervention had to </w:t>
      </w:r>
      <w:r>
        <w:rPr>
          <w:rFonts w:asciiTheme="minorHAnsi" w:hAnsiTheme="minorHAnsi" w:cstheme="minorHAnsi"/>
          <w:sz w:val="24"/>
          <w:szCs w:val="24"/>
          <w:lang w:val="en-US"/>
        </w:rPr>
        <w:t>approach the counseling center themselves reflecting a need for CIH counseling (=eligibility criterion in the IG)</w:t>
      </w:r>
      <w:r>
        <w:rPr>
          <w:rFonts w:asciiTheme="minorHAnsi" w:hAnsiTheme="minorHAnsi" w:cstheme="minorHAnsi"/>
          <w:bCs/>
          <w:sz w:val="24"/>
          <w:szCs w:val="24"/>
          <w:lang w:val="en-US"/>
        </w:rPr>
        <w:t>. For further details on the recruitment procedure, please refer to the study protoco</w:t>
      </w:r>
      <w:r>
        <w:rPr>
          <w:rFonts w:asciiTheme="minorHAnsi" w:hAnsiTheme="minorHAnsi" w:cstheme="minorHAnsi"/>
          <w:bCs/>
          <w:sz w:val="24"/>
          <w:szCs w:val="24"/>
          <w:lang w:val="en-US"/>
        </w:rPr>
        <w:t xml:space="preserve">l </w:t>
      </w:r>
      <w:r>
        <w:rPr>
          <w:rFonts w:asciiTheme="minorHAnsi" w:hAnsiTheme="minorHAnsi" w:cstheme="minorHAnsi"/>
          <w:bCs/>
          <w:sz w:val="24"/>
          <w:szCs w:val="24"/>
          <w:lang w:val="en-US"/>
        </w:rPr>
        <w:fldChar w:fldCharType="begin">
          <w:fldData xml:space="preserve">PEVuZE5vdGU+PENpdGU+PEF1dGhvcj5WYWxlbnRpbmk8L0F1dGhvcj48WWVhcj4yMDIyPC9ZZWFy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</w:fldData>
        </w:fldChar>
      </w:r>
      <w:r>
        <w:rPr>
          <w:rFonts w:asciiTheme="minorHAnsi" w:hAnsiTheme="minorHAnsi" w:cstheme="minorHAnsi"/>
          <w:bCs/>
          <w:sz w:val="24"/>
          <w:szCs w:val="24"/>
          <w:lang w:val="en-US"/>
        </w:rPr>
        <w:instrText xml:space="preserve"> ADDIN EN.CITE </w:instrText>
      </w:r>
      <w:r>
        <w:rPr>
          <w:rFonts w:asciiTheme="minorHAnsi" w:hAnsiTheme="minorHAnsi" w:cstheme="minorHAnsi"/>
          <w:bCs/>
          <w:sz w:val="24"/>
          <w:szCs w:val="24"/>
          <w:lang w:val="en-US"/>
        </w:rPr>
        <w:fldChar w:fldCharType="begin">
          <w:fldData xml:space="preserve">PEVuZE5vdGU+PENpdGU+PEF1dGhvcj5WYWxlbnRpbmk8L0F1dGhvcj48WWVhcj4yMDIyPC9ZZWFy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</w:fldData>
        </w:fldChar>
      </w:r>
      <w:r>
        <w:rPr>
          <w:rFonts w:asciiTheme="minorHAnsi" w:hAnsiTheme="minorHAnsi" w:cstheme="minorHAnsi"/>
          <w:bCs/>
          <w:sz w:val="24"/>
          <w:szCs w:val="24"/>
          <w:lang w:val="en-US"/>
        </w:rPr>
        <w:instrText xml:space="preserve"> ADDIN EN.CITE.DATA </w:instrText>
      </w:r>
      <w:r>
        <w:rPr>
          <w:rFonts w:asciiTheme="minorHAnsi" w:hAnsiTheme="minorHAnsi" w:cstheme="minorHAnsi"/>
          <w:bCs/>
          <w:sz w:val="24"/>
          <w:szCs w:val="24"/>
          <w:lang w:val="en-US"/>
        </w:rPr>
      </w:r>
      <w:r>
        <w:rPr>
          <w:rFonts w:asciiTheme="minorHAnsi" w:hAnsiTheme="minorHAnsi" w:cstheme="minorHAnsi"/>
          <w:bCs/>
          <w:sz w:val="24"/>
          <w:szCs w:val="24"/>
          <w:lang w:val="en-US"/>
        </w:rPr>
        <w:fldChar w:fldCharType="end"/>
      </w:r>
      <w:r>
        <w:rPr>
          <w:rFonts w:asciiTheme="minorHAnsi" w:hAnsiTheme="minorHAnsi" w:cstheme="minorHAnsi"/>
          <w:bCs/>
          <w:sz w:val="24"/>
          <w:szCs w:val="24"/>
          <w:lang w:val="en-US"/>
        </w:rPr>
      </w:r>
      <w:r>
        <w:rPr>
          <w:rFonts w:asciiTheme="minorHAnsi" w:hAnsiTheme="minorHAnsi" w:cstheme="minorHAnsi"/>
          <w:bCs/>
          <w:sz w:val="24"/>
          <w:szCs w:val="24"/>
          <w:lang w:val="en-US"/>
        </w:rPr>
        <w:fldChar w:fldCharType="separate"/>
      </w:r>
      <w:r>
        <w:rPr>
          <w:rFonts w:asciiTheme="minorHAnsi" w:hAnsiTheme="minorHAnsi" w:cstheme="minorHAnsi"/>
          <w:bCs/>
          <w:noProof/>
          <w:sz w:val="24"/>
          <w:szCs w:val="24"/>
          <w:vertAlign w:val="superscript"/>
          <w:lang w:val="en-US"/>
        </w:rPr>
        <w:t>1</w:t>
      </w:r>
      <w:r>
        <w:rPr>
          <w:rFonts w:asciiTheme="minorHAnsi" w:hAnsiTheme="minorHAnsi" w:cstheme="minorHAnsi"/>
          <w:bCs/>
          <w:sz w:val="24"/>
          <w:szCs w:val="24"/>
          <w:lang w:val="en-US"/>
        </w:rPr>
        <w:fldChar w:fldCharType="end"/>
      </w:r>
      <w:r>
        <w:rPr>
          <w:rFonts w:asciiTheme="minorHAnsi" w:hAnsiTheme="minorHAnsi" w:cstheme="minorHAnsi"/>
          <w:bCs/>
          <w:sz w:val="24"/>
          <w:szCs w:val="24"/>
          <w:lang w:val="en-US"/>
        </w:rPr>
        <w:t xml:space="preserve">. </w:t>
      </w:r>
    </w:p>
    <w:p w:rsidR="00122D42" w:rsidRDefault="00122D42">
      <w:pPr>
        <w:spacing w:after="240" w:line="480" w:lineRule="auto"/>
        <w:jc w:val="both"/>
        <w:rPr>
          <w:rFonts w:asciiTheme="minorHAnsi" w:hAnsiTheme="minorHAnsi" w:cstheme="minorHAnsi"/>
          <w:bCs/>
          <w:sz w:val="24"/>
          <w:szCs w:val="24"/>
          <w:lang w:val="en-US"/>
        </w:rPr>
      </w:pPr>
    </w:p>
    <w:p w:rsidR="00122D42" w:rsidRDefault="0041088A">
      <w:pPr>
        <w:pStyle w:val="3"/>
        <w:rPr>
          <w:lang w:val="en-US" w:eastAsia="en-US"/>
        </w:rPr>
      </w:pPr>
      <w:r>
        <w:rPr>
          <w:lang w:val="en-US" w:eastAsia="en-US"/>
        </w:rPr>
        <w:t xml:space="preserve">Appendix 2 - </w:t>
      </w:r>
      <w:bookmarkStart w:id="6" w:name="_Hlk142647773"/>
      <w:r>
        <w:rPr>
          <w:lang w:val="en-US" w:eastAsia="en-US"/>
        </w:rPr>
        <w:t>Clinical data and Socio-demographics</w:t>
      </w:r>
      <w:bookmarkEnd w:id="6"/>
    </w:p>
    <w:p w:rsidR="00122D42" w:rsidRDefault="0041088A">
      <w:pPr>
        <w:spacing w:line="480" w:lineRule="auto"/>
        <w:jc w:val="both"/>
        <w:rPr>
          <w:rFonts w:asciiTheme="minorHAnsi" w:hAnsiTheme="minorHAnsi" w:cstheme="minorHAnsi"/>
          <w:b/>
          <w:bCs/>
          <w:i/>
          <w:iCs/>
          <w:sz w:val="24"/>
          <w:szCs w:val="24"/>
          <w:lang w:val="en-US"/>
        </w:rPr>
      </w:pPr>
      <w:r>
        <w:rPr>
          <w:rFonts w:asciiTheme="minorHAnsi" w:hAnsiTheme="minorHAnsi" w:cstheme="minorHAnsi"/>
          <w:b/>
          <w:bCs/>
          <w:i/>
          <w:iCs/>
          <w:sz w:val="24"/>
          <w:szCs w:val="24"/>
          <w:lang w:val="en-US"/>
        </w:rPr>
        <w:t>Clinical data</w:t>
      </w:r>
    </w:p>
    <w:p w:rsidR="00122D42" w:rsidRDefault="0041088A">
      <w:pPr>
        <w:spacing w:line="480" w:lineRule="auto"/>
        <w:ind w:firstLine="425"/>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The main </w:t>
      </w:r>
      <w:r>
        <w:rPr>
          <w:rFonts w:asciiTheme="minorHAnsi" w:hAnsiTheme="minorHAnsi" w:cstheme="minorHAnsi"/>
          <w:sz w:val="24"/>
          <w:szCs w:val="24"/>
          <w:lang w:val="en-US"/>
        </w:rPr>
        <w:t xml:space="preserve">oncological diagnoses at study entry according to the International Statistical Classification of diseases and Related Health Problem codes (ICD-10) and disease stage classification were manually entered by doctors at the different CCC centers. Due to the </w:t>
      </w:r>
      <w:r>
        <w:rPr>
          <w:rFonts w:asciiTheme="minorHAnsi" w:hAnsiTheme="minorHAnsi" w:cstheme="minorHAnsi"/>
          <w:sz w:val="24"/>
          <w:szCs w:val="24"/>
          <w:lang w:val="en-US"/>
        </w:rPr>
        <w:t>large variety of cancer diagnoses, a post-hoc reclassification of ICD-10 codes into superordinate categories was conducted for further analyses. Based on the affected organs, ICD-10 codes were grouped into 14 categories (refer to</w:t>
      </w:r>
      <w:r>
        <w:rPr>
          <w:rFonts w:asciiTheme="minorHAnsi" w:hAnsiTheme="minorHAnsi" w:cstheme="minorHAnsi"/>
          <w:b/>
          <w:bCs/>
          <w:sz w:val="24"/>
          <w:szCs w:val="24"/>
          <w:lang w:val="en-US"/>
        </w:rPr>
        <w:t xml:space="preserve"> Supplement 2</w:t>
      </w:r>
      <w:r>
        <w:rPr>
          <w:rFonts w:asciiTheme="minorHAnsi" w:hAnsiTheme="minorHAnsi" w:cstheme="minorHAnsi"/>
          <w:sz w:val="24"/>
          <w:szCs w:val="24"/>
          <w:lang w:val="en-US"/>
        </w:rPr>
        <w:t>).</w:t>
      </w:r>
    </w:p>
    <w:p w:rsidR="00122D42" w:rsidRDefault="0041088A">
      <w:pPr>
        <w:spacing w:line="480" w:lineRule="auto"/>
        <w:ind w:firstLine="426"/>
        <w:jc w:val="both"/>
        <w:rPr>
          <w:rFonts w:asciiTheme="minorHAnsi" w:hAnsiTheme="minorHAnsi" w:cstheme="minorHAnsi"/>
          <w:sz w:val="24"/>
          <w:szCs w:val="24"/>
          <w:lang w:val="en-US"/>
        </w:rPr>
      </w:pPr>
      <w:r>
        <w:rPr>
          <w:rFonts w:asciiTheme="minorHAnsi" w:hAnsiTheme="minorHAnsi" w:cstheme="minorHAnsi"/>
          <w:sz w:val="24"/>
          <w:szCs w:val="24"/>
          <w:lang w:val="en-US"/>
        </w:rPr>
        <w:t>Information</w:t>
      </w:r>
      <w:r>
        <w:rPr>
          <w:rFonts w:asciiTheme="minorHAnsi" w:hAnsiTheme="minorHAnsi" w:cstheme="minorHAnsi"/>
          <w:sz w:val="24"/>
          <w:szCs w:val="24"/>
          <w:lang w:val="en-US"/>
        </w:rPr>
        <w:t xml:space="preserve"> on the presence or absence of metastases was extracted based on the TNM Classification of Malignant Tumors, if available. Other tumor coding schemes which were not classified according to TNM were manually reviewed by experienced physicians of the team. F</w:t>
      </w:r>
      <w:r>
        <w:rPr>
          <w:rFonts w:asciiTheme="minorHAnsi" w:hAnsiTheme="minorHAnsi" w:cstheme="minorHAnsi"/>
          <w:sz w:val="24"/>
          <w:szCs w:val="24"/>
          <w:lang w:val="en-US"/>
        </w:rPr>
        <w:t>urthermore, information on treatment intention (curative, palliative, unclear), status of diagnosis (first cancer diagnosis, progression, recurrence) and presence of a chronic disease (yes/no) was collected.</w:t>
      </w:r>
    </w:p>
    <w:p w:rsidR="00122D42" w:rsidRDefault="0041088A">
      <w:pPr>
        <w:spacing w:line="480" w:lineRule="auto"/>
        <w:jc w:val="both"/>
        <w:rPr>
          <w:rFonts w:asciiTheme="minorHAnsi" w:hAnsiTheme="minorHAnsi" w:cstheme="minorHAnsi"/>
          <w:b/>
          <w:bCs/>
          <w:i/>
          <w:iCs/>
          <w:sz w:val="24"/>
          <w:szCs w:val="24"/>
          <w:lang w:val="en-US"/>
        </w:rPr>
      </w:pPr>
      <w:r>
        <w:rPr>
          <w:rFonts w:asciiTheme="minorHAnsi" w:hAnsiTheme="minorHAnsi" w:cstheme="minorHAnsi"/>
          <w:b/>
          <w:bCs/>
          <w:i/>
          <w:iCs/>
          <w:sz w:val="24"/>
          <w:szCs w:val="24"/>
          <w:lang w:val="en-US"/>
        </w:rPr>
        <w:t>Socio-demographics</w:t>
      </w:r>
    </w:p>
    <w:p w:rsidR="00122D42" w:rsidRDefault="0041088A">
      <w:pPr>
        <w:spacing w:line="480" w:lineRule="auto"/>
        <w:ind w:firstLine="426"/>
        <w:jc w:val="both"/>
        <w:rPr>
          <w:rFonts w:asciiTheme="minorHAnsi" w:hAnsiTheme="minorHAnsi" w:cstheme="minorHAnsi"/>
          <w:sz w:val="24"/>
          <w:szCs w:val="24"/>
          <w:lang w:val="en-US"/>
        </w:rPr>
      </w:pPr>
      <w:r>
        <w:rPr>
          <w:rFonts w:asciiTheme="minorHAnsi" w:hAnsiTheme="minorHAnsi" w:cstheme="minorHAnsi"/>
          <w:sz w:val="24"/>
          <w:szCs w:val="24"/>
          <w:lang w:val="en-US"/>
        </w:rPr>
        <w:t>Age, sex, body mass index (BM</w:t>
      </w:r>
      <w:r>
        <w:rPr>
          <w:rFonts w:asciiTheme="minorHAnsi" w:hAnsiTheme="minorHAnsi" w:cstheme="minorHAnsi"/>
          <w:sz w:val="24"/>
          <w:szCs w:val="24"/>
          <w:lang w:val="en-US"/>
        </w:rPr>
        <w:t>I), education, employment status and marital status were assessed by questionnaire at baseline.</w:t>
      </w:r>
    </w:p>
    <w:p w:rsidR="00122D42" w:rsidRDefault="00122D42">
      <w:pPr>
        <w:rPr>
          <w:rFonts w:asciiTheme="minorHAnsi" w:hAnsiTheme="minorHAnsi" w:cstheme="minorHAnsi"/>
          <w:lang w:val="en-US" w:eastAsia="en-US"/>
        </w:rPr>
      </w:pPr>
    </w:p>
    <w:p w:rsidR="00122D42" w:rsidRDefault="0041088A">
      <w:pPr>
        <w:pStyle w:val="3"/>
        <w:rPr>
          <w:lang w:val="en-US" w:eastAsia="en-US"/>
        </w:rPr>
      </w:pPr>
      <w:r>
        <w:rPr>
          <w:lang w:val="en-US" w:eastAsia="en-US"/>
        </w:rPr>
        <w:t>Appendix 3 - Sample Size</w:t>
      </w:r>
    </w:p>
    <w:p w:rsidR="00122D42" w:rsidRDefault="0041088A">
      <w:pPr>
        <w:spacing w:line="480" w:lineRule="auto"/>
        <w:ind w:firstLine="426"/>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With a conservative assumption of standard deviation (SD) of 15 and an expected difference of 4 PAM-13 score points between control </w:t>
      </w:r>
      <w:r>
        <w:rPr>
          <w:rFonts w:asciiTheme="minorHAnsi" w:hAnsiTheme="minorHAnsi" w:cstheme="minorHAnsi"/>
          <w:sz w:val="24"/>
          <w:szCs w:val="24"/>
          <w:lang w:val="en-US"/>
        </w:rPr>
        <w:t>and intervention group, a sample size of 669 patients was derived at a 90% power and a two-sided alpha level of 5% (ratio of 2:1 between intervention, n = 446, and control group, n = 223). Expecting a dropout rate of 30%, 638 patients were to be included i</w:t>
      </w:r>
      <w:r>
        <w:rPr>
          <w:rFonts w:asciiTheme="minorHAnsi" w:hAnsiTheme="minorHAnsi" w:cstheme="minorHAnsi"/>
          <w:sz w:val="24"/>
          <w:szCs w:val="24"/>
          <w:lang w:val="en-US"/>
        </w:rPr>
        <w:t>n the intervention group and 319 in the control group (n = 957 in total). For pragmatic reasons regarding the implementation character of the study (established structures, staff), 1000 patients in the intervention group and 500 in the control group were a</w:t>
      </w:r>
      <w:r>
        <w:rPr>
          <w:rFonts w:asciiTheme="minorHAnsi" w:hAnsiTheme="minorHAnsi" w:cstheme="minorHAnsi"/>
          <w:sz w:val="24"/>
          <w:szCs w:val="24"/>
          <w:lang w:val="en-US"/>
        </w:rPr>
        <w:t>imed at. With this sample size minus the 30% dropouts (n = 1,050), a group difference of 3.2 points on the PAM-13 can be detected at a power of 90%.</w:t>
      </w:r>
    </w:p>
    <w:p w:rsidR="00122D42" w:rsidRDefault="00122D42">
      <w:pPr>
        <w:spacing w:line="480" w:lineRule="auto"/>
        <w:jc w:val="both"/>
        <w:rPr>
          <w:rFonts w:asciiTheme="minorHAnsi" w:hAnsiTheme="minorHAnsi" w:cstheme="minorHAnsi"/>
          <w:lang w:val="en-US" w:eastAsia="en-US"/>
        </w:rPr>
      </w:pPr>
    </w:p>
    <w:p w:rsidR="00122D42" w:rsidRDefault="0041088A">
      <w:pPr>
        <w:pStyle w:val="3"/>
        <w:rPr>
          <w:lang w:val="en-US" w:eastAsia="en-US"/>
        </w:rPr>
      </w:pPr>
      <w:r>
        <w:rPr>
          <w:lang w:val="en-US" w:eastAsia="en-US"/>
        </w:rPr>
        <w:t>Appendix 4 - Statistical Analysis</w:t>
      </w:r>
    </w:p>
    <w:p w:rsidR="00122D42" w:rsidRDefault="0041088A">
      <w:pPr>
        <w:spacing w:line="480" w:lineRule="auto"/>
        <w:ind w:firstLine="426"/>
        <w:jc w:val="both"/>
        <w:rPr>
          <w:rFonts w:asciiTheme="minorHAnsi" w:hAnsiTheme="minorHAnsi" w:cstheme="minorHAnsi"/>
          <w:b/>
          <w:bCs/>
          <w:i/>
          <w:iCs/>
          <w:sz w:val="24"/>
          <w:szCs w:val="24"/>
          <w:lang w:val="en-US"/>
        </w:rPr>
      </w:pPr>
      <w:r>
        <w:rPr>
          <w:rFonts w:asciiTheme="minorHAnsi" w:hAnsiTheme="minorHAnsi" w:cstheme="minorHAnsi"/>
          <w:b/>
          <w:bCs/>
          <w:i/>
          <w:iCs/>
          <w:sz w:val="24"/>
          <w:szCs w:val="24"/>
          <w:lang w:val="en-US"/>
        </w:rPr>
        <w:t>Descriptives</w:t>
      </w:r>
    </w:p>
    <w:p w:rsidR="00122D42" w:rsidRDefault="0041088A">
      <w:pPr>
        <w:spacing w:line="480" w:lineRule="auto"/>
        <w:ind w:firstLine="426"/>
        <w:jc w:val="both"/>
        <w:rPr>
          <w:rFonts w:asciiTheme="minorHAnsi" w:hAnsiTheme="minorHAnsi" w:cstheme="minorHAnsi"/>
          <w:sz w:val="24"/>
          <w:szCs w:val="24"/>
          <w:lang w:val="en-US"/>
        </w:rPr>
      </w:pPr>
      <w:r>
        <w:rPr>
          <w:rFonts w:asciiTheme="minorHAnsi" w:hAnsiTheme="minorHAnsi" w:cstheme="minorHAnsi"/>
          <w:sz w:val="24"/>
          <w:szCs w:val="24"/>
          <w:lang w:val="en-US"/>
        </w:rPr>
        <w:t>Baseline characteristic of the intervention and control gro</w:t>
      </w:r>
      <w:r>
        <w:rPr>
          <w:rFonts w:asciiTheme="minorHAnsi" w:hAnsiTheme="minorHAnsi" w:cstheme="minorHAnsi"/>
          <w:sz w:val="24"/>
          <w:szCs w:val="24"/>
          <w:lang w:val="en-US"/>
        </w:rPr>
        <w:t xml:space="preserve">up were compared using Pearson’s chi-squared test for categorical variables and Student’s t-test for continuous variables. Conformity of the data to normal distribution was assessed visually and with the appropriate descriptive diagnostics. </w:t>
      </w:r>
    </w:p>
    <w:p w:rsidR="00122D42" w:rsidRDefault="0041088A">
      <w:pPr>
        <w:spacing w:line="480" w:lineRule="auto"/>
        <w:ind w:firstLine="426"/>
        <w:jc w:val="both"/>
        <w:rPr>
          <w:rFonts w:asciiTheme="minorHAnsi" w:hAnsiTheme="minorHAnsi" w:cstheme="minorHAnsi"/>
          <w:b/>
          <w:bCs/>
          <w:i/>
          <w:iCs/>
          <w:sz w:val="24"/>
          <w:szCs w:val="24"/>
          <w:lang w:val="en-US"/>
        </w:rPr>
      </w:pPr>
      <w:r>
        <w:rPr>
          <w:rFonts w:asciiTheme="minorHAnsi" w:hAnsiTheme="minorHAnsi" w:cstheme="minorHAnsi"/>
          <w:b/>
          <w:bCs/>
          <w:i/>
          <w:iCs/>
          <w:sz w:val="24"/>
          <w:szCs w:val="24"/>
          <w:lang w:val="en-US"/>
        </w:rPr>
        <w:t>Primary Analys</w:t>
      </w:r>
      <w:r>
        <w:rPr>
          <w:rFonts w:asciiTheme="minorHAnsi" w:hAnsiTheme="minorHAnsi" w:cstheme="minorHAnsi"/>
          <w:b/>
          <w:bCs/>
          <w:i/>
          <w:iCs/>
          <w:sz w:val="24"/>
          <w:szCs w:val="24"/>
          <w:lang w:val="en-US"/>
        </w:rPr>
        <w:t>is</w:t>
      </w:r>
    </w:p>
    <w:p w:rsidR="00122D42" w:rsidRDefault="0041088A">
      <w:pPr>
        <w:spacing w:line="480" w:lineRule="auto"/>
        <w:ind w:firstLine="425"/>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To handle missing data, multiple imputation (MI) was conducted with the R package </w:t>
      </w:r>
      <w:r>
        <w:rPr>
          <w:rFonts w:asciiTheme="minorHAnsi" w:hAnsiTheme="minorHAnsi" w:cstheme="minorHAnsi"/>
          <w:i/>
          <w:iCs/>
          <w:sz w:val="24"/>
          <w:szCs w:val="24"/>
          <w:lang w:val="en-US"/>
        </w:rPr>
        <w:t>Amelia</w:t>
      </w:r>
      <w:r>
        <w:rPr>
          <w:rFonts w:asciiTheme="minorHAnsi" w:hAnsiTheme="minorHAnsi" w:cstheme="minorHAnsi"/>
          <w:sz w:val="24"/>
          <w:szCs w:val="24"/>
          <w:lang w:val="en-US"/>
        </w:rPr>
        <w:t xml:space="preserve"> </w:t>
      </w:r>
      <w:r>
        <w:rPr>
          <w:rFonts w:asciiTheme="minorHAnsi" w:hAnsiTheme="minorHAnsi" w:cstheme="minorHAnsi"/>
          <w:sz w:val="24"/>
          <w:szCs w:val="24"/>
          <w:lang w:val="en-US"/>
        </w:rPr>
        <w:fldChar w:fldCharType="begin">
          <w:fldData xml:space="preserve">PEVuZE5vdGU+PENpdGU+PEF1dGhvcj5Ib25ha2VyPC9BdXRob3I+PFllYXI+MjAxMTwvWWVhcj48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</w:fldData>
        </w:fldChar>
      </w:r>
      <w:r>
        <w:rPr>
          <w:rFonts w:asciiTheme="minorHAnsi" w:hAnsiTheme="minorHAnsi" w:cstheme="minorHAnsi"/>
          <w:sz w:val="24"/>
          <w:szCs w:val="24"/>
          <w:lang w:val="en-US"/>
        </w:rPr>
        <w:instrText xml:space="preserve"> ADDIN EN.CITE </w:instrText>
      </w:r>
      <w:r>
        <w:rPr>
          <w:rFonts w:asciiTheme="minorHAnsi" w:hAnsiTheme="minorHAnsi" w:cstheme="minorHAnsi"/>
          <w:sz w:val="24"/>
          <w:szCs w:val="24"/>
          <w:lang w:val="en-US"/>
        </w:rPr>
        <w:fldChar w:fldCharType="begin">
          <w:fldData xml:space="preserve">PEVuZE5vdGU+PENpdGU+PEF1dGhvcj5Ib25ha2VyPC9BdXRob3I+PFllYXI+MjAxMTwvWWVhcj48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</w:fldData>
        </w:fldChar>
      </w:r>
      <w:r>
        <w:rPr>
          <w:rFonts w:asciiTheme="minorHAnsi" w:hAnsiTheme="minorHAnsi" w:cstheme="minorHAnsi"/>
          <w:sz w:val="24"/>
          <w:szCs w:val="24"/>
          <w:lang w:val="en-US"/>
        </w:rPr>
        <w:instrText xml:space="preserve"> ADDIN EN.CITE.DATA </w:instrText>
      </w:r>
      <w:r>
        <w:rPr>
          <w:rFonts w:asciiTheme="minorHAnsi" w:hAnsiTheme="minorHAnsi" w:cstheme="minorHAnsi"/>
          <w:sz w:val="24"/>
          <w:szCs w:val="24"/>
          <w:lang w:val="en-US"/>
        </w:rPr>
      </w:r>
      <w:r>
        <w:rPr>
          <w:rFonts w:asciiTheme="minorHAnsi" w:hAnsiTheme="minorHAnsi" w:cstheme="minorHAnsi"/>
          <w:sz w:val="24"/>
          <w:szCs w:val="24"/>
          <w:lang w:val="en-US"/>
        </w:rPr>
        <w:fldChar w:fldCharType="end"/>
      </w:r>
      <w:r>
        <w:rPr>
          <w:rFonts w:asciiTheme="minorHAnsi" w:hAnsiTheme="minorHAnsi" w:cstheme="minorHAnsi"/>
          <w:sz w:val="24"/>
          <w:szCs w:val="24"/>
          <w:lang w:val="en-US"/>
        </w:rPr>
      </w:r>
      <w:r>
        <w:rPr>
          <w:rFonts w:asciiTheme="minorHAnsi" w:hAnsiTheme="minorHAnsi" w:cstheme="minorHAnsi"/>
          <w:sz w:val="24"/>
          <w:szCs w:val="24"/>
          <w:lang w:val="en-US"/>
        </w:rPr>
        <w:fldChar w:fldCharType="separate"/>
      </w:r>
      <w:r>
        <w:rPr>
          <w:rFonts w:asciiTheme="minorHAnsi" w:hAnsiTheme="minorHAnsi" w:cstheme="minorHAnsi"/>
          <w:noProof/>
          <w:sz w:val="24"/>
          <w:szCs w:val="24"/>
          <w:vertAlign w:val="superscript"/>
          <w:lang w:val="en-US"/>
        </w:rPr>
        <w:t>2</w:t>
      </w:r>
      <w:r>
        <w:rPr>
          <w:rFonts w:asciiTheme="minorHAnsi" w:hAnsiTheme="minorHAnsi" w:cstheme="minorHAnsi"/>
          <w:sz w:val="24"/>
          <w:szCs w:val="24"/>
          <w:lang w:val="en-US"/>
        </w:rPr>
        <w:fldChar w:fldCharType="end"/>
      </w:r>
      <w:r>
        <w:rPr>
          <w:rFonts w:asciiTheme="minorHAnsi" w:hAnsiTheme="minorHAnsi" w:cstheme="minorHAnsi"/>
          <w:sz w:val="24"/>
          <w:szCs w:val="24"/>
          <w:lang w:val="en-US"/>
        </w:rPr>
        <w:t xml:space="preserve"> under the assumption that data are missing at random (MAR). The MI model included all variables used in the final analysis model. Only baseline patient characteristics were used as aux</w:t>
      </w:r>
      <w:r>
        <w:rPr>
          <w:rFonts w:asciiTheme="minorHAnsi" w:hAnsiTheme="minorHAnsi" w:cstheme="minorHAnsi"/>
          <w:sz w:val="24"/>
          <w:szCs w:val="24"/>
          <w:lang w:val="en-US"/>
        </w:rPr>
        <w:t xml:space="preserve">iliary variables. MI was performed on item-level of the patient-activation measure (PAM-13), generating m=50 imputed sets. Results were pooled according to Rubin’s rules </w:t>
      </w:r>
      <w:r>
        <w:rPr>
          <w:rFonts w:asciiTheme="minorHAnsi" w:hAnsiTheme="minorHAnsi" w:cstheme="minorHAnsi"/>
          <w:sz w:val="24"/>
          <w:szCs w:val="24"/>
          <w:lang w:val="en-US"/>
        </w:rPr>
        <w:fldChar w:fldCharType="begin"/>
      </w:r>
      <w:r>
        <w:rPr>
          <w:rFonts w:asciiTheme="minorHAnsi" w:hAnsiTheme="minorHAnsi" w:cstheme="minorHAnsi"/>
          <w:sz w:val="24"/>
          <w:szCs w:val="24"/>
          <w:lang w:val="en-US"/>
        </w:rPr>
        <w:instrText xml:space="preserve"> ADDIN EN.CITE &lt;EndNote&gt;&lt;Cite&gt;&lt;Author&gt;Rubin&lt;/Author&gt;&lt;Year&gt;1986&lt;/Year&gt;&lt;RecNum&gt;84&lt;/RecNu</w:instrText>
      </w:r>
      <w:r>
        <w:rPr>
          <w:rFonts w:asciiTheme="minorHAnsi" w:hAnsiTheme="minorHAnsi" w:cstheme="minorHAnsi"/>
          <w:sz w:val="24"/>
          <w:szCs w:val="24"/>
          <w:lang w:val="en-US"/>
        </w:rPr>
        <w:instrText>m&gt;&lt;DisplayText&gt;&lt;style face="superscript"&gt;3&lt;/style&gt;&lt;/DisplayText&gt;&lt;record&gt;&lt;rec-number&gt;84&lt;/rec-number&gt;&lt;foreign-keys&gt;&lt;key app="EN" db-id="a2pare2f3zxwwpefw99p0tpdxtfawtpd5d9r" timestamp="1685014696"&gt;84&lt;/key&gt;&lt;/foreign-keys&gt;&lt;ref-type name="Journal Article"&gt;17&lt;/r</w:instrText>
      </w:r>
      <w:r>
        <w:rPr>
          <w:rFonts w:asciiTheme="minorHAnsi" w:hAnsiTheme="minorHAnsi" w:cstheme="minorHAnsi"/>
          <w:sz w:val="24"/>
          <w:szCs w:val="24"/>
          <w:lang w:val="en-US"/>
        </w:rPr>
        <w:instrText>ef-type&gt;&lt;contributors&gt;&lt;authors&gt;&lt;author&gt;Rubin, Donald B&lt;/author&gt;&lt;author&gt;Schenker, Nathaniel&lt;/author&gt;&lt;/authors&gt;&lt;/contributors&gt;&lt;titles&gt;&lt;title&gt;Multiple imputation for interval estimation from simple random samples with ignorable nonresponse&lt;/title&gt;&lt;secondary-t</w:instrText>
      </w:r>
      <w:r>
        <w:rPr>
          <w:rFonts w:asciiTheme="minorHAnsi" w:hAnsiTheme="minorHAnsi" w:cstheme="minorHAnsi"/>
          <w:sz w:val="24"/>
          <w:szCs w:val="24"/>
          <w:lang w:val="en-US"/>
        </w:rPr>
        <w:instrText>itle&gt;Journal of the American statistical Association&lt;/secondary-title&gt;&lt;/titles&gt;&lt;periodical&gt;&lt;full-title&gt;Journal of the American statistical Association&lt;/full-title&gt;&lt;/periodical&gt;&lt;pages&gt;366-374&lt;/pages&gt;&lt;volume&gt;81&lt;/volume&gt;&lt;number&gt;394&lt;/number&gt;&lt;dates&gt;&lt;year&gt;1986&lt;/</w:instrText>
      </w:r>
      <w:r>
        <w:rPr>
          <w:rFonts w:asciiTheme="minorHAnsi" w:hAnsiTheme="minorHAnsi" w:cstheme="minorHAnsi"/>
          <w:sz w:val="24"/>
          <w:szCs w:val="24"/>
          <w:lang w:val="en-US"/>
        </w:rPr>
        <w:instrText>year&gt;&lt;/dates&gt;&lt;isbn&gt;0162-1459&lt;/isbn&gt;&lt;urls&gt;&lt;/urls&gt;&lt;/record&gt;&lt;/Cite&gt;&lt;/EndNote&gt;</w:instrText>
      </w:r>
      <w:r>
        <w:rPr>
          <w:rFonts w:asciiTheme="minorHAnsi" w:hAnsiTheme="minorHAnsi" w:cstheme="minorHAnsi"/>
          <w:sz w:val="24"/>
          <w:szCs w:val="24"/>
          <w:lang w:val="en-US"/>
        </w:rPr>
        <w:fldChar w:fldCharType="separate"/>
      </w:r>
      <w:r>
        <w:rPr>
          <w:rFonts w:asciiTheme="minorHAnsi" w:hAnsiTheme="minorHAnsi" w:cstheme="minorHAnsi"/>
          <w:noProof/>
          <w:sz w:val="24"/>
          <w:szCs w:val="24"/>
          <w:vertAlign w:val="superscript"/>
          <w:lang w:val="en-US"/>
        </w:rPr>
        <w:t>3</w:t>
      </w:r>
      <w:r>
        <w:rPr>
          <w:rFonts w:asciiTheme="minorHAnsi" w:hAnsiTheme="minorHAnsi" w:cstheme="minorHAnsi"/>
          <w:sz w:val="24"/>
          <w:szCs w:val="24"/>
          <w:lang w:val="en-US"/>
        </w:rPr>
        <w:fldChar w:fldCharType="end"/>
      </w:r>
      <w:r>
        <w:rPr>
          <w:rFonts w:asciiTheme="minorHAnsi" w:hAnsiTheme="minorHAnsi" w:cstheme="minorHAnsi"/>
          <w:sz w:val="24"/>
          <w:szCs w:val="24"/>
          <w:lang w:val="en-US"/>
        </w:rPr>
        <w:t xml:space="preserve">.  </w:t>
      </w:r>
    </w:p>
    <w:p w:rsidR="00122D42" w:rsidRDefault="0041088A">
      <w:pPr>
        <w:spacing w:line="480" w:lineRule="auto"/>
        <w:ind w:firstLine="425"/>
        <w:jc w:val="both"/>
        <w:rPr>
          <w:rFonts w:asciiTheme="minorHAnsi" w:hAnsiTheme="minorHAnsi" w:cstheme="minorHAnsi"/>
          <w:sz w:val="24"/>
          <w:szCs w:val="24"/>
          <w:lang w:val="en-US"/>
        </w:rPr>
      </w:pPr>
      <w:r>
        <w:rPr>
          <w:rFonts w:asciiTheme="minorHAnsi" w:hAnsiTheme="minorHAnsi" w:cstheme="minorHAnsi"/>
          <w:sz w:val="24"/>
          <w:szCs w:val="24"/>
          <w:lang w:val="en-US"/>
        </w:rPr>
        <w:lastRenderedPageBreak/>
        <w:t xml:space="preserve">For our primary endpoint, an analysis of covariance (ANCOVA) on the post-intervention scores (T2) with the independent variable </w:t>
      </w:r>
      <w:r>
        <w:rPr>
          <w:rFonts w:asciiTheme="minorHAnsi" w:hAnsiTheme="minorHAnsi" w:cstheme="minorHAnsi"/>
          <w:i/>
          <w:iCs/>
          <w:sz w:val="24"/>
          <w:szCs w:val="24"/>
          <w:lang w:val="en-US"/>
        </w:rPr>
        <w:t>group</w:t>
      </w:r>
      <w:r>
        <w:rPr>
          <w:rFonts w:asciiTheme="minorHAnsi" w:hAnsiTheme="minorHAnsi" w:cstheme="minorHAnsi"/>
          <w:sz w:val="24"/>
          <w:szCs w:val="24"/>
          <w:lang w:val="en-US"/>
        </w:rPr>
        <w:t xml:space="preserve"> (IG, CO) was applied with adjustment for</w:t>
      </w:r>
      <w:r>
        <w:rPr>
          <w:rFonts w:asciiTheme="minorHAnsi" w:hAnsiTheme="minorHAnsi" w:cstheme="minorHAnsi"/>
          <w:sz w:val="24"/>
          <w:szCs w:val="24"/>
          <w:lang w:val="en-US"/>
        </w:rPr>
        <w:t xml:space="preserve"> PAM-13 baseline scores (T1) and </w:t>
      </w:r>
      <w:r>
        <w:rPr>
          <w:rFonts w:asciiTheme="minorHAnsi" w:hAnsiTheme="minorHAnsi" w:cstheme="minorHAnsi"/>
          <w:i/>
          <w:iCs/>
          <w:sz w:val="24"/>
          <w:szCs w:val="24"/>
          <w:lang w:val="en-US"/>
        </w:rPr>
        <w:t>study center</w:t>
      </w:r>
      <w:r>
        <w:rPr>
          <w:rFonts w:asciiTheme="minorHAnsi" w:hAnsiTheme="minorHAnsi" w:cstheme="minorHAnsi"/>
          <w:sz w:val="24"/>
          <w:szCs w:val="24"/>
          <w:lang w:val="en-US"/>
        </w:rPr>
        <w:t xml:space="preserve"> as categorical variable (</w:t>
      </w:r>
      <w:r>
        <w:rPr>
          <w:rFonts w:asciiTheme="minorHAnsi" w:hAnsiTheme="minorHAnsi" w:cstheme="minorHAnsi"/>
          <w:b/>
          <w:bCs/>
          <w:sz w:val="24"/>
          <w:szCs w:val="24"/>
          <w:lang w:val="en-US"/>
        </w:rPr>
        <w:t>Model 1</w:t>
      </w:r>
      <w:r>
        <w:rPr>
          <w:rFonts w:asciiTheme="minorHAnsi" w:hAnsiTheme="minorHAnsi" w:cstheme="minorHAnsi"/>
          <w:sz w:val="24"/>
          <w:szCs w:val="24"/>
          <w:lang w:val="en-US"/>
        </w:rPr>
        <w:t xml:space="preserve">). </w:t>
      </w:r>
    </w:p>
    <w:p w:rsidR="00122D42" w:rsidRDefault="0041088A">
      <w:pPr>
        <w:spacing w:line="480" w:lineRule="auto"/>
        <w:ind w:firstLine="426"/>
        <w:jc w:val="both"/>
        <w:rPr>
          <w:rFonts w:asciiTheme="minorHAnsi" w:hAnsiTheme="minorHAnsi" w:cstheme="minorHAnsi"/>
          <w:b/>
          <w:bCs/>
          <w:i/>
          <w:iCs/>
          <w:sz w:val="24"/>
          <w:szCs w:val="24"/>
          <w:lang w:val="en-US"/>
        </w:rPr>
      </w:pPr>
      <w:r>
        <w:rPr>
          <w:rFonts w:asciiTheme="minorHAnsi" w:hAnsiTheme="minorHAnsi" w:cstheme="minorHAnsi"/>
          <w:b/>
          <w:bCs/>
          <w:i/>
          <w:iCs/>
          <w:sz w:val="24"/>
          <w:szCs w:val="24"/>
          <w:lang w:val="en-US"/>
        </w:rPr>
        <w:t>Sensitivity Analyses</w:t>
      </w:r>
    </w:p>
    <w:p w:rsidR="00122D42" w:rsidRDefault="0041088A">
      <w:pPr>
        <w:spacing w:line="480" w:lineRule="auto"/>
        <w:ind w:firstLine="425"/>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As a sensitivity analysis a second model for the primary endpoint was furthermore adjusted for </w:t>
      </w:r>
      <w:r>
        <w:rPr>
          <w:rFonts w:asciiTheme="minorHAnsi" w:hAnsiTheme="minorHAnsi" w:cstheme="minorHAnsi"/>
          <w:i/>
          <w:iCs/>
          <w:sz w:val="24"/>
          <w:szCs w:val="24"/>
          <w:lang w:val="en-US"/>
        </w:rPr>
        <w:t>age</w:t>
      </w:r>
      <w:r>
        <w:rPr>
          <w:rFonts w:asciiTheme="minorHAnsi" w:hAnsiTheme="minorHAnsi" w:cstheme="minorHAnsi"/>
          <w:sz w:val="24"/>
          <w:szCs w:val="24"/>
          <w:lang w:val="en-US"/>
        </w:rPr>
        <w:t xml:space="preserve">, </w:t>
      </w:r>
      <w:r>
        <w:rPr>
          <w:rFonts w:asciiTheme="minorHAnsi" w:hAnsiTheme="minorHAnsi" w:cstheme="minorHAnsi"/>
          <w:i/>
          <w:iCs/>
          <w:sz w:val="24"/>
          <w:szCs w:val="24"/>
          <w:lang w:val="en-US"/>
        </w:rPr>
        <w:t>sex</w:t>
      </w:r>
      <w:r>
        <w:rPr>
          <w:rFonts w:asciiTheme="minorHAnsi" w:hAnsiTheme="minorHAnsi" w:cstheme="minorHAnsi"/>
          <w:sz w:val="24"/>
          <w:szCs w:val="24"/>
          <w:lang w:val="en-US"/>
        </w:rPr>
        <w:t xml:space="preserve">, </w:t>
      </w:r>
      <w:r>
        <w:rPr>
          <w:rFonts w:asciiTheme="minorHAnsi" w:hAnsiTheme="minorHAnsi" w:cstheme="minorHAnsi"/>
          <w:i/>
          <w:iCs/>
          <w:sz w:val="24"/>
          <w:szCs w:val="24"/>
          <w:lang w:val="en-US"/>
        </w:rPr>
        <w:t>main cancer diagnosis</w:t>
      </w:r>
      <w:r>
        <w:rPr>
          <w:rFonts w:asciiTheme="minorHAnsi" w:hAnsiTheme="minorHAnsi" w:cstheme="minorHAnsi"/>
          <w:sz w:val="24"/>
          <w:szCs w:val="24"/>
          <w:lang w:val="en-US"/>
        </w:rPr>
        <w:t xml:space="preserve"> and </w:t>
      </w:r>
      <w:r>
        <w:rPr>
          <w:rFonts w:asciiTheme="minorHAnsi" w:hAnsiTheme="minorHAnsi" w:cstheme="minorHAnsi"/>
          <w:i/>
          <w:iCs/>
          <w:sz w:val="24"/>
          <w:szCs w:val="24"/>
          <w:lang w:val="en-US"/>
        </w:rPr>
        <w:t>disease status (diagno</w:t>
      </w:r>
      <w:r>
        <w:rPr>
          <w:rFonts w:asciiTheme="minorHAnsi" w:hAnsiTheme="minorHAnsi" w:cstheme="minorHAnsi"/>
          <w:i/>
          <w:iCs/>
          <w:sz w:val="24"/>
          <w:szCs w:val="24"/>
          <w:lang w:val="en-US"/>
        </w:rPr>
        <w:t>sis stage</w:t>
      </w:r>
      <w:r>
        <w:rPr>
          <w:rFonts w:asciiTheme="minorHAnsi" w:hAnsiTheme="minorHAnsi" w:cstheme="minorHAnsi"/>
          <w:sz w:val="24"/>
          <w:szCs w:val="24"/>
          <w:lang w:val="en-US"/>
        </w:rPr>
        <w:t xml:space="preserve"> (first diagnosis/progressive/recurrent)</w:t>
      </w:r>
      <w:r>
        <w:rPr>
          <w:rFonts w:asciiTheme="minorHAnsi" w:hAnsiTheme="minorHAnsi" w:cstheme="minorHAnsi"/>
          <w:i/>
          <w:iCs/>
          <w:sz w:val="24"/>
          <w:szCs w:val="24"/>
          <w:lang w:val="en-US"/>
        </w:rPr>
        <w:t xml:space="preserve"> </w:t>
      </w:r>
      <w:r>
        <w:rPr>
          <w:rFonts w:asciiTheme="minorHAnsi" w:hAnsiTheme="minorHAnsi" w:cstheme="minorHAnsi"/>
          <w:sz w:val="24"/>
          <w:szCs w:val="24"/>
          <w:lang w:val="en-US"/>
        </w:rPr>
        <w:t>and</w:t>
      </w:r>
      <w:r>
        <w:rPr>
          <w:rFonts w:asciiTheme="minorHAnsi" w:hAnsiTheme="minorHAnsi" w:cstheme="minorHAnsi"/>
          <w:i/>
          <w:iCs/>
          <w:sz w:val="24"/>
          <w:szCs w:val="24"/>
          <w:lang w:val="en-US"/>
        </w:rPr>
        <w:t xml:space="preserve"> metastases </w:t>
      </w:r>
      <w:r>
        <w:rPr>
          <w:rFonts w:asciiTheme="minorHAnsi" w:hAnsiTheme="minorHAnsi" w:cstheme="minorHAnsi"/>
          <w:sz w:val="24"/>
          <w:szCs w:val="24"/>
          <w:lang w:val="en-US"/>
        </w:rPr>
        <w:t>(yes/no)) (</w:t>
      </w:r>
      <w:r>
        <w:rPr>
          <w:rFonts w:asciiTheme="minorHAnsi" w:hAnsiTheme="minorHAnsi" w:cstheme="minorHAnsi"/>
          <w:b/>
          <w:bCs/>
          <w:sz w:val="24"/>
          <w:szCs w:val="24"/>
          <w:lang w:val="en-US"/>
        </w:rPr>
        <w:t>Model 2</w:t>
      </w:r>
      <w:r>
        <w:rPr>
          <w:rFonts w:asciiTheme="minorHAnsi" w:hAnsiTheme="minorHAnsi" w:cstheme="minorHAnsi"/>
          <w:sz w:val="24"/>
          <w:szCs w:val="24"/>
          <w:lang w:val="en-US"/>
        </w:rPr>
        <w:t>). Interactions with the intervention group variable were not kept in the final model due to statistical non-significance. Adjusted means (standard error (SE)) averaged over the levels/values of the covariables were calculated from the models, as well as s</w:t>
      </w:r>
      <w:r>
        <w:rPr>
          <w:rFonts w:asciiTheme="minorHAnsi" w:hAnsiTheme="minorHAnsi" w:cstheme="minorHAnsi"/>
          <w:sz w:val="24"/>
          <w:szCs w:val="24"/>
          <w:lang w:val="en-US"/>
        </w:rPr>
        <w:t xml:space="preserve">imple contrasts for </w:t>
      </w:r>
      <w:r>
        <w:rPr>
          <w:rFonts w:asciiTheme="minorHAnsi" w:hAnsiTheme="minorHAnsi" w:cstheme="minorHAnsi"/>
          <w:i/>
          <w:iCs/>
          <w:sz w:val="24"/>
          <w:szCs w:val="24"/>
          <w:lang w:val="en-US"/>
        </w:rPr>
        <w:t>group</w:t>
      </w:r>
      <w:r>
        <w:rPr>
          <w:rFonts w:asciiTheme="minorHAnsi" w:hAnsiTheme="minorHAnsi" w:cstheme="minorHAnsi"/>
          <w:sz w:val="24"/>
          <w:szCs w:val="24"/>
          <w:lang w:val="en-US"/>
        </w:rPr>
        <w:t xml:space="preserve"> at T2. Model assumptions for ANCOVA were assessed visually and with appropriate tests and found adequate. Multicollinearity was checked with the Variance Inflation Factor (VIF), which did not exceed 2.11. </w:t>
      </w:r>
    </w:p>
    <w:p w:rsidR="00122D42" w:rsidRDefault="0041088A">
      <w:pPr>
        <w:spacing w:line="480" w:lineRule="auto"/>
        <w:ind w:firstLine="425"/>
        <w:jc w:val="both"/>
        <w:rPr>
          <w:rFonts w:asciiTheme="minorHAnsi" w:hAnsiTheme="minorHAnsi" w:cstheme="minorHAnsi"/>
          <w:sz w:val="24"/>
          <w:szCs w:val="24"/>
          <w:lang w:val="en-US"/>
        </w:rPr>
      </w:pPr>
      <w:r>
        <w:rPr>
          <w:rFonts w:asciiTheme="minorHAnsi" w:hAnsiTheme="minorHAnsi" w:cstheme="minorHAnsi"/>
          <w:sz w:val="24"/>
          <w:szCs w:val="24"/>
          <w:lang w:val="en-US"/>
        </w:rPr>
        <w:t>Furthermore, a linear mi</w:t>
      </w:r>
      <w:r>
        <w:rPr>
          <w:rFonts w:asciiTheme="minorHAnsi" w:hAnsiTheme="minorHAnsi" w:cstheme="minorHAnsi"/>
          <w:sz w:val="24"/>
          <w:szCs w:val="24"/>
          <w:lang w:val="en-US"/>
        </w:rPr>
        <w:t xml:space="preserve">xed-effects model (LMM) with the PAM-13 score as dependent variable was performed as a second sensitivity analysis. Analogously to the primary ANCOVA model, </w:t>
      </w:r>
      <w:r>
        <w:rPr>
          <w:rFonts w:asciiTheme="minorHAnsi" w:hAnsiTheme="minorHAnsi" w:cstheme="minorHAnsi"/>
          <w:i/>
          <w:iCs/>
          <w:sz w:val="24"/>
          <w:szCs w:val="24"/>
          <w:lang w:val="en-US"/>
        </w:rPr>
        <w:t>group</w:t>
      </w:r>
      <w:r>
        <w:rPr>
          <w:rFonts w:asciiTheme="minorHAnsi" w:hAnsiTheme="minorHAnsi" w:cstheme="minorHAnsi"/>
          <w:sz w:val="24"/>
          <w:szCs w:val="24"/>
          <w:lang w:val="en-US"/>
        </w:rPr>
        <w:t xml:space="preserve">, </w:t>
      </w:r>
      <w:r>
        <w:rPr>
          <w:rFonts w:asciiTheme="minorHAnsi" w:hAnsiTheme="minorHAnsi" w:cstheme="minorHAnsi"/>
          <w:i/>
          <w:iCs/>
          <w:sz w:val="24"/>
          <w:szCs w:val="24"/>
          <w:lang w:val="en-US"/>
        </w:rPr>
        <w:t xml:space="preserve">time </w:t>
      </w:r>
      <w:r>
        <w:rPr>
          <w:rFonts w:asciiTheme="minorHAnsi" w:hAnsiTheme="minorHAnsi" w:cstheme="minorHAnsi"/>
          <w:sz w:val="24"/>
          <w:szCs w:val="24"/>
          <w:lang w:val="en-US"/>
        </w:rPr>
        <w:t>(T1, T2)</w:t>
      </w:r>
      <w:r>
        <w:rPr>
          <w:rFonts w:asciiTheme="minorHAnsi" w:hAnsiTheme="minorHAnsi" w:cstheme="minorHAnsi"/>
          <w:i/>
          <w:iCs/>
          <w:sz w:val="24"/>
          <w:szCs w:val="24"/>
          <w:lang w:val="en-US"/>
        </w:rPr>
        <w:t>, study center</w:t>
      </w:r>
      <w:r>
        <w:rPr>
          <w:rFonts w:asciiTheme="minorHAnsi" w:hAnsiTheme="minorHAnsi" w:cstheme="minorHAnsi"/>
          <w:sz w:val="24"/>
          <w:szCs w:val="24"/>
          <w:lang w:val="en-US"/>
        </w:rPr>
        <w:t xml:space="preserve"> and the interaction term</w:t>
      </w:r>
      <w:r>
        <w:rPr>
          <w:rFonts w:asciiTheme="minorHAnsi" w:hAnsiTheme="minorHAnsi" w:cstheme="minorHAnsi"/>
          <w:i/>
          <w:iCs/>
          <w:sz w:val="24"/>
          <w:szCs w:val="24"/>
          <w:lang w:val="en-US"/>
        </w:rPr>
        <w:t xml:space="preserve"> group </w:t>
      </w:r>
      <w:r>
        <w:rPr>
          <w:rFonts w:asciiTheme="minorHAnsi" w:hAnsiTheme="minorHAnsi" w:cstheme="minorHAnsi"/>
          <w:sz w:val="24"/>
          <w:szCs w:val="24"/>
          <w:lang w:val="en-US"/>
        </w:rPr>
        <w:t xml:space="preserve">x </w:t>
      </w:r>
      <w:r>
        <w:rPr>
          <w:rFonts w:asciiTheme="minorHAnsi" w:hAnsiTheme="minorHAnsi" w:cstheme="minorHAnsi"/>
          <w:i/>
          <w:iCs/>
          <w:sz w:val="24"/>
          <w:szCs w:val="24"/>
          <w:lang w:val="en-US"/>
        </w:rPr>
        <w:t>time</w:t>
      </w:r>
      <w:r>
        <w:rPr>
          <w:rFonts w:asciiTheme="minorHAnsi" w:hAnsiTheme="minorHAnsi" w:cstheme="minorHAnsi"/>
          <w:sz w:val="24"/>
          <w:szCs w:val="24"/>
          <w:lang w:val="en-US"/>
        </w:rPr>
        <w:t xml:space="preserve"> were included as fixed fac</w:t>
      </w:r>
      <w:r>
        <w:rPr>
          <w:rFonts w:asciiTheme="minorHAnsi" w:hAnsiTheme="minorHAnsi" w:cstheme="minorHAnsi"/>
          <w:sz w:val="24"/>
          <w:szCs w:val="24"/>
          <w:lang w:val="en-US"/>
        </w:rPr>
        <w:t xml:space="preserve">tors, as well as a random intercept for </w:t>
      </w:r>
      <w:r>
        <w:rPr>
          <w:rFonts w:asciiTheme="minorHAnsi" w:hAnsiTheme="minorHAnsi" w:cstheme="minorHAnsi"/>
          <w:i/>
          <w:iCs/>
          <w:sz w:val="24"/>
          <w:szCs w:val="24"/>
          <w:lang w:val="en-US"/>
        </w:rPr>
        <w:t>subject</w:t>
      </w:r>
      <w:r>
        <w:rPr>
          <w:rFonts w:asciiTheme="minorHAnsi" w:hAnsiTheme="minorHAnsi" w:cstheme="minorHAnsi"/>
          <w:sz w:val="24"/>
          <w:szCs w:val="24"/>
          <w:lang w:val="en-US"/>
        </w:rPr>
        <w:t xml:space="preserve"> to account for the correlation among repeated measures within individuals. Alternatively, for model selection purposes, a nested random effect of subjects within study centers was introduced, however, was dis</w:t>
      </w:r>
      <w:r>
        <w:rPr>
          <w:rFonts w:asciiTheme="minorHAnsi" w:hAnsiTheme="minorHAnsi" w:cstheme="minorHAnsi"/>
          <w:sz w:val="24"/>
          <w:szCs w:val="24"/>
          <w:lang w:val="en-US"/>
        </w:rPr>
        <w:t xml:space="preserve">carded from the final model as it did not improve the model fit according to the Akaike information criteria (AIC) and a likelihood ratio test. Moreover, we exploratively introduced the baseline patient activation level in a three-way interaction </w:t>
      </w:r>
      <w:r>
        <w:rPr>
          <w:rFonts w:asciiTheme="minorHAnsi" w:hAnsiTheme="minorHAnsi" w:cstheme="minorHAnsi"/>
          <w:i/>
          <w:sz w:val="24"/>
          <w:szCs w:val="24"/>
          <w:lang w:val="en-US"/>
        </w:rPr>
        <w:t>group</w:t>
      </w:r>
      <w:r>
        <w:rPr>
          <w:rFonts w:asciiTheme="minorHAnsi" w:hAnsiTheme="minorHAnsi" w:cstheme="minorHAnsi"/>
          <w:sz w:val="24"/>
          <w:szCs w:val="24"/>
          <w:lang w:val="en-US"/>
        </w:rPr>
        <w:t xml:space="preserve"> x </w:t>
      </w:r>
      <w:r>
        <w:rPr>
          <w:rFonts w:asciiTheme="minorHAnsi" w:hAnsiTheme="minorHAnsi" w:cstheme="minorHAnsi"/>
          <w:i/>
          <w:sz w:val="24"/>
          <w:szCs w:val="24"/>
          <w:lang w:val="en-US"/>
        </w:rPr>
        <w:t>t</w:t>
      </w:r>
      <w:r>
        <w:rPr>
          <w:rFonts w:asciiTheme="minorHAnsi" w:hAnsiTheme="minorHAnsi" w:cstheme="minorHAnsi"/>
          <w:i/>
          <w:sz w:val="24"/>
          <w:szCs w:val="24"/>
          <w:lang w:val="en-US"/>
        </w:rPr>
        <w:t>ime</w:t>
      </w:r>
      <w:r>
        <w:rPr>
          <w:rFonts w:asciiTheme="minorHAnsi" w:hAnsiTheme="minorHAnsi" w:cstheme="minorHAnsi"/>
          <w:sz w:val="24"/>
          <w:szCs w:val="24"/>
          <w:lang w:val="en-US"/>
        </w:rPr>
        <w:t xml:space="preserve"> x </w:t>
      </w:r>
      <w:r>
        <w:rPr>
          <w:rFonts w:asciiTheme="minorHAnsi" w:hAnsiTheme="minorHAnsi" w:cstheme="minorHAnsi"/>
          <w:i/>
          <w:sz w:val="24"/>
          <w:szCs w:val="24"/>
          <w:lang w:val="en-US"/>
        </w:rPr>
        <w:t>baseline PAM-level</w:t>
      </w:r>
      <w:r>
        <w:rPr>
          <w:rFonts w:asciiTheme="minorHAnsi" w:hAnsiTheme="minorHAnsi" w:cstheme="minorHAnsi"/>
          <w:sz w:val="24"/>
          <w:szCs w:val="24"/>
          <w:lang w:val="en-US"/>
        </w:rPr>
        <w:t xml:space="preserve">, however, this interaction was statistically non-significant and removed. Final models were generated using restricted maximum likelihood estimation (REML) and assuming an unstructured covariance </w:t>
      </w:r>
      <w:r>
        <w:rPr>
          <w:rFonts w:asciiTheme="minorHAnsi" w:hAnsiTheme="minorHAnsi" w:cstheme="minorHAnsi"/>
          <w:sz w:val="24"/>
          <w:szCs w:val="24"/>
          <w:lang w:val="en-US"/>
        </w:rPr>
        <w:lastRenderedPageBreak/>
        <w:t>matrix. Assumptions of the LMMs wer</w:t>
      </w:r>
      <w:r>
        <w:rPr>
          <w:rFonts w:asciiTheme="minorHAnsi" w:hAnsiTheme="minorHAnsi" w:cstheme="minorHAnsi"/>
          <w:sz w:val="24"/>
          <w:szCs w:val="24"/>
          <w:lang w:val="en-US"/>
        </w:rPr>
        <w:t>e checked visually (residuals and random effects plots). Cohen’s d was calculated from the estimated marginal means of the model. Effect sizes were considered to be small (0.2-0.29), moderate (0.3-0.79) or large (&gt;0.8)</w:t>
      </w:r>
      <w:r>
        <w:rPr>
          <w:rFonts w:asciiTheme="minorHAnsi" w:hAnsiTheme="minorHAnsi" w:cstheme="minorHAnsi"/>
          <w:sz w:val="24"/>
          <w:szCs w:val="24"/>
          <w:lang w:val="en-US"/>
        </w:rPr>
        <w:fldChar w:fldCharType="begin"/>
      </w:r>
      <w:r>
        <w:rPr>
          <w:rFonts w:asciiTheme="minorHAnsi" w:hAnsiTheme="minorHAnsi" w:cstheme="minorHAnsi"/>
          <w:sz w:val="24"/>
          <w:szCs w:val="24"/>
          <w:lang w:val="en-US"/>
        </w:rPr>
        <w:instrText xml:space="preserve"> ADDIN EN.CITE &lt;EndNote&gt;&lt;Cite&gt;&lt;Author&gt;</w:instrText>
      </w:r>
      <w:r>
        <w:rPr>
          <w:rFonts w:asciiTheme="minorHAnsi" w:hAnsiTheme="minorHAnsi" w:cstheme="minorHAnsi"/>
          <w:sz w:val="24"/>
          <w:szCs w:val="24"/>
          <w:lang w:val="en-US"/>
        </w:rPr>
        <w:instrText>Cohen&lt;/Author&gt;&lt;Year&gt;1988&lt;/Year&gt;&lt;RecNum&gt;85&lt;/RecNum&gt;&lt;DisplayText&gt;&lt;style face="superscript"&gt;4&lt;/style&gt;&lt;/DisplayText&gt;&lt;record&gt;&lt;rec-number&gt;85&lt;/rec-number&gt;&lt;foreign-keys&gt;&lt;key app="EN" db-id="a2pare2f3zxwwpefw99p0tpdxtfawtpd5d9r" timestamp="1685014696"&gt;85&lt;/key&gt;&lt;/for</w:instrText>
      </w:r>
      <w:r>
        <w:rPr>
          <w:rFonts w:asciiTheme="minorHAnsi" w:hAnsiTheme="minorHAnsi" w:cstheme="minorHAnsi"/>
          <w:sz w:val="24"/>
          <w:szCs w:val="24"/>
          <w:lang w:val="en-US"/>
        </w:rPr>
        <w:instrText>eign-keys&gt;&lt;ref-type name="Journal Article"&gt;17&lt;/ref-type&gt;&lt;contributors&gt;&lt;authors&gt;&lt;author&gt;Cohen, J&lt;/author&gt;&lt;/authors&gt;&lt;/contributors&gt;&lt;titles&gt;&lt;title&gt;Statistical Power Analysis for the Behavioral Sciences. Lawrence Erlbaum Associates, Hillsdale, New Jersey&lt;/titl</w:instrText>
      </w:r>
      <w:r>
        <w:rPr>
          <w:rFonts w:asciiTheme="minorHAnsi" w:hAnsiTheme="minorHAnsi" w:cstheme="minorHAnsi"/>
          <w:sz w:val="24"/>
          <w:szCs w:val="24"/>
          <w:lang w:val="en-US"/>
        </w:rPr>
        <w:instrText>e&gt;&lt;/titles&gt;&lt;dates&gt;&lt;year&gt;1988&lt;/year&gt;&lt;/dates&gt;&lt;urls&gt;&lt;/urls&gt;&lt;/record&gt;&lt;/Cite&gt;&lt;/EndNote&gt;</w:instrText>
      </w:r>
      <w:r>
        <w:rPr>
          <w:rFonts w:asciiTheme="minorHAnsi" w:hAnsiTheme="minorHAnsi" w:cstheme="minorHAnsi"/>
          <w:sz w:val="24"/>
          <w:szCs w:val="24"/>
          <w:lang w:val="en-US"/>
        </w:rPr>
        <w:fldChar w:fldCharType="separate"/>
      </w:r>
      <w:r>
        <w:rPr>
          <w:rFonts w:asciiTheme="minorHAnsi" w:hAnsiTheme="minorHAnsi" w:cstheme="minorHAnsi"/>
          <w:noProof/>
          <w:sz w:val="24"/>
          <w:szCs w:val="24"/>
          <w:vertAlign w:val="superscript"/>
          <w:lang w:val="en-US"/>
        </w:rPr>
        <w:t>4</w:t>
      </w:r>
      <w:r>
        <w:rPr>
          <w:rFonts w:asciiTheme="minorHAnsi" w:hAnsiTheme="minorHAnsi" w:cstheme="minorHAnsi"/>
          <w:sz w:val="24"/>
          <w:szCs w:val="24"/>
          <w:lang w:val="en-US"/>
        </w:rPr>
        <w:fldChar w:fldCharType="end"/>
      </w:r>
      <w:r>
        <w:rPr>
          <w:rFonts w:asciiTheme="minorHAnsi" w:hAnsiTheme="minorHAnsi" w:cstheme="minorHAnsi"/>
          <w:sz w:val="24"/>
          <w:szCs w:val="24"/>
          <w:lang w:val="en-US"/>
        </w:rPr>
        <w:t>.</w:t>
      </w:r>
    </w:p>
    <w:p w:rsidR="00122D42" w:rsidRDefault="0041088A">
      <w:pPr>
        <w:spacing w:line="480" w:lineRule="auto"/>
        <w:ind w:firstLine="425"/>
        <w:jc w:val="both"/>
        <w:rPr>
          <w:rFonts w:asciiTheme="minorHAnsi" w:hAnsiTheme="minorHAnsi" w:cstheme="minorHAnsi"/>
          <w:b/>
          <w:bCs/>
          <w:i/>
          <w:iCs/>
          <w:sz w:val="24"/>
          <w:szCs w:val="24"/>
          <w:lang w:val="en-US"/>
        </w:rPr>
      </w:pPr>
      <w:r>
        <w:rPr>
          <w:rFonts w:asciiTheme="minorHAnsi" w:hAnsiTheme="minorHAnsi" w:cstheme="minorHAnsi"/>
          <w:b/>
          <w:bCs/>
          <w:i/>
          <w:iCs/>
          <w:sz w:val="24"/>
          <w:szCs w:val="24"/>
          <w:lang w:val="en-US"/>
        </w:rPr>
        <w:t>Follow-up Analysis</w:t>
      </w:r>
    </w:p>
    <w:p w:rsidR="00122D42" w:rsidRDefault="0041088A">
      <w:pPr>
        <w:spacing w:after="120" w:line="480" w:lineRule="auto"/>
        <w:ind w:firstLine="425"/>
        <w:jc w:val="both"/>
        <w:rPr>
          <w:rFonts w:asciiTheme="minorHAnsi" w:hAnsiTheme="minorHAnsi" w:cstheme="minorHAnsi"/>
          <w:sz w:val="24"/>
          <w:szCs w:val="24"/>
          <w:lang w:val="en-US"/>
        </w:rPr>
      </w:pPr>
      <w:r>
        <w:rPr>
          <w:rFonts w:asciiTheme="minorHAnsi" w:hAnsiTheme="minorHAnsi" w:cstheme="minorHAnsi"/>
          <w:sz w:val="24"/>
          <w:szCs w:val="24"/>
          <w:lang w:val="en-US"/>
        </w:rPr>
        <w:t>Secondarily, to investigate a time trend and maintenance effects of the intervention over the whole study period of 6 months, we implemented an analo</w:t>
      </w:r>
      <w:r>
        <w:rPr>
          <w:rFonts w:asciiTheme="minorHAnsi" w:hAnsiTheme="minorHAnsi" w:cstheme="minorHAnsi"/>
          <w:sz w:val="24"/>
          <w:szCs w:val="24"/>
          <w:lang w:val="en-US"/>
        </w:rPr>
        <w:t>gous linear mixed model to the one described above with all three timepoints (T1, T2, T3).</w:t>
      </w:r>
    </w:p>
    <w:p w:rsidR="00122D42" w:rsidRDefault="0041088A">
      <w:pPr>
        <w:spacing w:after="240" w:line="480" w:lineRule="auto"/>
        <w:ind w:firstLine="425"/>
        <w:jc w:val="both"/>
        <w:rPr>
          <w:rFonts w:asciiTheme="minorHAnsi" w:hAnsiTheme="minorHAnsi" w:cstheme="minorHAnsi"/>
          <w:sz w:val="24"/>
          <w:szCs w:val="24"/>
          <w:lang w:val="en-US"/>
        </w:rPr>
      </w:pPr>
      <w:r>
        <w:rPr>
          <w:rFonts w:asciiTheme="minorHAnsi" w:hAnsiTheme="minorHAnsi" w:cstheme="minorHAnsi"/>
          <w:sz w:val="24"/>
          <w:szCs w:val="24"/>
          <w:lang w:val="en-US"/>
        </w:rPr>
        <w:t>A type I error rate of α = 0.05 (two-sided) was used to determine statistical significance. To account for multiple testing, post-hoc tests were adjusted with Bonfer</w:t>
      </w:r>
      <w:r>
        <w:rPr>
          <w:rFonts w:asciiTheme="minorHAnsi" w:hAnsiTheme="minorHAnsi" w:cstheme="minorHAnsi"/>
          <w:sz w:val="24"/>
          <w:szCs w:val="24"/>
          <w:lang w:val="en-US"/>
        </w:rPr>
        <w:t>roni correction. All analyses were performed with R version 4.1.3 and R Studio (version 2022.02.1).</w:t>
      </w:r>
    </w:p>
    <w:p w:rsidR="00122D42" w:rsidRDefault="0041088A">
      <w:pPr>
        <w:pStyle w:val="3"/>
        <w:rPr>
          <w:lang w:val="en-US"/>
        </w:rPr>
      </w:pPr>
      <w:r>
        <w:rPr>
          <w:lang w:val="en-US"/>
        </w:rPr>
        <w:t>Appendix - References</w:t>
      </w:r>
    </w:p>
    <w:p w:rsidR="00122D42" w:rsidRDefault="0041088A">
      <w:pPr>
        <w:pStyle w:val="EndNoteBibliography"/>
        <w:rPr>
          <w:rFonts w:asciiTheme="minorHAnsi" w:hAnsiTheme="minorHAnsi" w:cstheme="minorHAnsi"/>
          <w:lang w:val="en-US"/>
        </w:rPr>
      </w:pPr>
      <w:r>
        <w:rPr>
          <w:rFonts w:asciiTheme="minorHAnsi" w:hAnsiTheme="minorHAnsi" w:cstheme="minorHAnsi"/>
          <w:lang w:val="en-US" w:eastAsia="en-US"/>
        </w:rPr>
        <w:fldChar w:fldCharType="begin"/>
      </w:r>
      <w:r>
        <w:rPr>
          <w:rFonts w:asciiTheme="minorHAnsi" w:hAnsiTheme="minorHAnsi" w:cstheme="minorHAnsi"/>
          <w:lang w:val="en-US" w:eastAsia="en-US"/>
        </w:rPr>
        <w:instrText xml:space="preserve"> ADDIN EN.REFLIST </w:instrText>
      </w:r>
      <w:r>
        <w:rPr>
          <w:rFonts w:asciiTheme="minorHAnsi" w:hAnsiTheme="minorHAnsi" w:cstheme="minorHAnsi"/>
          <w:lang w:val="en-US" w:eastAsia="en-US"/>
        </w:rPr>
        <w:fldChar w:fldCharType="separate"/>
      </w:r>
      <w:r>
        <w:rPr>
          <w:rFonts w:asciiTheme="minorHAnsi" w:hAnsiTheme="minorHAnsi" w:cstheme="minorHAnsi"/>
          <w:lang w:val="en-US"/>
        </w:rPr>
        <w:tab/>
        <w:t>1.</w:t>
      </w:r>
      <w:r>
        <w:rPr>
          <w:rFonts w:asciiTheme="minorHAnsi" w:hAnsiTheme="minorHAnsi" w:cstheme="minorHAnsi"/>
          <w:lang w:val="en-US"/>
        </w:rPr>
        <w:tab/>
        <w:t xml:space="preserve">Valentini J, Fröhlich D, Stolz R, et al: Interprofessional evidence-based counselling programme for </w:t>
      </w:r>
      <w:r>
        <w:rPr>
          <w:rFonts w:asciiTheme="minorHAnsi" w:hAnsiTheme="minorHAnsi" w:cstheme="minorHAnsi"/>
          <w:lang w:val="en-US"/>
        </w:rPr>
        <w:t>complementary and integrative healthcare in patients with cancer: study protocol for the controlled implementation study CCC-Integrativ. BMJ Open 12:e055076, 2022</w:t>
      </w:r>
    </w:p>
    <w:p w:rsidR="00122D42" w:rsidRDefault="0041088A">
      <w:pPr>
        <w:pStyle w:val="EndNoteBibliography"/>
        <w:rPr>
          <w:rFonts w:asciiTheme="minorHAnsi" w:hAnsiTheme="minorHAnsi" w:cstheme="minorHAnsi"/>
          <w:lang w:val="en-US"/>
        </w:rPr>
      </w:pPr>
      <w:r>
        <w:rPr>
          <w:rFonts w:asciiTheme="minorHAnsi" w:hAnsiTheme="minorHAnsi" w:cstheme="minorHAnsi"/>
          <w:lang w:val="en-US"/>
        </w:rPr>
        <w:tab/>
        <w:t>2.</w:t>
      </w:r>
      <w:r>
        <w:rPr>
          <w:rFonts w:asciiTheme="minorHAnsi" w:hAnsiTheme="minorHAnsi" w:cstheme="minorHAnsi"/>
          <w:lang w:val="en-US"/>
        </w:rPr>
        <w:tab/>
        <w:t>Honaker J, King G, Blackwell M: Amelia II: A Program for Missing Data. Journal of Statist</w:t>
      </w:r>
      <w:r>
        <w:rPr>
          <w:rFonts w:asciiTheme="minorHAnsi" w:hAnsiTheme="minorHAnsi" w:cstheme="minorHAnsi"/>
          <w:lang w:val="en-US"/>
        </w:rPr>
        <w:t>ical Software 45:1 - 47, 2011</w:t>
      </w:r>
    </w:p>
    <w:p w:rsidR="00122D42" w:rsidRDefault="0041088A">
      <w:pPr>
        <w:pStyle w:val="EndNoteBibliography"/>
        <w:rPr>
          <w:rFonts w:asciiTheme="minorHAnsi" w:hAnsiTheme="minorHAnsi" w:cstheme="minorHAnsi"/>
          <w:lang w:val="en-US"/>
        </w:rPr>
      </w:pPr>
      <w:r>
        <w:rPr>
          <w:rFonts w:asciiTheme="minorHAnsi" w:hAnsiTheme="minorHAnsi" w:cstheme="minorHAnsi"/>
          <w:lang w:val="en-US"/>
        </w:rPr>
        <w:tab/>
        <w:t>3.</w:t>
      </w:r>
      <w:r>
        <w:rPr>
          <w:rFonts w:asciiTheme="minorHAnsi" w:hAnsiTheme="minorHAnsi" w:cstheme="minorHAnsi"/>
          <w:lang w:val="en-US"/>
        </w:rPr>
        <w:tab/>
        <w:t>Rubin DB, Schenker N: Multiple imputation for interval estimation from simple random samples with ignorable nonresponse. Journal of the American statistical Association 81:366-374, 1986</w:t>
      </w:r>
    </w:p>
    <w:p w:rsidR="00122D42" w:rsidRDefault="0041088A">
      <w:pPr>
        <w:pStyle w:val="EndNoteBibliography"/>
        <w:rPr>
          <w:rFonts w:asciiTheme="minorHAnsi" w:hAnsiTheme="minorHAnsi" w:cstheme="minorHAnsi"/>
        </w:rPr>
      </w:pPr>
      <w:r>
        <w:rPr>
          <w:rFonts w:asciiTheme="minorHAnsi" w:hAnsiTheme="minorHAnsi" w:cstheme="minorHAnsi"/>
          <w:lang w:val="en-US"/>
        </w:rPr>
        <w:tab/>
        <w:t>4.</w:t>
      </w:r>
      <w:r>
        <w:rPr>
          <w:rFonts w:asciiTheme="minorHAnsi" w:hAnsiTheme="minorHAnsi" w:cstheme="minorHAnsi"/>
          <w:lang w:val="en-US"/>
        </w:rPr>
        <w:tab/>
        <w:t>Cohen J: Statistical Power Analy</w:t>
      </w:r>
      <w:r>
        <w:rPr>
          <w:rFonts w:asciiTheme="minorHAnsi" w:hAnsiTheme="minorHAnsi" w:cstheme="minorHAnsi"/>
          <w:lang w:val="en-US"/>
        </w:rPr>
        <w:t xml:space="preserve">sis for the Behavioral Sciences. </w:t>
      </w:r>
      <w:r>
        <w:rPr>
          <w:rFonts w:asciiTheme="minorHAnsi" w:hAnsiTheme="minorHAnsi" w:cstheme="minorHAnsi"/>
        </w:rPr>
        <w:t>Lawrence Erlbaum Associates, Hillsdale, New Jersey. 1988</w:t>
      </w:r>
    </w:p>
    <w:p w:rsidR="00122D42" w:rsidRDefault="0041088A">
      <w:pPr>
        <w:spacing w:line="480" w:lineRule="auto"/>
        <w:ind w:firstLine="426"/>
        <w:jc w:val="both"/>
        <w:rPr>
          <w:rFonts w:asciiTheme="minorHAnsi" w:hAnsiTheme="minorHAnsi" w:cstheme="minorHAnsi"/>
          <w:lang w:val="en-US" w:eastAsia="en-US"/>
        </w:rPr>
      </w:pPr>
      <w:r>
        <w:rPr>
          <w:rFonts w:asciiTheme="minorHAnsi" w:hAnsiTheme="minorHAnsi" w:cstheme="minorHAnsi"/>
          <w:lang w:val="en-US" w:eastAsia="en-US"/>
        </w:rPr>
        <w:fldChar w:fldCharType="end"/>
      </w:r>
    </w:p>
    <w:sectPr w:rsidR="00122D4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313FBF"/>
    <w:multiLevelType w:val="hybridMultilevel"/>
    <w:tmpl w:val="80246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Layout" w:val="&lt;ENLayout&gt;&lt;Style&gt;J Clinical Oncology&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a2v9vpssd5stter9f55a5f2t05rdsdw5prs&quot;&gt;Chinesische Medizin_alt-Saved-Converted_last&lt;record-ids&gt;&lt;item&gt;10377&lt;/item&gt;&lt;/record-ids&gt;&lt;/item&gt;&lt;/Libraries&gt;"/>
  </w:docVars>
  <w:rsids>
    <w:rsidRoot w:val="00122D42"/>
    <w:rsid w:val="00122D42"/>
    <w:rsid w:val="003E2BA6"/>
    <w:rsid w:val="0041088A"/>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789E5-3C58-4B9F-AA63-D95553D78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Times New Roman"/>
        <w:sz w:val="22"/>
        <w:szCs w:val="22"/>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de-DE"/>
    </w:rPr>
  </w:style>
  <w:style w:type="paragraph" w:styleId="1">
    <w:name w:val="heading 1"/>
    <w:basedOn w:val="a"/>
    <w:next w:val="a"/>
    <w:link w:val="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en-GB" w:eastAsia="en-US"/>
    </w:rPr>
  </w:style>
  <w:style w:type="paragraph" w:styleId="3">
    <w:name w:val="heading 3"/>
    <w:basedOn w:val="a"/>
    <w:next w:val="a"/>
    <w:link w:val="3Char"/>
    <w:uiPriority w:val="9"/>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line="240" w:lineRule="auto"/>
    </w:pPr>
    <w:rPr>
      <w:lang w:eastAsia="de-DE"/>
    </w:rPr>
  </w:style>
  <w:style w:type="character" w:customStyle="1" w:styleId="1Char">
    <w:name w:val="标题 1 Char"/>
    <w:basedOn w:val="a0"/>
    <w:link w:val="1"/>
    <w:uiPriority w:val="9"/>
    <w:rPr>
      <w:rFonts w:asciiTheme="majorHAnsi" w:eastAsiaTheme="majorEastAsia" w:hAnsiTheme="majorHAnsi" w:cstheme="majorBidi"/>
      <w:color w:val="365F91" w:themeColor="accent1" w:themeShade="BF"/>
      <w:sz w:val="32"/>
      <w:szCs w:val="32"/>
      <w:lang w:eastAsia="de-DE"/>
    </w:rPr>
  </w:style>
  <w:style w:type="paragraph" w:styleId="a4">
    <w:name w:val="List Paragraph"/>
    <w:basedOn w:val="a"/>
    <w:uiPriority w:val="34"/>
    <w:qFormat/>
    <w:pPr>
      <w:spacing w:after="160" w:line="259" w:lineRule="auto"/>
      <w:contextualSpacing/>
    </w:pPr>
    <w:rPr>
      <w:rFonts w:asciiTheme="minorHAnsi" w:eastAsiaTheme="minorHAnsi" w:hAnsiTheme="minorHAnsi" w:cstheme="minorBidi"/>
      <w:lang w:eastAsia="en-US"/>
    </w:rPr>
  </w:style>
  <w:style w:type="character" w:customStyle="1" w:styleId="2Char">
    <w:name w:val="标题 2 Char"/>
    <w:basedOn w:val="a0"/>
    <w:link w:val="2"/>
    <w:uiPriority w:val="9"/>
    <w:rPr>
      <w:rFonts w:asciiTheme="majorHAnsi" w:eastAsiaTheme="majorEastAsia" w:hAnsiTheme="majorHAnsi" w:cstheme="majorBidi"/>
      <w:color w:val="365F91" w:themeColor="accent1" w:themeShade="BF"/>
      <w:sz w:val="26"/>
      <w:szCs w:val="26"/>
      <w:lang w:val="en-GB"/>
    </w:rPr>
  </w:style>
  <w:style w:type="character" w:styleId="a5">
    <w:name w:val="annotation reference"/>
    <w:basedOn w:val="a0"/>
    <w:uiPriority w:val="99"/>
    <w:semiHidden/>
    <w:unhideWhenUsed/>
    <w:rPr>
      <w:sz w:val="16"/>
      <w:szCs w:val="16"/>
    </w:rPr>
  </w:style>
  <w:style w:type="paragraph" w:styleId="a6">
    <w:name w:val="annotation text"/>
    <w:basedOn w:val="a"/>
    <w:link w:val="Char"/>
    <w:uiPriority w:val="99"/>
    <w:unhideWhenUsed/>
    <w:pPr>
      <w:spacing w:after="160" w:line="240" w:lineRule="auto"/>
    </w:pPr>
    <w:rPr>
      <w:rFonts w:asciiTheme="minorHAnsi" w:eastAsiaTheme="minorHAnsi" w:hAnsiTheme="minorHAnsi" w:cstheme="minorBidi"/>
      <w:sz w:val="20"/>
      <w:szCs w:val="20"/>
      <w:lang w:val="en-GB" w:eastAsia="en-US"/>
    </w:rPr>
  </w:style>
  <w:style w:type="character" w:customStyle="1" w:styleId="Char">
    <w:name w:val="批注文字 Char"/>
    <w:basedOn w:val="a0"/>
    <w:link w:val="a6"/>
    <w:uiPriority w:val="99"/>
    <w:rPr>
      <w:rFonts w:asciiTheme="minorHAnsi" w:eastAsiaTheme="minorHAnsi" w:hAnsiTheme="minorHAnsi" w:cstheme="minorBidi"/>
      <w:sz w:val="20"/>
      <w:szCs w:val="20"/>
      <w:lang w:val="en-GB"/>
    </w:rPr>
  </w:style>
  <w:style w:type="paragraph" w:styleId="a7">
    <w:name w:val="Balloon Text"/>
    <w:basedOn w:val="a"/>
    <w:link w:val="Char0"/>
    <w:uiPriority w:val="99"/>
    <w:semiHidden/>
    <w:unhideWhenUsed/>
    <w:pPr>
      <w:spacing w:line="240" w:lineRule="auto"/>
    </w:pPr>
    <w:rPr>
      <w:rFonts w:ascii="Segoe UI" w:hAnsi="Segoe UI" w:cs="Segoe UI"/>
      <w:sz w:val="18"/>
      <w:szCs w:val="18"/>
    </w:rPr>
  </w:style>
  <w:style w:type="character" w:customStyle="1" w:styleId="Char0">
    <w:name w:val="批注框文本 Char"/>
    <w:basedOn w:val="a0"/>
    <w:link w:val="a7"/>
    <w:uiPriority w:val="99"/>
    <w:semiHidden/>
    <w:rPr>
      <w:rFonts w:ascii="Segoe UI" w:hAnsi="Segoe UI" w:cs="Segoe UI"/>
      <w:sz w:val="18"/>
      <w:szCs w:val="18"/>
      <w:lang w:eastAsia="de-DE"/>
    </w:rPr>
  </w:style>
  <w:style w:type="paragraph" w:customStyle="1" w:styleId="EndNoteBibliographyTitle">
    <w:name w:val="EndNote Bibliography Title"/>
    <w:basedOn w:val="a"/>
    <w:link w:val="EndNoteBibliographyTitleZchn"/>
    <w:pPr>
      <w:jc w:val="center"/>
    </w:pPr>
    <w:rPr>
      <w:rFonts w:cs="Arial"/>
      <w:noProof/>
    </w:rPr>
  </w:style>
  <w:style w:type="character" w:customStyle="1" w:styleId="EndNoteBibliographyTitleZchn">
    <w:name w:val="EndNote Bibliography Title Zchn"/>
    <w:basedOn w:val="a0"/>
    <w:link w:val="EndNoteBibliographyTitle"/>
    <w:rPr>
      <w:rFonts w:cs="Arial"/>
      <w:noProof/>
      <w:lang w:eastAsia="de-DE"/>
    </w:rPr>
  </w:style>
  <w:style w:type="paragraph" w:customStyle="1" w:styleId="EndNoteBibliography">
    <w:name w:val="EndNote Bibliography"/>
    <w:basedOn w:val="a"/>
    <w:link w:val="EndNoteBibliographyZchn"/>
    <w:pPr>
      <w:spacing w:line="240" w:lineRule="auto"/>
      <w:jc w:val="both"/>
    </w:pPr>
    <w:rPr>
      <w:rFonts w:cs="Arial"/>
      <w:noProof/>
    </w:rPr>
  </w:style>
  <w:style w:type="character" w:customStyle="1" w:styleId="EndNoteBibliographyZchn">
    <w:name w:val="EndNote Bibliography Zchn"/>
    <w:basedOn w:val="a0"/>
    <w:link w:val="EndNoteBibliography"/>
    <w:rPr>
      <w:rFonts w:cs="Arial"/>
      <w:noProof/>
      <w:lang w:eastAsia="de-DE"/>
    </w:rPr>
  </w:style>
  <w:style w:type="character" w:styleId="a8">
    <w:name w:val="Hyperlink"/>
    <w:basedOn w:val="a0"/>
    <w:uiPriority w:val="99"/>
    <w:unhideWhenUsed/>
    <w:rPr>
      <w:color w:val="0000FF" w:themeColor="hyperlink"/>
      <w:u w:val="single"/>
    </w:rPr>
  </w:style>
  <w:style w:type="table" w:styleId="a9">
    <w:name w:val="Table Grid"/>
    <w:basedOn w:val="a1"/>
    <w:uiPriority w:val="39"/>
    <w:pPr>
      <w:spacing w:line="240" w:lineRule="auto"/>
    </w:pPr>
    <w:rPr>
      <w:rFonts w:asciiTheme="minorHAnsi" w:eastAsiaTheme="minorHAnsi" w:hAnsiTheme="minorHAnsi" w:cstheme="minorBidi"/>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semiHidden/>
    <w:unhideWhenUsed/>
    <w:qFormat/>
    <w:pPr>
      <w:spacing w:after="200" w:line="240" w:lineRule="auto"/>
    </w:pPr>
    <w:rPr>
      <w:rFonts w:asciiTheme="minorHAnsi" w:eastAsiaTheme="minorHAnsi" w:hAnsiTheme="minorHAnsi" w:cstheme="minorBidi"/>
      <w:sz w:val="24"/>
      <w:szCs w:val="24"/>
      <w:lang w:val="en-US" w:eastAsia="de-D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TableCaption">
    <w:name w:val="Table Caption"/>
    <w:basedOn w:val="aa"/>
    <w:pPr>
      <w:keepNext/>
      <w:spacing w:after="120"/>
    </w:pPr>
    <w:rPr>
      <w:rFonts w:asciiTheme="minorHAnsi" w:eastAsiaTheme="minorHAnsi" w:hAnsiTheme="minorHAnsi" w:cstheme="minorBidi"/>
      <w:iCs w:val="0"/>
      <w:color w:val="auto"/>
      <w:sz w:val="24"/>
      <w:szCs w:val="24"/>
      <w:lang w:val="en-US" w:eastAsia="en-US"/>
    </w:rPr>
  </w:style>
  <w:style w:type="paragraph" w:styleId="aa">
    <w:name w:val="caption"/>
    <w:basedOn w:val="a"/>
    <w:next w:val="a"/>
    <w:uiPriority w:val="35"/>
    <w:semiHidden/>
    <w:unhideWhenUsed/>
    <w:qFormat/>
    <w:pPr>
      <w:spacing w:after="200" w:line="240" w:lineRule="auto"/>
    </w:pPr>
    <w:rPr>
      <w:i/>
      <w:iCs/>
      <w:color w:val="1F497D" w:themeColor="text2"/>
      <w:sz w:val="18"/>
      <w:szCs w:val="18"/>
    </w:rPr>
  </w:style>
  <w:style w:type="character" w:customStyle="1" w:styleId="3Char">
    <w:name w:val="标题 3 Char"/>
    <w:basedOn w:val="a0"/>
    <w:link w:val="3"/>
    <w:uiPriority w:val="9"/>
    <w:rPr>
      <w:rFonts w:asciiTheme="majorHAnsi" w:eastAsiaTheme="majorEastAsia" w:hAnsiTheme="majorHAnsi" w:cstheme="majorBidi"/>
      <w:color w:val="243F60" w:themeColor="accent1" w:themeShade="7F"/>
      <w:sz w:val="24"/>
      <w:szCs w:val="24"/>
      <w:lang w:eastAsia="de-DE"/>
    </w:rPr>
  </w:style>
  <w:style w:type="character" w:customStyle="1" w:styleId="4Char">
    <w:name w:val="标题 4 Char"/>
    <w:basedOn w:val="a0"/>
    <w:link w:val="4"/>
    <w:uiPriority w:val="9"/>
    <w:rPr>
      <w:rFonts w:asciiTheme="majorHAnsi" w:eastAsiaTheme="majorEastAsia" w:hAnsiTheme="majorHAnsi" w:cstheme="majorBidi"/>
      <w:i/>
      <w:iCs/>
      <w:color w:val="365F91" w:themeColor="accent1" w:themeShade="BF"/>
      <w:lang w:eastAsia="de-DE"/>
    </w:rPr>
  </w:style>
  <w:style w:type="paragraph" w:customStyle="1" w:styleId="SMHeading">
    <w:name w:val="SM Heading"/>
    <w:basedOn w:val="1"/>
    <w:qFormat/>
    <w:pPr>
      <w:keepLines w:val="0"/>
      <w:spacing w:after="60" w:line="240" w:lineRule="auto"/>
    </w:pPr>
    <w:rPr>
      <w:rFonts w:ascii="Times New Roman" w:eastAsia="Times New Roman" w:hAnsi="Times New Roman" w:cs="Times New Roman"/>
      <w:b/>
      <w:bCs/>
      <w:color w:val="auto"/>
      <w:kern w:val="32"/>
      <w:sz w:val="24"/>
      <w:szCs w:val="24"/>
      <w:lang w:val="en-US" w:eastAsia="en-US"/>
    </w:rPr>
  </w:style>
  <w:style w:type="paragraph" w:customStyle="1" w:styleId="SMText">
    <w:name w:val="SM Text"/>
    <w:basedOn w:val="a"/>
    <w:qFormat/>
    <w:pPr>
      <w:spacing w:line="240" w:lineRule="auto"/>
      <w:ind w:firstLine="480"/>
    </w:pPr>
    <w:rPr>
      <w:rFonts w:ascii="Times New Roman" w:eastAsia="Times New Roman" w:hAnsi="Times New Roman"/>
      <w:sz w:val="24"/>
      <w:szCs w:val="20"/>
      <w:lang w:val="en-US" w:eastAsia="en-US"/>
    </w:rPr>
  </w:style>
  <w:style w:type="character" w:customStyle="1" w:styleId="UnresolvedMention">
    <w:name w:val="Unresolved Mention"/>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79139">
      <w:bodyDiv w:val="1"/>
      <w:marLeft w:val="0"/>
      <w:marRight w:val="0"/>
      <w:marTop w:val="0"/>
      <w:marBottom w:val="0"/>
      <w:divBdr>
        <w:top w:val="none" w:sz="0" w:space="0" w:color="auto"/>
        <w:left w:val="none" w:sz="0" w:space="0" w:color="auto"/>
        <w:bottom w:val="none" w:sz="0" w:space="0" w:color="auto"/>
        <w:right w:val="none" w:sz="0" w:space="0" w:color="auto"/>
      </w:divBdr>
    </w:div>
    <w:div w:id="609161649">
      <w:bodyDiv w:val="1"/>
      <w:marLeft w:val="0"/>
      <w:marRight w:val="0"/>
      <w:marTop w:val="0"/>
      <w:marBottom w:val="0"/>
      <w:divBdr>
        <w:top w:val="none" w:sz="0" w:space="0" w:color="auto"/>
        <w:left w:val="none" w:sz="0" w:space="0" w:color="auto"/>
        <w:bottom w:val="none" w:sz="0" w:space="0" w:color="auto"/>
        <w:right w:val="none" w:sz="0" w:space="0" w:color="auto"/>
      </w:divBdr>
    </w:div>
    <w:div w:id="92985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irit-statement.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ort-statement.org" TargetMode="External"/><Relationship Id="rId12" Type="http://schemas.openxmlformats.org/officeDocument/2006/relationships/image" Target="media/image4.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tiff"/><Relationship Id="rId5" Type="http://schemas.openxmlformats.org/officeDocument/2006/relationships/hyperlink" Target="mailto:jan.valentini@med.uni-tuebingen.de"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equator-network.org" TargetMode="Externa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4684</Words>
  <Characters>26705</Characters>
  <Application>Microsoft Office Word</Application>
  <DocSecurity>0</DocSecurity>
  <Lines>222</Lines>
  <Paragraphs>62</Paragraphs>
  <ScaleCrop>false</ScaleCrop>
  <HeadingPairs>
    <vt:vector size="2" baseType="variant">
      <vt:variant>
        <vt:lpstr>Titel</vt:lpstr>
      </vt:variant>
      <vt:variant>
        <vt:i4>1</vt:i4>
      </vt:variant>
    </vt:vector>
  </HeadingPairs>
  <TitlesOfParts>
    <vt:vector size="1" baseType="lpstr">
      <vt:lpstr/>
    </vt:vector>
  </TitlesOfParts>
  <Company>Universitaetsklinikum Tuebingen</Company>
  <LinksUpToDate>false</LinksUpToDate>
  <CharactersWithSpaces>31327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Jan Valentini</dc:creator>
  <cp:keywords/>
  <dc:description/>
  <cp:lastModifiedBy>FMD</cp:lastModifiedBy>
  <cp:revision>3</cp:revision>
  <cp:lastPrinted>2024-02-21T10:51:00Z</cp:lastPrinted>
  <dcterms:created xsi:type="dcterms:W3CDTF">2024-08-26T00:20:00Z</dcterms:created>
  <dcterms:modified xsi:type="dcterms:W3CDTF">2024-08-26T00:22:00Z</dcterms:modified>
</cp:coreProperties>
</file>