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6E676" w14:textId="27B34EAD" w:rsidR="0032415E" w:rsidRPr="003201AC" w:rsidRDefault="006D54C1" w:rsidP="006D54C1">
      <w:pPr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 w:rsidRPr="003201AC">
        <w:rPr>
          <w:rFonts w:ascii="Times New Roman" w:hAnsi="Times New Roman" w:cs="Times New Roman" w:hint="eastAsia"/>
          <w:b/>
          <w:bCs/>
          <w:sz w:val="28"/>
          <w:szCs w:val="32"/>
        </w:rPr>
        <w:t>-</w:t>
      </w:r>
      <w:r w:rsidRPr="003201AC">
        <w:rPr>
          <w:rFonts w:ascii="Times New Roman" w:hAnsi="Times New Roman" w:cs="Times New Roman"/>
          <w:b/>
          <w:bCs/>
          <w:sz w:val="28"/>
          <w:szCs w:val="32"/>
        </w:rPr>
        <w:t>Supplementary materials</w:t>
      </w:r>
      <w:r w:rsidRPr="003201AC">
        <w:rPr>
          <w:rFonts w:ascii="Times New Roman" w:hAnsi="Times New Roman" w:cs="Times New Roman" w:hint="eastAsia"/>
          <w:b/>
          <w:bCs/>
          <w:sz w:val="28"/>
          <w:szCs w:val="32"/>
        </w:rPr>
        <w:t>-</w:t>
      </w:r>
    </w:p>
    <w:p w14:paraId="0D4ED6A0" w14:textId="2F808817" w:rsidR="00A71637" w:rsidRPr="00AB5BB9" w:rsidRDefault="00A71637">
      <w:pPr>
        <w:widowControl/>
        <w:rPr>
          <w:rFonts w:ascii="Times New Roman" w:hAnsi="Times New Roman" w:cs="Times New Roman"/>
          <w:b/>
          <w:bCs/>
          <w:color w:val="C00000"/>
          <w:sz w:val="24"/>
          <w:szCs w:val="28"/>
        </w:rPr>
      </w:pPr>
      <w:r w:rsidRPr="00AB5BB9">
        <w:rPr>
          <w:rFonts w:ascii="Times New Roman" w:hAnsi="Times New Roman" w:cs="Times New Roman" w:hint="eastAsia"/>
          <w:b/>
          <w:bCs/>
          <w:color w:val="C00000"/>
          <w:sz w:val="24"/>
          <w:szCs w:val="28"/>
        </w:rPr>
        <w:t xml:space="preserve">Figure S1. Female-restricted subset analysis of cell composition and stromal pathway programs across KYangD, KYinD, and non-deficiency </w:t>
      </w:r>
      <w:r w:rsidR="00AB5BB9">
        <w:rPr>
          <w:rFonts w:ascii="Times New Roman" w:hAnsi="Times New Roman" w:cs="Times New Roman" w:hint="eastAsia"/>
          <w:b/>
          <w:bCs/>
          <w:color w:val="C00000"/>
          <w:sz w:val="24"/>
          <w:szCs w:val="28"/>
        </w:rPr>
        <w:t>groups</w:t>
      </w:r>
      <w:r w:rsidRPr="00AB5BB9">
        <w:rPr>
          <w:rFonts w:ascii="Times New Roman" w:hAnsi="Times New Roman" w:cs="Times New Roman" w:hint="eastAsia"/>
          <w:b/>
          <w:bCs/>
          <w:color w:val="C00000"/>
          <w:sz w:val="24"/>
          <w:szCs w:val="28"/>
        </w:rPr>
        <w:t>.</w:t>
      </w:r>
    </w:p>
    <w:p w14:paraId="64D15AA6" w14:textId="4880943F" w:rsidR="00A71637" w:rsidRDefault="00DE68B1">
      <w:pPr>
        <w:widowControl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noProof/>
        </w:rPr>
        <w:drawing>
          <wp:inline distT="0" distB="0" distL="0" distR="0" wp14:anchorId="05677EE1" wp14:editId="186C440B">
            <wp:extent cx="6645910" cy="6557645"/>
            <wp:effectExtent l="0" t="0" r="2540" b="0"/>
            <wp:docPr id="119535422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55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C469E" w14:textId="379BC5EA" w:rsidR="00A71637" w:rsidRDefault="00A71637">
      <w:pPr>
        <w:widowControl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7B0DB7A4" w14:textId="71B21E96" w:rsidR="00560594" w:rsidRDefault="006D54C1" w:rsidP="0021434F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 w:hint="eastAsia"/>
          <w:b/>
          <w:bCs/>
          <w:sz w:val="24"/>
          <w:szCs w:val="28"/>
        </w:rPr>
        <w:lastRenderedPageBreak/>
        <w:t>Figure S</w:t>
      </w:r>
      <w:r w:rsidR="00A71637">
        <w:rPr>
          <w:rFonts w:ascii="Times New Roman" w:hAnsi="Times New Roman" w:cs="Times New Roman" w:hint="eastAsia"/>
          <w:b/>
          <w:bCs/>
          <w:sz w:val="24"/>
          <w:szCs w:val="28"/>
        </w:rPr>
        <w:t>2</w:t>
      </w:r>
      <w:r>
        <w:rPr>
          <w:rFonts w:ascii="Times New Roman" w:hAnsi="Times New Roman" w:cs="Times New Roman" w:hint="eastAsia"/>
          <w:b/>
          <w:bCs/>
          <w:sz w:val="24"/>
          <w:szCs w:val="28"/>
        </w:rPr>
        <w:t>.</w:t>
      </w:r>
      <w:r w:rsidR="0065510C" w:rsidRPr="0065510C">
        <w:rPr>
          <w:rFonts w:hint="eastAsia"/>
        </w:rPr>
        <w:t xml:space="preserve"> </w:t>
      </w:r>
      <w:r w:rsidR="0021434F" w:rsidRPr="0021434F">
        <w:rPr>
          <w:rFonts w:ascii="Times New Roman" w:hAnsi="Times New Roman" w:cs="Times New Roman" w:hint="eastAsia"/>
          <w:b/>
          <w:bCs/>
          <w:sz w:val="24"/>
          <w:szCs w:val="28"/>
        </w:rPr>
        <w:t>Cell</w:t>
      </w:r>
      <w:r w:rsidR="0021434F">
        <w:rPr>
          <w:rFonts w:ascii="Times New Roman" w:hAnsi="Times New Roman" w:cs="Times New Roman" w:hint="eastAsia"/>
          <w:b/>
          <w:bCs/>
          <w:sz w:val="24"/>
          <w:szCs w:val="28"/>
        </w:rPr>
        <w:t>-</w:t>
      </w:r>
      <w:r w:rsidR="0021434F" w:rsidRPr="0021434F">
        <w:rPr>
          <w:rFonts w:ascii="Times New Roman" w:hAnsi="Times New Roman" w:cs="Times New Roman" w:hint="eastAsia"/>
          <w:b/>
          <w:bCs/>
          <w:sz w:val="24"/>
          <w:szCs w:val="28"/>
        </w:rPr>
        <w:t>cell communication patterns of endothelial, stromal, osteolineage, neutrophil, and macrophage compartments in KYangD</w:t>
      </w:r>
      <w:r w:rsidR="00560594" w:rsidRPr="00560594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osteopenia/osteoporosis.</w:t>
      </w:r>
    </w:p>
    <w:p w14:paraId="74FA2065" w14:textId="50AED3E6" w:rsidR="006D54C1" w:rsidRDefault="00781CD2" w:rsidP="00560594">
      <w:pPr>
        <w:jc w:val="both"/>
        <w:rPr>
          <w:rFonts w:ascii="Times New Roman" w:hAnsi="Times New Roman" w:cs="Times New Roman"/>
          <w:b/>
          <w:bCs/>
          <w:sz w:val="28"/>
          <w:szCs w:val="32"/>
        </w:rPr>
      </w:pPr>
      <w:r>
        <w:rPr>
          <w:rFonts w:ascii="Times New Roman" w:hAnsi="Times New Roman" w:cs="Times New Roman"/>
          <w:b/>
          <w:bCs/>
          <w:noProof/>
          <w:sz w:val="28"/>
          <w:szCs w:val="32"/>
        </w:rPr>
        <w:drawing>
          <wp:inline distT="0" distB="0" distL="0" distR="0" wp14:anchorId="5E03F59F" wp14:editId="2BEF4FC2">
            <wp:extent cx="6645910" cy="6748780"/>
            <wp:effectExtent l="0" t="0" r="2540" b="0"/>
            <wp:docPr id="144168110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681108" name="图片 144168110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74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EFC0A" w14:textId="544807DD" w:rsidR="006D54C1" w:rsidRDefault="006D54C1">
      <w:pPr>
        <w:widowControl/>
        <w:rPr>
          <w:rFonts w:ascii="Times New Roman" w:hAnsi="Times New Roman" w:cs="Times New Roman"/>
          <w:b/>
          <w:bCs/>
          <w:sz w:val="28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32"/>
        </w:rPr>
        <w:br w:type="page"/>
      </w:r>
    </w:p>
    <w:p w14:paraId="4310E946" w14:textId="711C9CA3" w:rsidR="0021434F" w:rsidRDefault="006D54C1" w:rsidP="0021434F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 w:hint="eastAsia"/>
          <w:b/>
          <w:bCs/>
          <w:sz w:val="24"/>
          <w:szCs w:val="28"/>
        </w:rPr>
        <w:lastRenderedPageBreak/>
        <w:t>Figure S</w:t>
      </w:r>
      <w:r w:rsidR="00A71637">
        <w:rPr>
          <w:rFonts w:ascii="Times New Roman" w:hAnsi="Times New Roman" w:cs="Times New Roman" w:hint="eastAsia"/>
          <w:b/>
          <w:bCs/>
          <w:sz w:val="24"/>
          <w:szCs w:val="28"/>
        </w:rPr>
        <w:t>3</w:t>
      </w:r>
      <w:r>
        <w:rPr>
          <w:rFonts w:ascii="Times New Roman" w:hAnsi="Times New Roman" w:cs="Times New Roman" w:hint="eastAsia"/>
          <w:b/>
          <w:bCs/>
          <w:sz w:val="24"/>
          <w:szCs w:val="28"/>
        </w:rPr>
        <w:t>.</w:t>
      </w:r>
      <w:r w:rsidR="00560594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</w:t>
      </w:r>
      <w:bookmarkStart w:id="0" w:name="_Hlk209581764"/>
      <w:r w:rsidR="0021434F" w:rsidRPr="0021434F">
        <w:rPr>
          <w:rFonts w:ascii="Times New Roman" w:hAnsi="Times New Roman" w:cs="Times New Roman" w:hint="eastAsia"/>
          <w:b/>
          <w:bCs/>
          <w:sz w:val="24"/>
          <w:szCs w:val="28"/>
        </w:rPr>
        <w:t>Cell</w:t>
      </w:r>
      <w:r w:rsidR="0021434F">
        <w:rPr>
          <w:rFonts w:ascii="Times New Roman" w:hAnsi="Times New Roman" w:cs="Times New Roman" w:hint="eastAsia"/>
          <w:b/>
          <w:bCs/>
          <w:sz w:val="24"/>
          <w:szCs w:val="28"/>
        </w:rPr>
        <w:t>-</w:t>
      </w:r>
      <w:r w:rsidR="0021434F" w:rsidRPr="0021434F">
        <w:rPr>
          <w:rFonts w:ascii="Times New Roman" w:hAnsi="Times New Roman" w:cs="Times New Roman" w:hint="eastAsia"/>
          <w:b/>
          <w:bCs/>
          <w:sz w:val="24"/>
          <w:szCs w:val="28"/>
        </w:rPr>
        <w:t>cell communication patterns of endothelial, stromal, osteolineage, neutrophil, and macrophage compartments in KY</w:t>
      </w:r>
      <w:r w:rsidR="0021434F">
        <w:rPr>
          <w:rFonts w:ascii="Times New Roman" w:hAnsi="Times New Roman" w:cs="Times New Roman" w:hint="eastAsia"/>
          <w:b/>
          <w:bCs/>
          <w:sz w:val="24"/>
          <w:szCs w:val="28"/>
        </w:rPr>
        <w:t>in</w:t>
      </w:r>
      <w:r w:rsidR="0021434F" w:rsidRPr="0021434F">
        <w:rPr>
          <w:rFonts w:ascii="Times New Roman" w:hAnsi="Times New Roman" w:cs="Times New Roman" w:hint="eastAsia"/>
          <w:b/>
          <w:bCs/>
          <w:sz w:val="24"/>
          <w:szCs w:val="28"/>
        </w:rPr>
        <w:t>D</w:t>
      </w:r>
      <w:r w:rsidR="0021434F" w:rsidRPr="00560594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osteopenia/osteoporosis.</w:t>
      </w:r>
    </w:p>
    <w:bookmarkEnd w:id="0"/>
    <w:p w14:paraId="6A62896A" w14:textId="7AD1EFE7" w:rsidR="006D54C1" w:rsidRDefault="00781CD2" w:rsidP="006D54C1">
      <w:pPr>
        <w:rPr>
          <w:rFonts w:ascii="Times New Roman" w:hAnsi="Times New Roman" w:cs="Times New Roman"/>
          <w:b/>
          <w:bCs/>
          <w:sz w:val="28"/>
          <w:szCs w:val="32"/>
        </w:rPr>
      </w:pPr>
      <w:r>
        <w:rPr>
          <w:rFonts w:ascii="Times New Roman" w:hAnsi="Times New Roman" w:cs="Times New Roman"/>
          <w:b/>
          <w:bCs/>
          <w:noProof/>
          <w:sz w:val="28"/>
          <w:szCs w:val="32"/>
        </w:rPr>
        <w:drawing>
          <wp:inline distT="0" distB="0" distL="0" distR="0" wp14:anchorId="57913765" wp14:editId="624FD6C6">
            <wp:extent cx="6645910" cy="6677660"/>
            <wp:effectExtent l="0" t="0" r="2540" b="8890"/>
            <wp:docPr id="41365167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651675" name="图片 41365167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7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DBBD8" w14:textId="3B20DC78" w:rsidR="00D96C7E" w:rsidRDefault="006D54C1">
      <w:pPr>
        <w:widowControl/>
        <w:rPr>
          <w:rFonts w:ascii="Times New Roman" w:hAnsi="Times New Roman" w:cs="Times New Roman"/>
          <w:b/>
          <w:bCs/>
          <w:sz w:val="28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32"/>
        </w:rPr>
        <w:br w:type="page"/>
      </w:r>
    </w:p>
    <w:p w14:paraId="6A4020C7" w14:textId="77777777" w:rsidR="00D96C7E" w:rsidRPr="00380FE1" w:rsidRDefault="00D96C7E" w:rsidP="00D96C7E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</w:rPr>
      </w:pPr>
      <w:r w:rsidRPr="00380FE1">
        <w:rPr>
          <w:rFonts w:ascii="Times New Roman" w:hAnsi="Times New Roman" w:cs="Times New Roman"/>
          <w:b/>
          <w:bCs/>
          <w:sz w:val="24"/>
        </w:rPr>
        <w:lastRenderedPageBreak/>
        <w:t>Figure Legends</w:t>
      </w:r>
    </w:p>
    <w:p w14:paraId="00871756" w14:textId="32A10BB2" w:rsidR="00DE68B1" w:rsidRPr="00AB5BB9" w:rsidRDefault="00DE68B1" w:rsidP="0051444E">
      <w:pPr>
        <w:widowControl/>
        <w:jc w:val="both"/>
        <w:rPr>
          <w:rFonts w:ascii="Times New Roman" w:hAnsi="Times New Roman" w:cs="Times New Roman" w:hint="eastAsia"/>
          <w:color w:val="C00000"/>
          <w:sz w:val="24"/>
          <w:szCs w:val="28"/>
        </w:rPr>
      </w:pPr>
      <w:r w:rsidRPr="00AB5BB9">
        <w:rPr>
          <w:rFonts w:ascii="Times New Roman" w:hAnsi="Times New Roman" w:cs="Times New Roman" w:hint="eastAsia"/>
          <w:b/>
          <w:bCs/>
          <w:color w:val="C00000"/>
          <w:sz w:val="24"/>
          <w:szCs w:val="28"/>
        </w:rPr>
        <w:t xml:space="preserve">Figure S1. Female-restricted subset analysis of cell composition and stromal pathway programs across KYangD, KYinD, and non-deficiency </w:t>
      </w:r>
      <w:r w:rsidR="00184B62" w:rsidRPr="00AB5BB9">
        <w:rPr>
          <w:rFonts w:ascii="Times New Roman" w:hAnsi="Times New Roman" w:cs="Times New Roman" w:hint="eastAsia"/>
          <w:b/>
          <w:bCs/>
          <w:color w:val="C00000"/>
          <w:sz w:val="24"/>
          <w:szCs w:val="28"/>
        </w:rPr>
        <w:t>groups</w:t>
      </w:r>
      <w:r w:rsidRPr="00AB5BB9">
        <w:rPr>
          <w:rFonts w:ascii="Times New Roman" w:hAnsi="Times New Roman" w:cs="Times New Roman" w:hint="eastAsia"/>
          <w:b/>
          <w:bCs/>
          <w:color w:val="C00000"/>
          <w:sz w:val="24"/>
          <w:szCs w:val="28"/>
        </w:rPr>
        <w:t>.</w:t>
      </w:r>
      <w:r w:rsidRPr="00AB5BB9">
        <w:rPr>
          <w:rFonts w:ascii="Times New Roman" w:hAnsi="Times New Roman" w:cs="Times New Roman" w:hint="eastAsia"/>
          <w:color w:val="C00000"/>
          <w:sz w:val="24"/>
          <w:szCs w:val="28"/>
        </w:rPr>
        <w:t xml:space="preserve"> (A)</w:t>
      </w:r>
      <w:r w:rsidRPr="00AB5BB9">
        <w:rPr>
          <w:rFonts w:hint="eastAsia"/>
          <w:color w:val="C00000"/>
        </w:rPr>
        <w:t xml:space="preserve"> </w:t>
      </w:r>
      <w:r w:rsidRPr="00AB5BB9">
        <w:rPr>
          <w:rFonts w:ascii="Times New Roman" w:hAnsi="Times New Roman" w:cs="Times New Roman" w:hint="eastAsia"/>
          <w:color w:val="C00000"/>
          <w:sz w:val="24"/>
          <w:szCs w:val="28"/>
        </w:rPr>
        <w:t>Quantification of the relative abundance (%) of each cell type across female KYangD, KYinD</w:t>
      </w:r>
      <w:r w:rsidR="00C179FF" w:rsidRPr="00AB5BB9">
        <w:rPr>
          <w:rFonts w:ascii="Times New Roman" w:hAnsi="Times New Roman" w:cs="Times New Roman" w:hint="eastAsia"/>
          <w:color w:val="C00000"/>
          <w:sz w:val="24"/>
          <w:szCs w:val="28"/>
        </w:rPr>
        <w:t>, and non-deficiency</w:t>
      </w:r>
      <w:r w:rsidRPr="00AB5BB9">
        <w:rPr>
          <w:rFonts w:ascii="Times New Roman" w:hAnsi="Times New Roman" w:cs="Times New Roman" w:hint="eastAsia"/>
          <w:color w:val="C00000"/>
          <w:sz w:val="24"/>
          <w:szCs w:val="28"/>
        </w:rPr>
        <w:t xml:space="preserve"> groups, providing an overview of cellular representation within the female subset.</w:t>
      </w:r>
      <w:r w:rsidR="00C179FF" w:rsidRPr="00AB5BB9">
        <w:rPr>
          <w:rFonts w:hint="eastAsia"/>
          <w:color w:val="C00000"/>
        </w:rPr>
        <w:t xml:space="preserve"> </w:t>
      </w:r>
      <w:r w:rsidR="0051444E" w:rsidRPr="00AB5BB9">
        <w:rPr>
          <w:rFonts w:ascii="Times New Roman" w:hAnsi="Times New Roman" w:cs="Times New Roman"/>
          <w:color w:val="C00000"/>
          <w:sz w:val="24"/>
          <w:szCs w:val="28"/>
        </w:rPr>
        <w:t>(B and C) GO and KEGG pathway enrichment analyses of genes upregulated (B) and downregulated (C) in KYangD LEPR⁺ CXCL12</w:t>
      </w:r>
      <w:r w:rsidR="0051444E" w:rsidRPr="00AB5BB9">
        <w:rPr>
          <w:rFonts w:ascii="Times New Roman" w:hAnsi="Times New Roman" w:cs="Times New Roman"/>
          <w:color w:val="C00000"/>
          <w:sz w:val="24"/>
          <w:szCs w:val="28"/>
          <w:vertAlign w:val="superscript"/>
        </w:rPr>
        <w:t>high</w:t>
      </w:r>
      <w:r w:rsidR="0051444E" w:rsidRPr="00AB5BB9">
        <w:rPr>
          <w:rFonts w:ascii="Times New Roman" w:hAnsi="Times New Roman" w:cs="Times New Roman"/>
          <w:color w:val="C00000"/>
          <w:sz w:val="24"/>
          <w:szCs w:val="28"/>
        </w:rPr>
        <w:t xml:space="preserve"> perivascular stromal cells (CAR cells) from the female subset.</w:t>
      </w:r>
      <w:r w:rsidR="0051444E" w:rsidRPr="00AB5BB9">
        <w:rPr>
          <w:rFonts w:ascii="Times New Roman" w:hAnsi="Times New Roman" w:cs="Times New Roman" w:hint="eastAsia"/>
          <w:color w:val="C00000"/>
          <w:sz w:val="24"/>
          <w:szCs w:val="28"/>
        </w:rPr>
        <w:t xml:space="preserve"> </w:t>
      </w:r>
      <w:r w:rsidR="0051444E" w:rsidRPr="00AB5BB9">
        <w:rPr>
          <w:rFonts w:ascii="Times New Roman" w:hAnsi="Times New Roman" w:cs="Times New Roman"/>
          <w:color w:val="C00000"/>
          <w:sz w:val="24"/>
          <w:szCs w:val="28"/>
        </w:rPr>
        <w:t>(D and E) GO and KEGG pathway enrichment analyses of genes upregulated (D) and downregulated (E) in KY</w:t>
      </w:r>
      <w:r w:rsidR="00ED4ECD" w:rsidRPr="00AB5BB9">
        <w:rPr>
          <w:rFonts w:ascii="Times New Roman" w:hAnsi="Times New Roman" w:cs="Times New Roman" w:hint="eastAsia"/>
          <w:color w:val="C00000"/>
          <w:sz w:val="24"/>
          <w:szCs w:val="28"/>
        </w:rPr>
        <w:t>in</w:t>
      </w:r>
      <w:r w:rsidR="0051444E" w:rsidRPr="00AB5BB9">
        <w:rPr>
          <w:rFonts w:ascii="Times New Roman" w:hAnsi="Times New Roman" w:cs="Times New Roman"/>
          <w:color w:val="C00000"/>
          <w:sz w:val="24"/>
          <w:szCs w:val="28"/>
        </w:rPr>
        <w:t>D LEPR⁺ CXCL12</w:t>
      </w:r>
      <w:r w:rsidR="0051444E" w:rsidRPr="00AB5BB9">
        <w:rPr>
          <w:rFonts w:ascii="Times New Roman" w:hAnsi="Times New Roman" w:cs="Times New Roman"/>
          <w:color w:val="C00000"/>
          <w:sz w:val="24"/>
          <w:szCs w:val="28"/>
          <w:vertAlign w:val="superscript"/>
        </w:rPr>
        <w:t>high</w:t>
      </w:r>
      <w:r w:rsidR="0051444E" w:rsidRPr="00AB5BB9">
        <w:rPr>
          <w:rFonts w:ascii="Times New Roman" w:hAnsi="Times New Roman" w:cs="Times New Roman"/>
          <w:color w:val="C00000"/>
          <w:sz w:val="24"/>
          <w:szCs w:val="28"/>
        </w:rPr>
        <w:t xml:space="preserve"> perivascular stromal cells (CAR cells) from the female subset.</w:t>
      </w:r>
      <w:r w:rsidR="00ED4ECD" w:rsidRPr="00AB5BB9">
        <w:rPr>
          <w:rFonts w:ascii="Times New Roman" w:hAnsi="Times New Roman" w:cs="Times New Roman" w:hint="eastAsia"/>
          <w:color w:val="C00000"/>
          <w:sz w:val="24"/>
          <w:szCs w:val="28"/>
        </w:rPr>
        <w:t xml:space="preserve"> (F and G) GO and KEGG pathway enrichment analyses of genes upregulated (F) and downregulated (G) in KYangD osteoblast-primed stromal cells (pre-osteoblast-like MSCs) from the female subset. (H and I) GO and KEGG pathway enrichment analyses of genes upregulated (H) and downregulated (I) in KYinD osteoblast-primed stromal cells (pre-osteoblast-like MSCs) from the female subset.</w:t>
      </w:r>
    </w:p>
    <w:p w14:paraId="0869BFCA" w14:textId="79A315C5" w:rsidR="0021434F" w:rsidRPr="0021434F" w:rsidRDefault="00D96C7E" w:rsidP="0021434F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380FE1">
        <w:rPr>
          <w:rFonts w:ascii="Times New Roman" w:hAnsi="Times New Roman" w:cs="Times New Roman" w:hint="eastAsia"/>
          <w:b/>
          <w:bCs/>
          <w:sz w:val="24"/>
          <w:szCs w:val="28"/>
        </w:rPr>
        <w:t>Figure S</w:t>
      </w:r>
      <w:r w:rsidR="00DE68B1">
        <w:rPr>
          <w:rFonts w:ascii="Times New Roman" w:hAnsi="Times New Roman" w:cs="Times New Roman" w:hint="eastAsia"/>
          <w:b/>
          <w:bCs/>
          <w:sz w:val="24"/>
          <w:szCs w:val="28"/>
        </w:rPr>
        <w:t>2</w:t>
      </w:r>
      <w:r w:rsidRPr="00380FE1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. </w:t>
      </w:r>
      <w:r w:rsidR="0021434F" w:rsidRPr="0021434F">
        <w:rPr>
          <w:rFonts w:ascii="Times New Roman" w:hAnsi="Times New Roman" w:cs="Times New Roman" w:hint="eastAsia"/>
          <w:b/>
          <w:bCs/>
          <w:sz w:val="24"/>
          <w:szCs w:val="28"/>
        </w:rPr>
        <w:t>Cell</w:t>
      </w:r>
      <w:r w:rsidR="0021434F">
        <w:rPr>
          <w:rFonts w:ascii="Times New Roman" w:hAnsi="Times New Roman" w:cs="Times New Roman" w:hint="eastAsia"/>
          <w:b/>
          <w:bCs/>
          <w:sz w:val="24"/>
          <w:szCs w:val="28"/>
        </w:rPr>
        <w:t>-</w:t>
      </w:r>
      <w:r w:rsidR="0021434F" w:rsidRPr="0021434F">
        <w:rPr>
          <w:rFonts w:ascii="Times New Roman" w:hAnsi="Times New Roman" w:cs="Times New Roman" w:hint="eastAsia"/>
          <w:b/>
          <w:bCs/>
          <w:sz w:val="24"/>
          <w:szCs w:val="28"/>
        </w:rPr>
        <w:t>cell communication patterns of endothelial, stromal, osteolineage, neutrophil, and macrophage compartments in KYangD</w:t>
      </w:r>
      <w:r w:rsidR="0021434F" w:rsidRPr="00560594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osteopenia/osteoporosis</w:t>
      </w:r>
      <w:r w:rsidR="00560594" w:rsidRPr="00380FE1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. </w:t>
      </w:r>
      <w:bookmarkStart w:id="1" w:name="_Hlk202738290"/>
      <w:r w:rsidR="0021434F" w:rsidRPr="0021434F">
        <w:rPr>
          <w:rFonts w:ascii="Times New Roman" w:hAnsi="Times New Roman" w:cs="Times New Roman" w:hint="eastAsia"/>
          <w:sz w:val="24"/>
          <w:szCs w:val="28"/>
        </w:rPr>
        <w:t>(A</w:t>
      </w:r>
      <w:r w:rsidR="0021434F">
        <w:rPr>
          <w:rFonts w:ascii="Times New Roman" w:hAnsi="Times New Roman" w:cs="Times New Roman" w:hint="eastAsia"/>
          <w:sz w:val="24"/>
          <w:szCs w:val="28"/>
        </w:rPr>
        <w:t>-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E) Outgoing signaling networks of endothelial cells</w:t>
      </w:r>
      <w:r w:rsidR="0021434F">
        <w:rPr>
          <w:rFonts w:ascii="Times New Roman" w:hAnsi="Times New Roman" w:cs="Times New Roman" w:hint="eastAsia"/>
          <w:sz w:val="24"/>
          <w:szCs w:val="28"/>
        </w:rPr>
        <w:t xml:space="preserve"> (A)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, stromal cells</w:t>
      </w:r>
      <w:r w:rsidR="0021434F">
        <w:rPr>
          <w:rFonts w:ascii="Times New Roman" w:hAnsi="Times New Roman" w:cs="Times New Roman" w:hint="eastAsia"/>
          <w:sz w:val="24"/>
          <w:szCs w:val="28"/>
        </w:rPr>
        <w:t xml:space="preserve"> (B)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, osteolineage cells</w:t>
      </w:r>
      <w:r w:rsidR="0021434F">
        <w:rPr>
          <w:rFonts w:ascii="Times New Roman" w:hAnsi="Times New Roman" w:cs="Times New Roman" w:hint="eastAsia"/>
          <w:sz w:val="24"/>
          <w:szCs w:val="28"/>
        </w:rPr>
        <w:t xml:space="preserve"> (C)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, neutrophils</w:t>
      </w:r>
      <w:r w:rsidR="0021434F">
        <w:rPr>
          <w:rFonts w:ascii="Times New Roman" w:hAnsi="Times New Roman" w:cs="Times New Roman" w:hint="eastAsia"/>
          <w:sz w:val="24"/>
          <w:szCs w:val="28"/>
        </w:rPr>
        <w:t xml:space="preserve"> (D)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, and macrophages</w:t>
      </w:r>
      <w:r w:rsidR="0021434F">
        <w:rPr>
          <w:rFonts w:ascii="Times New Roman" w:hAnsi="Times New Roman" w:cs="Times New Roman" w:hint="eastAsia"/>
          <w:sz w:val="24"/>
          <w:szCs w:val="28"/>
        </w:rPr>
        <w:t xml:space="preserve"> (E)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 xml:space="preserve"> in control and KYinD. (F</w:t>
      </w:r>
      <w:r w:rsidR="0021434F">
        <w:rPr>
          <w:rFonts w:ascii="Times New Roman" w:hAnsi="Times New Roman" w:cs="Times New Roman" w:hint="eastAsia"/>
          <w:sz w:val="24"/>
          <w:szCs w:val="28"/>
        </w:rPr>
        <w:t>-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J) Outgoing signaling networks of the same compartments in KYangD. Node size represents relative signaling strength; edge thickness reflects interaction probability. (K</w:t>
      </w:r>
      <w:r w:rsidR="0021434F">
        <w:rPr>
          <w:rFonts w:ascii="Times New Roman" w:hAnsi="Times New Roman" w:cs="Times New Roman" w:hint="eastAsia"/>
          <w:sz w:val="24"/>
          <w:szCs w:val="28"/>
        </w:rPr>
        <w:t>-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L) Outgoing signaling pattern heatmaps in control</w:t>
      </w:r>
      <w:r w:rsidR="0021434F">
        <w:rPr>
          <w:rFonts w:ascii="Times New Roman" w:hAnsi="Times New Roman" w:cs="Times New Roman" w:hint="eastAsia"/>
          <w:sz w:val="24"/>
          <w:szCs w:val="28"/>
        </w:rPr>
        <w:t>+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KYinD (K) and KYangD (L), showing pathway-specific contributions across major cell types. (M</w:t>
      </w:r>
      <w:r w:rsidR="0021434F">
        <w:rPr>
          <w:rFonts w:ascii="Times New Roman" w:hAnsi="Times New Roman" w:cs="Times New Roman" w:hint="eastAsia"/>
          <w:sz w:val="24"/>
          <w:szCs w:val="28"/>
        </w:rPr>
        <w:t>-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N) Incoming signaling pattern heatmaps in control</w:t>
      </w:r>
      <w:r w:rsidR="0021434F">
        <w:rPr>
          <w:rFonts w:ascii="Times New Roman" w:hAnsi="Times New Roman" w:cs="Times New Roman" w:hint="eastAsia"/>
          <w:sz w:val="24"/>
          <w:szCs w:val="28"/>
        </w:rPr>
        <w:t>+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KYinD (M) and KYangD (N), summarizing how each cell type integrates signals from the tissue environment.</w:t>
      </w:r>
    </w:p>
    <w:p w14:paraId="08FE9665" w14:textId="6B85733F" w:rsidR="00371D32" w:rsidRPr="00380FE1" w:rsidRDefault="00B64CD1" w:rsidP="003201AC">
      <w:pPr>
        <w:spacing w:after="0" w:line="276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380FE1">
        <w:rPr>
          <w:rFonts w:ascii="Times New Roman" w:hAnsi="Times New Roman" w:cs="Times New Roman" w:hint="eastAsia"/>
          <w:b/>
          <w:bCs/>
          <w:sz w:val="24"/>
          <w:szCs w:val="28"/>
        </w:rPr>
        <w:t>Figure S</w:t>
      </w:r>
      <w:r w:rsidR="00DE68B1">
        <w:rPr>
          <w:rFonts w:ascii="Times New Roman" w:hAnsi="Times New Roman" w:cs="Times New Roman" w:hint="eastAsia"/>
          <w:b/>
          <w:bCs/>
          <w:sz w:val="24"/>
          <w:szCs w:val="28"/>
        </w:rPr>
        <w:t>3</w:t>
      </w:r>
      <w:r w:rsidRPr="00380FE1">
        <w:rPr>
          <w:rFonts w:ascii="Times New Roman" w:hAnsi="Times New Roman" w:cs="Times New Roman" w:hint="eastAsia"/>
          <w:b/>
          <w:bCs/>
          <w:sz w:val="24"/>
          <w:szCs w:val="28"/>
        </w:rPr>
        <w:t>.</w:t>
      </w:r>
      <w:r w:rsidR="00811841" w:rsidRPr="00380FE1">
        <w:rPr>
          <w:rFonts w:hint="eastAsia"/>
          <w:sz w:val="21"/>
          <w:szCs w:val="22"/>
        </w:rPr>
        <w:t xml:space="preserve"> </w:t>
      </w:r>
      <w:r w:rsidR="0021434F" w:rsidRPr="0021434F">
        <w:rPr>
          <w:rFonts w:ascii="Times New Roman" w:hAnsi="Times New Roman" w:cs="Times New Roman" w:hint="eastAsia"/>
          <w:b/>
          <w:bCs/>
          <w:sz w:val="24"/>
          <w:szCs w:val="28"/>
        </w:rPr>
        <w:t>Cell-cell communication patterns of endothelial, stromal, osteolineage, neutrophil, and macrophage compartments in KYinD osteopenia/osteoporosis.</w:t>
      </w:r>
      <w:r w:rsidR="00560594" w:rsidRPr="00380FE1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</w:t>
      </w:r>
      <w:bookmarkEnd w:id="1"/>
      <w:r w:rsidR="0021434F" w:rsidRPr="0021434F">
        <w:rPr>
          <w:rFonts w:ascii="Times New Roman" w:hAnsi="Times New Roman" w:cs="Times New Roman" w:hint="eastAsia"/>
          <w:sz w:val="24"/>
          <w:szCs w:val="28"/>
        </w:rPr>
        <w:t>(A</w:t>
      </w:r>
      <w:r w:rsidR="0021434F">
        <w:rPr>
          <w:rFonts w:ascii="Times New Roman" w:hAnsi="Times New Roman" w:cs="Times New Roman" w:hint="eastAsia"/>
          <w:sz w:val="24"/>
          <w:szCs w:val="28"/>
        </w:rPr>
        <w:t>-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E) Outgoing signaling networks of endothelial cells</w:t>
      </w:r>
      <w:r w:rsidR="0021434F">
        <w:rPr>
          <w:rFonts w:ascii="Times New Roman" w:hAnsi="Times New Roman" w:cs="Times New Roman" w:hint="eastAsia"/>
          <w:sz w:val="24"/>
          <w:szCs w:val="28"/>
        </w:rPr>
        <w:t xml:space="preserve"> (A)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, stromal cells</w:t>
      </w:r>
      <w:r w:rsidR="0021434F">
        <w:rPr>
          <w:rFonts w:ascii="Times New Roman" w:hAnsi="Times New Roman" w:cs="Times New Roman" w:hint="eastAsia"/>
          <w:sz w:val="24"/>
          <w:szCs w:val="28"/>
        </w:rPr>
        <w:t xml:space="preserve"> (B)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, osteolineage cells</w:t>
      </w:r>
      <w:r w:rsidR="0021434F">
        <w:rPr>
          <w:rFonts w:ascii="Times New Roman" w:hAnsi="Times New Roman" w:cs="Times New Roman" w:hint="eastAsia"/>
          <w:sz w:val="24"/>
          <w:szCs w:val="28"/>
        </w:rPr>
        <w:t xml:space="preserve"> (C)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, neutrophils</w:t>
      </w:r>
      <w:r w:rsidR="0021434F">
        <w:rPr>
          <w:rFonts w:ascii="Times New Roman" w:hAnsi="Times New Roman" w:cs="Times New Roman" w:hint="eastAsia"/>
          <w:sz w:val="24"/>
          <w:szCs w:val="28"/>
        </w:rPr>
        <w:t xml:space="preserve"> (D)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, and macrophages</w:t>
      </w:r>
      <w:r w:rsidR="0021434F">
        <w:rPr>
          <w:rFonts w:ascii="Times New Roman" w:hAnsi="Times New Roman" w:cs="Times New Roman" w:hint="eastAsia"/>
          <w:sz w:val="24"/>
          <w:szCs w:val="28"/>
        </w:rPr>
        <w:t xml:space="preserve"> (E)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 xml:space="preserve"> in control and KY</w:t>
      </w:r>
      <w:r w:rsidR="0021434F">
        <w:rPr>
          <w:rFonts w:ascii="Times New Roman" w:hAnsi="Times New Roman" w:cs="Times New Roman" w:hint="eastAsia"/>
          <w:sz w:val="24"/>
          <w:szCs w:val="28"/>
        </w:rPr>
        <w:t>ang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D. (F</w:t>
      </w:r>
      <w:r w:rsidR="0021434F">
        <w:rPr>
          <w:rFonts w:ascii="Times New Roman" w:hAnsi="Times New Roman" w:cs="Times New Roman" w:hint="eastAsia"/>
          <w:sz w:val="24"/>
          <w:szCs w:val="28"/>
        </w:rPr>
        <w:t>-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J) Outgoing signaling networks of the same compartments in KY</w:t>
      </w:r>
      <w:r w:rsidR="0021434F">
        <w:rPr>
          <w:rFonts w:ascii="Times New Roman" w:hAnsi="Times New Roman" w:cs="Times New Roman" w:hint="eastAsia"/>
          <w:sz w:val="24"/>
          <w:szCs w:val="28"/>
        </w:rPr>
        <w:t>in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D. Node size represents relative signaling strength; edge thickness reflects interaction probability. (K</w:t>
      </w:r>
      <w:r w:rsidR="0021434F">
        <w:rPr>
          <w:rFonts w:ascii="Times New Roman" w:hAnsi="Times New Roman" w:cs="Times New Roman" w:hint="eastAsia"/>
          <w:sz w:val="24"/>
          <w:szCs w:val="28"/>
        </w:rPr>
        <w:t>-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L) Outgoing signaling pattern heatmaps in control</w:t>
      </w:r>
      <w:r w:rsidR="0021434F">
        <w:rPr>
          <w:rFonts w:ascii="Times New Roman" w:hAnsi="Times New Roman" w:cs="Times New Roman" w:hint="eastAsia"/>
          <w:sz w:val="24"/>
          <w:szCs w:val="28"/>
        </w:rPr>
        <w:t>+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KY</w:t>
      </w:r>
      <w:r w:rsidR="0021434F">
        <w:rPr>
          <w:rFonts w:ascii="Times New Roman" w:hAnsi="Times New Roman" w:cs="Times New Roman" w:hint="eastAsia"/>
          <w:sz w:val="24"/>
          <w:szCs w:val="28"/>
        </w:rPr>
        <w:t>ang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D (K) and KY</w:t>
      </w:r>
      <w:r w:rsidR="0021434F">
        <w:rPr>
          <w:rFonts w:ascii="Times New Roman" w:hAnsi="Times New Roman" w:cs="Times New Roman" w:hint="eastAsia"/>
          <w:sz w:val="24"/>
          <w:szCs w:val="28"/>
        </w:rPr>
        <w:t>in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D (L), showing pathway-specific contributions across major cell types. (M</w:t>
      </w:r>
      <w:r w:rsidR="0021434F">
        <w:rPr>
          <w:rFonts w:ascii="Times New Roman" w:hAnsi="Times New Roman" w:cs="Times New Roman" w:hint="eastAsia"/>
          <w:sz w:val="24"/>
          <w:szCs w:val="28"/>
        </w:rPr>
        <w:t>-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N) Incoming signaling pattern heatmaps in control</w:t>
      </w:r>
      <w:r w:rsidR="0021434F">
        <w:rPr>
          <w:rFonts w:ascii="Times New Roman" w:hAnsi="Times New Roman" w:cs="Times New Roman" w:hint="eastAsia"/>
          <w:sz w:val="24"/>
          <w:szCs w:val="28"/>
        </w:rPr>
        <w:t>+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KY</w:t>
      </w:r>
      <w:r w:rsidR="0021434F">
        <w:rPr>
          <w:rFonts w:ascii="Times New Roman" w:hAnsi="Times New Roman" w:cs="Times New Roman" w:hint="eastAsia"/>
          <w:sz w:val="24"/>
          <w:szCs w:val="28"/>
        </w:rPr>
        <w:t>ang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D (M) and KY</w:t>
      </w:r>
      <w:r w:rsidR="0021434F">
        <w:rPr>
          <w:rFonts w:ascii="Times New Roman" w:hAnsi="Times New Roman" w:cs="Times New Roman" w:hint="eastAsia"/>
          <w:sz w:val="24"/>
          <w:szCs w:val="28"/>
        </w:rPr>
        <w:t>in</w:t>
      </w:r>
      <w:r w:rsidR="0021434F" w:rsidRPr="0021434F">
        <w:rPr>
          <w:rFonts w:ascii="Times New Roman" w:hAnsi="Times New Roman" w:cs="Times New Roman" w:hint="eastAsia"/>
          <w:sz w:val="24"/>
          <w:szCs w:val="28"/>
        </w:rPr>
        <w:t>D (N), summarizing how each cell type integrates signals from the tissue environment.</w:t>
      </w:r>
    </w:p>
    <w:sectPr w:rsidR="00371D32" w:rsidRPr="00380FE1" w:rsidSect="006D54C1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1EED9" w14:textId="77777777" w:rsidR="00647D20" w:rsidRDefault="00647D20" w:rsidP="00781CD2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F868AA5" w14:textId="77777777" w:rsidR="00647D20" w:rsidRDefault="00647D20" w:rsidP="00781CD2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C41AE" w14:textId="77777777" w:rsidR="00647D20" w:rsidRDefault="00647D20" w:rsidP="00781CD2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168A817" w14:textId="77777777" w:rsidR="00647D20" w:rsidRDefault="00647D20" w:rsidP="00781CD2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4C1"/>
    <w:rsid w:val="00184B62"/>
    <w:rsid w:val="0021434F"/>
    <w:rsid w:val="003201AC"/>
    <w:rsid w:val="0032415E"/>
    <w:rsid w:val="00371D32"/>
    <w:rsid w:val="00380FE1"/>
    <w:rsid w:val="004A16BB"/>
    <w:rsid w:val="0051444E"/>
    <w:rsid w:val="00560594"/>
    <w:rsid w:val="00647D20"/>
    <w:rsid w:val="0065510C"/>
    <w:rsid w:val="006D54C1"/>
    <w:rsid w:val="00737914"/>
    <w:rsid w:val="00740474"/>
    <w:rsid w:val="00781CD2"/>
    <w:rsid w:val="00806BA3"/>
    <w:rsid w:val="00811841"/>
    <w:rsid w:val="00A116D8"/>
    <w:rsid w:val="00A210E5"/>
    <w:rsid w:val="00A71637"/>
    <w:rsid w:val="00AB5BB9"/>
    <w:rsid w:val="00B64CD1"/>
    <w:rsid w:val="00C179FF"/>
    <w:rsid w:val="00C648D8"/>
    <w:rsid w:val="00C84980"/>
    <w:rsid w:val="00D96C7E"/>
    <w:rsid w:val="00DE68B1"/>
    <w:rsid w:val="00ED4ECD"/>
    <w:rsid w:val="00F5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86A6E9"/>
  <w15:chartTrackingRefBased/>
  <w15:docId w15:val="{3D542C3A-41C2-44A3-861E-30BBB85CB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D54C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5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54C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54C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54C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54C1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54C1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54C1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54C1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D54C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D54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D54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D54C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D54C1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6D54C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D54C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D54C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D54C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D54C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D5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D54C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D54C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D5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D54C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D54C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D54C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D54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D54C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D54C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81CD2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781CD2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781CD2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781CD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413</Words>
  <Characters>2770</Characters>
  <Application>Microsoft Office Word</Application>
  <DocSecurity>0</DocSecurity>
  <Lines>42</Lines>
  <Paragraphs>9</Paragraphs>
  <ScaleCrop>false</ScaleCrop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Cui Jiarui</dc:creator>
  <cp:keywords/>
  <dc:description/>
  <cp:lastModifiedBy>Cui Jiarui</cp:lastModifiedBy>
  <cp:revision>9</cp:revision>
  <dcterms:created xsi:type="dcterms:W3CDTF">2025-07-06T14:27:00Z</dcterms:created>
  <dcterms:modified xsi:type="dcterms:W3CDTF">2025-12-24T14:32:00Z</dcterms:modified>
</cp:coreProperties>
</file>