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ScalaLancetPro" w:cs="Times New Roman Regular"/>
          <w:color w:val="000000"/>
          <w:kern w:val="0"/>
          <w:sz w:val="24"/>
          <w:szCs w:val="24"/>
          <w:lang w:val="en-US" w:eastAsia="zh-CN" w:bidi="ar"/>
        </w:rPr>
      </w:pPr>
      <w:r>
        <w:rPr>
          <w:rFonts w:ascii="Times New Roman" w:hAnsi="Times New Roman" w:eastAsia="ScalaLancetPro" w:cs="Times New Roman Regular"/>
          <w:color w:val="000000"/>
          <w:kern w:val="0"/>
          <w:sz w:val="24"/>
          <w:szCs w:val="24"/>
          <w:lang w:eastAsia="zh-CN" w:bidi="ar"/>
        </w:rPr>
        <w:t>Supplement</w:t>
      </w:r>
      <w:r>
        <w:rPr>
          <w:rFonts w:hint="eastAsia" w:ascii="Times New Roman" w:hAnsi="Times New Roman" w:cs="Times New Roman Regular" w:eastAsiaTheme="minorEastAsia"/>
          <w:color w:val="000000"/>
          <w:kern w:val="0"/>
          <w:sz w:val="24"/>
          <w:szCs w:val="24"/>
          <w:lang w:eastAsia="zh-CN" w:bidi="ar"/>
        </w:rPr>
        <w:t xml:space="preserve"> </w:t>
      </w:r>
      <w:r>
        <w:rPr>
          <w:rFonts w:hint="default" w:ascii="Times New Roman" w:hAnsi="Times New Roman" w:cs="Times New Roman Regular"/>
          <w:color w:val="000000"/>
          <w:kern w:val="0"/>
          <w:sz w:val="24"/>
          <w:szCs w:val="24"/>
          <w:lang w:val="en-US" w:eastAsia="zh-CN" w:bidi="ar"/>
        </w:rPr>
        <w:t>1</w:t>
      </w:r>
      <w:bookmarkStart w:id="0" w:name="_GoBack"/>
      <w:bookmarkEnd w:id="0"/>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I</w:t>
      </w:r>
      <w:r>
        <w:rPr>
          <w:rFonts w:ascii="Times New Roman" w:hAnsi="Times New Roman" w:eastAsia="ScalaLancetPro" w:cs="Times New Roman Regular"/>
          <w:color w:val="000000"/>
          <w:kern w:val="0"/>
          <w:sz w:val="24"/>
          <w:szCs w:val="18"/>
          <w:lang w:bidi="ar"/>
        </w:rPr>
        <w:t xml:space="preserve">nclusion </w:t>
      </w:r>
      <w:r>
        <w:rPr>
          <w:rFonts w:hint="eastAsia" w:ascii="Times New Roman" w:hAnsi="Times New Roman" w:eastAsia="ScalaLancetPro" w:cs="Times New Roman Regular"/>
          <w:color w:val="000000"/>
          <w:kern w:val="0"/>
          <w:sz w:val="24"/>
          <w:szCs w:val="18"/>
          <w:lang w:bidi="ar"/>
        </w:rPr>
        <w:t>Criteria</w:t>
      </w:r>
      <w:r>
        <w:rPr>
          <w:rFonts w:hint="default" w:ascii="Times New Roman" w:hAnsi="Times New Roman" w:eastAsia="ScalaLancetPro" w:cs="Times New Roman Regular"/>
          <w:color w:val="000000"/>
          <w:kern w:val="0"/>
          <w:sz w:val="24"/>
          <w:szCs w:val="18"/>
          <w:lang w:val="en-US" w:bidi="ar"/>
        </w:rPr>
        <w:t>:</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Participants must meet all of the following criteria in order to be selected:</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(1) Epithelial ovarian cancer, fallopian tube cancer, or primary peritoneal cancer confirmed by histopathology;</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(2) Recurrent platinum resistant ovarian cancer (platinum free interval less than 6 months);</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(3) Have not used the albumin containing paclitaxel regimen in the past or have used the albumin containing paclitaxel regimen for more than 4 weeks</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(4) At least 4 weeks after the last chemotherapy, the patient must recover to level 1 or below in toxicity, except for hair loss or vitiligo.</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 xml:space="preserve">(5) Objectively measurable lesions defined by RECIST 1.1or </w:t>
      </w:r>
      <w:r>
        <w:rPr>
          <w:rFonts w:ascii="Times New Roman" w:hAnsi="Times New Roman" w:eastAsia="ScalaLancetPro" w:cs="Times New Roman Regular"/>
          <w:color w:val="000000"/>
          <w:kern w:val="0"/>
          <w:sz w:val="24"/>
          <w:szCs w:val="18"/>
          <w:lang w:bidi="ar"/>
        </w:rPr>
        <w:t>elevated CA125 with significant symptoms (per Rustin criteria)</w:t>
      </w:r>
      <w:r>
        <w:rPr>
          <w:rFonts w:hint="default" w:ascii="Times New Roman" w:hAnsi="Times New Roman" w:eastAsia="ScalaLancetPro" w:cs="Times New Roman Regular"/>
          <w:color w:val="000000"/>
          <w:kern w:val="0"/>
          <w:sz w:val="24"/>
          <w:szCs w:val="18"/>
          <w:lang w:val="en-US" w:bidi="ar"/>
        </w:rPr>
        <w:t>;</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(6) Age above 18 and below 75 years old (including 18 and 75 years old);</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(7) Physical condition: ECOG score 0-1 points;</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(8) The expected survival time is ≥ 3 months and can be followed up;</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(9) Organ function is good. The results of blood routine, liver, and kidney function laboratory tests meet the following standards: white blood cells (WBC) ≥ 3.5 × 109/L, platelets (PLT) ≥ 80 × 109/L, neutrophils (ANC) ≥ 1.5 × 109/L, hemoglobin (HGB) ≥ 80g/L, aspartate aminotransferase (AST) ≤ 2.5 × upper normal limit (ULN) (liver metastasis ≤ 5 × ULN), alanine aminotransferase (ALT) ≤ 2.5 × ULN (liver metastasis ≤ 5 × ULN), total bilirubin (TIBC) ≤ 1.5 x ULN or direct bilirubin ≤ 1.0 x ULN, serum creatinine (Cr) ≤ 1.5 x ULN, or creatinine clearance rate ≥ 60 ml/min (calculated according to Cockcroft Gault formula).</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(10) The subjects have signed an informed consent form, indicating that they understand the purpose, steps, and content of the study and voluntarily participate in the study. And willing to comply with the constraints specified in this research protocol.</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E</w:t>
      </w:r>
      <w:r>
        <w:rPr>
          <w:rFonts w:ascii="Times New Roman" w:hAnsi="Times New Roman" w:eastAsia="ScalaLancetPro" w:cs="Times New Roman Regular"/>
          <w:color w:val="000000"/>
          <w:kern w:val="0"/>
          <w:sz w:val="24"/>
          <w:szCs w:val="18"/>
          <w:lang w:bidi="ar"/>
        </w:rPr>
        <w:t xml:space="preserve">xclusion </w:t>
      </w:r>
      <w:r>
        <w:rPr>
          <w:rFonts w:hint="eastAsia" w:ascii="Times New Roman" w:hAnsi="Times New Roman" w:eastAsia="ScalaLancetPro" w:cs="Times New Roman Regular"/>
          <w:color w:val="000000"/>
          <w:kern w:val="0"/>
          <w:sz w:val="24"/>
          <w:szCs w:val="18"/>
          <w:lang w:bidi="ar"/>
        </w:rPr>
        <w:t>Criteria</w:t>
      </w:r>
      <w:r>
        <w:rPr>
          <w:rFonts w:hint="default" w:ascii="Times New Roman" w:hAnsi="Times New Roman" w:eastAsia="ScalaLancetPro" w:cs="Times New Roman Regular"/>
          <w:color w:val="000000"/>
          <w:kern w:val="0"/>
          <w:sz w:val="24"/>
          <w:szCs w:val="18"/>
          <w:lang w:val="en-US" w:bidi="ar"/>
        </w:rPr>
        <w:t>:</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(1) Patients with obvious symptoms of brain metastases;</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(2) Individuals who are known to have allergies to any medication in the study;</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(3) Active ulcers, intestinal perforation, intestinal obstruction, and unhealed fractures;</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(4) Within the 6 months prior to enrollment, there were cases of unstable angina, myocardial infarction, and III-IV grade heart failure (NYHA standard);</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(5) Individuals with a history of gastrointestinal perforation or undergoing major surgery within 28 days prior to enrollment;</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(6) Hypertension beyond drug control;</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(7) There are uncontrollable active infections;</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(8) Has obvious peripheral neuropathy in the past;</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(9) If you have mental illness or other conditions, such as uncontrollable heart disease or lung disease, diabetes, you cannot cooperate with the research, treatment and monitoring requirements.</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(10) Accompanied by a history of other primary malignant tumors (excluding non malignant melanoma of the skin)</w:t>
      </w:r>
    </w:p>
    <w:p>
      <w:pPr>
        <w:rPr>
          <w:rFonts w:hint="default" w:ascii="Times New Roman" w:hAnsi="Times New Roman" w:eastAsia="ScalaLancetPro" w:cs="Times New Roman Regular"/>
          <w:color w:val="000000"/>
          <w:kern w:val="0"/>
          <w:sz w:val="24"/>
          <w:szCs w:val="18"/>
          <w:lang w:val="en-US" w:bidi="ar"/>
        </w:rPr>
      </w:pPr>
      <w:r>
        <w:rPr>
          <w:rFonts w:hint="default" w:ascii="Times New Roman" w:hAnsi="Times New Roman" w:eastAsia="ScalaLancetPro" w:cs="Times New Roman Regular"/>
          <w:color w:val="000000"/>
          <w:kern w:val="0"/>
          <w:sz w:val="24"/>
          <w:szCs w:val="18"/>
          <w:lang w:val="en-US" w:bidi="ar"/>
        </w:rPr>
        <w:t>(11) Individuals with significant active bleeding.</w:t>
      </w:r>
    </w:p>
    <w:p>
      <w:pPr>
        <w:rPr>
          <w:rFonts w:hint="default" w:ascii="Times New Roman" w:hAnsi="Times New Roman" w:eastAsia="ScalaLancetPro" w:cs="Times New Roman Regular"/>
          <w:color w:val="000000"/>
          <w:kern w:val="0"/>
          <w:sz w:val="24"/>
          <w:szCs w:val="18"/>
          <w:lang w:val="en-US"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calaLancetPro">
    <w:altName w:val="苹方-简"/>
    <w:panose1 w:val="00000000000000000000"/>
    <w:charset w:val="00"/>
    <w:family w:val="auto"/>
    <w:pitch w:val="default"/>
    <w:sig w:usb0="00000000" w:usb1="00000000" w:usb2="00000000" w:usb3="00000000" w:csb0="00000000" w:csb1="00000000"/>
  </w:font>
  <w:font w:name="Times New Roman Regular">
    <w:panose1 w:val="02020603050405020304"/>
    <w:charset w:val="00"/>
    <w:family w:val="auto"/>
    <w:pitch w:val="default"/>
    <w:sig w:usb0="E0002AEF" w:usb1="C0007841" w:usb2="00000009" w:usb3="00000000" w:csb0="400001FF" w:csb1="FFFF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BFE5DE"/>
    <w:rsid w:val="64BFE5DE"/>
    <w:rsid w:val="6EBEFAB0"/>
    <w:rsid w:val="7FFDFBAA"/>
    <w:rsid w:val="EEEDB1AC"/>
    <w:rsid w:val="FF5F50A6"/>
    <w:rsid w:val="FF7F12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annotation text"/>
    <w:basedOn w:val="1"/>
    <w:uiPriority w:val="0"/>
    <w:pPr>
      <w:jc w:val="left"/>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Office_6.4.0.8550_F1E327BC-269C-435d-A152-05C5408002CA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2024-02-26T18:40:00Z</dcterms:created>
  <dc:creator>向日葵yun</dc:creator>
  <cp:lastModifiedBy>向日葵yun</cp:lastModifiedBy>
  <dcterms:modified xsi:type="dcterms:W3CDTF">2024-10-18T21:12:32Z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2052-6.4.0.8550</vt:lpwstr>
  </property>
  <property fmtid="{D5CDD505-2E9C-101B-9397-08002B2CF9AE}" pid="3" name="ICV">
    <vt:lpwstr>1B2FA07881CA0AA74F23DC65745A0E05_43</vt:lpwstr>
  </property>
</Properties>
</file>