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F2EB8" w14:textId="5ACD242C" w:rsidR="00886D99" w:rsidRPr="00E07BF5" w:rsidRDefault="00886D99">
      <w:pPr>
        <w:widowControl/>
        <w:jc w:val="left"/>
        <w:rPr>
          <w:rFonts w:ascii="Times New Roman" w:hAnsi="Times New Roman" w:cs="Times New Roman"/>
        </w:rPr>
      </w:pPr>
    </w:p>
    <w:p w14:paraId="48ED940C" w14:textId="1DE256FD" w:rsidR="007252BC" w:rsidRPr="00E07BF5" w:rsidRDefault="004149BF">
      <w:pPr>
        <w:rPr>
          <w:rFonts w:ascii="Times New Roman" w:hAnsi="Times New Roman" w:cs="Times New Roman"/>
        </w:rPr>
      </w:pPr>
      <w:r w:rsidRPr="00E07BF5">
        <w:rPr>
          <w:noProof/>
        </w:rPr>
        <w:drawing>
          <wp:inline distT="0" distB="0" distL="0" distR="0" wp14:anchorId="63F66AF9" wp14:editId="67A8F71E">
            <wp:extent cx="6645910" cy="5313045"/>
            <wp:effectExtent l="0" t="0" r="254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45910" cy="5313045"/>
                    </a:xfrm>
                    <a:prstGeom prst="rect">
                      <a:avLst/>
                    </a:prstGeom>
                    <a:noFill/>
                    <a:ln>
                      <a:noFill/>
                    </a:ln>
                  </pic:spPr>
                </pic:pic>
              </a:graphicData>
            </a:graphic>
          </wp:inline>
        </w:drawing>
      </w:r>
    </w:p>
    <w:p w14:paraId="2E107240" w14:textId="056220F8" w:rsidR="00886D99" w:rsidRPr="00E07BF5" w:rsidRDefault="00AA0C02" w:rsidP="00886D99">
      <w:pPr>
        <w:rPr>
          <w:rFonts w:ascii="Times New Roman" w:hAnsi="Times New Roman" w:cs="Times New Roman"/>
        </w:rPr>
      </w:pPr>
      <w:r w:rsidRPr="00E07BF5">
        <w:rPr>
          <w:rFonts w:ascii="Times New Roman" w:hAnsi="Times New Roman" w:cs="Times New Roman"/>
          <w:b/>
          <w:bCs/>
        </w:rPr>
        <w:t>F</w:t>
      </w:r>
      <w:r w:rsidR="00886D99" w:rsidRPr="00E07BF5">
        <w:rPr>
          <w:rFonts w:ascii="Times New Roman" w:hAnsi="Times New Roman" w:cs="Times New Roman"/>
          <w:b/>
          <w:bCs/>
        </w:rPr>
        <w:t>igure</w:t>
      </w:r>
      <w:r w:rsidRPr="00E07BF5">
        <w:rPr>
          <w:rFonts w:ascii="Times New Roman" w:hAnsi="Times New Roman" w:cs="Times New Roman"/>
          <w:b/>
          <w:bCs/>
        </w:rPr>
        <w:t xml:space="preserve"> S1. Overview of Transcriptomic Analysis of </w:t>
      </w:r>
      <w:r w:rsidRPr="00E07BF5">
        <w:rPr>
          <w:rFonts w:ascii="Times New Roman" w:hAnsi="Times New Roman" w:cs="Times New Roman"/>
          <w:b/>
          <w:bCs/>
          <w:i/>
          <w:iCs/>
        </w:rPr>
        <w:t>AP</w:t>
      </w:r>
      <w:r w:rsidRPr="00E07BF5">
        <w:rPr>
          <w:rFonts w:ascii="Times New Roman" w:hAnsi="Times New Roman" w:cs="Times New Roman"/>
          <w:b/>
          <w:bCs/>
        </w:rPr>
        <w:t xml:space="preserve">-treated DHEA rats. </w:t>
      </w:r>
      <w:r w:rsidRPr="00E07BF5">
        <w:rPr>
          <w:rFonts w:ascii="Times New Roman" w:hAnsi="Times New Roman" w:cs="Times New Roman"/>
        </w:rPr>
        <w:t>(</w:t>
      </w:r>
      <w:r w:rsidR="004149BF" w:rsidRPr="00E07BF5">
        <w:rPr>
          <w:rFonts w:ascii="Times New Roman" w:hAnsi="Times New Roman" w:cs="Times New Roman"/>
        </w:rPr>
        <w:t>A</w:t>
      </w:r>
      <w:r w:rsidRPr="00E07BF5">
        <w:rPr>
          <w:rFonts w:ascii="Times New Roman" w:hAnsi="Times New Roman" w:cs="Times New Roman"/>
        </w:rPr>
        <w:t>) PCA plot showing the clustering of samples based on gene expression profiles, indicating the separation between Control, DHEA and D</w:t>
      </w:r>
      <w:r w:rsidR="004149BF" w:rsidRPr="00E07BF5">
        <w:rPr>
          <w:rFonts w:ascii="Times New Roman" w:hAnsi="Times New Roman" w:cs="Times New Roman"/>
        </w:rPr>
        <w:t>HEA+</w:t>
      </w:r>
      <w:r w:rsidRPr="00E07BF5">
        <w:rPr>
          <w:rFonts w:ascii="Times New Roman" w:hAnsi="Times New Roman" w:cs="Times New Roman"/>
          <w:i/>
          <w:iCs/>
        </w:rPr>
        <w:t xml:space="preserve">AP </w:t>
      </w:r>
      <w:r w:rsidRPr="00E07BF5">
        <w:rPr>
          <w:rFonts w:ascii="Times New Roman" w:hAnsi="Times New Roman" w:cs="Times New Roman"/>
        </w:rPr>
        <w:t>group. (</w:t>
      </w:r>
      <w:r w:rsidR="004149BF" w:rsidRPr="00E07BF5">
        <w:rPr>
          <w:rFonts w:ascii="Times New Roman" w:hAnsi="Times New Roman" w:cs="Times New Roman"/>
        </w:rPr>
        <w:t>B</w:t>
      </w:r>
      <w:r w:rsidRPr="00E07BF5">
        <w:rPr>
          <w:rFonts w:ascii="Times New Roman" w:hAnsi="Times New Roman" w:cs="Times New Roman"/>
        </w:rPr>
        <w:t>) Volcano plot highlighting significant DEGs between Control with DHEA, (</w:t>
      </w:r>
      <w:r w:rsidR="004149BF" w:rsidRPr="00E07BF5">
        <w:rPr>
          <w:rFonts w:ascii="Times New Roman" w:hAnsi="Times New Roman" w:cs="Times New Roman"/>
        </w:rPr>
        <w:t>C</w:t>
      </w:r>
      <w:r w:rsidRPr="00E07BF5">
        <w:rPr>
          <w:rFonts w:ascii="Times New Roman" w:hAnsi="Times New Roman" w:cs="Times New Roman"/>
        </w:rPr>
        <w:t xml:space="preserve">) and between </w:t>
      </w:r>
      <w:r w:rsidR="004149BF" w:rsidRPr="00E07BF5">
        <w:rPr>
          <w:rFonts w:ascii="Times New Roman" w:hAnsi="Times New Roman" w:cs="Times New Roman"/>
        </w:rPr>
        <w:t>DHEA+</w:t>
      </w:r>
      <w:r w:rsidR="004149BF" w:rsidRPr="00E07BF5">
        <w:rPr>
          <w:rFonts w:ascii="Times New Roman" w:hAnsi="Times New Roman" w:cs="Times New Roman"/>
          <w:i/>
          <w:iCs/>
        </w:rPr>
        <w:t>AP</w:t>
      </w:r>
      <w:r w:rsidRPr="00E07BF5">
        <w:rPr>
          <w:rFonts w:ascii="Times New Roman" w:hAnsi="Times New Roman" w:cs="Times New Roman"/>
        </w:rPr>
        <w:t xml:space="preserve"> with DHEA (fold change&gt;1.5, p-value&lt;0.05), with upregulated genes shown in red and downregulated genes in blue. (</w:t>
      </w:r>
      <w:r w:rsidR="004149BF" w:rsidRPr="00E07BF5">
        <w:rPr>
          <w:rFonts w:ascii="Times New Roman" w:hAnsi="Times New Roman" w:cs="Times New Roman"/>
        </w:rPr>
        <w:t>D</w:t>
      </w:r>
      <w:r w:rsidRPr="00E07BF5">
        <w:rPr>
          <w:rFonts w:ascii="Times New Roman" w:hAnsi="Times New Roman" w:cs="Times New Roman"/>
        </w:rPr>
        <w:t>-</w:t>
      </w:r>
      <w:r w:rsidR="004149BF" w:rsidRPr="00E07BF5">
        <w:rPr>
          <w:rFonts w:ascii="Times New Roman" w:hAnsi="Times New Roman" w:cs="Times New Roman"/>
        </w:rPr>
        <w:t>E</w:t>
      </w:r>
      <w:r w:rsidRPr="00E07BF5">
        <w:rPr>
          <w:rFonts w:ascii="Times New Roman" w:hAnsi="Times New Roman" w:cs="Times New Roman"/>
        </w:rPr>
        <w:t xml:space="preserve">) KEGG pathway analysis, displaying the most enriched pathways among the DEGs, with the size of the dots representing the number of DEGs involved in each pathway and the color scale indicating the significance level. </w:t>
      </w:r>
      <w:bookmarkStart w:id="0" w:name="_GoBack"/>
      <w:bookmarkEnd w:id="0"/>
      <w:r w:rsidR="00886D99" w:rsidRPr="00E07BF5">
        <w:rPr>
          <w:rFonts w:ascii="Times New Roman" w:hAnsi="Times New Roman" w:cs="Times New Roman"/>
        </w:rPr>
        <w:br w:type="page"/>
      </w:r>
    </w:p>
    <w:p w14:paraId="459D339D" w14:textId="20084F42" w:rsidR="00886D99" w:rsidRPr="00E07BF5" w:rsidRDefault="004149BF" w:rsidP="00886D99">
      <w:pPr>
        <w:rPr>
          <w:rFonts w:ascii="Times New Roman" w:hAnsi="Times New Roman" w:cs="Times New Roman"/>
        </w:rPr>
      </w:pPr>
      <w:r w:rsidRPr="00E07BF5">
        <w:rPr>
          <w:noProof/>
        </w:rPr>
        <w:lastRenderedPageBreak/>
        <w:drawing>
          <wp:inline distT="0" distB="0" distL="0" distR="0" wp14:anchorId="09C2D62A" wp14:editId="60DD2CB0">
            <wp:extent cx="6645910" cy="4110990"/>
            <wp:effectExtent l="0" t="0" r="254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5910" cy="4110990"/>
                    </a:xfrm>
                    <a:prstGeom prst="rect">
                      <a:avLst/>
                    </a:prstGeom>
                    <a:noFill/>
                    <a:ln>
                      <a:noFill/>
                    </a:ln>
                  </pic:spPr>
                </pic:pic>
              </a:graphicData>
            </a:graphic>
          </wp:inline>
        </w:drawing>
      </w:r>
      <w:r w:rsidRPr="00E07BF5">
        <w:rPr>
          <w:rFonts w:ascii="Times New Roman" w:hAnsi="Times New Roman" w:cs="Times New Roman"/>
          <w:b/>
          <w:bCs/>
        </w:rPr>
        <w:t xml:space="preserve"> </w:t>
      </w:r>
      <w:r w:rsidR="00886D99" w:rsidRPr="00E07BF5">
        <w:rPr>
          <w:rFonts w:ascii="Times New Roman" w:hAnsi="Times New Roman" w:cs="Times New Roman"/>
          <w:b/>
          <w:bCs/>
        </w:rPr>
        <w:t>Figure S2. GO enrichment analysis of DEGs</w:t>
      </w:r>
      <w:r w:rsidR="00886D99" w:rsidRPr="00E07BF5">
        <w:rPr>
          <w:rFonts w:ascii="Times New Roman" w:hAnsi="Times New Roman" w:cs="Times New Roman"/>
        </w:rPr>
        <w:t xml:space="preserve">. </w:t>
      </w:r>
      <w:r w:rsidR="00FD6DE8" w:rsidRPr="00E07BF5">
        <w:rPr>
          <w:rFonts w:ascii="Times New Roman" w:hAnsi="Times New Roman" w:cs="Times New Roman"/>
        </w:rPr>
        <w:t>(</w:t>
      </w:r>
      <w:r w:rsidRPr="00E07BF5">
        <w:rPr>
          <w:rFonts w:ascii="Times New Roman" w:hAnsi="Times New Roman" w:cs="Times New Roman"/>
        </w:rPr>
        <w:t>A</w:t>
      </w:r>
      <w:r w:rsidR="00FD6DE8" w:rsidRPr="00E07BF5">
        <w:rPr>
          <w:rFonts w:ascii="Times New Roman" w:hAnsi="Times New Roman" w:cs="Times New Roman"/>
        </w:rPr>
        <w:t>) Visualization of the top Gene Ontology (GO) terms comparing the Control group with the DHEA group. (</w:t>
      </w:r>
      <w:r w:rsidRPr="00E07BF5">
        <w:rPr>
          <w:rFonts w:ascii="Times New Roman" w:hAnsi="Times New Roman" w:cs="Times New Roman"/>
        </w:rPr>
        <w:t>B</w:t>
      </w:r>
      <w:r w:rsidR="00FD6DE8" w:rsidRPr="00E07BF5">
        <w:rPr>
          <w:rFonts w:ascii="Times New Roman" w:hAnsi="Times New Roman" w:cs="Times New Roman"/>
        </w:rPr>
        <w:t xml:space="preserve">) Visualization of the top GO terms comparing the </w:t>
      </w:r>
      <w:r w:rsidRPr="00E07BF5">
        <w:rPr>
          <w:rFonts w:ascii="Times New Roman" w:hAnsi="Times New Roman" w:cs="Times New Roman"/>
        </w:rPr>
        <w:t>DHEA+</w:t>
      </w:r>
      <w:r w:rsidRPr="00E07BF5">
        <w:rPr>
          <w:rFonts w:ascii="Times New Roman" w:hAnsi="Times New Roman" w:cs="Times New Roman"/>
          <w:i/>
          <w:iCs/>
        </w:rPr>
        <w:t>AP</w:t>
      </w:r>
      <w:r w:rsidR="00FD6DE8" w:rsidRPr="00E07BF5">
        <w:rPr>
          <w:rFonts w:ascii="Times New Roman" w:hAnsi="Times New Roman" w:cs="Times New Roman"/>
        </w:rPr>
        <w:t xml:space="preserve"> group with the DHEA group. The analysis highlights the most significantly enriched biological processes, molecular functions, and cellular components. The x-axis represents the -log10(p-value), and the y-axis lists the top GO terms</w:t>
      </w:r>
      <w:r w:rsidR="00FD6DE8" w:rsidRPr="00E07BF5">
        <w:rPr>
          <w:rFonts w:ascii="Times New Roman" w:hAnsi="Times New Roman" w:cs="Times New Roman" w:hint="eastAsia"/>
        </w:rPr>
        <w:t>.</w:t>
      </w:r>
    </w:p>
    <w:p w14:paraId="32A016C6" w14:textId="77777777" w:rsidR="00886D99" w:rsidRPr="00E07BF5" w:rsidRDefault="00886D99">
      <w:pPr>
        <w:widowControl/>
        <w:jc w:val="left"/>
        <w:rPr>
          <w:rFonts w:ascii="Times New Roman" w:hAnsi="Times New Roman" w:cs="Times New Roman"/>
        </w:rPr>
      </w:pPr>
      <w:r w:rsidRPr="00E07BF5">
        <w:rPr>
          <w:rFonts w:ascii="Times New Roman" w:hAnsi="Times New Roman" w:cs="Times New Roman"/>
        </w:rPr>
        <w:br w:type="page"/>
      </w:r>
    </w:p>
    <w:p w14:paraId="79A8B9AF" w14:textId="4E64CB59" w:rsidR="00AA0C02" w:rsidRPr="00E07BF5" w:rsidRDefault="004149BF">
      <w:pPr>
        <w:rPr>
          <w:rFonts w:ascii="Times New Roman" w:hAnsi="Times New Roman" w:cs="Times New Roman"/>
        </w:rPr>
      </w:pPr>
      <w:r w:rsidRPr="00E07BF5">
        <w:rPr>
          <w:noProof/>
        </w:rPr>
        <w:lastRenderedPageBreak/>
        <w:drawing>
          <wp:inline distT="0" distB="0" distL="0" distR="0" wp14:anchorId="068869D3" wp14:editId="3BFDAAE3">
            <wp:extent cx="6645910" cy="640969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6409690"/>
                    </a:xfrm>
                    <a:prstGeom prst="rect">
                      <a:avLst/>
                    </a:prstGeom>
                    <a:noFill/>
                    <a:ln>
                      <a:noFill/>
                    </a:ln>
                  </pic:spPr>
                </pic:pic>
              </a:graphicData>
            </a:graphic>
          </wp:inline>
        </w:drawing>
      </w:r>
    </w:p>
    <w:p w14:paraId="0B1DFC45" w14:textId="1FE8576D" w:rsidR="00886D99" w:rsidRPr="00E07BF5" w:rsidRDefault="00886D99" w:rsidP="00AA0C02">
      <w:pPr>
        <w:rPr>
          <w:rFonts w:ascii="Times New Roman" w:hAnsi="Times New Roman" w:cs="Times New Roman"/>
        </w:rPr>
      </w:pPr>
      <w:r w:rsidRPr="00E07BF5">
        <w:rPr>
          <w:rFonts w:ascii="Times New Roman" w:hAnsi="Times New Roman" w:cs="Times New Roman"/>
          <w:b/>
          <w:bCs/>
        </w:rPr>
        <w:t>Figure S3</w:t>
      </w:r>
      <w:r w:rsidR="00AA0C02" w:rsidRPr="00E07BF5">
        <w:rPr>
          <w:rFonts w:ascii="Times New Roman" w:hAnsi="Times New Roman" w:cs="Times New Roman"/>
          <w:b/>
          <w:bCs/>
        </w:rPr>
        <w:t xml:space="preserve">. </w:t>
      </w:r>
      <w:r w:rsidR="006B30E4" w:rsidRPr="00E07BF5">
        <w:rPr>
          <w:rFonts w:ascii="Times New Roman" w:hAnsi="Times New Roman" w:cs="Times New Roman"/>
          <w:b/>
          <w:bCs/>
        </w:rPr>
        <w:t xml:space="preserve">Correlation of differential metabolites with clinical indexes in </w:t>
      </w:r>
      <w:r w:rsidR="006B30E4" w:rsidRPr="00E07BF5">
        <w:rPr>
          <w:rFonts w:ascii="Times New Roman" w:hAnsi="Times New Roman" w:cs="Times New Roman"/>
          <w:b/>
          <w:bCs/>
          <w:i/>
          <w:iCs/>
        </w:rPr>
        <w:t>AP</w:t>
      </w:r>
      <w:r w:rsidR="006B30E4" w:rsidRPr="00E07BF5">
        <w:rPr>
          <w:rFonts w:ascii="Times New Roman" w:hAnsi="Times New Roman" w:cs="Times New Roman"/>
          <w:b/>
          <w:bCs/>
        </w:rPr>
        <w:t xml:space="preserve">-treated rats. </w:t>
      </w:r>
      <w:r w:rsidR="00AA0C02" w:rsidRPr="00E07BF5">
        <w:rPr>
          <w:rFonts w:ascii="Times New Roman" w:hAnsi="Times New Roman" w:cs="Times New Roman"/>
        </w:rPr>
        <w:t>(</w:t>
      </w:r>
      <w:r w:rsidR="004149BF" w:rsidRPr="00E07BF5">
        <w:rPr>
          <w:rFonts w:ascii="Times New Roman" w:hAnsi="Times New Roman" w:cs="Times New Roman"/>
        </w:rPr>
        <w:t>A</w:t>
      </w:r>
      <w:r w:rsidR="00AA0C02" w:rsidRPr="00E07BF5">
        <w:rPr>
          <w:rFonts w:ascii="Times New Roman" w:hAnsi="Times New Roman" w:cs="Times New Roman"/>
        </w:rPr>
        <w:t>) Spearman rank correlations between faecal differential metabolites and clinical biochemical indexes</w:t>
      </w:r>
      <w:r w:rsidR="006B30E4" w:rsidRPr="00E07BF5">
        <w:rPr>
          <w:rFonts w:ascii="Times New Roman" w:hAnsi="Times New Roman" w:cs="Times New Roman"/>
        </w:rPr>
        <w:t xml:space="preserve"> and</w:t>
      </w:r>
      <w:r w:rsidR="00AA0C02" w:rsidRPr="00E07BF5">
        <w:rPr>
          <w:rFonts w:ascii="Times New Roman" w:hAnsi="Times New Roman" w:cs="Times New Roman"/>
        </w:rPr>
        <w:t xml:space="preserve"> (</w:t>
      </w:r>
      <w:r w:rsidR="004149BF" w:rsidRPr="00E07BF5">
        <w:rPr>
          <w:rFonts w:ascii="Times New Roman" w:hAnsi="Times New Roman" w:cs="Times New Roman"/>
        </w:rPr>
        <w:t>B</w:t>
      </w:r>
      <w:r w:rsidR="00AA0C02" w:rsidRPr="00E07BF5">
        <w:rPr>
          <w:rFonts w:ascii="Times New Roman" w:hAnsi="Times New Roman" w:cs="Times New Roman"/>
        </w:rPr>
        <w:t>) between serum metabolite differentials and clinical biochemical indexes</w:t>
      </w:r>
      <w:r w:rsidR="008F2C61" w:rsidRPr="00E07BF5">
        <w:rPr>
          <w:rFonts w:ascii="Times New Roman" w:hAnsi="Times New Roman" w:cs="Times New Roman"/>
        </w:rPr>
        <w:t>.</w:t>
      </w:r>
    </w:p>
    <w:p w14:paraId="040F02BD" w14:textId="77777777" w:rsidR="00886D99" w:rsidRPr="00E07BF5" w:rsidRDefault="00886D99">
      <w:pPr>
        <w:widowControl/>
        <w:jc w:val="left"/>
        <w:rPr>
          <w:rFonts w:ascii="Times New Roman" w:hAnsi="Times New Roman" w:cs="Times New Roman"/>
        </w:rPr>
      </w:pPr>
      <w:r w:rsidRPr="00E07BF5">
        <w:rPr>
          <w:rFonts w:ascii="Times New Roman" w:hAnsi="Times New Roman" w:cs="Times New Roman"/>
        </w:rPr>
        <w:br w:type="page"/>
      </w:r>
    </w:p>
    <w:p w14:paraId="0C831540" w14:textId="77777777" w:rsidR="00AA0C02" w:rsidRPr="00E07BF5" w:rsidRDefault="00AA0C02" w:rsidP="00AA0C02">
      <w:pPr>
        <w:rPr>
          <w:rFonts w:ascii="Times New Roman" w:hAnsi="Times New Roman" w:cs="Times New Roman"/>
        </w:rPr>
      </w:pPr>
    </w:p>
    <w:p w14:paraId="60A2D8B6" w14:textId="7871DF41" w:rsidR="00886D99" w:rsidRPr="00E07BF5" w:rsidRDefault="004149BF">
      <w:pPr>
        <w:widowControl/>
        <w:jc w:val="left"/>
        <w:rPr>
          <w:rFonts w:ascii="Times New Roman" w:hAnsi="Times New Roman" w:cs="Times New Roman"/>
        </w:rPr>
      </w:pPr>
      <w:r w:rsidRPr="00E07BF5">
        <w:rPr>
          <w:noProof/>
        </w:rPr>
        <w:drawing>
          <wp:inline distT="0" distB="0" distL="0" distR="0" wp14:anchorId="3DB5328B" wp14:editId="36361DD8">
            <wp:extent cx="6645910" cy="3286760"/>
            <wp:effectExtent l="0" t="0" r="2540"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3286760"/>
                    </a:xfrm>
                    <a:prstGeom prst="rect">
                      <a:avLst/>
                    </a:prstGeom>
                    <a:noFill/>
                    <a:ln>
                      <a:noFill/>
                    </a:ln>
                  </pic:spPr>
                </pic:pic>
              </a:graphicData>
            </a:graphic>
          </wp:inline>
        </w:drawing>
      </w:r>
    </w:p>
    <w:p w14:paraId="13D208D3" w14:textId="690D91EF" w:rsidR="00886D99" w:rsidRPr="00E07BF5" w:rsidRDefault="00886D99">
      <w:pPr>
        <w:widowControl/>
        <w:jc w:val="left"/>
        <w:rPr>
          <w:rFonts w:ascii="Times New Roman" w:hAnsi="Times New Roman" w:cs="Times New Roman"/>
        </w:rPr>
      </w:pPr>
      <w:r w:rsidRPr="00E07BF5">
        <w:rPr>
          <w:rFonts w:ascii="Times New Roman" w:hAnsi="Times New Roman" w:cs="Times New Roman"/>
          <w:b/>
          <w:bCs/>
        </w:rPr>
        <w:t>Figure S4.</w:t>
      </w:r>
      <w:r w:rsidR="008F2C61" w:rsidRPr="00E07BF5">
        <w:rPr>
          <w:rFonts w:ascii="Times New Roman" w:hAnsi="Times New Roman" w:cs="Times New Roman"/>
          <w:b/>
          <w:bCs/>
        </w:rPr>
        <w:t xml:space="preserve"> Crosstalk among multi-omics correlations of fecal microbiome, fecal, and serum metabolomes in </w:t>
      </w:r>
      <w:r w:rsidR="008F2C61" w:rsidRPr="00E07BF5">
        <w:rPr>
          <w:rFonts w:ascii="Times New Roman" w:hAnsi="Times New Roman" w:cs="Times New Roman"/>
          <w:b/>
          <w:bCs/>
          <w:i/>
          <w:iCs/>
        </w:rPr>
        <w:t>AP</w:t>
      </w:r>
      <w:r w:rsidR="008F2C61" w:rsidRPr="00E07BF5">
        <w:rPr>
          <w:rFonts w:ascii="Times New Roman" w:hAnsi="Times New Roman" w:cs="Times New Roman"/>
          <w:b/>
          <w:bCs/>
        </w:rPr>
        <w:t>-treated rats.</w:t>
      </w:r>
      <w:r w:rsidR="008F2C61" w:rsidRPr="00E07BF5">
        <w:rPr>
          <w:rFonts w:ascii="Times New Roman" w:hAnsi="Times New Roman" w:cs="Times New Roman"/>
        </w:rPr>
        <w:t xml:space="preserve"> (</w:t>
      </w:r>
      <w:r w:rsidR="004149BF" w:rsidRPr="00E07BF5">
        <w:rPr>
          <w:rFonts w:ascii="Times New Roman" w:hAnsi="Times New Roman" w:cs="Times New Roman"/>
        </w:rPr>
        <w:t>A</w:t>
      </w:r>
      <w:r w:rsidR="008F2C61" w:rsidRPr="00E07BF5">
        <w:rPr>
          <w:rFonts w:ascii="Times New Roman" w:hAnsi="Times New Roman" w:cs="Times New Roman"/>
        </w:rPr>
        <w:t>) Spearman rank correlations between target fecal metabolites and differential genera</w:t>
      </w:r>
      <w:r w:rsidR="006B30E4" w:rsidRPr="00E07BF5">
        <w:rPr>
          <w:rFonts w:ascii="Times New Roman" w:hAnsi="Times New Roman" w:cs="Times New Roman"/>
        </w:rPr>
        <w:t xml:space="preserve"> and</w:t>
      </w:r>
      <w:r w:rsidR="008F2C61" w:rsidRPr="00E07BF5">
        <w:rPr>
          <w:rFonts w:ascii="Times New Roman" w:hAnsi="Times New Roman" w:cs="Times New Roman"/>
        </w:rPr>
        <w:t xml:space="preserve"> (</w:t>
      </w:r>
      <w:r w:rsidR="004149BF" w:rsidRPr="00E07BF5">
        <w:rPr>
          <w:rFonts w:ascii="Times New Roman" w:hAnsi="Times New Roman" w:cs="Times New Roman"/>
        </w:rPr>
        <w:t>B</w:t>
      </w:r>
      <w:r w:rsidR="008F2C61" w:rsidRPr="00E07BF5">
        <w:rPr>
          <w:rFonts w:ascii="Times New Roman" w:hAnsi="Times New Roman" w:cs="Times New Roman"/>
        </w:rPr>
        <w:t>) between serum metabolite differentials and differential genera.</w:t>
      </w:r>
    </w:p>
    <w:p w14:paraId="660B3B6E" w14:textId="77777777" w:rsidR="008E2DD4" w:rsidRPr="00E07BF5" w:rsidRDefault="00886D99" w:rsidP="008E2DD4">
      <w:pPr>
        <w:rPr>
          <w:rFonts w:ascii="Times New Roman" w:hAnsi="Times New Roman" w:cs="Times New Roman"/>
        </w:rPr>
      </w:pPr>
      <w:r w:rsidRPr="00E07BF5">
        <w:rPr>
          <w:rFonts w:ascii="Times New Roman" w:hAnsi="Times New Roman" w:cs="Times New Roman"/>
        </w:rPr>
        <w:br w:type="page"/>
      </w:r>
    </w:p>
    <w:p w14:paraId="4135D717" w14:textId="6752A325" w:rsidR="008E2DD4" w:rsidRPr="00E07BF5" w:rsidRDefault="004149BF" w:rsidP="004149BF">
      <w:pPr>
        <w:jc w:val="center"/>
        <w:rPr>
          <w:rFonts w:ascii="Times New Roman" w:hAnsi="Times New Roman" w:cs="Times New Roman"/>
        </w:rPr>
      </w:pPr>
      <w:r w:rsidRPr="00E07BF5">
        <w:rPr>
          <w:noProof/>
        </w:rPr>
        <w:lastRenderedPageBreak/>
        <w:drawing>
          <wp:inline distT="0" distB="0" distL="0" distR="0" wp14:anchorId="4268EF90" wp14:editId="0563F8F6">
            <wp:extent cx="4879975" cy="16383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9975" cy="1638300"/>
                    </a:xfrm>
                    <a:prstGeom prst="rect">
                      <a:avLst/>
                    </a:prstGeom>
                    <a:noFill/>
                    <a:ln>
                      <a:noFill/>
                    </a:ln>
                  </pic:spPr>
                </pic:pic>
              </a:graphicData>
            </a:graphic>
          </wp:inline>
        </w:drawing>
      </w:r>
    </w:p>
    <w:p w14:paraId="1767A6E0" w14:textId="2EC8530F" w:rsidR="004149BF" w:rsidRPr="00E07BF5" w:rsidRDefault="008E2DD4" w:rsidP="008E2DD4">
      <w:pPr>
        <w:rPr>
          <w:rFonts w:ascii="Times New Roman" w:hAnsi="Times New Roman" w:cs="Times New Roman"/>
          <w:b/>
          <w:bCs/>
        </w:rPr>
      </w:pPr>
      <w:r w:rsidRPr="00E07BF5">
        <w:rPr>
          <w:rFonts w:ascii="Times New Roman" w:hAnsi="Times New Roman" w:cs="Times New Roman"/>
          <w:b/>
          <w:bCs/>
        </w:rPr>
        <w:t xml:space="preserve">Figure S5. </w:t>
      </w:r>
      <w:r w:rsidR="00712BD6" w:rsidRPr="00E07BF5">
        <w:rPr>
          <w:rFonts w:ascii="Times New Roman" w:hAnsi="Times New Roman" w:cs="Times New Roman"/>
        </w:rPr>
        <w:t xml:space="preserve">Spearman rank correlation analysis of key gut bacterial genera significantly associated with arginine levels and differentially expressed genes involved in ovarian steroid hormone biosynthesis. </w:t>
      </w:r>
      <w:r w:rsidR="004149BF" w:rsidRPr="00E07BF5">
        <w:rPr>
          <w:rFonts w:ascii="Times New Roman" w:hAnsi="Times New Roman" w:cs="Times New Roman"/>
        </w:rPr>
        <w:t>*</w:t>
      </w:r>
      <w:r w:rsidR="004149BF" w:rsidRPr="00E07BF5">
        <w:rPr>
          <w:rFonts w:ascii="Times New Roman" w:hAnsi="Times New Roman" w:cs="Times New Roman"/>
          <w:i/>
          <w:iCs/>
        </w:rPr>
        <w:t>p</w:t>
      </w:r>
      <w:r w:rsidR="004149BF" w:rsidRPr="00E07BF5">
        <w:rPr>
          <w:rFonts w:ascii="Times New Roman" w:hAnsi="Times New Roman" w:cs="Times New Roman"/>
        </w:rPr>
        <w:t>&lt;0.05; **</w:t>
      </w:r>
      <w:r w:rsidR="004149BF" w:rsidRPr="00E07BF5">
        <w:rPr>
          <w:rFonts w:ascii="Times New Roman" w:hAnsi="Times New Roman" w:cs="Times New Roman"/>
          <w:i/>
          <w:iCs/>
        </w:rPr>
        <w:t>p</w:t>
      </w:r>
      <w:r w:rsidR="004149BF" w:rsidRPr="00E07BF5">
        <w:rPr>
          <w:rFonts w:ascii="Times New Roman" w:hAnsi="Times New Roman" w:cs="Times New Roman"/>
        </w:rPr>
        <w:t>&lt;0.01</w:t>
      </w:r>
    </w:p>
    <w:p w14:paraId="208363BA" w14:textId="77777777" w:rsidR="008E2DD4" w:rsidRPr="00E07BF5" w:rsidRDefault="008E2DD4">
      <w:pPr>
        <w:widowControl/>
        <w:jc w:val="left"/>
        <w:rPr>
          <w:rFonts w:ascii="Times New Roman" w:hAnsi="Times New Roman" w:cs="Times New Roman"/>
          <w:b/>
          <w:bCs/>
        </w:rPr>
      </w:pPr>
      <w:r w:rsidRPr="00E07BF5">
        <w:rPr>
          <w:rFonts w:ascii="Times New Roman" w:hAnsi="Times New Roman" w:cs="Times New Roman"/>
          <w:b/>
          <w:bCs/>
        </w:rPr>
        <w:br w:type="page"/>
      </w:r>
    </w:p>
    <w:p w14:paraId="6FBDBEFE" w14:textId="77777777" w:rsidR="008E2DD4" w:rsidRPr="00E07BF5" w:rsidRDefault="008E2DD4" w:rsidP="008E2DD4">
      <w:pPr>
        <w:rPr>
          <w:rFonts w:ascii="Times New Roman" w:hAnsi="Times New Roman" w:cs="Times New Roman"/>
        </w:rPr>
      </w:pPr>
    </w:p>
    <w:p w14:paraId="3A69E3B2" w14:textId="1C21A9A5" w:rsidR="009E7442" w:rsidRPr="00E07BF5" w:rsidRDefault="004149BF" w:rsidP="009E7442">
      <w:pPr>
        <w:widowControl/>
        <w:jc w:val="center"/>
        <w:rPr>
          <w:rFonts w:ascii="Times New Roman" w:hAnsi="Times New Roman" w:cs="Times New Roman"/>
        </w:rPr>
      </w:pPr>
      <w:r w:rsidRPr="00E07BF5">
        <w:rPr>
          <w:noProof/>
        </w:rPr>
        <w:drawing>
          <wp:inline distT="0" distB="0" distL="0" distR="0" wp14:anchorId="55550815" wp14:editId="3D47D012">
            <wp:extent cx="4589145" cy="2478847"/>
            <wp:effectExtent l="0" t="0" r="190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0333"/>
                    <a:stretch/>
                  </pic:blipFill>
                  <pic:spPr bwMode="auto">
                    <a:xfrm>
                      <a:off x="0" y="0"/>
                      <a:ext cx="4589145" cy="2478847"/>
                    </a:xfrm>
                    <a:prstGeom prst="rect">
                      <a:avLst/>
                    </a:prstGeom>
                    <a:noFill/>
                    <a:ln>
                      <a:noFill/>
                    </a:ln>
                    <a:extLst>
                      <a:ext uri="{53640926-AAD7-44D8-BBD7-CCE9431645EC}">
                        <a14:shadowObscured xmlns:a14="http://schemas.microsoft.com/office/drawing/2010/main"/>
                      </a:ext>
                    </a:extLst>
                  </pic:spPr>
                </pic:pic>
              </a:graphicData>
            </a:graphic>
          </wp:inline>
        </w:drawing>
      </w:r>
    </w:p>
    <w:p w14:paraId="0B51090C" w14:textId="201AB5C8" w:rsidR="009E7442" w:rsidRPr="00E07BF5" w:rsidRDefault="009E7442" w:rsidP="009E7442">
      <w:pPr>
        <w:rPr>
          <w:rFonts w:ascii="Times New Roman" w:hAnsi="Times New Roman" w:cs="Times New Roman"/>
        </w:rPr>
      </w:pPr>
      <w:r w:rsidRPr="00E07BF5">
        <w:rPr>
          <w:rFonts w:ascii="Times New Roman" w:hAnsi="Times New Roman" w:cs="Times New Roman"/>
          <w:b/>
          <w:bCs/>
        </w:rPr>
        <w:t>Figure S</w:t>
      </w:r>
      <w:r w:rsidR="008E2DD4" w:rsidRPr="00E07BF5">
        <w:rPr>
          <w:rFonts w:ascii="Times New Roman" w:hAnsi="Times New Roman" w:cs="Times New Roman"/>
          <w:b/>
          <w:bCs/>
        </w:rPr>
        <w:t>6</w:t>
      </w:r>
      <w:r w:rsidRPr="00E07BF5">
        <w:rPr>
          <w:rFonts w:ascii="Times New Roman" w:hAnsi="Times New Roman" w:cs="Times New Roman"/>
          <w:b/>
          <w:bCs/>
        </w:rPr>
        <w:t xml:space="preserve">. </w:t>
      </w:r>
      <w:r w:rsidRPr="00E07BF5">
        <w:rPr>
          <w:rFonts w:ascii="Times New Roman" w:hAnsi="Times New Roman" w:cs="Times New Roman"/>
        </w:rPr>
        <w:t>Body weight between three groups. n=8 per group.</w:t>
      </w:r>
    </w:p>
    <w:p w14:paraId="44E5FDA2" w14:textId="3ED4BB9F" w:rsidR="008F2C61" w:rsidRPr="00E07BF5" w:rsidRDefault="008F2C61">
      <w:pPr>
        <w:widowControl/>
        <w:jc w:val="left"/>
        <w:rPr>
          <w:rFonts w:ascii="Times New Roman" w:hAnsi="Times New Roman" w:cs="Times New Roman"/>
        </w:rPr>
      </w:pPr>
    </w:p>
    <w:p w14:paraId="2EB46EB9" w14:textId="5BD12096" w:rsidR="00AA0C02" w:rsidRPr="00E07BF5" w:rsidRDefault="00AA0C02">
      <w:pPr>
        <w:widowControl/>
        <w:jc w:val="left"/>
        <w:rPr>
          <w:rFonts w:ascii="Times New Roman" w:hAnsi="Times New Roman" w:cs="Times New Roman"/>
        </w:rPr>
      </w:pPr>
      <w:r w:rsidRPr="00E07BF5">
        <w:rPr>
          <w:rFonts w:ascii="Times New Roman" w:hAnsi="Times New Roman" w:cs="Times New Roman"/>
        </w:rPr>
        <w:br w:type="page"/>
      </w:r>
    </w:p>
    <w:p w14:paraId="00DC0F9C" w14:textId="7ECCD916" w:rsidR="00AA0C02" w:rsidRPr="00E07BF5" w:rsidRDefault="004149BF">
      <w:pPr>
        <w:rPr>
          <w:rFonts w:ascii="Times New Roman" w:hAnsi="Times New Roman" w:cs="Times New Roman"/>
        </w:rPr>
      </w:pPr>
      <w:r w:rsidRPr="00E07BF5">
        <w:rPr>
          <w:noProof/>
        </w:rPr>
        <w:lastRenderedPageBreak/>
        <w:drawing>
          <wp:inline distT="0" distB="0" distL="0" distR="0" wp14:anchorId="257AEA16" wp14:editId="3DFDF106">
            <wp:extent cx="6645910" cy="3060065"/>
            <wp:effectExtent l="0" t="0" r="2540"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3060065"/>
                    </a:xfrm>
                    <a:prstGeom prst="rect">
                      <a:avLst/>
                    </a:prstGeom>
                    <a:noFill/>
                    <a:ln>
                      <a:noFill/>
                    </a:ln>
                  </pic:spPr>
                </pic:pic>
              </a:graphicData>
            </a:graphic>
          </wp:inline>
        </w:drawing>
      </w:r>
    </w:p>
    <w:p w14:paraId="20922CE7" w14:textId="5354C448" w:rsidR="00AA0C02" w:rsidRPr="00E07BF5" w:rsidRDefault="00886D99" w:rsidP="00AA0C02">
      <w:pPr>
        <w:rPr>
          <w:rFonts w:ascii="Times New Roman" w:hAnsi="Times New Roman" w:cs="Times New Roman"/>
        </w:rPr>
      </w:pPr>
      <w:r w:rsidRPr="00E07BF5">
        <w:rPr>
          <w:rFonts w:ascii="Times New Roman" w:hAnsi="Times New Roman" w:cs="Times New Roman"/>
          <w:b/>
          <w:bCs/>
        </w:rPr>
        <w:t>Figure S</w:t>
      </w:r>
      <w:r w:rsidR="008E2DD4" w:rsidRPr="00E07BF5">
        <w:rPr>
          <w:rFonts w:ascii="Times New Roman" w:hAnsi="Times New Roman" w:cs="Times New Roman"/>
          <w:b/>
          <w:bCs/>
        </w:rPr>
        <w:t>7</w:t>
      </w:r>
      <w:r w:rsidR="00AA0C02" w:rsidRPr="00E07BF5">
        <w:rPr>
          <w:rFonts w:ascii="Times New Roman" w:hAnsi="Times New Roman" w:cs="Times New Roman"/>
          <w:b/>
          <w:bCs/>
        </w:rPr>
        <w:t xml:space="preserve">. Protective effect of PAP on glucose tolerance in DHEA rats. </w:t>
      </w:r>
      <w:r w:rsidR="00AA0C02" w:rsidRPr="00E07BF5">
        <w:rPr>
          <w:rFonts w:ascii="Times New Roman" w:hAnsi="Times New Roman" w:cs="Times New Roman"/>
        </w:rPr>
        <w:t>(</w:t>
      </w:r>
      <w:r w:rsidR="004149BF" w:rsidRPr="00E07BF5">
        <w:rPr>
          <w:rFonts w:ascii="Times New Roman" w:hAnsi="Times New Roman" w:cs="Times New Roman"/>
        </w:rPr>
        <w:t>A</w:t>
      </w:r>
      <w:r w:rsidR="00AA0C02" w:rsidRPr="00E07BF5">
        <w:rPr>
          <w:rFonts w:ascii="Times New Roman" w:hAnsi="Times New Roman" w:cs="Times New Roman"/>
        </w:rPr>
        <w:t>) Schematic diagram of the structure of the experimental design. (</w:t>
      </w:r>
      <w:r w:rsidR="004149BF" w:rsidRPr="00E07BF5">
        <w:rPr>
          <w:rFonts w:ascii="Times New Roman" w:hAnsi="Times New Roman" w:cs="Times New Roman"/>
        </w:rPr>
        <w:t>B</w:t>
      </w:r>
      <w:r w:rsidR="00AA0C02" w:rsidRPr="00E07BF5">
        <w:rPr>
          <w:rFonts w:ascii="Times New Roman" w:hAnsi="Times New Roman" w:cs="Times New Roman"/>
        </w:rPr>
        <w:t>) Bodyweight. (</w:t>
      </w:r>
      <w:r w:rsidR="004149BF" w:rsidRPr="00E07BF5">
        <w:rPr>
          <w:rFonts w:ascii="Times New Roman" w:hAnsi="Times New Roman" w:cs="Times New Roman"/>
        </w:rPr>
        <w:t>C</w:t>
      </w:r>
      <w:r w:rsidR="00AA0C02" w:rsidRPr="00E07BF5">
        <w:rPr>
          <w:rFonts w:ascii="Times New Roman" w:hAnsi="Times New Roman" w:cs="Times New Roman"/>
        </w:rPr>
        <w:t>) Serum testosterone level. (</w:t>
      </w:r>
      <w:r w:rsidR="004149BF" w:rsidRPr="00E07BF5">
        <w:rPr>
          <w:rFonts w:ascii="Times New Roman" w:hAnsi="Times New Roman" w:cs="Times New Roman"/>
        </w:rPr>
        <w:t>D</w:t>
      </w:r>
      <w:r w:rsidR="00AA0C02" w:rsidRPr="00E07BF5">
        <w:rPr>
          <w:rFonts w:ascii="Times New Roman" w:hAnsi="Times New Roman" w:cs="Times New Roman"/>
        </w:rPr>
        <w:t>) Serum LH level. (</w:t>
      </w:r>
      <w:r w:rsidR="004149BF" w:rsidRPr="00E07BF5">
        <w:rPr>
          <w:rFonts w:ascii="Times New Roman" w:hAnsi="Times New Roman" w:cs="Times New Roman"/>
        </w:rPr>
        <w:t>E</w:t>
      </w:r>
      <w:r w:rsidR="00AA0C02" w:rsidRPr="00E07BF5">
        <w:rPr>
          <w:rFonts w:ascii="Times New Roman" w:hAnsi="Times New Roman" w:cs="Times New Roman"/>
        </w:rPr>
        <w:t>) GTT. (</w:t>
      </w:r>
      <w:r w:rsidR="004149BF" w:rsidRPr="00E07BF5">
        <w:rPr>
          <w:rFonts w:ascii="Times New Roman" w:hAnsi="Times New Roman" w:cs="Times New Roman"/>
        </w:rPr>
        <w:t>F</w:t>
      </w:r>
      <w:r w:rsidR="00AA0C02" w:rsidRPr="00E07BF5">
        <w:rPr>
          <w:rFonts w:ascii="Times New Roman" w:hAnsi="Times New Roman" w:cs="Times New Roman"/>
        </w:rPr>
        <w:t>) Area under the curve of GTT. n=6 rats per group. *</w:t>
      </w:r>
      <w:r w:rsidR="00AA0C02" w:rsidRPr="00E07BF5">
        <w:rPr>
          <w:rFonts w:ascii="Times New Roman" w:hAnsi="Times New Roman" w:cs="Times New Roman"/>
          <w:i/>
          <w:iCs/>
        </w:rPr>
        <w:t>p</w:t>
      </w:r>
      <w:r w:rsidR="00AA0C02" w:rsidRPr="00E07BF5">
        <w:rPr>
          <w:rFonts w:ascii="Times New Roman" w:hAnsi="Times New Roman" w:cs="Times New Roman"/>
        </w:rPr>
        <w:t>&lt;0.05; **</w:t>
      </w:r>
      <w:r w:rsidR="00AA0C02" w:rsidRPr="00E07BF5">
        <w:rPr>
          <w:rFonts w:ascii="Times New Roman" w:hAnsi="Times New Roman" w:cs="Times New Roman"/>
          <w:i/>
          <w:iCs/>
        </w:rPr>
        <w:t>p</w:t>
      </w:r>
      <w:r w:rsidR="00AA0C02" w:rsidRPr="00E07BF5">
        <w:rPr>
          <w:rFonts w:ascii="Times New Roman" w:hAnsi="Times New Roman" w:cs="Times New Roman"/>
        </w:rPr>
        <w:t>&lt;0.01; ***</w:t>
      </w:r>
      <w:r w:rsidR="00AA0C02" w:rsidRPr="00E07BF5">
        <w:rPr>
          <w:rFonts w:ascii="Times New Roman" w:hAnsi="Times New Roman" w:cs="Times New Roman"/>
          <w:i/>
          <w:iCs/>
        </w:rPr>
        <w:t>p</w:t>
      </w:r>
      <w:r w:rsidR="00AA0C02" w:rsidRPr="00E07BF5">
        <w:rPr>
          <w:rFonts w:ascii="Times New Roman" w:hAnsi="Times New Roman" w:cs="Times New Roman"/>
        </w:rPr>
        <w:t>&lt;0.001</w:t>
      </w:r>
    </w:p>
    <w:p w14:paraId="050CEE8E" w14:textId="5C286713" w:rsidR="009E7442" w:rsidRPr="00E07BF5" w:rsidRDefault="009E7442">
      <w:pPr>
        <w:widowControl/>
        <w:jc w:val="left"/>
        <w:rPr>
          <w:rFonts w:ascii="Times New Roman" w:hAnsi="Times New Roman" w:cs="Times New Roman"/>
        </w:rPr>
      </w:pPr>
      <w:r w:rsidRPr="00E07BF5">
        <w:rPr>
          <w:rFonts w:ascii="Times New Roman" w:hAnsi="Times New Roman" w:cs="Times New Roman"/>
        </w:rPr>
        <w:br w:type="page"/>
      </w:r>
    </w:p>
    <w:p w14:paraId="15073DB8" w14:textId="77777777" w:rsidR="009E7442" w:rsidRPr="00E07BF5" w:rsidRDefault="009E7442" w:rsidP="00AA0C02">
      <w:pPr>
        <w:rPr>
          <w:rFonts w:ascii="Times New Roman" w:hAnsi="Times New Roman" w:cs="Times New Roman"/>
        </w:rPr>
      </w:pPr>
    </w:p>
    <w:p w14:paraId="4D9D9048" w14:textId="05FDF874" w:rsidR="009E7442" w:rsidRPr="00E07BF5" w:rsidRDefault="004149BF" w:rsidP="009E7442">
      <w:pPr>
        <w:widowControl/>
        <w:jc w:val="center"/>
        <w:rPr>
          <w:rFonts w:ascii="Times New Roman" w:hAnsi="Times New Roman" w:cs="Times New Roman"/>
        </w:rPr>
      </w:pPr>
      <w:r w:rsidRPr="00E07BF5">
        <w:rPr>
          <w:noProof/>
        </w:rPr>
        <w:drawing>
          <wp:inline distT="0" distB="0" distL="0" distR="0" wp14:anchorId="7F4E0E6C" wp14:editId="7B625258">
            <wp:extent cx="2981325" cy="2470150"/>
            <wp:effectExtent l="0" t="0" r="9525"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1325" cy="2470150"/>
                    </a:xfrm>
                    <a:prstGeom prst="rect">
                      <a:avLst/>
                    </a:prstGeom>
                    <a:noFill/>
                    <a:ln>
                      <a:noFill/>
                    </a:ln>
                  </pic:spPr>
                </pic:pic>
              </a:graphicData>
            </a:graphic>
          </wp:inline>
        </w:drawing>
      </w:r>
    </w:p>
    <w:p w14:paraId="30B4F379" w14:textId="692CAEF1" w:rsidR="009E7442" w:rsidRPr="00E07BF5" w:rsidRDefault="009E7442" w:rsidP="009E7442">
      <w:pPr>
        <w:jc w:val="left"/>
        <w:rPr>
          <w:rFonts w:ascii="Times New Roman" w:hAnsi="Times New Roman" w:cs="Times New Roman"/>
        </w:rPr>
      </w:pPr>
      <w:r w:rsidRPr="00E07BF5">
        <w:rPr>
          <w:rFonts w:ascii="Times New Roman" w:hAnsi="Times New Roman" w:cs="Times New Roman"/>
          <w:b/>
          <w:bCs/>
        </w:rPr>
        <w:t>Figure S</w:t>
      </w:r>
      <w:r w:rsidR="008E2DD4" w:rsidRPr="00E07BF5">
        <w:rPr>
          <w:rFonts w:ascii="Times New Roman" w:hAnsi="Times New Roman" w:cs="Times New Roman"/>
          <w:b/>
          <w:bCs/>
        </w:rPr>
        <w:t>8</w:t>
      </w:r>
      <w:r w:rsidRPr="00E07BF5">
        <w:rPr>
          <w:rFonts w:ascii="Times New Roman" w:hAnsi="Times New Roman" w:cs="Times New Roman"/>
          <w:b/>
          <w:bCs/>
        </w:rPr>
        <w:t xml:space="preserve">. </w:t>
      </w:r>
      <w:r w:rsidRPr="00E07BF5">
        <w:rPr>
          <w:rFonts w:ascii="Times New Roman" w:hAnsi="Times New Roman" w:cs="Times New Roman"/>
        </w:rPr>
        <w:t>The serum level of ornithine.</w:t>
      </w:r>
    </w:p>
    <w:p w14:paraId="7C94100C" w14:textId="77777777" w:rsidR="00AA0C02" w:rsidRPr="00E07BF5" w:rsidRDefault="00AA0C02">
      <w:pPr>
        <w:rPr>
          <w:rFonts w:ascii="Times New Roman" w:hAnsi="Times New Roman" w:cs="Times New Roman"/>
        </w:rPr>
      </w:pPr>
    </w:p>
    <w:sectPr w:rsidR="00AA0C02" w:rsidRPr="00E07BF5" w:rsidSect="00886D99">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930F9D" w14:textId="77777777" w:rsidR="005E23E9" w:rsidRDefault="005E23E9" w:rsidP="00886D99">
      <w:r>
        <w:separator/>
      </w:r>
    </w:p>
  </w:endnote>
  <w:endnote w:type="continuationSeparator" w:id="0">
    <w:p w14:paraId="421ECFE2" w14:textId="77777777" w:rsidR="005E23E9" w:rsidRDefault="005E23E9" w:rsidP="00886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汉仪中等线KW"/>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729FE" w14:textId="77777777" w:rsidR="005E23E9" w:rsidRDefault="005E23E9" w:rsidP="00886D99">
      <w:r>
        <w:separator/>
      </w:r>
    </w:p>
  </w:footnote>
  <w:footnote w:type="continuationSeparator" w:id="0">
    <w:p w14:paraId="4D0C4884" w14:textId="77777777" w:rsidR="005E23E9" w:rsidRDefault="005E23E9" w:rsidP="00886D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F4D"/>
    <w:rsid w:val="000146CA"/>
    <w:rsid w:val="000565C1"/>
    <w:rsid w:val="00063919"/>
    <w:rsid w:val="00084F43"/>
    <w:rsid w:val="00157BBB"/>
    <w:rsid w:val="002B0338"/>
    <w:rsid w:val="00385F45"/>
    <w:rsid w:val="004149BF"/>
    <w:rsid w:val="00542F4D"/>
    <w:rsid w:val="00575877"/>
    <w:rsid w:val="005B6ADB"/>
    <w:rsid w:val="005E23E9"/>
    <w:rsid w:val="006B30E4"/>
    <w:rsid w:val="006B701F"/>
    <w:rsid w:val="00712BD6"/>
    <w:rsid w:val="007252BC"/>
    <w:rsid w:val="007574F1"/>
    <w:rsid w:val="00886D99"/>
    <w:rsid w:val="008E2DD4"/>
    <w:rsid w:val="008F2C61"/>
    <w:rsid w:val="009E7442"/>
    <w:rsid w:val="009F3C1B"/>
    <w:rsid w:val="00A52436"/>
    <w:rsid w:val="00AA0C02"/>
    <w:rsid w:val="00B27CCF"/>
    <w:rsid w:val="00D253A0"/>
    <w:rsid w:val="00DE2DD7"/>
    <w:rsid w:val="00E07BF5"/>
    <w:rsid w:val="00FA178C"/>
    <w:rsid w:val="00FC2025"/>
    <w:rsid w:val="00FD6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E4E54"/>
  <w15:chartTrackingRefBased/>
  <w15:docId w15:val="{44D26B9A-EACA-49A6-8CC1-C5996905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86D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86D99"/>
    <w:rPr>
      <w:sz w:val="18"/>
      <w:szCs w:val="18"/>
    </w:rPr>
  </w:style>
  <w:style w:type="paragraph" w:styleId="a4">
    <w:name w:val="footer"/>
    <w:basedOn w:val="a"/>
    <w:link w:val="Char0"/>
    <w:uiPriority w:val="99"/>
    <w:unhideWhenUsed/>
    <w:rsid w:val="00886D99"/>
    <w:pPr>
      <w:tabs>
        <w:tab w:val="center" w:pos="4153"/>
        <w:tab w:val="right" w:pos="8306"/>
      </w:tabs>
      <w:snapToGrid w:val="0"/>
      <w:jc w:val="left"/>
    </w:pPr>
    <w:rPr>
      <w:sz w:val="18"/>
      <w:szCs w:val="18"/>
    </w:rPr>
  </w:style>
  <w:style w:type="character" w:customStyle="1" w:styleId="Char0">
    <w:name w:val="页脚 Char"/>
    <w:basedOn w:val="a0"/>
    <w:link w:val="a4"/>
    <w:uiPriority w:val="99"/>
    <w:rsid w:val="00886D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00774">
      <w:bodyDiv w:val="1"/>
      <w:marLeft w:val="0"/>
      <w:marRight w:val="0"/>
      <w:marTop w:val="0"/>
      <w:marBottom w:val="0"/>
      <w:divBdr>
        <w:top w:val="none" w:sz="0" w:space="0" w:color="auto"/>
        <w:left w:val="none" w:sz="0" w:space="0" w:color="auto"/>
        <w:bottom w:val="none" w:sz="0" w:space="0" w:color="auto"/>
        <w:right w:val="none" w:sz="0" w:space="0" w:color="auto"/>
      </w:divBdr>
    </w:div>
    <w:div w:id="1454210880">
      <w:bodyDiv w:val="1"/>
      <w:marLeft w:val="0"/>
      <w:marRight w:val="0"/>
      <w:marTop w:val="0"/>
      <w:marBottom w:val="0"/>
      <w:divBdr>
        <w:top w:val="none" w:sz="0" w:space="0" w:color="auto"/>
        <w:left w:val="none" w:sz="0" w:space="0" w:color="auto"/>
        <w:bottom w:val="none" w:sz="0" w:space="0" w:color="auto"/>
        <w:right w:val="none" w:sz="0" w:space="0" w:color="auto"/>
      </w:divBdr>
    </w:div>
    <w:div w:id="1783110914">
      <w:bodyDiv w:val="1"/>
      <w:marLeft w:val="0"/>
      <w:marRight w:val="0"/>
      <w:marTop w:val="0"/>
      <w:marBottom w:val="0"/>
      <w:divBdr>
        <w:top w:val="none" w:sz="0" w:space="0" w:color="auto"/>
        <w:left w:val="none" w:sz="0" w:space="0" w:color="auto"/>
        <w:bottom w:val="none" w:sz="0" w:space="0" w:color="auto"/>
        <w:right w:val="none" w:sz="0" w:space="0" w:color="auto"/>
      </w:divBdr>
    </w:div>
    <w:div w:id="2075156078">
      <w:bodyDiv w:val="1"/>
      <w:marLeft w:val="0"/>
      <w:marRight w:val="0"/>
      <w:marTop w:val="0"/>
      <w:marBottom w:val="0"/>
      <w:divBdr>
        <w:top w:val="none" w:sz="0" w:space="0" w:color="auto"/>
        <w:left w:val="none" w:sz="0" w:space="0" w:color="auto"/>
        <w:bottom w:val="none" w:sz="0" w:space="0" w:color="auto"/>
        <w:right w:val="none" w:sz="0" w:space="0" w:color="auto"/>
      </w:divBdr>
    </w:div>
    <w:div w:id="213787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image" Target="media/image8.tiff"/><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image" Target="media/image7.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tiff"/><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tiff"/><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8</Pages>
  <Words>344</Words>
  <Characters>1963</Characters>
  <Application>Microsoft Office Word</Application>
  <DocSecurity>0</DocSecurity>
  <Lines>16</Lines>
  <Paragraphs>4</Paragraphs>
  <ScaleCrop>false</ScaleCrop>
  <Company/>
  <LinksUpToDate>false</LinksUpToDate>
  <CharactersWithSpaces>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yifan wu</dc:creator>
  <cp:keywords/>
  <dc:description/>
  <cp:lastModifiedBy>Jiesheng Mo</cp:lastModifiedBy>
  <cp:revision>8</cp:revision>
  <dcterms:created xsi:type="dcterms:W3CDTF">2025-06-05T09:11:00Z</dcterms:created>
  <dcterms:modified xsi:type="dcterms:W3CDTF">2025-10-08T02:33:00Z</dcterms:modified>
</cp:coreProperties>
</file>