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2A2975">
      <w:pPr>
        <w:autoSpaceDE w:val="0"/>
        <w:autoSpaceDN w:val="0"/>
        <w:adjustRightInd w:val="0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  <w:bookmarkStart w:id="0" w:name="_Hlk126449480"/>
      <w:r>
        <w:rPr>
          <w:rFonts w:hint="eastAsia" w:eastAsia="楷体" w:cs="Times New Roman"/>
          <w:b/>
          <w:bCs/>
          <w:sz w:val="28"/>
          <w:szCs w:val="28"/>
        </w:rPr>
        <w:t>Supplementary Material</w:t>
      </w:r>
    </w:p>
    <w:p w14:paraId="08E83302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0"/>
          <w:szCs w:val="30"/>
        </w:rPr>
      </w:pPr>
      <w:bookmarkStart w:id="1" w:name="_Hlk185427649"/>
      <w:bookmarkStart w:id="2" w:name="_Hlk152071029"/>
      <w:r>
        <w:rPr>
          <w:rFonts w:hint="eastAsia"/>
          <w:b/>
          <w:bCs/>
          <w:sz w:val="30"/>
          <w:szCs w:val="30"/>
        </w:rPr>
        <w:t>Modulating r</w:t>
      </w:r>
      <w:r>
        <w:rPr>
          <w:b/>
          <w:bCs/>
          <w:sz w:val="30"/>
          <w:szCs w:val="30"/>
        </w:rPr>
        <w:t xml:space="preserve">eaction </w:t>
      </w:r>
      <w:r>
        <w:rPr>
          <w:rFonts w:hint="eastAsia"/>
          <w:b/>
          <w:bCs/>
          <w:sz w:val="30"/>
          <w:szCs w:val="30"/>
        </w:rPr>
        <w:t>p</w:t>
      </w:r>
      <w:r>
        <w:rPr>
          <w:b/>
          <w:bCs/>
          <w:sz w:val="30"/>
          <w:szCs w:val="30"/>
        </w:rPr>
        <w:t xml:space="preserve">athway </w:t>
      </w:r>
      <w:r>
        <w:rPr>
          <w:rFonts w:hint="eastAsia"/>
          <w:b/>
          <w:bCs/>
          <w:sz w:val="30"/>
          <w:szCs w:val="30"/>
        </w:rPr>
        <w:t>for</w:t>
      </w:r>
      <w:r>
        <w:rPr>
          <w:b/>
          <w:bCs/>
          <w:sz w:val="30"/>
          <w:szCs w:val="30"/>
        </w:rPr>
        <w:t xml:space="preserve"> </w:t>
      </w:r>
      <w:r>
        <w:rPr>
          <w:rFonts w:hint="eastAsia"/>
          <w:b/>
          <w:bCs/>
          <w:sz w:val="30"/>
          <w:szCs w:val="30"/>
          <w:lang w:val="en-US" w:eastAsia="zh-CN"/>
        </w:rPr>
        <w:t xml:space="preserve">the </w:t>
      </w:r>
      <w:r>
        <w:rPr>
          <w:rFonts w:hint="eastAsia"/>
          <w:b/>
          <w:bCs/>
          <w:sz w:val="30"/>
          <w:szCs w:val="30"/>
        </w:rPr>
        <w:t>highly selective l</w:t>
      </w:r>
      <w:r>
        <w:rPr>
          <w:b/>
          <w:bCs/>
          <w:sz w:val="30"/>
          <w:szCs w:val="30"/>
        </w:rPr>
        <w:t xml:space="preserve">ight </w:t>
      </w:r>
      <w:r>
        <w:rPr>
          <w:rFonts w:hint="eastAsia"/>
          <w:b/>
          <w:bCs/>
          <w:sz w:val="30"/>
          <w:szCs w:val="30"/>
        </w:rPr>
        <w:t>a</w:t>
      </w:r>
      <w:r>
        <w:rPr>
          <w:b/>
          <w:bCs/>
          <w:sz w:val="30"/>
          <w:szCs w:val="30"/>
        </w:rPr>
        <w:t>romatics</w:t>
      </w:r>
      <w:r>
        <w:rPr>
          <w:rFonts w:hint="eastAsia"/>
          <w:b/>
          <w:bCs/>
          <w:sz w:val="30"/>
          <w:szCs w:val="30"/>
        </w:rPr>
        <w:t xml:space="preserve"> from </w:t>
      </w:r>
      <w:r>
        <w:rPr>
          <w:b/>
          <w:bCs/>
          <w:sz w:val="30"/>
          <w:szCs w:val="30"/>
        </w:rPr>
        <w:t>CO</w:t>
      </w:r>
      <w:r>
        <w:rPr>
          <w:b/>
          <w:bCs/>
          <w:sz w:val="30"/>
          <w:szCs w:val="30"/>
          <w:vertAlign w:val="subscript"/>
        </w:rPr>
        <w:t>2</w:t>
      </w:r>
      <w:r>
        <w:rPr>
          <w:b/>
          <w:bCs/>
          <w:sz w:val="30"/>
          <w:szCs w:val="30"/>
        </w:rPr>
        <w:t xml:space="preserve"> </w:t>
      </w:r>
      <w:r>
        <w:rPr>
          <w:rFonts w:hint="eastAsia"/>
          <w:b/>
          <w:bCs/>
          <w:sz w:val="30"/>
          <w:szCs w:val="30"/>
        </w:rPr>
        <w:t>hydrogenation</w:t>
      </w:r>
    </w:p>
    <w:bookmarkEnd w:id="1"/>
    <w:p w14:paraId="6832DD62">
      <w:pPr>
        <w:tabs>
          <w:tab w:val="left" w:pos="720"/>
        </w:tabs>
        <w:spacing w:before="163" w:beforeLines="50" w:line="360" w:lineRule="auto"/>
        <w:rPr>
          <w:b/>
          <w:bCs/>
          <w:sz w:val="30"/>
          <w:szCs w:val="30"/>
        </w:rPr>
      </w:pPr>
    </w:p>
    <w:bookmarkEnd w:id="2"/>
    <w:p w14:paraId="683C5766">
      <w:pPr>
        <w:spacing w:line="360" w:lineRule="auto"/>
        <w:rPr>
          <w:b/>
          <w:bCs/>
        </w:rPr>
        <w:sectPr>
          <w:footerReference r:id="rId3" w:type="default"/>
          <w:pgSz w:w="11906" w:h="16838"/>
          <w:pgMar w:top="1134" w:right="1134" w:bottom="1134" w:left="1134" w:header="851" w:footer="992" w:gutter="0"/>
          <w:cols w:space="425" w:num="1"/>
          <w:docGrid w:type="lines" w:linePitch="326" w:charSpace="0"/>
        </w:sectPr>
      </w:pPr>
      <w:r>
        <w:rPr>
          <w:szCs w:val="24"/>
        </w:rPr>
        <w:br w:type="page"/>
      </w:r>
      <w:bookmarkEnd w:id="0"/>
    </w:p>
    <w:p w14:paraId="6923C167">
      <w:pPr>
        <w:spacing w:line="360" w:lineRule="auto"/>
        <w:rPr>
          <w:rFonts w:cs="Times New Roman"/>
          <w:b/>
          <w:bCs/>
          <w:iCs/>
          <w:sz w:val="28"/>
          <w:szCs w:val="28"/>
        </w:rPr>
      </w:pPr>
      <w:r>
        <w:rPr>
          <w:rFonts w:cs="Times New Roman"/>
          <w:b/>
          <w:bCs/>
          <w:iCs/>
          <w:sz w:val="28"/>
          <w:szCs w:val="28"/>
        </w:rPr>
        <w:t>Supporting</w:t>
      </w:r>
      <w:r>
        <w:rPr>
          <w:rFonts w:hint="eastAsia" w:cs="Times New Roman"/>
          <w:b/>
          <w:bCs/>
          <w:iCs/>
          <w:sz w:val="28"/>
          <w:szCs w:val="28"/>
        </w:rPr>
        <w:t xml:space="preserve"> </w:t>
      </w:r>
      <w:r>
        <w:rPr>
          <w:rFonts w:cs="Times New Roman"/>
          <w:b/>
          <w:bCs/>
          <w:iCs/>
          <w:sz w:val="28"/>
          <w:szCs w:val="28"/>
        </w:rPr>
        <w:t>Methods</w:t>
      </w:r>
    </w:p>
    <w:p w14:paraId="32971595">
      <w:pPr>
        <w:spacing w:line="312" w:lineRule="auto"/>
        <w:rPr>
          <w:b/>
          <w:szCs w:val="20"/>
          <w:lang w:val="en-GB"/>
        </w:rPr>
      </w:pPr>
    </w:p>
    <w:p w14:paraId="3E328FF8">
      <w:pPr>
        <w:spacing w:line="312" w:lineRule="auto"/>
        <w:rPr>
          <w:b/>
          <w:szCs w:val="20"/>
          <w:lang w:val="en-GB"/>
        </w:rPr>
      </w:pPr>
      <w:r>
        <w:rPr>
          <w:rFonts w:hint="eastAsia"/>
          <w:b/>
          <w:szCs w:val="20"/>
          <w:lang w:val="en-GB"/>
        </w:rPr>
        <w:t>S1</w:t>
      </w:r>
      <w:r>
        <w:rPr>
          <w:b/>
          <w:szCs w:val="20"/>
          <w:lang w:val="en-GB"/>
        </w:rPr>
        <w:t>.</w:t>
      </w:r>
      <w:r>
        <w:rPr>
          <w:rFonts w:hint="eastAsia"/>
          <w:b/>
          <w:szCs w:val="20"/>
          <w:lang w:val="en-GB"/>
        </w:rPr>
        <w:t>1</w:t>
      </w:r>
      <w:r>
        <w:rPr>
          <w:b/>
          <w:szCs w:val="20"/>
          <w:lang w:val="en-GB"/>
        </w:rPr>
        <w:t xml:space="preserve"> Catalyst characterizations</w:t>
      </w:r>
    </w:p>
    <w:p w14:paraId="34C9E33A">
      <w:pPr>
        <w:spacing w:line="312" w:lineRule="auto"/>
        <w:ind w:firstLine="240" w:firstLineChars="100"/>
      </w:pPr>
      <w:r>
        <w:t xml:space="preserve">X-ray diffraction (XRD) analyzer (Rigaku Ultima IV) was </w:t>
      </w:r>
      <w:r>
        <w:rPr>
          <w:rFonts w:hint="eastAsia"/>
        </w:rPr>
        <w:t xml:space="preserve">used to </w:t>
      </w:r>
      <w:r>
        <w:t>record</w:t>
      </w:r>
      <w:r>
        <w:rPr>
          <w:rFonts w:hint="eastAsia"/>
        </w:rPr>
        <w:t xml:space="preserve"> the XRD patterns of the samples</w:t>
      </w:r>
      <w:r>
        <w:t>. The ratio of Si/Al was determined by X-ray fluorescence (XRF) using a Rigaku ZSX Primus II instrument.</w:t>
      </w:r>
    </w:p>
    <w:p w14:paraId="401F0282">
      <w:pPr>
        <w:spacing w:line="312" w:lineRule="auto"/>
        <w:ind w:firstLine="240" w:firstLineChars="100"/>
      </w:pPr>
      <w:r>
        <w:t>Emission scanning electron microscopy (SEM) (ZEISS SUPRRATM55 SAPPHIRE) w</w:t>
      </w:r>
      <w:r>
        <w:rPr>
          <w:rFonts w:hint="eastAsia"/>
        </w:rPr>
        <w:t>as</w:t>
      </w:r>
      <w:r>
        <w:t xml:space="preserve"> used for morphological observation.</w:t>
      </w:r>
    </w:p>
    <w:p w14:paraId="00B01849">
      <w:pPr>
        <w:spacing w:line="312" w:lineRule="auto"/>
        <w:ind w:firstLine="240" w:firstLineChars="100"/>
      </w:pPr>
      <w:r>
        <w:t>N</w:t>
      </w:r>
      <w:r>
        <w:rPr>
          <w:vertAlign w:val="subscript"/>
        </w:rPr>
        <w:t>2</w:t>
      </w:r>
      <w:r>
        <w:t xml:space="preserve"> adsorption-desorption </w:t>
      </w:r>
      <w:r>
        <w:rPr>
          <w:rFonts w:hint="eastAsia"/>
        </w:rPr>
        <w:t>was carried out on</w:t>
      </w:r>
      <w:r>
        <w:t xml:space="preserve"> the </w:t>
      </w:r>
      <w:r>
        <w:rPr>
          <w:rFonts w:hint="eastAsia"/>
        </w:rPr>
        <w:t>s</w:t>
      </w:r>
      <w:r>
        <w:t xml:space="preserve">pecific </w:t>
      </w:r>
      <w:r>
        <w:rPr>
          <w:rFonts w:hint="eastAsia"/>
        </w:rPr>
        <w:t>s</w:t>
      </w:r>
      <w:r>
        <w:t xml:space="preserve">urface area and </w:t>
      </w:r>
      <w:r>
        <w:rPr>
          <w:rFonts w:hint="eastAsia"/>
        </w:rPr>
        <w:t>p</w:t>
      </w:r>
      <w:r>
        <w:t xml:space="preserve">ore </w:t>
      </w:r>
      <w:r>
        <w:rPr>
          <w:rFonts w:hint="eastAsia"/>
        </w:rPr>
        <w:t>s</w:t>
      </w:r>
      <w:r>
        <w:t xml:space="preserve">ize </w:t>
      </w:r>
      <w:r>
        <w:rPr>
          <w:rFonts w:hint="eastAsia"/>
        </w:rPr>
        <w:t>a</w:t>
      </w:r>
      <w:r>
        <w:t>nalyzer</w:t>
      </w:r>
      <w:r>
        <w:rPr>
          <w:rFonts w:hint="eastAsia"/>
        </w:rPr>
        <w:t xml:space="preserve"> (Micromeritics ASAP 2460)</w:t>
      </w:r>
      <w:r>
        <w:t xml:space="preserve">. The sample was firstly degassed at </w:t>
      </w:r>
      <w:r>
        <w:rPr>
          <w:rFonts w:hint="eastAsia"/>
        </w:rPr>
        <w:t>3</w:t>
      </w:r>
      <w:r>
        <w:t xml:space="preserve">00 </w:t>
      </w:r>
      <w:r>
        <w:rPr>
          <w:rFonts w:cs="Times New Roman"/>
          <w:iCs/>
        </w:rPr>
        <w:t>°C</w:t>
      </w:r>
      <w:r>
        <w:t xml:space="preserve"> in a vacuum for 1</w:t>
      </w:r>
      <w:r>
        <w:rPr>
          <w:rFonts w:hint="eastAsia"/>
        </w:rPr>
        <w:t>0</w:t>
      </w:r>
      <w:r>
        <w:t xml:space="preserve"> h and then moved to the analysis station for adsorption-desorption at −196 </w:t>
      </w:r>
      <w:r>
        <w:rPr>
          <w:rFonts w:cs="Times New Roman"/>
          <w:iCs/>
        </w:rPr>
        <w:t>°C</w:t>
      </w:r>
      <w:r>
        <w:t>. The specific surface area was determined based on the Brunauer-Emmett-Teller (BET) method a</w:t>
      </w:r>
      <w:r>
        <w:rPr>
          <w:rFonts w:hint="eastAsia"/>
        </w:rPr>
        <w:t>nd</w:t>
      </w:r>
      <w:r>
        <w:t xml:space="preserve"> </w:t>
      </w:r>
      <w:r>
        <w:rPr>
          <w:rFonts w:hint="eastAsia"/>
        </w:rPr>
        <w:t>t</w:t>
      </w:r>
      <w:r>
        <w:t>he pore volume and pore diameter were calculated based on the Barrett-Joyner-Halenda (BJH) model.</w:t>
      </w:r>
    </w:p>
    <w:p w14:paraId="7EA060F0">
      <w:pPr>
        <w:spacing w:line="312" w:lineRule="auto"/>
        <w:ind w:firstLine="240" w:firstLineChars="100"/>
      </w:pPr>
      <w:r>
        <w:t>NH</w:t>
      </w:r>
      <w:r>
        <w:rPr>
          <w:vertAlign w:val="subscript"/>
        </w:rPr>
        <w:t>3</w:t>
      </w:r>
      <w:r>
        <w:t xml:space="preserve"> temperature-programmed desorption (NH</w:t>
      </w:r>
      <w:r>
        <w:rPr>
          <w:vertAlign w:val="subscript"/>
        </w:rPr>
        <w:t>3</w:t>
      </w:r>
      <w:r>
        <w:t>-TPD) experiments were recorded with a thermal conductivity detector (TCD). Typically, 1</w:t>
      </w:r>
      <w:r>
        <w:rPr>
          <w:rFonts w:hint="eastAsia"/>
        </w:rPr>
        <w:t>5</w:t>
      </w:r>
      <w:r>
        <w:t>0 mg sample was pretreated in an Ar flow (30 mL</w:t>
      </w:r>
      <w:r>
        <w:rPr>
          <w:rFonts w:eastAsia="楷体"/>
        </w:rPr>
        <w:t>·</w:t>
      </w:r>
      <w:r>
        <w:t>min</w:t>
      </w:r>
      <w:r>
        <w:rPr>
          <w:vertAlign w:val="superscript"/>
        </w:rPr>
        <w:t>–1</w:t>
      </w:r>
      <w:r>
        <w:t xml:space="preserve">) at 200 </w:t>
      </w:r>
      <w:r>
        <w:rPr>
          <w:rFonts w:cs="Times New Roman"/>
          <w:iCs/>
        </w:rPr>
        <w:t>°C</w:t>
      </w:r>
      <w:r>
        <w:t xml:space="preserve"> for 1 h. After cooling to </w:t>
      </w:r>
      <w:r>
        <w:rPr>
          <w:rFonts w:hint="eastAsia"/>
        </w:rPr>
        <w:t>10</w:t>
      </w:r>
      <w:r>
        <w:t xml:space="preserve">0 </w:t>
      </w:r>
      <w:r>
        <w:rPr>
          <w:rFonts w:cs="Times New Roman"/>
          <w:iCs/>
        </w:rPr>
        <w:t>°C</w:t>
      </w:r>
      <w:r>
        <w:t>, the sample was saturated with ammonia flow for 0.5 h, and then the Ar flow was introduced as the sweep gas. Finally, NH</w:t>
      </w:r>
      <w:r>
        <w:rPr>
          <w:vertAlign w:val="subscript"/>
        </w:rPr>
        <w:t>3</w:t>
      </w:r>
      <w:r>
        <w:t xml:space="preserve">-TPD was presented in the temperature range from </w:t>
      </w:r>
      <w:r>
        <w:rPr>
          <w:rFonts w:hint="eastAsia"/>
        </w:rPr>
        <w:t>100</w:t>
      </w:r>
      <w:r>
        <w:t xml:space="preserve"> to </w:t>
      </w:r>
      <w:r>
        <w:rPr>
          <w:rFonts w:hint="eastAsia"/>
        </w:rPr>
        <w:t>5</w:t>
      </w:r>
      <w:r>
        <w:t xml:space="preserve">00 </w:t>
      </w:r>
      <w:r>
        <w:rPr>
          <w:rFonts w:cs="Times New Roman"/>
          <w:iCs/>
        </w:rPr>
        <w:t>°C</w:t>
      </w:r>
      <w:r>
        <w:t xml:space="preserve"> at a rate of 10 </w:t>
      </w:r>
      <w:r>
        <w:rPr>
          <w:rFonts w:cs="Times New Roman"/>
          <w:iCs/>
        </w:rPr>
        <w:t>°C</w:t>
      </w:r>
      <w:r>
        <w:t>.</w:t>
      </w:r>
    </w:p>
    <w:p w14:paraId="69B3CEC6">
      <w:pPr>
        <w:spacing w:line="312" w:lineRule="auto"/>
        <w:ind w:firstLine="240" w:firstLineChars="100"/>
      </w:pPr>
      <w:r>
        <w:t>H</w:t>
      </w:r>
      <w:r>
        <w:rPr>
          <w:vertAlign w:val="subscript"/>
        </w:rPr>
        <w:t>2</w:t>
      </w:r>
      <w:r>
        <w:t xml:space="preserve"> temperature-programmed reduction experiments (H</w:t>
      </w:r>
      <w:r>
        <w:rPr>
          <w:vertAlign w:val="subscript"/>
        </w:rPr>
        <w:t>2</w:t>
      </w:r>
      <w:r>
        <w:t>-TPR) were characterized by a Micromeritics ChemiSorb 2920 instrument, and the signals were detected by a thermal conductivity detector (TCD). Firstl</w:t>
      </w:r>
      <w:r>
        <w:rPr>
          <w:rFonts w:hint="eastAsia"/>
        </w:rPr>
        <w:t>y, 100 mg of sample was loaded into a quartz tube and processed in a 60 mL</w:t>
      </w:r>
      <w:r>
        <w:t>·</w:t>
      </w:r>
      <w:r>
        <w:rPr>
          <w:rFonts w:hint="eastAsia"/>
        </w:rPr>
        <w:t>min</w:t>
      </w:r>
      <w:r>
        <w:rPr>
          <w:vertAlign w:val="superscript"/>
        </w:rPr>
        <w:t>–1</w:t>
      </w:r>
      <w:r>
        <w:rPr>
          <w:rFonts w:hint="eastAsia"/>
        </w:rPr>
        <w:t xml:space="preserve"> Ar atmosphere at 300 </w:t>
      </w:r>
      <w:r>
        <w:rPr>
          <w:rFonts w:cs="Times New Roman"/>
          <w:iCs/>
        </w:rPr>
        <w:t>°C</w:t>
      </w:r>
      <w:r>
        <w:rPr>
          <w:rFonts w:hint="eastAsia"/>
        </w:rPr>
        <w:t xml:space="preserve"> with the rate of 5 </w:t>
      </w:r>
      <w:r>
        <w:rPr>
          <w:rFonts w:cs="Times New Roman"/>
          <w:iCs/>
        </w:rPr>
        <w:t>°C</w:t>
      </w:r>
      <w:r>
        <w:t>·</w:t>
      </w:r>
      <w:r>
        <w:rPr>
          <w:rFonts w:hint="eastAsia"/>
        </w:rPr>
        <w:t>min</w:t>
      </w:r>
      <w:r>
        <w:rPr>
          <w:vertAlign w:val="superscript"/>
        </w:rPr>
        <w:t>–1</w:t>
      </w:r>
      <w:r>
        <w:rPr>
          <w:rFonts w:hint="eastAsia"/>
        </w:rPr>
        <w:t xml:space="preserve"> for 1 h. After the temperature was lowered to 50 </w:t>
      </w:r>
      <w:r>
        <w:rPr>
          <w:rFonts w:cs="Times New Roman"/>
          <w:iCs/>
        </w:rPr>
        <w:t>°C</w:t>
      </w:r>
      <w:r>
        <w:rPr>
          <w:rFonts w:hint="eastAsia"/>
        </w:rPr>
        <w:t>, the sample was cut to a 5% 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/Ar mixture at a flow rate of 30 mL</w:t>
      </w:r>
      <w:r>
        <w:t>·</w:t>
      </w:r>
      <w:r>
        <w:rPr>
          <w:rFonts w:hint="eastAsia"/>
        </w:rPr>
        <w:t>min</w:t>
      </w:r>
      <w:r>
        <w:rPr>
          <w:vertAlign w:val="superscript"/>
        </w:rPr>
        <w:t>–1</w:t>
      </w:r>
      <w:r>
        <w:rPr>
          <w:rFonts w:hint="eastAsia"/>
        </w:rPr>
        <w:t xml:space="preserve">, and the test was initiated after the baseline was stable. </w:t>
      </w:r>
      <w:bookmarkStart w:id="3" w:name="OLE_LINK99"/>
      <w:r>
        <w:rPr>
          <w:rFonts w:hint="eastAsia"/>
        </w:rPr>
        <w:t xml:space="preserve">During the test, the temperature was increased to 700 </w:t>
      </w:r>
      <w:r>
        <w:rPr>
          <w:rFonts w:cs="Times New Roman"/>
          <w:iCs/>
        </w:rPr>
        <w:t>°C</w:t>
      </w:r>
      <w:r>
        <w:rPr>
          <w:rFonts w:hint="eastAsia"/>
        </w:rPr>
        <w:t xml:space="preserve"> at 5 </w:t>
      </w:r>
      <w:r>
        <w:rPr>
          <w:rFonts w:cs="Times New Roman"/>
          <w:iCs/>
        </w:rPr>
        <w:t>°C</w:t>
      </w:r>
      <w:r>
        <w:t>·</w:t>
      </w:r>
      <w:r>
        <w:rPr>
          <w:rFonts w:hint="eastAsia"/>
        </w:rPr>
        <w:t>min</w:t>
      </w:r>
      <w:r>
        <w:rPr>
          <w:vertAlign w:val="superscript"/>
        </w:rPr>
        <w:t>–1</w:t>
      </w:r>
      <w:r>
        <w:rPr>
          <w:rFonts w:hint="eastAsia"/>
        </w:rPr>
        <w:t xml:space="preserve">. </w:t>
      </w:r>
      <w:r>
        <w:t>H</w:t>
      </w:r>
      <w:r>
        <w:rPr>
          <w:vertAlign w:val="subscript"/>
        </w:rPr>
        <w:t>2</w:t>
      </w:r>
      <w:r>
        <w:t xml:space="preserve">-TPD </w:t>
      </w:r>
      <w:r>
        <w:rPr>
          <w:rFonts w:hint="eastAsia"/>
        </w:rPr>
        <w:t xml:space="preserve">and </w:t>
      </w:r>
      <w:r>
        <w:t>CO</w:t>
      </w:r>
      <w:r>
        <w:rPr>
          <w:vertAlign w:val="subscript"/>
        </w:rPr>
        <w:t>2</w:t>
      </w:r>
      <w:r>
        <w:t>-TPD results are normalized based on the same catalyst mass, and all measurements were conducted under identical experimental conditions.</w:t>
      </w:r>
    </w:p>
    <w:bookmarkEnd w:id="3"/>
    <w:p w14:paraId="3210636A">
      <w:pPr>
        <w:spacing w:line="312" w:lineRule="auto"/>
        <w:ind w:firstLine="240" w:firstLineChars="100"/>
      </w:pPr>
      <w:r>
        <w:rPr>
          <w:rFonts w:eastAsia="楷体"/>
          <w:bCs/>
        </w:rPr>
        <w:t>The H</w:t>
      </w:r>
      <w:r>
        <w:rPr>
          <w:rFonts w:eastAsia="楷体"/>
          <w:bCs/>
          <w:vertAlign w:val="subscript"/>
        </w:rPr>
        <w:t>2</w:t>
      </w:r>
      <w:r>
        <w:rPr>
          <w:rFonts w:eastAsia="楷体"/>
          <w:bCs/>
        </w:rPr>
        <w:t>-D</w:t>
      </w:r>
      <w:r>
        <w:rPr>
          <w:rFonts w:eastAsia="楷体"/>
          <w:bCs/>
          <w:vertAlign w:val="subscript"/>
        </w:rPr>
        <w:t>2</w:t>
      </w:r>
      <w:r>
        <w:rPr>
          <w:rFonts w:eastAsia="楷体"/>
          <w:bCs/>
        </w:rPr>
        <w:t xml:space="preserve"> exchange experiments were carried out on the Micromeritics Autochem 2920 connected to MS.</w:t>
      </w:r>
      <w:r>
        <w:t xml:space="preserve"> Firstl</w:t>
      </w:r>
      <w:r>
        <w:rPr>
          <w:rFonts w:hint="eastAsia"/>
        </w:rPr>
        <w:t>y, 100 mg of sample was loaded into a quartz tube and processed in a 30 mL</w:t>
      </w:r>
      <w:r>
        <w:t>·</w:t>
      </w:r>
      <w:r>
        <w:rPr>
          <w:rFonts w:hint="eastAsia"/>
        </w:rPr>
        <w:t>min</w:t>
      </w:r>
      <w:r>
        <w:rPr>
          <w:vertAlign w:val="superscript"/>
        </w:rPr>
        <w:t>–1</w:t>
      </w:r>
      <w:r>
        <w:rPr>
          <w:rFonts w:hint="eastAsia"/>
        </w:rPr>
        <w:t xml:space="preserve"> Ar atmosphere at 310 </w:t>
      </w:r>
      <w:r>
        <w:rPr>
          <w:rFonts w:cs="Times New Roman"/>
          <w:iCs/>
        </w:rPr>
        <w:t>°C</w:t>
      </w:r>
      <w:r>
        <w:rPr>
          <w:rFonts w:hint="eastAsia"/>
        </w:rPr>
        <w:t xml:space="preserve"> with the rate of 5 </w:t>
      </w:r>
      <w:r>
        <w:rPr>
          <w:rFonts w:cs="Times New Roman"/>
          <w:iCs/>
        </w:rPr>
        <w:t>°C</w:t>
      </w:r>
      <w:r>
        <w:t>·</w:t>
      </w:r>
      <w:r>
        <w:rPr>
          <w:rFonts w:hint="eastAsia"/>
        </w:rPr>
        <w:t>min</w:t>
      </w:r>
      <w:r>
        <w:rPr>
          <w:vertAlign w:val="superscript"/>
        </w:rPr>
        <w:t>–1</w:t>
      </w:r>
      <w:r>
        <w:rPr>
          <w:rFonts w:hint="eastAsia"/>
        </w:rPr>
        <w:t xml:space="preserve"> for 1 h. After the temperature was lowered to 50 </w:t>
      </w:r>
      <w:r>
        <w:rPr>
          <w:rFonts w:cs="Times New Roman"/>
          <w:iCs/>
        </w:rPr>
        <w:t>°C</w:t>
      </w:r>
      <w:r>
        <w:rPr>
          <w:rFonts w:hint="eastAsia"/>
        </w:rPr>
        <w:t>, the sample was cut to a 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/</w:t>
      </w:r>
      <w:r>
        <w:rPr>
          <w:rFonts w:eastAsia="楷体"/>
          <w:bCs/>
        </w:rPr>
        <w:t>D</w:t>
      </w:r>
      <w:r>
        <w:rPr>
          <w:rFonts w:eastAsia="楷体"/>
          <w:bCs/>
          <w:vertAlign w:val="subscript"/>
        </w:rPr>
        <w:t>2</w:t>
      </w:r>
      <w:r>
        <w:rPr>
          <w:rFonts w:hint="eastAsia"/>
        </w:rPr>
        <w:t xml:space="preserve"> mixture at a flow rate of 30 mL</w:t>
      </w:r>
      <w:r>
        <w:t>·</w:t>
      </w:r>
      <w:r>
        <w:rPr>
          <w:rFonts w:hint="eastAsia"/>
        </w:rPr>
        <w:t>min</w:t>
      </w:r>
      <w:r>
        <w:rPr>
          <w:vertAlign w:val="superscript"/>
        </w:rPr>
        <w:t>–1</w:t>
      </w:r>
      <w:r>
        <w:rPr>
          <w:rFonts w:hint="eastAsia"/>
        </w:rPr>
        <w:t xml:space="preserve">, and the test was initiated after the baseline was stable. During the test, the temperature was increased to 750 </w:t>
      </w:r>
      <w:r>
        <w:rPr>
          <w:rFonts w:cs="Times New Roman"/>
          <w:iCs/>
        </w:rPr>
        <w:t>°C</w:t>
      </w:r>
      <w:r>
        <w:rPr>
          <w:rFonts w:hint="eastAsia"/>
        </w:rPr>
        <w:t xml:space="preserve"> at 10 </w:t>
      </w:r>
      <w:r>
        <w:rPr>
          <w:rFonts w:cs="Times New Roman"/>
          <w:iCs/>
        </w:rPr>
        <w:t>°C</w:t>
      </w:r>
      <w:r>
        <w:t>·</w:t>
      </w:r>
      <w:r>
        <w:rPr>
          <w:rFonts w:hint="eastAsia"/>
        </w:rPr>
        <w:t>min</w:t>
      </w:r>
      <w:r>
        <w:rPr>
          <w:vertAlign w:val="superscript"/>
        </w:rPr>
        <w:t>–1</w:t>
      </w:r>
      <w:r>
        <w:rPr>
          <w:rFonts w:hint="eastAsia"/>
        </w:rPr>
        <w:t>.</w:t>
      </w:r>
    </w:p>
    <w:p w14:paraId="39C2990C">
      <w:pPr>
        <w:spacing w:line="312" w:lineRule="auto"/>
        <w:ind w:firstLine="240" w:firstLineChars="100"/>
      </w:pPr>
      <w:r>
        <w:rPr>
          <w:rFonts w:hint="eastAsia"/>
        </w:rPr>
        <w:t>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/CO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 temperature-programmed desorption (H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/CO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-TPD) was performed on a Micromeritics Autochem 2920 instrument. The </w:t>
      </w:r>
      <w:r>
        <w:t>1</w:t>
      </w:r>
      <w:r>
        <w:rPr>
          <w:rFonts w:hint="eastAsia"/>
        </w:rPr>
        <w:t>0</w:t>
      </w:r>
      <w:r>
        <w:t>0 mg</w:t>
      </w:r>
      <w:r>
        <w:rPr>
          <w:rFonts w:hint="eastAsia"/>
        </w:rPr>
        <w:t xml:space="preserve"> catalyst was </w:t>
      </w:r>
      <w:r>
        <w:t>pretreated in an Ar flow (30 mL</w:t>
      </w:r>
      <w:r>
        <w:rPr>
          <w:rFonts w:eastAsia="楷体"/>
        </w:rPr>
        <w:t>·</w:t>
      </w:r>
      <w:r>
        <w:t>min</w:t>
      </w:r>
      <w:r>
        <w:rPr>
          <w:vertAlign w:val="superscript"/>
        </w:rPr>
        <w:t>–1</w:t>
      </w:r>
      <w:r>
        <w:t xml:space="preserve">) at </w:t>
      </w:r>
      <w:r>
        <w:rPr>
          <w:rFonts w:hint="eastAsia"/>
        </w:rPr>
        <w:t>31</w:t>
      </w:r>
      <w:r>
        <w:t xml:space="preserve">0 </w:t>
      </w:r>
      <w:r>
        <w:rPr>
          <w:rFonts w:cs="Times New Roman"/>
          <w:iCs/>
        </w:rPr>
        <w:t>°C</w:t>
      </w:r>
      <w:r>
        <w:t xml:space="preserve"> for 1 h</w:t>
      </w:r>
      <w:r>
        <w:rPr>
          <w:rFonts w:hint="eastAsia"/>
        </w:rPr>
        <w:t xml:space="preserve"> and then cooled to 50 </w:t>
      </w:r>
      <w:r>
        <w:rPr>
          <w:rFonts w:cs="Times New Roman"/>
          <w:iCs/>
        </w:rPr>
        <w:t>°C</w:t>
      </w:r>
      <w:r>
        <w:rPr>
          <w:rFonts w:hint="eastAsia"/>
        </w:rPr>
        <w:t>. Then, after adsorbing 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/CO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 for 30 min, physically adsorbed 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/CO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 on the catalyst surface was purged with an Ar flow of 30 mL min</w:t>
      </w:r>
      <w:r>
        <w:rPr>
          <w:rFonts w:ascii="Cambria Math" w:hAnsi="Cambria Math" w:cs="Cambria Math"/>
          <w:vertAlign w:val="superscript"/>
        </w:rPr>
        <w:t>−</w:t>
      </w:r>
      <w:r>
        <w:rPr>
          <w:rFonts w:hint="eastAsia"/>
          <w:vertAlign w:val="superscript"/>
        </w:rPr>
        <w:t>1</w:t>
      </w:r>
      <w:r>
        <w:rPr>
          <w:rFonts w:hint="eastAsia"/>
        </w:rPr>
        <w:t xml:space="preserve">. After baseline stabilization, the catalyst was heated from 50 to 750 </w:t>
      </w:r>
      <w:r>
        <w:rPr>
          <w:rFonts w:cs="Times New Roman"/>
          <w:iCs/>
        </w:rPr>
        <w:t>°C</w:t>
      </w:r>
      <w:r>
        <w:rPr>
          <w:rFonts w:hint="eastAsia"/>
        </w:rPr>
        <w:t xml:space="preserve"> at a rate of 10 </w:t>
      </w:r>
      <w:r>
        <w:rPr>
          <w:rFonts w:cs="Times New Roman"/>
          <w:iCs/>
        </w:rPr>
        <w:t>°C</w:t>
      </w:r>
      <w:r>
        <w:rPr>
          <w:rFonts w:hint="eastAsia"/>
        </w:rPr>
        <w:t xml:space="preserve"> min</w:t>
      </w:r>
      <w:r>
        <w:rPr>
          <w:rFonts w:ascii="Cambria Math" w:hAnsi="Cambria Math" w:cs="Cambria Math"/>
          <w:vertAlign w:val="superscript"/>
        </w:rPr>
        <w:t>−</w:t>
      </w:r>
      <w:r>
        <w:rPr>
          <w:rFonts w:hint="eastAsia"/>
          <w:vertAlign w:val="superscript"/>
        </w:rPr>
        <w:t>1</w:t>
      </w:r>
      <w:r>
        <w:rPr>
          <w:rFonts w:hint="eastAsia"/>
        </w:rPr>
        <w:t>.</w:t>
      </w:r>
    </w:p>
    <w:p w14:paraId="79763C65">
      <w:pPr>
        <w:spacing w:line="312" w:lineRule="auto"/>
        <w:ind w:firstLine="240" w:firstLineChars="100"/>
      </w:pPr>
      <w:r>
        <w:t xml:space="preserve">Thermogravimetric (TG) analysis of the spent samples was performed on a STA449-QMS thermal analyzer. The spent samples were heated in air (30 </w:t>
      </w:r>
      <w:r>
        <w:rPr>
          <w:rFonts w:hint="eastAsia"/>
        </w:rPr>
        <w:t>mL</w:t>
      </w:r>
      <w:r>
        <w:t>·</w:t>
      </w:r>
      <w:r>
        <w:rPr>
          <w:rFonts w:hint="eastAsia"/>
        </w:rPr>
        <w:t>min</w:t>
      </w:r>
      <w:r>
        <w:rPr>
          <w:vertAlign w:val="superscript"/>
        </w:rPr>
        <w:t>–1</w:t>
      </w:r>
      <w:r>
        <w:t xml:space="preserve">) from 40 to 900 </w:t>
      </w:r>
      <w:r>
        <w:rPr>
          <w:rFonts w:cs="Times New Roman"/>
          <w:iCs/>
        </w:rPr>
        <w:t>°C</w:t>
      </w:r>
      <w:r>
        <w:t xml:space="preserve"> at a rate of 10 </w:t>
      </w:r>
      <w:r>
        <w:rPr>
          <w:rFonts w:cs="Times New Roman"/>
          <w:iCs/>
        </w:rPr>
        <w:t>°C</w:t>
      </w:r>
      <w:r>
        <w:t>·</w:t>
      </w:r>
      <w:r>
        <w:rPr>
          <w:rFonts w:hint="eastAsia"/>
        </w:rPr>
        <w:t>min</w:t>
      </w:r>
      <w:r>
        <w:rPr>
          <w:vertAlign w:val="superscript"/>
        </w:rPr>
        <w:t>–1</w:t>
      </w:r>
      <w:r>
        <w:t>.</w:t>
      </w:r>
    </w:p>
    <w:p w14:paraId="47F7E321">
      <w:pPr>
        <w:spacing w:line="312" w:lineRule="auto"/>
        <w:ind w:firstLine="240" w:firstLineChars="100"/>
      </w:pPr>
      <w:r>
        <w:rPr>
          <w:i/>
          <w:iCs/>
        </w:rPr>
        <w:t>In situ</w:t>
      </w:r>
      <w:r>
        <w:t xml:space="preserve"> Diffuse reflectance infrared Fourier transform spectroscopy (</w:t>
      </w:r>
      <w:r>
        <w:rPr>
          <w:i/>
          <w:iCs/>
        </w:rPr>
        <w:t>in situ</w:t>
      </w:r>
      <w:r>
        <w:t xml:space="preserve"> DRIFTS) experiments were tested on a Nicolet 6700 instrument equipped with an MCT detector. </w:t>
      </w:r>
      <w:r>
        <w:rPr>
          <w:i/>
          <w:iCs/>
        </w:rPr>
        <w:t>In situ</w:t>
      </w:r>
      <w:r>
        <w:t xml:space="preserve"> absorbance spectra were obtained by collecting 32 scans at 8 cm</w:t>
      </w:r>
      <w:r>
        <w:rPr>
          <w:vertAlign w:val="superscript"/>
        </w:rPr>
        <w:t>–1</w:t>
      </w:r>
      <w:r>
        <w:t xml:space="preserve"> resolution. Before DRIFTS analyses, the catalysts undergone the same pretreatment in the cell a</w:t>
      </w:r>
      <w:r>
        <w:rPr>
          <w:rFonts w:hint="eastAsia"/>
        </w:rPr>
        <w:t>t</w:t>
      </w:r>
      <w:r>
        <w:t xml:space="preserve"> the Ar atmosphere, which was then cooled down to the target temperatures under Ar and the corresponding background spectra were collected for subsequent DRIFTS analyses.</w:t>
      </w:r>
    </w:p>
    <w:p w14:paraId="0BD14D52">
      <w:pPr>
        <w:spacing w:line="312" w:lineRule="auto"/>
        <w:ind w:firstLine="240" w:firstLineChars="100"/>
      </w:pPr>
      <w:r>
        <w:t>C</w:t>
      </w:r>
      <w:r>
        <w:rPr>
          <w:vertAlign w:val="subscript"/>
        </w:rPr>
        <w:t>3</w:t>
      </w:r>
      <w:r>
        <w:t>H</w:t>
      </w:r>
      <w:r>
        <w:rPr>
          <w:vertAlign w:val="subscript"/>
        </w:rPr>
        <w:t>6</w:t>
      </w:r>
      <w:r>
        <w:t>-desorption Diffuse reflectance infrared Fourier transform spectroscopy was recorded using a Nicolet 6700</w:t>
      </w:r>
      <w:r>
        <w:rPr>
          <w:rFonts w:hint="eastAsia"/>
        </w:rPr>
        <w:t xml:space="preserve"> </w:t>
      </w:r>
      <w:r>
        <w:t xml:space="preserve">instrument. As a typical run, the sample was heated to </w:t>
      </w:r>
      <w:r>
        <w:rPr>
          <w:rFonts w:hint="eastAsia"/>
        </w:rPr>
        <w:t>31</w:t>
      </w:r>
      <w:r>
        <w:t xml:space="preserve">0 </w:t>
      </w:r>
      <w:r>
        <w:rPr>
          <w:rFonts w:cs="Times New Roman"/>
          <w:iCs/>
        </w:rPr>
        <w:t>°C</w:t>
      </w:r>
      <w:r>
        <w:t xml:space="preserve"> and</w:t>
      </w:r>
      <w:r>
        <w:rPr>
          <w:rFonts w:hint="eastAsia"/>
        </w:rPr>
        <w:t xml:space="preserve"> </w:t>
      </w:r>
      <w:r>
        <w:t xml:space="preserve">kept for </w:t>
      </w:r>
      <w:r>
        <w:rPr>
          <w:rFonts w:hint="eastAsia"/>
        </w:rPr>
        <w:t>1</w:t>
      </w:r>
      <w:r>
        <w:t xml:space="preserve"> h under </w:t>
      </w:r>
      <w:r>
        <w:rPr>
          <w:rFonts w:hint="eastAsia"/>
        </w:rPr>
        <w:t>Ar</w:t>
      </w:r>
      <w:r>
        <w:t xml:space="preserve"> with a flow rate of </w:t>
      </w:r>
      <w:r>
        <w:rPr>
          <w:rFonts w:hint="eastAsia"/>
        </w:rPr>
        <w:t>2</w:t>
      </w:r>
      <w:r>
        <w:t>0 mL/min, and</w:t>
      </w:r>
      <w:r>
        <w:rPr>
          <w:rFonts w:hint="eastAsia"/>
        </w:rPr>
        <w:t xml:space="preserve"> </w:t>
      </w:r>
      <w:r>
        <w:t xml:space="preserve">then the temperature was cooled to 30 </w:t>
      </w:r>
      <w:r>
        <w:rPr>
          <w:rFonts w:cs="Times New Roman"/>
          <w:iCs/>
        </w:rPr>
        <w:t>°C</w:t>
      </w:r>
      <w:r>
        <w:t>. Then, 20% C</w:t>
      </w:r>
      <w:r>
        <w:rPr>
          <w:vertAlign w:val="subscript"/>
        </w:rPr>
        <w:t>3</w:t>
      </w:r>
      <w:r>
        <w:t>H</w:t>
      </w:r>
      <w:r>
        <w:rPr>
          <w:vertAlign w:val="subscript"/>
        </w:rPr>
        <w:t>6</w:t>
      </w:r>
      <w:r>
        <w:t>-10% N</w:t>
      </w:r>
      <w:r>
        <w:rPr>
          <w:vertAlign w:val="subscript"/>
        </w:rPr>
        <w:t>2</w:t>
      </w:r>
      <w:r>
        <w:t>-70% Ar was introduced into the sample with a</w:t>
      </w:r>
      <w:r>
        <w:rPr>
          <w:rFonts w:hint="eastAsia"/>
        </w:rPr>
        <w:t xml:space="preserve"> </w:t>
      </w:r>
      <w:r>
        <w:t xml:space="preserve">flow rate of </w:t>
      </w:r>
      <w:r>
        <w:rPr>
          <w:rFonts w:hint="eastAsia"/>
        </w:rPr>
        <w:t>2</w:t>
      </w:r>
      <w:r>
        <w:t>0 mL/min for 1 h. The spectrum was collected</w:t>
      </w:r>
      <w:r>
        <w:rPr>
          <w:rFonts w:hint="eastAsia"/>
        </w:rPr>
        <w:t xml:space="preserve"> </w:t>
      </w:r>
      <w:r>
        <w:t>at 5 min intervals to ensure saturation adsorption of C</w:t>
      </w:r>
      <w:r>
        <w:rPr>
          <w:vertAlign w:val="subscript"/>
        </w:rPr>
        <w:t>3</w:t>
      </w:r>
      <w:r>
        <w:t>H</w:t>
      </w:r>
      <w:r>
        <w:rPr>
          <w:vertAlign w:val="subscript"/>
        </w:rPr>
        <w:t>6</w:t>
      </w:r>
      <w:r>
        <w:t>.</w:t>
      </w:r>
      <w:r>
        <w:rPr>
          <w:rFonts w:hint="eastAsia"/>
        </w:rPr>
        <w:t xml:space="preserve"> </w:t>
      </w:r>
      <w:r>
        <w:t xml:space="preserve">Then, the gas flow was changed to </w:t>
      </w:r>
      <w:r>
        <w:rPr>
          <w:rFonts w:hint="eastAsia"/>
        </w:rPr>
        <w:t>Ar</w:t>
      </w:r>
      <w:r>
        <w:t xml:space="preserve"> with a flow rate of 1</w:t>
      </w:r>
      <w:r>
        <w:rPr>
          <w:rFonts w:hint="eastAsia"/>
        </w:rPr>
        <w:t xml:space="preserve">0 </w:t>
      </w:r>
      <w:r>
        <w:t>mL/min to start the desorption step. The spectrum was</w:t>
      </w:r>
      <w:r>
        <w:rPr>
          <w:rFonts w:hint="eastAsia"/>
        </w:rPr>
        <w:t xml:space="preserve"> </w:t>
      </w:r>
      <w:r>
        <w:t xml:space="preserve">collected every 30 s for </w:t>
      </w:r>
      <w:r>
        <w:rPr>
          <w:rFonts w:hint="eastAsia"/>
        </w:rPr>
        <w:t>20</w:t>
      </w:r>
      <w:r>
        <w:t xml:space="preserve"> </w:t>
      </w:r>
      <w:r>
        <w:rPr>
          <w:rFonts w:hint="eastAsia"/>
        </w:rPr>
        <w:t>min</w:t>
      </w:r>
      <w:r>
        <w:t>.</w:t>
      </w:r>
    </w:p>
    <w:p w14:paraId="1F2F3A94">
      <w:pPr>
        <w:spacing w:line="360" w:lineRule="auto"/>
        <w:rPr>
          <w:b/>
          <w:szCs w:val="20"/>
          <w:lang w:val="en-GB"/>
        </w:rPr>
      </w:pPr>
      <w:r>
        <w:rPr>
          <w:rFonts w:hint="eastAsia"/>
          <w:b/>
          <w:szCs w:val="20"/>
          <w:lang w:val="en-GB"/>
        </w:rPr>
        <w:t>S1</w:t>
      </w:r>
      <w:r>
        <w:rPr>
          <w:b/>
          <w:szCs w:val="20"/>
          <w:lang w:val="en-GB"/>
        </w:rPr>
        <w:t>.</w:t>
      </w:r>
      <w:r>
        <w:rPr>
          <w:rFonts w:hint="eastAsia"/>
          <w:b/>
          <w:szCs w:val="20"/>
          <w:lang w:val="en-GB"/>
        </w:rPr>
        <w:t>2</w:t>
      </w:r>
      <w:r>
        <w:rPr>
          <w:b/>
          <w:szCs w:val="20"/>
          <w:lang w:val="en-GB"/>
        </w:rPr>
        <w:t xml:space="preserve"> Catalytic performance measurements</w:t>
      </w:r>
    </w:p>
    <w:p w14:paraId="71E700F3">
      <w:pPr>
        <w:spacing w:line="312" w:lineRule="auto"/>
        <w:ind w:firstLine="240" w:firstLineChars="100"/>
        <w:rPr>
          <w:lang w:bidi="en-US"/>
        </w:rPr>
      </w:pPr>
      <w:r>
        <w:rPr>
          <w:lang w:bidi="en-US"/>
        </w:rPr>
        <w:t>CO</w:t>
      </w:r>
      <w:r>
        <w:rPr>
          <w:vertAlign w:val="subscript"/>
          <w:lang w:bidi="en-US"/>
        </w:rPr>
        <w:t>2</w:t>
      </w:r>
      <w:r>
        <w:rPr>
          <w:lang w:bidi="en-US"/>
        </w:rPr>
        <w:t xml:space="preserve"> hydrogenation was carried out on a continuous flow fixed-bed reactor. The calcined </w:t>
      </w:r>
      <w:r>
        <w:rPr>
          <w:rFonts w:hint="eastAsia" w:eastAsia="楷体"/>
        </w:rPr>
        <w:t>ZnZr</w:t>
      </w:r>
      <w:r>
        <w:rPr>
          <w:rFonts w:eastAsia="楷体"/>
        </w:rPr>
        <w:t>O</w:t>
      </w:r>
      <w:r>
        <w:rPr>
          <w:rFonts w:hint="eastAsia" w:eastAsia="楷体"/>
          <w:i/>
          <w:iCs/>
          <w:vertAlign w:val="subscript"/>
        </w:rPr>
        <w:t>x</w:t>
      </w:r>
      <w:r>
        <w:rPr>
          <w:rFonts w:hint="eastAsia"/>
          <w:lang w:bidi="en-US"/>
        </w:rPr>
        <w:t>, SAPO-34</w:t>
      </w:r>
      <w:r>
        <w:rPr>
          <w:lang w:bidi="en-US"/>
        </w:rPr>
        <w:t>,</w:t>
      </w:r>
      <w:r>
        <w:rPr>
          <w:rFonts w:hint="eastAsia"/>
          <w:lang w:bidi="en-US"/>
        </w:rPr>
        <w:t xml:space="preserve"> </w:t>
      </w:r>
      <w:r>
        <w:rPr>
          <w:lang w:bidi="en-US"/>
        </w:rPr>
        <w:t>and ZSM-5 zeolites were mixed in a specific mass ratio,</w:t>
      </w:r>
      <w:r>
        <w:rPr>
          <w:rFonts w:hint="eastAsia"/>
          <w:lang w:bidi="en-US"/>
        </w:rPr>
        <w:t xml:space="preserve"> </w:t>
      </w:r>
      <w:r>
        <w:rPr>
          <w:lang w:bidi="en-US"/>
        </w:rPr>
        <w:t xml:space="preserve">ground, and sieved through a 40–60 mesh. </w:t>
      </w:r>
      <w:r>
        <w:rPr>
          <w:rFonts w:hint="eastAsia"/>
          <w:lang w:bidi="en-US"/>
        </w:rPr>
        <w:t>0</w:t>
      </w:r>
      <w:r>
        <w:rPr>
          <w:lang w:bidi="en-US"/>
        </w:rPr>
        <w:t>.</w:t>
      </w:r>
      <w:r>
        <w:rPr>
          <w:rFonts w:hint="eastAsia"/>
          <w:lang w:bidi="en-US"/>
        </w:rPr>
        <w:t>75</w:t>
      </w:r>
      <w:r>
        <w:rPr>
          <w:lang w:bidi="en-US"/>
        </w:rPr>
        <w:t xml:space="preserve"> g of </w:t>
      </w:r>
      <w:r>
        <w:rPr>
          <w:rFonts w:hint="eastAsia"/>
          <w:lang w:bidi="en-US"/>
        </w:rPr>
        <w:t xml:space="preserve">bifunctional </w:t>
      </w:r>
      <w:r>
        <w:rPr>
          <w:lang w:bidi="en-US"/>
        </w:rPr>
        <w:t xml:space="preserve">catalyst was loaded into the middle of a quartz tube, and the top and bottom ends were fixed with quartz wool. Before the reaction, the catalyst was pretreated under the following conditions: Ar atmosphere, 310 </w:t>
      </w:r>
      <w:r>
        <w:rPr>
          <w:rFonts w:cs="Times New Roman"/>
          <w:iCs/>
        </w:rPr>
        <w:t>°C</w:t>
      </w:r>
      <w:r>
        <w:rPr>
          <w:lang w:bidi="en-US"/>
        </w:rPr>
        <w:t>, 0.1 MPa, 1 h. After the pretreatment, the reaction was switched to reaction gas (H</w:t>
      </w:r>
      <w:r>
        <w:rPr>
          <w:vertAlign w:val="subscript"/>
          <w:lang w:bidi="en-US"/>
        </w:rPr>
        <w:t>2</w:t>
      </w:r>
      <w:r>
        <w:rPr>
          <w:lang w:bidi="en-US"/>
        </w:rPr>
        <w:t>/CO</w:t>
      </w:r>
      <w:r>
        <w:rPr>
          <w:vertAlign w:val="subscript"/>
          <w:lang w:bidi="en-US"/>
        </w:rPr>
        <w:t>2</w:t>
      </w:r>
      <w:r>
        <w:rPr>
          <w:lang w:bidi="en-US"/>
        </w:rPr>
        <w:t xml:space="preserve"> = 3), and the products were analyzed online using a Shimadzu GC-2010.</w:t>
      </w:r>
      <w:r>
        <w:rPr>
          <w:rFonts w:hint="eastAsia"/>
          <w:lang w:bidi="en-US"/>
        </w:rPr>
        <w:t xml:space="preserve"> </w:t>
      </w:r>
      <w:r>
        <w:rPr>
          <w:lang w:bidi="en-US"/>
        </w:rPr>
        <w:t>The chromatograph is equipped with a thermal conductivity detector (TCD) and a TDX-01 packed column as well as a hydrogen flame ion detector (FID) and a Plot-Q capillary column.</w:t>
      </w:r>
      <w:r>
        <w:rPr>
          <w:rFonts w:hint="eastAsia"/>
          <w:lang w:bidi="en-US"/>
        </w:rPr>
        <w:t xml:space="preserve"> </w:t>
      </w:r>
      <w:r>
        <w:rPr>
          <w:lang w:bidi="en-US"/>
        </w:rPr>
        <w:t>CO</w:t>
      </w:r>
      <w:r>
        <w:rPr>
          <w:vertAlign w:val="subscript"/>
          <w:lang w:bidi="en-US"/>
        </w:rPr>
        <w:t>2</w:t>
      </w:r>
      <w:r>
        <w:rPr>
          <w:lang w:bidi="en-US"/>
        </w:rPr>
        <w:t xml:space="preserve"> conversion was calculated using N</w:t>
      </w:r>
      <w:r>
        <w:rPr>
          <w:vertAlign w:val="subscript"/>
          <w:lang w:bidi="en-US"/>
        </w:rPr>
        <w:t>2</w:t>
      </w:r>
      <w:r>
        <w:rPr>
          <w:lang w:bidi="en-US"/>
        </w:rPr>
        <w:t xml:space="preserve"> as an internal standard, and hydrocarbon product distribution was calculated from carbon moles (without considering CO).</w:t>
      </w:r>
    </w:p>
    <w:p w14:paraId="461C6B87">
      <w:pPr>
        <w:spacing w:line="312" w:lineRule="auto"/>
        <w:ind w:firstLine="240" w:firstLineChars="100"/>
        <w:rPr>
          <w:lang w:bidi="en-US"/>
        </w:rPr>
      </w:pPr>
      <w:r>
        <w:rPr>
          <w:lang w:bidi="en-US"/>
        </w:rPr>
        <w:t>The CO</w:t>
      </w:r>
      <w:r>
        <w:rPr>
          <w:vertAlign w:val="subscript"/>
          <w:lang w:bidi="en-US"/>
        </w:rPr>
        <w:t>2</w:t>
      </w:r>
      <w:r>
        <w:rPr>
          <w:lang w:bidi="en-US"/>
        </w:rPr>
        <w:t xml:space="preserve"> conversion is calculated as:</w:t>
      </w:r>
    </w:p>
    <w:p w14:paraId="4B56009F">
      <w:pPr>
        <w:tabs>
          <w:tab w:val="center" w:leader="middleDot" w:pos="3969"/>
          <w:tab w:val="right" w:pos="8222"/>
        </w:tabs>
        <w:spacing w:line="312" w:lineRule="auto"/>
        <w:jc w:val="center"/>
        <w:rPr>
          <w:color w:val="000000"/>
        </w:rPr>
      </w:pPr>
      <w:r>
        <w:rPr>
          <w:rFonts w:hint="eastAsia"/>
          <w:position w:val="-30"/>
        </w:rPr>
        <w:object>
          <v:shape id="_x0000_i1025" o:spt="75" type="#_x0000_t75" style="height:37pt;width:201.1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6">
            <o:LockedField>false</o:LockedField>
          </o:OLEObject>
        </w:object>
      </w:r>
    </w:p>
    <w:p w14:paraId="3D62A0CA">
      <w:pPr>
        <w:spacing w:line="312" w:lineRule="auto"/>
        <w:rPr>
          <w:iCs/>
          <w:color w:val="000000"/>
        </w:rPr>
      </w:pPr>
      <w:r>
        <w:rPr>
          <w:rFonts w:hint="eastAsia"/>
          <w:bCs/>
        </w:rPr>
        <w:t xml:space="preserve">where </w:t>
      </w:r>
      <w:r>
        <w:rPr>
          <w:lang w:bidi="en-US"/>
        </w:rPr>
        <w:t>CO</w:t>
      </w:r>
      <w:r>
        <w:rPr>
          <w:vertAlign w:val="subscript"/>
          <w:lang w:bidi="en-US"/>
        </w:rPr>
        <w:t>2</w:t>
      </w:r>
      <w:r>
        <w:rPr>
          <w:rFonts w:hint="eastAsia"/>
          <w:vertAlign w:val="subscript"/>
          <w:lang w:bidi="en-US"/>
        </w:rPr>
        <w:t xml:space="preserve"> inlet</w:t>
      </w:r>
      <w:r>
        <w:rPr>
          <w:rFonts w:hint="eastAsia"/>
          <w:bCs/>
        </w:rPr>
        <w:t xml:space="preserve"> and </w:t>
      </w:r>
      <w:bookmarkStart w:id="4" w:name="OLE_LINK124"/>
      <w:r>
        <w:rPr>
          <w:lang w:bidi="en-US"/>
        </w:rPr>
        <w:t>CO</w:t>
      </w:r>
      <w:r>
        <w:rPr>
          <w:vertAlign w:val="subscript"/>
          <w:lang w:bidi="en-US"/>
        </w:rPr>
        <w:t>2</w:t>
      </w:r>
      <w:r>
        <w:rPr>
          <w:rFonts w:hint="eastAsia"/>
          <w:vertAlign w:val="subscript"/>
          <w:lang w:bidi="en-US"/>
        </w:rPr>
        <w:t xml:space="preserve"> outlet</w:t>
      </w:r>
      <w:bookmarkEnd w:id="4"/>
      <w:r>
        <w:rPr>
          <w:rFonts w:hint="eastAsia"/>
          <w:bCs/>
        </w:rPr>
        <w:t xml:space="preserve"> refer to the molar concentration of CO</w:t>
      </w:r>
      <w:r>
        <w:rPr>
          <w:rFonts w:hint="eastAsia"/>
          <w:bCs/>
          <w:vertAlign w:val="subscript"/>
        </w:rPr>
        <w:t>2</w:t>
      </w:r>
      <w:r>
        <w:rPr>
          <w:rFonts w:hint="eastAsia"/>
          <w:bCs/>
        </w:rPr>
        <w:t xml:space="preserve"> in the inlet and outlet of the reaction tube, respectively.</w:t>
      </w:r>
    </w:p>
    <w:p w14:paraId="0BBF34BC">
      <w:pPr>
        <w:spacing w:line="312" w:lineRule="auto"/>
        <w:ind w:firstLine="240" w:firstLineChars="100"/>
        <w:rPr>
          <w:lang w:bidi="en-US"/>
        </w:rPr>
      </w:pPr>
      <w:r>
        <w:rPr>
          <w:lang w:bidi="en-US"/>
        </w:rPr>
        <w:t xml:space="preserve">The CO </w:t>
      </w:r>
      <w:r>
        <w:rPr>
          <w:rFonts w:hint="eastAsia"/>
          <w:lang w:bidi="en-US"/>
        </w:rPr>
        <w:t>selectivity</w:t>
      </w:r>
      <w:r>
        <w:rPr>
          <w:lang w:bidi="en-US"/>
        </w:rPr>
        <w:t xml:space="preserve"> is calculated as:</w:t>
      </w:r>
    </w:p>
    <w:p w14:paraId="4156D17C">
      <w:pPr>
        <w:tabs>
          <w:tab w:val="center" w:leader="middleDot" w:pos="3969"/>
          <w:tab w:val="right" w:pos="8222"/>
        </w:tabs>
        <w:spacing w:line="312" w:lineRule="auto"/>
        <w:jc w:val="center"/>
        <w:rPr>
          <w:i/>
          <w:color w:val="000000"/>
        </w:rPr>
      </w:pPr>
      <w:r>
        <w:rPr>
          <w:rFonts w:hint="eastAsia"/>
          <w:position w:val="-30"/>
        </w:rPr>
        <w:object>
          <v:shape id="_x0000_i1026" o:spt="75" type="#_x0000_t75" style="height:37pt;width:193.9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8">
            <o:LockedField>false</o:LockedField>
          </o:OLEObject>
        </w:object>
      </w:r>
    </w:p>
    <w:p w14:paraId="3AAF5CEF">
      <w:pPr>
        <w:spacing w:line="312" w:lineRule="auto"/>
        <w:ind w:firstLine="240" w:firstLineChars="100"/>
        <w:rPr>
          <w:color w:val="000000"/>
        </w:rPr>
      </w:pPr>
      <w:r>
        <w:rPr>
          <w:rFonts w:hint="eastAsia"/>
          <w:color w:val="000000"/>
        </w:rPr>
        <w:t xml:space="preserve">where </w:t>
      </w:r>
      <w:r>
        <w:rPr>
          <w:lang w:bidi="en-US"/>
        </w:rPr>
        <w:t>CO</w:t>
      </w:r>
      <w:r>
        <w:rPr>
          <w:rFonts w:hint="eastAsia"/>
          <w:vertAlign w:val="subscript"/>
          <w:lang w:bidi="en-US"/>
        </w:rPr>
        <w:t>outlet</w:t>
      </w:r>
      <w:r>
        <w:rPr>
          <w:rFonts w:hint="eastAsia"/>
          <w:color w:val="000000"/>
        </w:rPr>
        <w:t xml:space="preserve"> is the molar concentration of CO at the outlet of the reaction tube.</w:t>
      </w:r>
    </w:p>
    <w:p w14:paraId="748D2353">
      <w:pPr>
        <w:spacing w:line="312" w:lineRule="auto"/>
        <w:ind w:firstLine="240" w:firstLineChars="100"/>
        <w:rPr>
          <w:color w:val="000000"/>
        </w:rPr>
      </w:pPr>
      <w:r>
        <w:rPr>
          <w:color w:val="000000"/>
        </w:rPr>
        <w:t>The distribution of various products in the FID tail gas is calculated as:</w:t>
      </w:r>
    </w:p>
    <w:p w14:paraId="65911392">
      <w:pPr>
        <w:spacing w:line="312" w:lineRule="auto"/>
        <w:ind w:firstLine="240" w:firstLineChars="100"/>
        <w:jc w:val="center"/>
      </w:pPr>
      <w:r>
        <w:rPr>
          <w:rFonts w:hint="eastAsia"/>
          <w:position w:val="-28"/>
        </w:rPr>
        <w:object>
          <v:shape id="_x0000_i1027" o:spt="75" type="#_x0000_t75" style="height:37pt;width:302.5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10">
            <o:LockedField>false</o:LockedField>
          </o:OLEObject>
        </w:object>
      </w:r>
    </w:p>
    <w:p w14:paraId="09A8C1F3">
      <w:pPr>
        <w:spacing w:line="312" w:lineRule="auto"/>
        <w:ind w:firstLine="240" w:firstLineChars="100"/>
        <w:jc w:val="center"/>
      </w:pPr>
      <w:bookmarkStart w:id="5" w:name="OLE_LINK125"/>
      <w:r>
        <w:rPr>
          <w:rFonts w:hint="eastAsia"/>
          <w:position w:val="-28"/>
        </w:rPr>
        <w:object>
          <v:shape id="_x0000_i1028" o:spt="75" type="#_x0000_t75" style="height:37pt;width:302.5pt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2">
            <o:LockedField>false</o:LockedField>
          </o:OLEObject>
        </w:object>
      </w:r>
      <w:bookmarkEnd w:id="5"/>
    </w:p>
    <w:p w14:paraId="2A254F0F">
      <w:pPr>
        <w:spacing w:line="312" w:lineRule="auto"/>
        <w:ind w:firstLine="240" w:firstLineChars="100"/>
        <w:jc w:val="center"/>
        <w:rPr>
          <w:color w:val="000000"/>
        </w:rPr>
      </w:pPr>
      <w:r>
        <w:rPr>
          <w:rFonts w:hint="eastAsia"/>
          <w:position w:val="-28"/>
        </w:rPr>
        <w:object>
          <v:shape id="_x0000_i1029" o:spt="75" type="#_x0000_t75" style="height:37pt;width:300.45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4">
            <o:LockedField>false</o:LockedField>
          </o:OLEObject>
        </w:object>
      </w:r>
    </w:p>
    <w:p w14:paraId="7456CCBC">
      <w:pPr>
        <w:pStyle w:val="27"/>
        <w:spacing w:line="312" w:lineRule="auto"/>
        <w:ind w:left="0" w:leftChars="0" w:firstLine="0" w:firstLineChars="0"/>
        <w:rPr>
          <w:sz w:val="24"/>
        </w:rPr>
      </w:pPr>
      <w:r>
        <w:rPr>
          <w:sz w:val="24"/>
          <w:lang w:bidi="en-US"/>
        </w:rPr>
        <w:t xml:space="preserve">where </w:t>
      </w:r>
      <w:r>
        <w:rPr>
          <w:color w:val="000000"/>
          <w:sz w:val="24"/>
        </w:rPr>
        <w:t>N</w:t>
      </w:r>
      <w:r>
        <w:rPr>
          <w:color w:val="000000"/>
          <w:sz w:val="24"/>
          <w:vertAlign w:val="subscript"/>
        </w:rPr>
        <w:t>CnHm</w:t>
      </w:r>
      <w:r>
        <w:rPr>
          <w:sz w:val="24"/>
          <w:lang w:bidi="en-US"/>
        </w:rPr>
        <w:t xml:space="preserve"> is the carbon moles of the product </w:t>
      </w:r>
      <w:r>
        <w:rPr>
          <w:color w:val="000000"/>
          <w:sz w:val="24"/>
        </w:rPr>
        <w:t>C</w:t>
      </w:r>
      <w:r>
        <w:rPr>
          <w:color w:val="000000"/>
          <w:sz w:val="24"/>
          <w:vertAlign w:val="subscript"/>
        </w:rPr>
        <w:t>n</w:t>
      </w:r>
      <w:r>
        <w:rPr>
          <w:color w:val="000000"/>
          <w:sz w:val="24"/>
        </w:rPr>
        <w:t>H</w:t>
      </w:r>
      <w:r>
        <w:rPr>
          <w:color w:val="000000"/>
          <w:sz w:val="24"/>
          <w:vertAlign w:val="subscript"/>
        </w:rPr>
        <w:t>m</w:t>
      </w:r>
      <w:r>
        <w:rPr>
          <w:sz w:val="24"/>
          <w:lang w:bidi="en-US"/>
        </w:rPr>
        <w:t xml:space="preserve"> detected by FID; </w:t>
      </w:r>
      <w:r>
        <w:rPr>
          <w:color w:val="000000"/>
          <w:sz w:val="24"/>
        </w:rPr>
        <w:t>N</w:t>
      </w:r>
      <w:r>
        <w:rPr>
          <w:color w:val="000000"/>
          <w:sz w:val="24"/>
          <w:vertAlign w:val="subscript"/>
        </w:rPr>
        <w:t>MeOH</w:t>
      </w:r>
      <w:r>
        <w:rPr>
          <w:sz w:val="24"/>
          <w:lang w:bidi="en-US"/>
        </w:rPr>
        <w:t xml:space="preserve"> is the carbon moles of the product MeOH detected by FID; and </w:t>
      </w:r>
      <w:r>
        <w:rPr>
          <w:color w:val="000000"/>
          <w:sz w:val="24"/>
        </w:rPr>
        <w:t>N</w:t>
      </w:r>
      <w:r>
        <w:rPr>
          <w:color w:val="000000"/>
          <w:sz w:val="24"/>
          <w:vertAlign w:val="subscript"/>
        </w:rPr>
        <w:t>DME</w:t>
      </w:r>
      <w:r>
        <w:rPr>
          <w:sz w:val="24"/>
          <w:lang w:bidi="en-US"/>
        </w:rPr>
        <w:t xml:space="preserve"> is the carbon moles of the product DME detected by FID.</w:t>
      </w:r>
    </w:p>
    <w:p w14:paraId="09BEE1F5">
      <w:pPr>
        <w:spacing w:line="312" w:lineRule="auto"/>
        <w:ind w:firstLine="240" w:firstLineChars="100"/>
        <w:rPr>
          <w:lang w:val="en-GB"/>
        </w:rPr>
      </w:pPr>
    </w:p>
    <w:p w14:paraId="55E0FC9F">
      <w:pPr>
        <w:widowControl/>
        <w:jc w:val="left"/>
        <w:rPr>
          <w:rFonts w:cs="Times New Roman"/>
          <w:b/>
          <w:bCs/>
          <w:iCs/>
          <w:sz w:val="28"/>
          <w:szCs w:val="28"/>
        </w:rPr>
      </w:pPr>
      <w:r>
        <w:rPr>
          <w:rFonts w:cs="Times New Roman"/>
          <w:b/>
          <w:bCs/>
          <w:iCs/>
          <w:sz w:val="28"/>
          <w:szCs w:val="28"/>
        </w:rPr>
        <w:br w:type="page"/>
      </w:r>
    </w:p>
    <w:p w14:paraId="26776917">
      <w:pPr>
        <w:spacing w:line="360" w:lineRule="auto"/>
        <w:rPr>
          <w:rFonts w:cs="Times New Roman"/>
          <w:b/>
          <w:bCs/>
          <w:iCs/>
          <w:sz w:val="28"/>
          <w:szCs w:val="28"/>
        </w:rPr>
      </w:pPr>
      <w:r>
        <w:rPr>
          <w:rFonts w:cs="Times New Roman"/>
          <w:b/>
          <w:bCs/>
          <w:iCs/>
          <w:sz w:val="28"/>
          <w:szCs w:val="28"/>
        </w:rPr>
        <w:t xml:space="preserve">Supporting </w:t>
      </w:r>
      <w:r>
        <w:rPr>
          <w:rFonts w:hint="eastAsia" w:cs="Times New Roman"/>
          <w:b/>
          <w:bCs/>
          <w:iCs/>
          <w:sz w:val="28"/>
          <w:szCs w:val="28"/>
        </w:rPr>
        <w:t>figures</w:t>
      </w:r>
    </w:p>
    <w:p w14:paraId="081EA2C9">
      <w:pPr>
        <w:spacing w:line="360" w:lineRule="auto"/>
        <w:rPr>
          <w:rFonts w:cs="Times New Roman"/>
          <w:b/>
          <w:bCs/>
          <w:iCs/>
          <w:sz w:val="28"/>
          <w:szCs w:val="28"/>
        </w:rPr>
      </w:pPr>
    </w:p>
    <w:p w14:paraId="34D3C223">
      <w:pPr>
        <w:spacing w:line="360" w:lineRule="auto"/>
        <w:jc w:val="center"/>
        <w:rPr>
          <w:rFonts w:cs="Times New Roman"/>
          <w:b/>
          <w:bCs/>
          <w:iCs/>
          <w:sz w:val="28"/>
          <w:szCs w:val="28"/>
        </w:rPr>
      </w:pPr>
      <w:r>
        <w:rPr>
          <w:rFonts w:cs="Times New Roman"/>
          <w:b/>
          <w:bCs/>
          <w:iCs/>
          <w:sz w:val="28"/>
          <w:szCs w:val="28"/>
        </w:rPr>
        <w:drawing>
          <wp:inline distT="0" distB="0" distL="0" distR="0">
            <wp:extent cx="5262880" cy="1344930"/>
            <wp:effectExtent l="0" t="0" r="0" b="7620"/>
            <wp:docPr id="20" name="图片 19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9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8147" cy="134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340CE">
      <w:pPr>
        <w:spacing w:line="360" w:lineRule="auto"/>
        <w:jc w:val="center"/>
        <w:rPr>
          <w:rFonts w:cs="Times New Roman"/>
        </w:rPr>
      </w:pPr>
      <w:r>
        <w:rPr>
          <w:rFonts w:hint="eastAsia" w:cs="Times New Roman"/>
          <w:b/>
          <w:bCs/>
          <w:iCs/>
          <w:szCs w:val="24"/>
        </w:rPr>
        <w:t>S</w:t>
      </w:r>
      <w:r>
        <w:rPr>
          <w:rFonts w:cs="Times New Roman"/>
          <w:b/>
          <w:bCs/>
          <w:iCs/>
          <w:szCs w:val="24"/>
        </w:rPr>
        <w:t>cheme</w:t>
      </w:r>
      <w:r>
        <w:rPr>
          <w:rFonts w:cs="Times New Roman"/>
          <w:b/>
          <w:bCs/>
          <w:szCs w:val="24"/>
        </w:rPr>
        <w:t xml:space="preserve"> S</w:t>
      </w:r>
      <w:r>
        <w:rPr>
          <w:rFonts w:hint="eastAsia" w:cs="Times New Roman"/>
          <w:b/>
          <w:bCs/>
          <w:szCs w:val="24"/>
        </w:rPr>
        <w:t xml:space="preserve">1. </w:t>
      </w:r>
      <w:r>
        <w:rPr>
          <w:rFonts w:cs="Times New Roman"/>
        </w:rPr>
        <w:t xml:space="preserve">Schematic diagram of </w:t>
      </w:r>
      <w:r>
        <w:t>ZZO/</w:t>
      </w:r>
      <w:r>
        <w:rPr>
          <w:rFonts w:hint="eastAsia"/>
          <w:i/>
          <w:iCs/>
        </w:rPr>
        <w:t>x</w:t>
      </w:r>
      <w:r>
        <w:t>SP34/</w:t>
      </w:r>
      <w:r>
        <w:rPr>
          <w:rFonts w:hint="eastAsia"/>
          <w:i/>
          <w:iCs/>
        </w:rPr>
        <w:t>y</w:t>
      </w:r>
      <w:r>
        <w:t>Z5</w:t>
      </w:r>
      <w:r>
        <w:rPr>
          <w:rFonts w:cs="Times New Roman"/>
        </w:rPr>
        <w:t xml:space="preserve"> </w:t>
      </w:r>
      <w:r>
        <w:rPr>
          <w:rFonts w:hint="eastAsia" w:cs="Times New Roman"/>
        </w:rPr>
        <w:t xml:space="preserve">by </w:t>
      </w:r>
      <w:r>
        <w:rPr>
          <w:rFonts w:cs="Times New Roman"/>
        </w:rPr>
        <w:t>grinding mixing</w:t>
      </w:r>
      <w:r>
        <w:rPr>
          <w:rFonts w:hint="eastAsia" w:cs="Times New Roman"/>
        </w:rPr>
        <w:t>.</w:t>
      </w:r>
    </w:p>
    <w:p w14:paraId="2FA86497">
      <w:pPr>
        <w:widowControl/>
        <w:jc w:val="left"/>
        <w:rPr>
          <w:rFonts w:cs="Times New Roman"/>
        </w:rPr>
      </w:pPr>
      <w:r>
        <w:rPr>
          <w:rFonts w:cs="Times New Roman"/>
        </w:rPr>
        <w:br w:type="page"/>
      </w:r>
    </w:p>
    <w:p w14:paraId="07F5B823">
      <w:pPr>
        <w:widowControl/>
        <w:adjustRightInd w:val="0"/>
        <w:snapToGrid w:val="0"/>
        <w:jc w:val="center"/>
        <w:rPr>
          <w:rFonts w:eastAsia="楷体" w:cs="Times New Roman"/>
          <w:b/>
          <w:sz w:val="28"/>
          <w:szCs w:val="28"/>
        </w:rPr>
      </w:pPr>
      <w:bookmarkStart w:id="6" w:name="OLE_LINK25"/>
      <w:r>
        <w:rPr>
          <w:rFonts w:hint="eastAsia"/>
        </w:rPr>
        <w:drawing>
          <wp:inline distT="0" distB="0" distL="0" distR="0">
            <wp:extent cx="6120130" cy="4585970"/>
            <wp:effectExtent l="0" t="0" r="0" b="0"/>
            <wp:docPr id="140305244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052449" name="图片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8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EE627">
      <w:pPr>
        <w:widowControl/>
        <w:spacing w:line="360" w:lineRule="auto"/>
        <w:rPr>
          <w:rFonts w:cs="Times New Roman"/>
        </w:rPr>
      </w:pPr>
      <w:r>
        <w:rPr>
          <w:rFonts w:cs="Times New Roman"/>
          <w:b/>
          <w:bCs/>
        </w:rPr>
        <w:t>Fig. S</w:t>
      </w:r>
      <w:bookmarkEnd w:id="6"/>
      <w:r>
        <w:rPr>
          <w:rFonts w:hint="eastAsia" w:cs="Times New Roman"/>
          <w:b/>
          <w:bCs/>
        </w:rPr>
        <w:t>1</w:t>
      </w:r>
      <w:r>
        <w:rPr>
          <w:rFonts w:cs="Times New Roman"/>
        </w:rPr>
        <w:t xml:space="preserve"> (a)</w:t>
      </w:r>
      <w:r>
        <w:rPr>
          <w:rFonts w:hint="eastAsia" w:cs="Times New Roman"/>
          <w:b/>
          <w:bCs/>
        </w:rPr>
        <w:t xml:space="preserve"> </w:t>
      </w:r>
      <w:r>
        <w:rPr>
          <w:rFonts w:hint="eastAsia" w:cs="Times New Roman"/>
        </w:rPr>
        <w:t xml:space="preserve">XRD pattern, (b) SEM image, and (c) </w:t>
      </w:r>
      <w:r>
        <w:rPr>
          <w:rFonts w:cs="Times New Roman"/>
        </w:rPr>
        <w:t>NH</w:t>
      </w:r>
      <w:r>
        <w:rPr>
          <w:rFonts w:cs="Times New Roman"/>
          <w:vertAlign w:val="subscript"/>
        </w:rPr>
        <w:t>3</w:t>
      </w:r>
      <w:r>
        <w:rPr>
          <w:rFonts w:cs="Times New Roman"/>
        </w:rPr>
        <w:t>-TPD</w:t>
      </w:r>
      <w:r>
        <w:rPr>
          <w:rFonts w:hint="eastAsia" w:cs="Times New Roman"/>
        </w:rPr>
        <w:t xml:space="preserve"> </w:t>
      </w:r>
      <w:r>
        <w:rPr>
          <w:rFonts w:cs="Times New Roman"/>
        </w:rPr>
        <w:t xml:space="preserve">curve </w:t>
      </w:r>
      <w:r>
        <w:rPr>
          <w:rFonts w:hint="eastAsia" w:cs="Times New Roman"/>
        </w:rPr>
        <w:t>of</w:t>
      </w:r>
      <w:r>
        <w:rPr>
          <w:rFonts w:cs="Times New Roman"/>
        </w:rPr>
        <w:t xml:space="preserve"> Z5</w:t>
      </w:r>
      <w:r>
        <w:rPr>
          <w:rFonts w:hint="eastAsia" w:cs="Times New Roman"/>
        </w:rPr>
        <w:t>@S1.</w:t>
      </w:r>
    </w:p>
    <w:p w14:paraId="62966518">
      <w:pPr>
        <w:widowControl/>
        <w:spacing w:line="360" w:lineRule="auto"/>
        <w:ind w:firstLine="240" w:firstLineChars="100"/>
        <w:rPr>
          <w:rFonts w:cs="Times New Roman"/>
        </w:rPr>
      </w:pPr>
    </w:p>
    <w:p w14:paraId="02D03406">
      <w:pPr>
        <w:widowControl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br w:type="page"/>
      </w:r>
    </w:p>
    <w:p w14:paraId="28DBEF64">
      <w:pPr>
        <w:widowControl/>
        <w:jc w:val="center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drawing>
          <wp:inline distT="0" distB="0" distL="0" distR="0">
            <wp:extent cx="3209290" cy="2571115"/>
            <wp:effectExtent l="0" t="0" r="0" b="635"/>
            <wp:docPr id="105730247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302478" name="图片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9290" cy="257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55E887">
      <w:pPr>
        <w:widowControl/>
        <w:spacing w:line="360" w:lineRule="auto"/>
        <w:rPr>
          <w:rFonts w:cs="Times New Roman"/>
        </w:rPr>
      </w:pPr>
      <w:r>
        <w:rPr>
          <w:rFonts w:cs="Times New Roman"/>
          <w:b/>
          <w:bCs/>
        </w:rPr>
        <w:t>Fig. S</w:t>
      </w:r>
      <w:r>
        <w:rPr>
          <w:rFonts w:hint="eastAsia" w:cs="Times New Roman"/>
          <w:b/>
          <w:bCs/>
        </w:rPr>
        <w:t>2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The catalytic performance over the ZZO/2Z5</w:t>
      </w:r>
      <w:r>
        <w:rPr>
          <w:rFonts w:hint="eastAsia" w:cs="Times New Roman"/>
        </w:rPr>
        <w:t>@S1</w:t>
      </w:r>
      <w:r>
        <w:rPr>
          <w:rFonts w:cs="Times New Roman"/>
        </w:rPr>
        <w:t>.</w:t>
      </w:r>
    </w:p>
    <w:p w14:paraId="46629EA4">
      <w:pPr>
        <w:widowControl/>
        <w:jc w:val="left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br w:type="page"/>
      </w:r>
    </w:p>
    <w:p w14:paraId="4A4B4564">
      <w:pPr>
        <w:widowControl/>
        <w:jc w:val="center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drawing>
          <wp:inline distT="0" distB="0" distL="0" distR="0">
            <wp:extent cx="3376930" cy="2699385"/>
            <wp:effectExtent l="0" t="0" r="0" b="571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7698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1F960">
      <w:pPr>
        <w:widowControl/>
        <w:spacing w:line="360" w:lineRule="auto"/>
        <w:rPr>
          <w:rFonts w:cs="Times New Roman"/>
        </w:rPr>
      </w:pPr>
      <w:r>
        <w:rPr>
          <w:rFonts w:cs="Times New Roman"/>
          <w:b/>
          <w:bCs/>
        </w:rPr>
        <w:t>Fig. S</w:t>
      </w:r>
      <w:r>
        <w:rPr>
          <w:rFonts w:hint="eastAsia" w:cs="Times New Roman"/>
          <w:b/>
          <w:bCs/>
        </w:rPr>
        <w:t>3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The catalytic performance and aromatic distribution over the ZZO/2S</w:t>
      </w:r>
      <w:r>
        <w:rPr>
          <w:rFonts w:hint="eastAsia" w:cs="Times New Roman"/>
        </w:rPr>
        <w:t>iO</w:t>
      </w:r>
      <w:r>
        <w:rPr>
          <w:rFonts w:hint="eastAsia" w:cs="Times New Roman"/>
          <w:vertAlign w:val="subscript"/>
        </w:rPr>
        <w:t>2</w:t>
      </w:r>
      <w:r>
        <w:rPr>
          <w:rFonts w:cs="Times New Roman"/>
        </w:rPr>
        <w:t>/Z5.</w:t>
      </w:r>
    </w:p>
    <w:p w14:paraId="0A9C1D7F">
      <w:pPr>
        <w:widowControl/>
        <w:jc w:val="left"/>
        <w:rPr>
          <w:rFonts w:cs="Times New Roman"/>
        </w:rPr>
      </w:pPr>
      <w:r>
        <w:rPr>
          <w:rFonts w:cs="Times New Roman"/>
        </w:rPr>
        <w:br w:type="page"/>
      </w:r>
    </w:p>
    <w:p w14:paraId="4B2D79CA">
      <w:pPr>
        <w:widowControl/>
        <w:adjustRightInd w:val="0"/>
        <w:snapToGrid w:val="0"/>
        <w:jc w:val="center"/>
        <w:rPr>
          <w:rFonts w:eastAsia="楷体" w:cs="Times New Roman"/>
          <w:b/>
          <w:sz w:val="28"/>
          <w:szCs w:val="28"/>
        </w:rPr>
      </w:pPr>
      <w:bookmarkStart w:id="7" w:name="_Hlk233969859"/>
      <w:r>
        <w:rPr>
          <w:rFonts w:hint="eastAsia"/>
        </w:rPr>
        <w:drawing>
          <wp:inline distT="0" distB="0" distL="0" distR="0">
            <wp:extent cx="6120130" cy="4215130"/>
            <wp:effectExtent l="0" t="0" r="0" b="0"/>
            <wp:docPr id="123170563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705639" name="图片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1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7"/>
    <w:p w14:paraId="17DBF0C8">
      <w:pPr>
        <w:widowControl/>
        <w:spacing w:line="360" w:lineRule="auto"/>
        <w:rPr>
          <w:rFonts w:cs="Times New Roman"/>
        </w:rPr>
      </w:pPr>
      <w:bookmarkStart w:id="8" w:name="_Hlk225777444"/>
      <w:r>
        <w:rPr>
          <w:rFonts w:cs="Times New Roman"/>
          <w:b/>
          <w:bCs/>
        </w:rPr>
        <w:t>Fig. S</w:t>
      </w:r>
      <w:r>
        <w:rPr>
          <w:rFonts w:hint="eastAsia" w:cs="Times New Roman"/>
          <w:b/>
          <w:bCs/>
        </w:rPr>
        <w:t>4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The effect of mixing methods and temperature</w:t>
      </w:r>
      <w:r>
        <w:rPr>
          <w:rFonts w:hint="eastAsia" w:cs="Times New Roman"/>
        </w:rPr>
        <w:t xml:space="preserve"> </w:t>
      </w:r>
      <w:r>
        <w:rPr>
          <w:rFonts w:cs="Times New Roman"/>
        </w:rPr>
        <w:t>on the (a, b) catalytic performance and (</w:t>
      </w:r>
      <w:r>
        <w:rPr>
          <w:rFonts w:hint="eastAsia" w:cs="Times New Roman"/>
        </w:rPr>
        <w:t xml:space="preserve">c, </w:t>
      </w:r>
      <w:r>
        <w:rPr>
          <w:rFonts w:cs="Times New Roman"/>
        </w:rPr>
        <w:t>d)</w:t>
      </w:r>
      <w:r>
        <w:rPr>
          <w:rFonts w:hint="eastAsia" w:cs="Times New Roman"/>
        </w:rPr>
        <w:t xml:space="preserve"> </w:t>
      </w:r>
      <w:r>
        <w:rPr>
          <w:rFonts w:cs="Times New Roman"/>
        </w:rPr>
        <w:t>aromatic distribution over the ZZO/2SP34/Z5.</w:t>
      </w:r>
      <w:bookmarkEnd w:id="8"/>
    </w:p>
    <w:p w14:paraId="7E0D7296">
      <w:pPr>
        <w:widowControl/>
        <w:jc w:val="left"/>
        <w:rPr>
          <w:rFonts w:cs="Times New Roman"/>
        </w:rPr>
      </w:pPr>
      <w:r>
        <w:rPr>
          <w:rFonts w:cs="Times New Roman"/>
        </w:rPr>
        <w:br w:type="page"/>
      </w:r>
    </w:p>
    <w:p w14:paraId="05BFB82C">
      <w:pPr>
        <w:widowControl/>
        <w:adjustRightInd w:val="0"/>
        <w:snapToGrid w:val="0"/>
        <w:jc w:val="center"/>
        <w:rPr>
          <w:rFonts w:eastAsia="楷体" w:cs="Times New Roman"/>
          <w:b/>
          <w:sz w:val="28"/>
          <w:szCs w:val="28"/>
        </w:rPr>
      </w:pPr>
      <w:r>
        <w:rPr>
          <w:rFonts w:hint="eastAsia"/>
        </w:rPr>
        <w:drawing>
          <wp:inline distT="0" distB="0" distL="0" distR="0">
            <wp:extent cx="6120130" cy="4215130"/>
            <wp:effectExtent l="0" t="0" r="0" b="0"/>
            <wp:docPr id="189696969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969699" name="图片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1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6BEBD">
      <w:pPr>
        <w:widowControl/>
        <w:spacing w:line="360" w:lineRule="auto"/>
        <w:rPr>
          <w:rFonts w:cs="Times New Roman"/>
        </w:rPr>
      </w:pPr>
      <w:r>
        <w:rPr>
          <w:rFonts w:cs="Times New Roman"/>
          <w:b/>
          <w:bCs/>
        </w:rPr>
        <w:t>Fig. S</w:t>
      </w:r>
      <w:r>
        <w:rPr>
          <w:rFonts w:hint="eastAsia" w:cs="Times New Roman"/>
          <w:b/>
          <w:bCs/>
        </w:rPr>
        <w:t>5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 xml:space="preserve">The effect of GHSV and </w:t>
      </w:r>
      <w:r>
        <w:rPr>
          <w:rFonts w:hint="eastAsia" w:cs="Times New Roman"/>
        </w:rPr>
        <w:t xml:space="preserve">pressure </w:t>
      </w:r>
      <w:r>
        <w:rPr>
          <w:rFonts w:cs="Times New Roman"/>
        </w:rPr>
        <w:t>on the (a, b) catalytic performance and (c</w:t>
      </w:r>
      <w:r>
        <w:rPr>
          <w:rFonts w:hint="eastAsia" w:cs="Times New Roman"/>
        </w:rPr>
        <w:t>, d</w:t>
      </w:r>
      <w:r>
        <w:rPr>
          <w:rFonts w:cs="Times New Roman"/>
        </w:rPr>
        <w:t>) aromatic distribution over the ZZO/2SP34/Z5.</w:t>
      </w:r>
    </w:p>
    <w:p w14:paraId="13C066DC">
      <w:pPr>
        <w:widowControl/>
        <w:spacing w:line="360" w:lineRule="auto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br w:type="page"/>
      </w:r>
    </w:p>
    <w:p w14:paraId="25D31714">
      <w:pPr>
        <w:widowControl/>
        <w:jc w:val="center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drawing>
          <wp:inline distT="0" distB="0" distL="0" distR="0">
            <wp:extent cx="2942590" cy="2571115"/>
            <wp:effectExtent l="0" t="0" r="0" b="635"/>
            <wp:docPr id="16771663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16632" name="图片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2590" cy="257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2923EC">
      <w:pPr>
        <w:widowControl/>
        <w:spacing w:line="360" w:lineRule="auto"/>
      </w:pPr>
      <w:r>
        <w:rPr>
          <w:rFonts w:cs="Times New Roman"/>
          <w:b/>
          <w:bCs/>
        </w:rPr>
        <w:t xml:space="preserve">Fig. </w:t>
      </w:r>
      <w:r>
        <w:rPr>
          <w:rFonts w:hint="eastAsia"/>
          <w:b/>
          <w:bCs/>
        </w:rPr>
        <w:t>S6</w:t>
      </w:r>
      <w:r>
        <w:rPr>
          <w:rFonts w:cs="Times New Roman"/>
          <w:b/>
          <w:bCs/>
        </w:rPr>
        <w:t xml:space="preserve"> </w:t>
      </w:r>
      <w:r>
        <w:t>NH</w:t>
      </w:r>
      <w:r>
        <w:rPr>
          <w:vertAlign w:val="subscript"/>
        </w:rPr>
        <w:t>3</w:t>
      </w:r>
      <w:r>
        <w:t xml:space="preserve">-TPD curves of </w:t>
      </w:r>
      <w:r>
        <w:rPr>
          <w:rFonts w:cs="Times New Roman"/>
        </w:rPr>
        <w:t>SP34, Z5, and 2SP34/Z5</w:t>
      </w:r>
      <w:r>
        <w:rPr>
          <w:rFonts w:hint="eastAsia" w:cs="Times New Roman"/>
        </w:rPr>
        <w:t xml:space="preserve"> </w:t>
      </w:r>
      <w:r>
        <w:t>zeolites</w:t>
      </w:r>
      <w:r>
        <w:rPr>
          <w:rFonts w:hint="eastAsia"/>
        </w:rPr>
        <w:t>.</w:t>
      </w:r>
    </w:p>
    <w:p w14:paraId="065E1BAA">
      <w:pPr>
        <w:widowControl/>
        <w:jc w:val="left"/>
      </w:pPr>
      <w:r>
        <w:br w:type="page"/>
      </w:r>
    </w:p>
    <w:p w14:paraId="6C2530B0">
      <w:pPr>
        <w:widowControl/>
        <w:jc w:val="center"/>
        <w:rPr>
          <w:rFonts w:eastAsia="楷体" w:cs="Times New Roman"/>
          <w:b/>
          <w:sz w:val="28"/>
          <w:szCs w:val="28"/>
        </w:rPr>
      </w:pPr>
      <w:bookmarkStart w:id="9" w:name="_Hlk233969903"/>
      <w:r>
        <w:rPr>
          <w:rFonts w:hint="eastAsia"/>
        </w:rPr>
        <w:drawing>
          <wp:inline distT="0" distB="0" distL="0" distR="0">
            <wp:extent cx="6120130" cy="4967605"/>
            <wp:effectExtent l="0" t="0" r="0" b="0"/>
            <wp:docPr id="78238987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389871" name="图片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6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9"/>
    <w:p w14:paraId="14BD2F84">
      <w:pPr>
        <w:pStyle w:val="21"/>
        <w:ind w:firstLine="0" w:firstLineChars="0"/>
      </w:pPr>
      <w:r>
        <w:rPr>
          <w:b/>
          <w:bCs/>
        </w:rPr>
        <w:t xml:space="preserve">Fig. </w:t>
      </w:r>
      <w:r>
        <w:rPr>
          <w:rFonts w:hint="eastAsia"/>
          <w:b/>
          <w:bCs/>
        </w:rPr>
        <w:t>S7</w:t>
      </w:r>
      <w:r>
        <w:rPr>
          <w:b/>
          <w:bCs/>
        </w:rPr>
        <w:t xml:space="preserve"> </w:t>
      </w:r>
      <w:r>
        <w:t>(a)</w:t>
      </w:r>
      <w:r>
        <w:rPr>
          <w:rFonts w:hint="eastAsia"/>
          <w:b/>
          <w:bCs/>
        </w:rPr>
        <w:t xml:space="preserve"> </w:t>
      </w:r>
      <w:r>
        <w:t>H</w:t>
      </w:r>
      <w:r>
        <w:rPr>
          <w:vertAlign w:val="subscript"/>
        </w:rPr>
        <w:t>2</w:t>
      </w:r>
      <w:r>
        <w:t xml:space="preserve">-TPR, </w:t>
      </w:r>
      <w:r>
        <w:rPr>
          <w:rFonts w:hint="eastAsia"/>
        </w:rPr>
        <w:t xml:space="preserve">(b) </w:t>
      </w:r>
      <w:r>
        <w:t>CO</w:t>
      </w:r>
      <w:r>
        <w:rPr>
          <w:vertAlign w:val="subscript"/>
        </w:rPr>
        <w:t>2</w:t>
      </w:r>
      <w:r>
        <w:t xml:space="preserve">-TPD, </w:t>
      </w:r>
      <w:r>
        <w:rPr>
          <w:rFonts w:hint="eastAsia"/>
        </w:rPr>
        <w:t xml:space="preserve">(c) </w:t>
      </w:r>
      <w:r>
        <w:t>H</w:t>
      </w:r>
      <w:r>
        <w:rPr>
          <w:vertAlign w:val="subscript"/>
        </w:rPr>
        <w:t>2</w:t>
      </w:r>
      <w:r>
        <w:t xml:space="preserve">-TPD, and </w:t>
      </w:r>
      <w:r>
        <w:rPr>
          <w:rFonts w:hint="eastAsia"/>
        </w:rPr>
        <w:t xml:space="preserve">(d) </w:t>
      </w:r>
      <w:r>
        <w:t>H</w:t>
      </w:r>
      <w:r>
        <w:rPr>
          <w:vertAlign w:val="subscript"/>
        </w:rPr>
        <w:t>2</w:t>
      </w:r>
      <w:r>
        <w:t>-D</w:t>
      </w:r>
      <w:r>
        <w:rPr>
          <w:vertAlign w:val="subscript"/>
        </w:rPr>
        <w:t>2</w:t>
      </w:r>
      <w:r>
        <w:t xml:space="preserve"> exchange curves of </w:t>
      </w:r>
      <w:r>
        <w:rPr>
          <w:rFonts w:hint="eastAsia"/>
        </w:rPr>
        <w:t>ZZO and zeolite</w:t>
      </w:r>
      <w:r>
        <w:t>s.</w:t>
      </w:r>
    </w:p>
    <w:p w14:paraId="49C9E33A">
      <w:pPr>
        <w:widowControl/>
        <w:jc w:val="left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br w:type="page"/>
      </w:r>
    </w:p>
    <w:p w14:paraId="78AD2124">
      <w:pPr>
        <w:widowControl/>
        <w:jc w:val="center"/>
        <w:rPr>
          <w:sz w:val="21"/>
        </w:rPr>
      </w:pPr>
      <w:r>
        <w:rPr>
          <w:sz w:val="21"/>
        </w:rPr>
        <w:drawing>
          <wp:inline distT="0" distB="0" distL="0" distR="0">
            <wp:extent cx="3676015" cy="2752090"/>
            <wp:effectExtent l="0" t="0" r="635" b="0"/>
            <wp:docPr id="106216711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67113" name="图片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76015" cy="2752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549182">
      <w:pPr>
        <w:widowControl/>
        <w:jc w:val="left"/>
        <w:rPr>
          <w:rFonts w:eastAsia="楷体" w:cs="Times New Roman"/>
          <w:b/>
          <w:sz w:val="28"/>
          <w:szCs w:val="28"/>
        </w:rPr>
      </w:pPr>
      <w:r>
        <w:rPr>
          <w:b/>
          <w:bCs/>
        </w:rPr>
        <w:t xml:space="preserve">Fig. </w:t>
      </w:r>
      <w:r>
        <w:rPr>
          <w:rFonts w:hint="eastAsia"/>
          <w:b/>
          <w:bCs/>
        </w:rPr>
        <w:t>S8</w:t>
      </w:r>
      <w:r>
        <w:rPr>
          <w:b/>
          <w:bCs/>
        </w:rPr>
        <w:t xml:space="preserve"> </w:t>
      </w:r>
      <w:r>
        <w:rPr>
          <w:rFonts w:hint="eastAsia"/>
        </w:rPr>
        <w:t>S</w:t>
      </w:r>
      <w:r>
        <w:t>tability test of the ZZO/</w:t>
      </w:r>
      <w:r>
        <w:rPr>
          <w:rFonts w:hint="eastAsia"/>
        </w:rPr>
        <w:t>2</w:t>
      </w:r>
      <w:r>
        <w:t>SP34/Z5 at 3</w:t>
      </w:r>
      <w:r>
        <w:rPr>
          <w:rFonts w:hint="eastAsia"/>
        </w:rPr>
        <w:t>2</w:t>
      </w:r>
      <w:r>
        <w:t xml:space="preserve">0 </w:t>
      </w:r>
      <w:r>
        <w:rPr>
          <w:rFonts w:cs="Times New Roman"/>
          <w:iCs/>
        </w:rPr>
        <w:t>°C</w:t>
      </w:r>
      <w:r>
        <w:rPr>
          <w:rFonts w:hint="eastAsia"/>
        </w:rPr>
        <w:t>.</w:t>
      </w:r>
    </w:p>
    <w:p w14:paraId="0580D688">
      <w:pPr>
        <w:widowControl/>
        <w:jc w:val="left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br w:type="page"/>
      </w:r>
    </w:p>
    <w:p w14:paraId="7DCCD6FC">
      <w:pPr>
        <w:widowControl/>
        <w:adjustRightInd w:val="0"/>
        <w:snapToGrid w:val="0"/>
        <w:jc w:val="center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drawing>
          <wp:inline distT="0" distB="0" distL="0" distR="0">
            <wp:extent cx="2993390" cy="2015490"/>
            <wp:effectExtent l="0" t="0" r="0" b="3810"/>
            <wp:docPr id="735990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99015" name="图片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3635" cy="2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楷体" w:cs="Times New Roman"/>
          <w:b/>
          <w:sz w:val="28"/>
          <w:szCs w:val="28"/>
        </w:rPr>
        <w:drawing>
          <wp:inline distT="0" distB="0" distL="0" distR="0">
            <wp:extent cx="2997200" cy="2015490"/>
            <wp:effectExtent l="0" t="0" r="0" b="3810"/>
            <wp:docPr id="158730645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306453" name="图片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7337" cy="2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楷体" w:cs="Times New Roman"/>
          <w:b/>
          <w:sz w:val="28"/>
          <w:szCs w:val="28"/>
        </w:rPr>
        <w:drawing>
          <wp:inline distT="0" distB="0" distL="0" distR="0">
            <wp:extent cx="2994025" cy="2015490"/>
            <wp:effectExtent l="0" t="0" r="0" b="381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27"/>
                    <a:srcRect l="2359" t="1497"/>
                    <a:stretch>
                      <a:fillRect/>
                    </a:stretch>
                  </pic:blipFill>
                  <pic:spPr>
                    <a:xfrm>
                      <a:off x="0" y="0"/>
                      <a:ext cx="2994055" cy="2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4E495">
      <w:pPr>
        <w:pStyle w:val="21"/>
        <w:ind w:firstLine="0" w:firstLineChars="0"/>
      </w:pPr>
      <w:r>
        <w:rPr>
          <w:b/>
          <w:bCs/>
        </w:rPr>
        <w:t xml:space="preserve">Fig. </w:t>
      </w:r>
      <w:r>
        <w:rPr>
          <w:rFonts w:hint="eastAsia"/>
          <w:b/>
          <w:bCs/>
        </w:rPr>
        <w:t>S9</w:t>
      </w:r>
      <w:r>
        <w:rPr>
          <w:b/>
          <w:bCs/>
        </w:rPr>
        <w:t xml:space="preserve"> </w:t>
      </w:r>
      <w:r>
        <w:t>SEM images of spent catalysts: (a) ZZO/</w:t>
      </w:r>
      <w:r>
        <w:rPr>
          <w:rFonts w:hint="eastAsia"/>
        </w:rPr>
        <w:t>2</w:t>
      </w:r>
      <w:r>
        <w:t>SP34-spent, (b) ZZO/</w:t>
      </w:r>
      <w:r>
        <w:rPr>
          <w:rFonts w:hint="eastAsia"/>
        </w:rPr>
        <w:t>2</w:t>
      </w:r>
      <w:r>
        <w:t>Z5-spent, and (c) ZZO/2SP34/Z5-spent.</w:t>
      </w:r>
    </w:p>
    <w:p w14:paraId="4AA67BFD">
      <w:pPr>
        <w:widowControl/>
        <w:jc w:val="left"/>
        <w:rPr>
          <w:rFonts w:eastAsia="楷体" w:cs="Times New Roman"/>
          <w:b/>
          <w:sz w:val="28"/>
          <w:szCs w:val="28"/>
        </w:rPr>
      </w:pPr>
    </w:p>
    <w:p w14:paraId="132407A2">
      <w:pPr>
        <w:widowControl/>
        <w:jc w:val="left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br w:type="page"/>
      </w:r>
    </w:p>
    <w:p w14:paraId="7B752E1C">
      <w:pPr>
        <w:widowControl/>
        <w:jc w:val="center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drawing>
          <wp:inline distT="0" distB="0" distL="0" distR="0">
            <wp:extent cx="4352290" cy="3517265"/>
            <wp:effectExtent l="0" t="0" r="0" b="6985"/>
            <wp:docPr id="99042760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427605" name="图片 2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553" cy="3517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5FD56">
      <w:pPr>
        <w:widowControl/>
        <w:spacing w:line="360" w:lineRule="auto"/>
        <w:rPr>
          <w:rFonts w:eastAsia="楷体" w:cs="Times New Roman"/>
          <w:b/>
          <w:sz w:val="28"/>
          <w:szCs w:val="28"/>
        </w:rPr>
      </w:pPr>
      <w:r>
        <w:rPr>
          <w:b/>
          <w:bCs/>
        </w:rPr>
        <w:t xml:space="preserve">Fig. </w:t>
      </w:r>
      <w:r>
        <w:rPr>
          <w:rFonts w:hint="eastAsia"/>
          <w:b/>
          <w:bCs/>
        </w:rPr>
        <w:t>S10</w:t>
      </w:r>
      <w:r>
        <w:rPr>
          <w:b/>
          <w:bCs/>
        </w:rPr>
        <w:t xml:space="preserve"> </w:t>
      </w:r>
      <w:r>
        <w:rPr>
          <w:iCs/>
        </w:rPr>
        <w:t xml:space="preserve">The catalytic performance </w:t>
      </w:r>
      <w:r>
        <w:rPr>
          <w:rFonts w:hint="eastAsia"/>
          <w:iCs/>
        </w:rPr>
        <w:t>in CO</w:t>
      </w:r>
      <w:r>
        <w:rPr>
          <w:iCs/>
          <w:vertAlign w:val="subscript"/>
        </w:rPr>
        <w:t>2</w:t>
      </w:r>
      <w:r>
        <w:rPr>
          <w:rFonts w:hint="eastAsia"/>
          <w:iCs/>
        </w:rPr>
        <w:t xml:space="preserve"> hydrogenation </w:t>
      </w:r>
      <w:r>
        <w:rPr>
          <w:iCs/>
        </w:rPr>
        <w:t>of the regenerated ZZO/2SP34/Z5 by calcination at 550</w:t>
      </w:r>
      <w:r>
        <w:rPr>
          <w:rFonts w:hint="eastAsia"/>
          <w:iCs/>
        </w:rPr>
        <w:t xml:space="preserve"> </w:t>
      </w:r>
      <w:r>
        <w:rPr>
          <w:rFonts w:cs="Times New Roman"/>
          <w:iCs/>
        </w:rPr>
        <w:t>°C</w:t>
      </w:r>
      <w:r>
        <w:rPr>
          <w:iCs/>
        </w:rPr>
        <w:t xml:space="preserve"> for 4 h</w:t>
      </w:r>
      <w:r>
        <w:t>.</w:t>
      </w:r>
    </w:p>
    <w:p w14:paraId="6178CB0B">
      <w:pPr>
        <w:widowControl/>
        <w:jc w:val="left"/>
        <w:rPr>
          <w:rFonts w:eastAsia="楷体" w:cs="Times New Roman"/>
          <w:b/>
          <w:sz w:val="28"/>
          <w:szCs w:val="28"/>
        </w:rPr>
      </w:pPr>
    </w:p>
    <w:p w14:paraId="4E114331">
      <w:pPr>
        <w:widowControl/>
        <w:jc w:val="left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br w:type="page"/>
      </w:r>
    </w:p>
    <w:p w14:paraId="3A3E7C72">
      <w:pPr>
        <w:widowControl/>
        <w:jc w:val="center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drawing>
          <wp:inline distT="0" distB="0" distL="0" distR="0">
            <wp:extent cx="5407660" cy="2688590"/>
            <wp:effectExtent l="0" t="0" r="2540" b="0"/>
            <wp:docPr id="101413139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131395" name="图片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2688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374648">
      <w:pPr>
        <w:widowControl/>
        <w:spacing w:line="360" w:lineRule="auto"/>
        <w:rPr>
          <w:rFonts w:eastAsia="楷体" w:cs="Times New Roman"/>
          <w:b/>
          <w:sz w:val="28"/>
          <w:szCs w:val="28"/>
        </w:rPr>
      </w:pPr>
      <w:bookmarkStart w:id="10" w:name="OLE_LINK32"/>
      <w:r>
        <w:rPr>
          <w:b/>
          <w:bCs/>
        </w:rPr>
        <w:t xml:space="preserve">Fig. </w:t>
      </w:r>
      <w:r>
        <w:rPr>
          <w:rFonts w:hint="eastAsia"/>
          <w:b/>
          <w:bCs/>
        </w:rPr>
        <w:t>S11</w:t>
      </w:r>
      <w:r>
        <w:rPr>
          <w:b/>
          <w:bCs/>
        </w:rPr>
        <w:t xml:space="preserve"> </w:t>
      </w:r>
      <w:r>
        <w:t>(</w:t>
      </w:r>
      <w:r>
        <w:rPr>
          <w:rFonts w:hint="eastAsia"/>
        </w:rPr>
        <w:t>a</w:t>
      </w:r>
      <w:r>
        <w:t>)</w:t>
      </w:r>
      <w:r>
        <w:rPr>
          <w:rFonts w:hint="eastAsia"/>
        </w:rPr>
        <w:t xml:space="preserve"> </w:t>
      </w:r>
      <w:r>
        <w:t>Propylene-desorption DRIFTS spectra over zeolites at different desorption times</w:t>
      </w:r>
      <w:r>
        <w:rPr>
          <w:rFonts w:hint="eastAsia"/>
        </w:rPr>
        <w:t>;</w:t>
      </w:r>
      <w:r>
        <w:t xml:space="preserve"> </w:t>
      </w:r>
      <w:r>
        <w:rPr>
          <w:rFonts w:hint="eastAsia"/>
        </w:rPr>
        <w:t xml:space="preserve">(b) </w:t>
      </w:r>
      <w:r>
        <w:t>the percentage of the remaining propylene as a function of time according to the intensity of the DRIFTS signal at 2953 cm</w:t>
      </w:r>
      <w:r>
        <w:rPr>
          <w:vertAlign w:val="superscript"/>
        </w:rPr>
        <w:t>−1</w:t>
      </w:r>
      <w:r>
        <w:t>.</w:t>
      </w:r>
    </w:p>
    <w:bookmarkEnd w:id="10"/>
    <w:p w14:paraId="5A758CB3">
      <w:pPr>
        <w:widowControl/>
        <w:jc w:val="left"/>
        <w:rPr>
          <w:rFonts w:eastAsia="楷体" w:cs="Times New Roman"/>
          <w:b/>
          <w:sz w:val="28"/>
          <w:szCs w:val="28"/>
        </w:rPr>
      </w:pPr>
      <w:r>
        <w:rPr>
          <w:rFonts w:eastAsia="楷体" w:cs="Times New Roman"/>
          <w:b/>
          <w:sz w:val="28"/>
          <w:szCs w:val="28"/>
        </w:rPr>
        <w:br w:type="page"/>
      </w:r>
    </w:p>
    <w:p w14:paraId="215AF75B">
      <w:pPr>
        <w:widowControl/>
        <w:spacing w:line="360" w:lineRule="auto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Supporting </w:t>
      </w:r>
      <w:r>
        <w:rPr>
          <w:rFonts w:hint="eastAsia"/>
          <w:b/>
          <w:bCs/>
          <w:sz w:val="28"/>
          <w:szCs w:val="24"/>
        </w:rPr>
        <w:t>table</w:t>
      </w:r>
      <w:r>
        <w:rPr>
          <w:b/>
          <w:bCs/>
          <w:sz w:val="28"/>
          <w:szCs w:val="24"/>
        </w:rPr>
        <w:t>s</w:t>
      </w:r>
    </w:p>
    <w:p w14:paraId="2B5A2ED5">
      <w:pPr>
        <w:widowControl/>
        <w:spacing w:line="360" w:lineRule="auto"/>
        <w:rPr>
          <w:b/>
          <w:bCs/>
          <w:sz w:val="28"/>
          <w:szCs w:val="24"/>
        </w:rPr>
      </w:pPr>
    </w:p>
    <w:p w14:paraId="6A0DEF7B">
      <w:pPr>
        <w:widowControl/>
        <w:spacing w:line="360" w:lineRule="auto"/>
        <w:rPr>
          <w:color w:val="FF0000"/>
        </w:rPr>
      </w:pPr>
      <w:r>
        <w:rPr>
          <w:rFonts w:hint="eastAsia"/>
          <w:b/>
          <w:bCs/>
        </w:rPr>
        <w:t>Table</w:t>
      </w:r>
      <w:r>
        <w:rPr>
          <w:b/>
          <w:bCs/>
        </w:rPr>
        <w:t xml:space="preserve"> S1</w:t>
      </w:r>
      <w:r>
        <w:rPr>
          <w:rFonts w:hint="eastAsia"/>
          <w:b/>
          <w:bCs/>
        </w:rPr>
        <w:t>.</w:t>
      </w:r>
      <w:r>
        <w:t xml:space="preserve"> Catalytic performance of </w:t>
      </w:r>
      <w:r>
        <w:rPr>
          <w:color w:val="000000"/>
        </w:rPr>
        <w:t>CO</w:t>
      </w:r>
      <w:r>
        <w:rPr>
          <w:color w:val="000000"/>
          <w:vertAlign w:val="subscript"/>
        </w:rPr>
        <w:t>2</w:t>
      </w:r>
      <w:r>
        <w:rPr>
          <w:color w:val="000000"/>
        </w:rPr>
        <w:t xml:space="preserve"> hydrogenation</w:t>
      </w:r>
      <w:r>
        <w:t xml:space="preserve"> over </w:t>
      </w:r>
      <w:r>
        <w:rPr>
          <w:rFonts w:cs="Times New Roman"/>
          <w:szCs w:val="24"/>
        </w:rPr>
        <w:t>ZZO/</w:t>
      </w:r>
      <w:r>
        <w:rPr>
          <w:rFonts w:hint="eastAsia" w:cs="Times New Roman"/>
          <w:i/>
          <w:iCs/>
          <w:szCs w:val="24"/>
        </w:rPr>
        <w:t>x</w:t>
      </w:r>
      <w:r>
        <w:rPr>
          <w:rFonts w:cs="Times New Roman"/>
          <w:szCs w:val="24"/>
        </w:rPr>
        <w:t>SP34/</w:t>
      </w:r>
      <w:r>
        <w:rPr>
          <w:rFonts w:hint="eastAsia" w:cs="Times New Roman"/>
          <w:i/>
          <w:iCs/>
          <w:szCs w:val="24"/>
        </w:rPr>
        <w:t>y</w:t>
      </w:r>
      <w:r>
        <w:rPr>
          <w:rFonts w:cs="Times New Roman"/>
          <w:szCs w:val="24"/>
        </w:rPr>
        <w:t>Z5</w:t>
      </w:r>
      <w:r>
        <w:t xml:space="preserve"> catalysts under the standard reaction conditions.</w:t>
      </w:r>
      <w:r>
        <w:rPr>
          <w:sz w:val="21"/>
          <w:szCs w:val="21"/>
        </w:rPr>
        <w:t xml:space="preserve"> </w:t>
      </w:r>
    </w:p>
    <w:tbl>
      <w:tblPr>
        <w:tblStyle w:val="8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1"/>
        <w:gridCol w:w="950"/>
        <w:gridCol w:w="934"/>
        <w:gridCol w:w="749"/>
        <w:gridCol w:w="986"/>
        <w:gridCol w:w="979"/>
        <w:gridCol w:w="733"/>
        <w:gridCol w:w="936"/>
        <w:gridCol w:w="944"/>
        <w:gridCol w:w="1196"/>
      </w:tblGrid>
      <w:tr w14:paraId="0B328A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1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8A9E3F">
            <w:pPr>
              <w:widowControl/>
              <w:spacing w:line="36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Mixing proportion</w:t>
            </w:r>
          </w:p>
        </w:tc>
        <w:tc>
          <w:tcPr>
            <w:tcW w:w="985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D92E737">
            <w:pPr>
              <w:spacing w:line="36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CO</w:t>
            </w:r>
            <w:r>
              <w:rPr>
                <w:color w:val="000000"/>
                <w:szCs w:val="24"/>
                <w:vertAlign w:val="subscript"/>
              </w:rPr>
              <w:t xml:space="preserve">2 </w:t>
            </w:r>
            <w:r>
              <w:rPr>
                <w:color w:val="000000"/>
                <w:szCs w:val="24"/>
              </w:rPr>
              <w:t>conv.</w:t>
            </w:r>
          </w:p>
          <w:p w14:paraId="0DE5A2F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%</w:t>
            </w:r>
            <w:r>
              <w:rPr>
                <w:rFonts w:hint="eastAsia"/>
                <w:color w:val="000000"/>
                <w:szCs w:val="24"/>
              </w:rPr>
              <w:t>)</w:t>
            </w:r>
          </w:p>
        </w:tc>
        <w:tc>
          <w:tcPr>
            <w:tcW w:w="980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A8D00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CO sel. </w:t>
            </w:r>
            <w:r>
              <w:rPr>
                <w:rFonts w:hint="eastAsia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%</w:t>
            </w:r>
            <w:r>
              <w:rPr>
                <w:rFonts w:hint="eastAsia"/>
                <w:color w:val="000000"/>
                <w:szCs w:val="24"/>
              </w:rPr>
              <w:t>)</w:t>
            </w:r>
          </w:p>
        </w:tc>
        <w:tc>
          <w:tcPr>
            <w:tcW w:w="4263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E94DDB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Hydrocarbon distribution (%)</w:t>
            </w:r>
          </w:p>
        </w:tc>
        <w:tc>
          <w:tcPr>
            <w:tcW w:w="983" w:type="dxa"/>
            <w:vMerge w:val="restart"/>
            <w:tcBorders>
              <w:top w:val="single" w:color="auto" w:sz="4" w:space="0"/>
            </w:tcBorders>
            <w:vAlign w:val="center"/>
          </w:tcPr>
          <w:p w14:paraId="16F4E85A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BTX (%)</w:t>
            </w:r>
          </w:p>
        </w:tc>
        <w:tc>
          <w:tcPr>
            <w:tcW w:w="1196" w:type="dxa"/>
            <w:vMerge w:val="restart"/>
            <w:tcBorders>
              <w:top w:val="single" w:color="auto" w:sz="4" w:space="0"/>
            </w:tcBorders>
            <w:vAlign w:val="center"/>
          </w:tcPr>
          <w:p w14:paraId="47449DAC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BTX/Aro. (%)</w:t>
            </w:r>
          </w:p>
        </w:tc>
      </w:tr>
      <w:tr w14:paraId="36B7F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F2181A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985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9377E2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980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6AFC28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6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58695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CH</w:t>
            </w:r>
            <w:r>
              <w:rPr>
                <w:color w:val="000000"/>
                <w:szCs w:val="24"/>
                <w:vertAlign w:val="subscript"/>
              </w:rPr>
              <w:t>4</w:t>
            </w:r>
          </w:p>
        </w:tc>
        <w:tc>
          <w:tcPr>
            <w:tcW w:w="7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BCD19A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  <w:r>
              <w:rPr>
                <w:color w:val="000000"/>
                <w:szCs w:val="24"/>
                <w:vertAlign w:val="subscript"/>
              </w:rPr>
              <w:t>2</w:t>
            </w:r>
            <w:r>
              <w:rPr>
                <w:color w:val="000000"/>
                <w:szCs w:val="24"/>
                <w:vertAlign w:val="superscript"/>
              </w:rPr>
              <w:t>=</w:t>
            </w:r>
            <w:r>
              <w:rPr>
                <w:color w:val="000000"/>
                <w:szCs w:val="24"/>
              </w:rPr>
              <w:t>–C</w:t>
            </w:r>
            <w:r>
              <w:rPr>
                <w:color w:val="000000"/>
                <w:szCs w:val="24"/>
                <w:vertAlign w:val="subscript"/>
              </w:rPr>
              <w:t>4</w:t>
            </w:r>
            <w:r>
              <w:rPr>
                <w:color w:val="000000"/>
                <w:szCs w:val="24"/>
                <w:vertAlign w:val="superscript"/>
              </w:rPr>
              <w:t>=</w:t>
            </w:r>
          </w:p>
        </w:tc>
        <w:tc>
          <w:tcPr>
            <w:tcW w:w="98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65DCB3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  <w:r>
              <w:rPr>
                <w:color w:val="000000"/>
                <w:szCs w:val="24"/>
                <w:vertAlign w:val="subscript"/>
              </w:rPr>
              <w:t>2</w:t>
            </w:r>
            <w:r>
              <w:rPr>
                <w:color w:val="000000"/>
                <w:szCs w:val="24"/>
                <w:vertAlign w:val="superscript"/>
              </w:rPr>
              <w:t>0</w:t>
            </w:r>
            <w:r>
              <w:rPr>
                <w:color w:val="000000"/>
                <w:szCs w:val="24"/>
              </w:rPr>
              <w:t>–C</w:t>
            </w:r>
            <w:r>
              <w:rPr>
                <w:color w:val="000000"/>
                <w:szCs w:val="24"/>
                <w:vertAlign w:val="subscript"/>
              </w:rPr>
              <w:t>4</w:t>
            </w:r>
            <w:r>
              <w:rPr>
                <w:color w:val="000000"/>
                <w:szCs w:val="24"/>
                <w:vertAlign w:val="superscript"/>
              </w:rPr>
              <w:t>0</w:t>
            </w:r>
          </w:p>
        </w:tc>
        <w:tc>
          <w:tcPr>
            <w:tcW w:w="76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814C15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  <w:r>
              <w:rPr>
                <w:color w:val="000000"/>
                <w:szCs w:val="24"/>
                <w:vertAlign w:val="subscript"/>
              </w:rPr>
              <w:t>5+</w:t>
            </w:r>
          </w:p>
        </w:tc>
        <w:tc>
          <w:tcPr>
            <w:tcW w:w="98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E2919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Ar</w:t>
            </w:r>
            <w:r>
              <w:rPr>
                <w:rFonts w:hint="eastAsia"/>
                <w:szCs w:val="24"/>
              </w:rPr>
              <w:t>o.</w:t>
            </w:r>
          </w:p>
        </w:tc>
        <w:tc>
          <w:tcPr>
            <w:tcW w:w="983" w:type="dxa"/>
            <w:vMerge w:val="continue"/>
            <w:tcBorders>
              <w:bottom w:val="single" w:color="auto" w:sz="4" w:space="0"/>
            </w:tcBorders>
            <w:vAlign w:val="center"/>
          </w:tcPr>
          <w:p w14:paraId="4645CAC4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96" w:type="dxa"/>
            <w:vMerge w:val="continue"/>
            <w:tcBorders>
              <w:bottom w:val="single" w:color="auto" w:sz="4" w:space="0"/>
            </w:tcBorders>
          </w:tcPr>
          <w:p w14:paraId="74BABA89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</w:tr>
      <w:tr w14:paraId="363D4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1" w:type="dxa"/>
            <w:tcBorders>
              <w:top w:val="single" w:color="auto" w:sz="4" w:space="0"/>
            </w:tcBorders>
            <w:vAlign w:val="center"/>
          </w:tcPr>
          <w:p w14:paraId="297B7CC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1: </w:t>
            </w: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 xml:space="preserve">: </w:t>
            </w:r>
            <w:r>
              <w:rPr>
                <w:rFonts w:hint="eastAsia"/>
                <w:szCs w:val="24"/>
              </w:rPr>
              <w:t>0</w:t>
            </w:r>
          </w:p>
        </w:tc>
        <w:tc>
          <w:tcPr>
            <w:tcW w:w="985" w:type="dxa"/>
            <w:tcBorders>
              <w:top w:val="single" w:color="auto" w:sz="4" w:space="0"/>
            </w:tcBorders>
            <w:vAlign w:val="center"/>
          </w:tcPr>
          <w:p w14:paraId="016FCE1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10.5</w:t>
            </w:r>
          </w:p>
        </w:tc>
        <w:tc>
          <w:tcPr>
            <w:tcW w:w="980" w:type="dxa"/>
            <w:tcBorders>
              <w:top w:val="single" w:color="auto" w:sz="4" w:space="0"/>
            </w:tcBorders>
            <w:vAlign w:val="center"/>
          </w:tcPr>
          <w:p w14:paraId="3943223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47.4</w:t>
            </w:r>
          </w:p>
        </w:tc>
        <w:tc>
          <w:tcPr>
            <w:tcW w:w="768" w:type="dxa"/>
            <w:tcBorders>
              <w:top w:val="single" w:color="auto" w:sz="4" w:space="0"/>
            </w:tcBorders>
            <w:vAlign w:val="center"/>
          </w:tcPr>
          <w:p w14:paraId="5F84CFE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0.9</w:t>
            </w:r>
          </w:p>
        </w:tc>
        <w:tc>
          <w:tcPr>
            <w:tcW w:w="770" w:type="dxa"/>
            <w:tcBorders>
              <w:top w:val="single" w:color="auto" w:sz="4" w:space="0"/>
            </w:tcBorders>
            <w:vAlign w:val="center"/>
          </w:tcPr>
          <w:p w14:paraId="0529BFF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78.0</w:t>
            </w:r>
          </w:p>
        </w:tc>
        <w:tc>
          <w:tcPr>
            <w:tcW w:w="981" w:type="dxa"/>
            <w:tcBorders>
              <w:top w:val="single" w:color="auto" w:sz="4" w:space="0"/>
            </w:tcBorders>
            <w:vAlign w:val="center"/>
          </w:tcPr>
          <w:p w14:paraId="2DB747A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18.8</w:t>
            </w:r>
          </w:p>
        </w:tc>
        <w:tc>
          <w:tcPr>
            <w:tcW w:w="763" w:type="dxa"/>
            <w:tcBorders>
              <w:top w:val="single" w:color="auto" w:sz="4" w:space="0"/>
            </w:tcBorders>
            <w:vAlign w:val="center"/>
          </w:tcPr>
          <w:p w14:paraId="30343FC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2.3</w:t>
            </w:r>
          </w:p>
        </w:tc>
        <w:tc>
          <w:tcPr>
            <w:tcW w:w="981" w:type="dxa"/>
            <w:tcBorders>
              <w:top w:val="single" w:color="auto" w:sz="4" w:space="0"/>
            </w:tcBorders>
            <w:vAlign w:val="center"/>
          </w:tcPr>
          <w:p w14:paraId="37E6A827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</w:p>
        </w:tc>
        <w:tc>
          <w:tcPr>
            <w:tcW w:w="983" w:type="dxa"/>
            <w:tcBorders>
              <w:top w:val="single" w:color="auto" w:sz="4" w:space="0"/>
            </w:tcBorders>
            <w:vAlign w:val="center"/>
          </w:tcPr>
          <w:p w14:paraId="19B62F42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</w:p>
        </w:tc>
        <w:tc>
          <w:tcPr>
            <w:tcW w:w="1196" w:type="dxa"/>
            <w:tcBorders>
              <w:top w:val="single" w:color="auto" w:sz="4" w:space="0"/>
            </w:tcBorders>
            <w:vAlign w:val="center"/>
          </w:tcPr>
          <w:p w14:paraId="3719257C">
            <w:pPr>
              <w:widowControl/>
              <w:spacing w:line="360" w:lineRule="auto"/>
              <w:jc w:val="center"/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</w:p>
        </w:tc>
      </w:tr>
      <w:tr w14:paraId="539B5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1" w:type="dxa"/>
            <w:vAlign w:val="center"/>
          </w:tcPr>
          <w:p w14:paraId="47C228D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1: </w:t>
            </w: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 xml:space="preserve">: </w:t>
            </w: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  <w:vertAlign w:val="superscript"/>
              </w:rPr>
              <w:t>a</w:t>
            </w:r>
          </w:p>
        </w:tc>
        <w:tc>
          <w:tcPr>
            <w:tcW w:w="985" w:type="dxa"/>
            <w:vAlign w:val="center"/>
          </w:tcPr>
          <w:p w14:paraId="7EA6B219">
            <w:pPr>
              <w:widowControl/>
              <w:spacing w:line="360" w:lineRule="auto"/>
              <w:jc w:val="center"/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9.1</w:t>
            </w:r>
          </w:p>
        </w:tc>
        <w:tc>
          <w:tcPr>
            <w:tcW w:w="980" w:type="dxa"/>
            <w:vAlign w:val="center"/>
          </w:tcPr>
          <w:p w14:paraId="5C0B6709">
            <w:pPr>
              <w:widowControl/>
              <w:spacing w:line="360" w:lineRule="auto"/>
              <w:jc w:val="center"/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54.2</w:t>
            </w:r>
          </w:p>
        </w:tc>
        <w:tc>
          <w:tcPr>
            <w:tcW w:w="768" w:type="dxa"/>
            <w:vAlign w:val="center"/>
          </w:tcPr>
          <w:p w14:paraId="3C7CAB26">
            <w:pPr>
              <w:widowControl/>
              <w:spacing w:line="360" w:lineRule="auto"/>
              <w:jc w:val="center"/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770" w:type="dxa"/>
            <w:vAlign w:val="center"/>
          </w:tcPr>
          <w:p w14:paraId="15BE9358">
            <w:pPr>
              <w:widowControl/>
              <w:spacing w:line="360" w:lineRule="auto"/>
              <w:jc w:val="center"/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szCs w:val="24"/>
              </w:rPr>
              <w:t>−</w:t>
            </w:r>
          </w:p>
        </w:tc>
        <w:tc>
          <w:tcPr>
            <w:tcW w:w="981" w:type="dxa"/>
            <w:vAlign w:val="center"/>
          </w:tcPr>
          <w:p w14:paraId="4B2755D5">
            <w:pPr>
              <w:widowControl/>
              <w:spacing w:line="360" w:lineRule="auto"/>
              <w:jc w:val="center"/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szCs w:val="24"/>
              </w:rPr>
              <w:t>−</w:t>
            </w:r>
          </w:p>
        </w:tc>
        <w:tc>
          <w:tcPr>
            <w:tcW w:w="763" w:type="dxa"/>
            <w:vAlign w:val="center"/>
          </w:tcPr>
          <w:p w14:paraId="3F14B56E">
            <w:pPr>
              <w:widowControl/>
              <w:spacing w:line="360" w:lineRule="auto"/>
              <w:jc w:val="center"/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szCs w:val="24"/>
              </w:rPr>
              <w:t>−</w:t>
            </w:r>
          </w:p>
        </w:tc>
        <w:tc>
          <w:tcPr>
            <w:tcW w:w="981" w:type="dxa"/>
            <w:vAlign w:val="center"/>
          </w:tcPr>
          <w:p w14:paraId="188109C4">
            <w:pPr>
              <w:widowControl/>
              <w:spacing w:line="360" w:lineRule="auto"/>
              <w:jc w:val="center"/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szCs w:val="24"/>
              </w:rPr>
              <w:t>−</w:t>
            </w:r>
          </w:p>
        </w:tc>
        <w:tc>
          <w:tcPr>
            <w:tcW w:w="983" w:type="dxa"/>
            <w:vAlign w:val="center"/>
          </w:tcPr>
          <w:p w14:paraId="29605EA6">
            <w:pPr>
              <w:widowControl/>
              <w:spacing w:line="360" w:lineRule="auto"/>
              <w:jc w:val="center"/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szCs w:val="24"/>
              </w:rPr>
              <w:t>−</w:t>
            </w:r>
          </w:p>
        </w:tc>
        <w:tc>
          <w:tcPr>
            <w:tcW w:w="1196" w:type="dxa"/>
            <w:vAlign w:val="center"/>
          </w:tcPr>
          <w:p w14:paraId="711BD3DA">
            <w:pPr>
              <w:widowControl/>
              <w:spacing w:line="360" w:lineRule="auto"/>
              <w:jc w:val="center"/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szCs w:val="24"/>
              </w:rPr>
              <w:t>−</w:t>
            </w:r>
          </w:p>
        </w:tc>
      </w:tr>
      <w:tr w14:paraId="364F2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1" w:type="dxa"/>
            <w:vAlign w:val="center"/>
          </w:tcPr>
          <w:p w14:paraId="63E9C98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1: </w:t>
            </w: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 xml:space="preserve">: </w:t>
            </w: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985" w:type="dxa"/>
            <w:vAlign w:val="center"/>
          </w:tcPr>
          <w:p w14:paraId="1AE4DEF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11.4</w:t>
            </w:r>
          </w:p>
        </w:tc>
        <w:tc>
          <w:tcPr>
            <w:tcW w:w="980" w:type="dxa"/>
            <w:vAlign w:val="center"/>
          </w:tcPr>
          <w:p w14:paraId="594B6A6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67.1</w:t>
            </w:r>
          </w:p>
        </w:tc>
        <w:tc>
          <w:tcPr>
            <w:tcW w:w="768" w:type="dxa"/>
            <w:vAlign w:val="center"/>
          </w:tcPr>
          <w:p w14:paraId="3D3E9B4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0.6</w:t>
            </w:r>
          </w:p>
        </w:tc>
        <w:tc>
          <w:tcPr>
            <w:tcW w:w="770" w:type="dxa"/>
            <w:vAlign w:val="center"/>
          </w:tcPr>
          <w:p w14:paraId="25D70DA4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5.0</w:t>
            </w:r>
          </w:p>
        </w:tc>
        <w:tc>
          <w:tcPr>
            <w:tcW w:w="981" w:type="dxa"/>
            <w:vAlign w:val="center"/>
          </w:tcPr>
          <w:p w14:paraId="46331E2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13.6</w:t>
            </w:r>
          </w:p>
        </w:tc>
        <w:tc>
          <w:tcPr>
            <w:tcW w:w="763" w:type="dxa"/>
            <w:vAlign w:val="center"/>
          </w:tcPr>
          <w:p w14:paraId="321976C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5.1</w:t>
            </w:r>
          </w:p>
        </w:tc>
        <w:tc>
          <w:tcPr>
            <w:tcW w:w="981" w:type="dxa"/>
            <w:vAlign w:val="center"/>
          </w:tcPr>
          <w:p w14:paraId="15EE35E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75.7</w:t>
            </w:r>
          </w:p>
        </w:tc>
        <w:tc>
          <w:tcPr>
            <w:tcW w:w="983" w:type="dxa"/>
            <w:vAlign w:val="center"/>
          </w:tcPr>
          <w:p w14:paraId="6E971D62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9.7</w:t>
            </w:r>
          </w:p>
        </w:tc>
        <w:tc>
          <w:tcPr>
            <w:tcW w:w="1196" w:type="dxa"/>
            <w:vAlign w:val="center"/>
          </w:tcPr>
          <w:p w14:paraId="0D7B7EF6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12.9</w:t>
            </w:r>
          </w:p>
        </w:tc>
      </w:tr>
      <w:tr w14:paraId="1906F4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1" w:type="dxa"/>
            <w:vAlign w:val="center"/>
          </w:tcPr>
          <w:p w14:paraId="656986D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1: 1: </w:t>
            </w: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985" w:type="dxa"/>
            <w:vAlign w:val="center"/>
          </w:tcPr>
          <w:p w14:paraId="1C660AE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12.9</w:t>
            </w:r>
          </w:p>
        </w:tc>
        <w:tc>
          <w:tcPr>
            <w:tcW w:w="980" w:type="dxa"/>
            <w:vAlign w:val="center"/>
          </w:tcPr>
          <w:p w14:paraId="11BDB10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58.3</w:t>
            </w:r>
          </w:p>
        </w:tc>
        <w:tc>
          <w:tcPr>
            <w:tcW w:w="768" w:type="dxa"/>
            <w:vAlign w:val="center"/>
          </w:tcPr>
          <w:p w14:paraId="353D940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0.4</w:t>
            </w:r>
          </w:p>
        </w:tc>
        <w:tc>
          <w:tcPr>
            <w:tcW w:w="770" w:type="dxa"/>
            <w:vAlign w:val="center"/>
          </w:tcPr>
          <w:p w14:paraId="1665217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5.9</w:t>
            </w:r>
          </w:p>
        </w:tc>
        <w:tc>
          <w:tcPr>
            <w:tcW w:w="981" w:type="dxa"/>
            <w:vAlign w:val="center"/>
          </w:tcPr>
          <w:p w14:paraId="40C0D5C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18.3</w:t>
            </w:r>
          </w:p>
        </w:tc>
        <w:tc>
          <w:tcPr>
            <w:tcW w:w="763" w:type="dxa"/>
            <w:vAlign w:val="center"/>
          </w:tcPr>
          <w:p w14:paraId="40D5F21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5.4</w:t>
            </w:r>
          </w:p>
        </w:tc>
        <w:tc>
          <w:tcPr>
            <w:tcW w:w="981" w:type="dxa"/>
            <w:vAlign w:val="center"/>
          </w:tcPr>
          <w:p w14:paraId="6AB4F1B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70.0</w:t>
            </w:r>
          </w:p>
        </w:tc>
        <w:tc>
          <w:tcPr>
            <w:tcW w:w="983" w:type="dxa"/>
            <w:vAlign w:val="center"/>
          </w:tcPr>
          <w:p w14:paraId="3AA9A40A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14.0</w:t>
            </w:r>
          </w:p>
        </w:tc>
        <w:tc>
          <w:tcPr>
            <w:tcW w:w="1196" w:type="dxa"/>
            <w:vAlign w:val="center"/>
          </w:tcPr>
          <w:p w14:paraId="5EB92B5E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20.0</w:t>
            </w:r>
          </w:p>
        </w:tc>
      </w:tr>
      <w:tr w14:paraId="29BA9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1" w:type="dxa"/>
            <w:vAlign w:val="center"/>
          </w:tcPr>
          <w:p w14:paraId="14D54AC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1: 1: 1</w:t>
            </w:r>
          </w:p>
        </w:tc>
        <w:tc>
          <w:tcPr>
            <w:tcW w:w="985" w:type="dxa"/>
            <w:vAlign w:val="center"/>
          </w:tcPr>
          <w:p w14:paraId="55A2526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10.4</w:t>
            </w:r>
          </w:p>
        </w:tc>
        <w:tc>
          <w:tcPr>
            <w:tcW w:w="980" w:type="dxa"/>
            <w:vAlign w:val="center"/>
          </w:tcPr>
          <w:p w14:paraId="4F40871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52.4</w:t>
            </w:r>
          </w:p>
        </w:tc>
        <w:tc>
          <w:tcPr>
            <w:tcW w:w="768" w:type="dxa"/>
            <w:vAlign w:val="center"/>
          </w:tcPr>
          <w:p w14:paraId="798B94B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0.5</w:t>
            </w:r>
          </w:p>
        </w:tc>
        <w:tc>
          <w:tcPr>
            <w:tcW w:w="770" w:type="dxa"/>
            <w:vAlign w:val="center"/>
          </w:tcPr>
          <w:p w14:paraId="7AD4E0A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10.1</w:t>
            </w:r>
          </w:p>
        </w:tc>
        <w:tc>
          <w:tcPr>
            <w:tcW w:w="981" w:type="dxa"/>
            <w:vAlign w:val="center"/>
          </w:tcPr>
          <w:p w14:paraId="53BB857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12.5</w:t>
            </w:r>
          </w:p>
        </w:tc>
        <w:tc>
          <w:tcPr>
            <w:tcW w:w="763" w:type="dxa"/>
            <w:vAlign w:val="center"/>
          </w:tcPr>
          <w:p w14:paraId="5BFB15F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8.6</w:t>
            </w:r>
          </w:p>
        </w:tc>
        <w:tc>
          <w:tcPr>
            <w:tcW w:w="981" w:type="dxa"/>
            <w:vAlign w:val="center"/>
          </w:tcPr>
          <w:p w14:paraId="4A87983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68.2</w:t>
            </w:r>
          </w:p>
        </w:tc>
        <w:tc>
          <w:tcPr>
            <w:tcW w:w="983" w:type="dxa"/>
            <w:vAlign w:val="center"/>
          </w:tcPr>
          <w:p w14:paraId="4EE7B293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19.5</w:t>
            </w:r>
          </w:p>
        </w:tc>
        <w:tc>
          <w:tcPr>
            <w:tcW w:w="1196" w:type="dxa"/>
            <w:vAlign w:val="center"/>
          </w:tcPr>
          <w:p w14:paraId="0F569E13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hint="eastAsia"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28.6</w:t>
            </w:r>
          </w:p>
        </w:tc>
      </w:tr>
      <w:tr w14:paraId="7F90F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1" w:type="dxa"/>
            <w:vAlign w:val="center"/>
          </w:tcPr>
          <w:p w14:paraId="7BB654B4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1: </w:t>
            </w: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: 1</w:t>
            </w:r>
          </w:p>
        </w:tc>
        <w:tc>
          <w:tcPr>
            <w:tcW w:w="985" w:type="dxa"/>
            <w:vAlign w:val="center"/>
          </w:tcPr>
          <w:p w14:paraId="1CDC88A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12.4</w:t>
            </w:r>
          </w:p>
        </w:tc>
        <w:tc>
          <w:tcPr>
            <w:tcW w:w="980" w:type="dxa"/>
            <w:vAlign w:val="center"/>
          </w:tcPr>
          <w:p w14:paraId="53746ED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48.8</w:t>
            </w:r>
          </w:p>
        </w:tc>
        <w:tc>
          <w:tcPr>
            <w:tcW w:w="768" w:type="dxa"/>
            <w:vAlign w:val="center"/>
          </w:tcPr>
          <w:p w14:paraId="34CC78E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0.3</w:t>
            </w:r>
          </w:p>
        </w:tc>
        <w:tc>
          <w:tcPr>
            <w:tcW w:w="770" w:type="dxa"/>
            <w:vAlign w:val="center"/>
          </w:tcPr>
          <w:p w14:paraId="2347377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7.8</w:t>
            </w:r>
          </w:p>
        </w:tc>
        <w:tc>
          <w:tcPr>
            <w:tcW w:w="981" w:type="dxa"/>
            <w:vAlign w:val="center"/>
          </w:tcPr>
          <w:p w14:paraId="7E27D29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9.5</w:t>
            </w:r>
          </w:p>
        </w:tc>
        <w:tc>
          <w:tcPr>
            <w:tcW w:w="763" w:type="dxa"/>
            <w:vAlign w:val="center"/>
          </w:tcPr>
          <w:p w14:paraId="58C7603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7.1</w:t>
            </w:r>
          </w:p>
        </w:tc>
        <w:tc>
          <w:tcPr>
            <w:tcW w:w="981" w:type="dxa"/>
            <w:vAlign w:val="center"/>
          </w:tcPr>
          <w:p w14:paraId="73C425E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75.3</w:t>
            </w:r>
          </w:p>
        </w:tc>
        <w:tc>
          <w:tcPr>
            <w:tcW w:w="983" w:type="dxa"/>
            <w:vAlign w:val="center"/>
          </w:tcPr>
          <w:p w14:paraId="46EFFB85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31.9</w:t>
            </w:r>
          </w:p>
        </w:tc>
        <w:tc>
          <w:tcPr>
            <w:tcW w:w="1196" w:type="dxa"/>
            <w:vAlign w:val="center"/>
          </w:tcPr>
          <w:p w14:paraId="1DDDE8AA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42.3</w:t>
            </w:r>
          </w:p>
        </w:tc>
      </w:tr>
      <w:tr w14:paraId="07D3A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1" w:type="dxa"/>
            <w:tcBorders>
              <w:bottom w:val="single" w:color="auto" w:sz="4" w:space="0"/>
            </w:tcBorders>
            <w:vAlign w:val="center"/>
          </w:tcPr>
          <w:p w14:paraId="3A3A4DD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1: </w:t>
            </w:r>
            <w:r>
              <w:rPr>
                <w:rFonts w:hint="eastAsia"/>
                <w:szCs w:val="24"/>
              </w:rPr>
              <w:t>3</w:t>
            </w:r>
            <w:r>
              <w:rPr>
                <w:szCs w:val="24"/>
              </w:rPr>
              <w:t>: 1</w:t>
            </w:r>
          </w:p>
        </w:tc>
        <w:tc>
          <w:tcPr>
            <w:tcW w:w="985" w:type="dxa"/>
            <w:tcBorders>
              <w:bottom w:val="single" w:color="auto" w:sz="4" w:space="0"/>
            </w:tcBorders>
            <w:vAlign w:val="center"/>
          </w:tcPr>
          <w:p w14:paraId="69C9EC07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11.2</w:t>
            </w:r>
          </w:p>
        </w:tc>
        <w:tc>
          <w:tcPr>
            <w:tcW w:w="980" w:type="dxa"/>
            <w:tcBorders>
              <w:bottom w:val="single" w:color="auto" w:sz="4" w:space="0"/>
            </w:tcBorders>
            <w:vAlign w:val="center"/>
          </w:tcPr>
          <w:p w14:paraId="0270B31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51.2</w:t>
            </w:r>
          </w:p>
        </w:tc>
        <w:tc>
          <w:tcPr>
            <w:tcW w:w="768" w:type="dxa"/>
            <w:tcBorders>
              <w:bottom w:val="single" w:color="auto" w:sz="4" w:space="0"/>
            </w:tcBorders>
            <w:vAlign w:val="center"/>
          </w:tcPr>
          <w:p w14:paraId="38935E6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0.4</w:t>
            </w:r>
          </w:p>
        </w:tc>
        <w:tc>
          <w:tcPr>
            <w:tcW w:w="770" w:type="dxa"/>
            <w:tcBorders>
              <w:bottom w:val="single" w:color="auto" w:sz="4" w:space="0"/>
            </w:tcBorders>
            <w:vAlign w:val="center"/>
          </w:tcPr>
          <w:p w14:paraId="089AA37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9.5</w:t>
            </w:r>
          </w:p>
        </w:tc>
        <w:tc>
          <w:tcPr>
            <w:tcW w:w="981" w:type="dxa"/>
            <w:tcBorders>
              <w:bottom w:val="single" w:color="auto" w:sz="4" w:space="0"/>
            </w:tcBorders>
            <w:vAlign w:val="center"/>
          </w:tcPr>
          <w:p w14:paraId="2F7CEBB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9.1</w:t>
            </w:r>
          </w:p>
        </w:tc>
        <w:tc>
          <w:tcPr>
            <w:tcW w:w="763" w:type="dxa"/>
            <w:tcBorders>
              <w:bottom w:val="single" w:color="auto" w:sz="4" w:space="0"/>
            </w:tcBorders>
            <w:vAlign w:val="center"/>
          </w:tcPr>
          <w:p w14:paraId="666C624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8.1</w:t>
            </w:r>
          </w:p>
        </w:tc>
        <w:tc>
          <w:tcPr>
            <w:tcW w:w="981" w:type="dxa"/>
            <w:tcBorders>
              <w:bottom w:val="single" w:color="auto" w:sz="4" w:space="0"/>
            </w:tcBorders>
            <w:vAlign w:val="center"/>
          </w:tcPr>
          <w:p w14:paraId="6703864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72.9</w:t>
            </w:r>
          </w:p>
        </w:tc>
        <w:tc>
          <w:tcPr>
            <w:tcW w:w="983" w:type="dxa"/>
            <w:tcBorders>
              <w:bottom w:val="single" w:color="auto" w:sz="4" w:space="0"/>
            </w:tcBorders>
            <w:vAlign w:val="center"/>
          </w:tcPr>
          <w:p w14:paraId="0D441483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31.5</w:t>
            </w:r>
          </w:p>
        </w:tc>
        <w:tc>
          <w:tcPr>
            <w:tcW w:w="1196" w:type="dxa"/>
            <w:tcBorders>
              <w:bottom w:val="single" w:color="auto" w:sz="4" w:space="0"/>
            </w:tcBorders>
            <w:vAlign w:val="center"/>
          </w:tcPr>
          <w:p w14:paraId="02BDA99E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43.2</w:t>
            </w:r>
          </w:p>
        </w:tc>
      </w:tr>
    </w:tbl>
    <w:p w14:paraId="2EA9AE33">
      <w:pPr>
        <w:widowControl/>
        <w:spacing w:line="360" w:lineRule="auto"/>
        <w:jc w:val="left"/>
        <w:rPr>
          <w:szCs w:val="24"/>
        </w:rPr>
      </w:pPr>
      <w:r>
        <w:rPr>
          <w:szCs w:val="24"/>
        </w:rPr>
        <w:t>R</w:t>
      </w:r>
      <w:r>
        <w:rPr>
          <w:rFonts w:hint="eastAsia"/>
          <w:szCs w:val="24"/>
        </w:rPr>
        <w:t>eaction</w:t>
      </w:r>
      <w:r>
        <w:rPr>
          <w:szCs w:val="24"/>
        </w:rPr>
        <w:t xml:space="preserve"> condition: </w:t>
      </w:r>
      <w:r>
        <w:rPr>
          <w:rFonts w:hint="eastAsia"/>
          <w:szCs w:val="24"/>
        </w:rPr>
        <w:t>32</w:t>
      </w:r>
      <w:r>
        <w:rPr>
          <w:szCs w:val="24"/>
        </w:rPr>
        <w:t xml:space="preserve">0 </w:t>
      </w:r>
      <w:r>
        <w:rPr>
          <w:rFonts w:cs="Times New Roman"/>
          <w:iCs/>
        </w:rPr>
        <w:t>°C</w:t>
      </w:r>
      <w:r>
        <w:rPr>
          <w:szCs w:val="24"/>
        </w:rPr>
        <w:t xml:space="preserve">, </w:t>
      </w:r>
      <w:r>
        <w:rPr>
          <w:rFonts w:hint="eastAsia"/>
          <w:szCs w:val="24"/>
        </w:rPr>
        <w:t>3</w:t>
      </w:r>
      <w:r>
        <w:rPr>
          <w:szCs w:val="24"/>
        </w:rPr>
        <w:t xml:space="preserve">.0 MPa, </w:t>
      </w:r>
      <w:r>
        <w:rPr>
          <w:rFonts w:hint="eastAsia"/>
          <w:szCs w:val="24"/>
        </w:rPr>
        <w:t>1200</w:t>
      </w:r>
      <w:r>
        <w:rPr>
          <w:szCs w:val="24"/>
        </w:rPr>
        <w:t xml:space="preserve"> mL g</w:t>
      </w:r>
      <w:r>
        <w:rPr>
          <w:szCs w:val="24"/>
          <w:vertAlign w:val="subscript"/>
        </w:rPr>
        <w:t>cat</w:t>
      </w:r>
      <w:r>
        <w:rPr>
          <w:szCs w:val="24"/>
          <w:vertAlign w:val="superscript"/>
        </w:rPr>
        <w:t xml:space="preserve">−1 </w:t>
      </w:r>
      <w:r>
        <w:rPr>
          <w:szCs w:val="24"/>
        </w:rPr>
        <w:t>h</w:t>
      </w:r>
      <w:r>
        <w:rPr>
          <w:szCs w:val="24"/>
          <w:vertAlign w:val="superscript"/>
        </w:rPr>
        <w:t>−1</w:t>
      </w:r>
      <w:r>
        <w:rPr>
          <w:szCs w:val="24"/>
        </w:rPr>
        <w:t xml:space="preserve"> and H</w:t>
      </w:r>
      <w:r>
        <w:rPr>
          <w:szCs w:val="24"/>
          <w:vertAlign w:val="subscript"/>
        </w:rPr>
        <w:t>2</w:t>
      </w:r>
      <w:r>
        <w:rPr>
          <w:szCs w:val="24"/>
        </w:rPr>
        <w:t>/CO</w:t>
      </w:r>
      <w:r>
        <w:rPr>
          <w:rFonts w:hint="eastAsia"/>
          <w:szCs w:val="24"/>
          <w:vertAlign w:val="subscript"/>
        </w:rPr>
        <w:t>2</w:t>
      </w:r>
      <w:r>
        <w:rPr>
          <w:szCs w:val="24"/>
        </w:rPr>
        <w:t xml:space="preserve"> = </w:t>
      </w:r>
      <w:r>
        <w:rPr>
          <w:rFonts w:hint="eastAsia"/>
          <w:szCs w:val="24"/>
        </w:rPr>
        <w:t>3</w:t>
      </w:r>
      <w:r>
        <w:rPr>
          <w:szCs w:val="24"/>
        </w:rPr>
        <w:t>.</w:t>
      </w:r>
    </w:p>
    <w:p w14:paraId="7B706D3E">
      <w:pPr>
        <w:widowControl/>
        <w:spacing w:line="360" w:lineRule="auto"/>
        <w:jc w:val="left"/>
        <w:rPr>
          <w:b/>
          <w:bCs/>
          <w:sz w:val="21"/>
          <w:szCs w:val="21"/>
        </w:rPr>
      </w:pPr>
      <w:r>
        <w:rPr>
          <w:rFonts w:hint="eastAsia"/>
          <w:szCs w:val="24"/>
          <w:vertAlign w:val="superscript"/>
        </w:rPr>
        <w:t xml:space="preserve">a </w:t>
      </w:r>
      <w:r>
        <w:rPr>
          <w:szCs w:val="24"/>
        </w:rPr>
        <w:t xml:space="preserve">The ZZO </w:t>
      </w:r>
      <w:r>
        <w:rPr>
          <w:rFonts w:hint="eastAsia"/>
          <w:szCs w:val="24"/>
        </w:rPr>
        <w:t>mass</w:t>
      </w:r>
      <w:r>
        <w:rPr>
          <w:szCs w:val="24"/>
        </w:rPr>
        <w:t xml:space="preserve"> is based on the oxide mass in </w:t>
      </w:r>
      <w:bookmarkStart w:id="11" w:name="OLE_LINK52"/>
      <w:r>
        <w:rPr>
          <w:szCs w:val="24"/>
        </w:rPr>
        <w:t>ZZO/</w:t>
      </w:r>
      <w:r>
        <w:rPr>
          <w:rFonts w:hint="eastAsia"/>
          <w:szCs w:val="24"/>
        </w:rPr>
        <w:t>2Z5</w:t>
      </w:r>
      <w:bookmarkEnd w:id="11"/>
      <w:r>
        <w:rPr>
          <w:szCs w:val="24"/>
        </w:rPr>
        <w:t>.</w:t>
      </w:r>
    </w:p>
    <w:p w14:paraId="48715434">
      <w:pPr>
        <w:widowControl/>
        <w:spacing w:line="360" w:lineRule="auto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14:paraId="22920D5C">
      <w:pPr>
        <w:pStyle w:val="22"/>
        <w:jc w:val="both"/>
        <w:rPr>
          <w:rFonts w:cs="Times New Roman"/>
          <w:sz w:val="24"/>
          <w:szCs w:val="24"/>
          <w:vertAlign w:val="superscript"/>
        </w:rPr>
      </w:pPr>
      <w:r>
        <w:rPr>
          <w:rFonts w:cs="Times New Roman"/>
          <w:b/>
          <w:bCs/>
          <w:color w:val="000000"/>
          <w:sz w:val="24"/>
          <w:szCs w:val="24"/>
        </w:rPr>
        <w:t xml:space="preserve">Table </w:t>
      </w:r>
      <w:r>
        <w:rPr>
          <w:rFonts w:hint="eastAsia" w:cs="Times New Roman"/>
          <w:b/>
          <w:bCs/>
          <w:color w:val="000000"/>
          <w:sz w:val="24"/>
          <w:szCs w:val="24"/>
        </w:rPr>
        <w:t>S2.</w:t>
      </w:r>
      <w:r>
        <w:rPr>
          <w:rFonts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Aromatics distributions over ZZO/</w:t>
      </w:r>
      <w:r>
        <w:rPr>
          <w:rFonts w:hint="eastAsia" w:cs="Times New Roman"/>
          <w:i/>
          <w:iCs/>
          <w:sz w:val="24"/>
          <w:szCs w:val="24"/>
        </w:rPr>
        <w:t>x</w:t>
      </w:r>
      <w:r>
        <w:rPr>
          <w:rFonts w:cs="Times New Roman"/>
          <w:sz w:val="24"/>
          <w:szCs w:val="24"/>
        </w:rPr>
        <w:t>SP34/</w:t>
      </w:r>
      <w:r>
        <w:rPr>
          <w:rFonts w:hint="eastAsia" w:cs="Times New Roman"/>
          <w:i/>
          <w:iCs/>
          <w:sz w:val="24"/>
          <w:szCs w:val="24"/>
        </w:rPr>
        <w:t>y</w:t>
      </w:r>
      <w:r>
        <w:rPr>
          <w:rFonts w:cs="Times New Roman"/>
          <w:sz w:val="24"/>
          <w:szCs w:val="24"/>
        </w:rPr>
        <w:t>Z5 catalysts.</w:t>
      </w:r>
    </w:p>
    <w:tbl>
      <w:tblPr>
        <w:tblStyle w:val="7"/>
        <w:tblW w:w="4603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0"/>
        <w:gridCol w:w="871"/>
        <w:gridCol w:w="877"/>
        <w:gridCol w:w="877"/>
        <w:gridCol w:w="1056"/>
        <w:gridCol w:w="877"/>
        <w:gridCol w:w="1056"/>
        <w:gridCol w:w="1059"/>
      </w:tblGrid>
      <w:tr w14:paraId="5698E0B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0" w:type="pct"/>
            <w:vMerge w:val="restart"/>
            <w:tcBorders>
              <w:bottom w:val="single" w:color="auto" w:sz="4" w:space="0"/>
              <w:right w:val="nil"/>
            </w:tcBorders>
            <w:vAlign w:val="center"/>
          </w:tcPr>
          <w:p w14:paraId="581757FD">
            <w:pPr>
              <w:pStyle w:val="23"/>
              <w:rPr>
                <w:rFonts w:cs="Times New Roman"/>
                <w:sz w:val="24"/>
                <w:szCs w:val="24"/>
              </w:rPr>
            </w:pPr>
            <w:bookmarkStart w:id="12" w:name="OLE_LINK44"/>
            <w:r>
              <w:rPr>
                <w:rFonts w:cs="Times New Roman"/>
                <w:sz w:val="24"/>
                <w:szCs w:val="24"/>
              </w:rPr>
              <w:t>Catalysts</w:t>
            </w:r>
          </w:p>
        </w:tc>
        <w:tc>
          <w:tcPr>
            <w:tcW w:w="3760" w:type="pct"/>
            <w:gridSpan w:val="7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 w14:paraId="12976F6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Aromatic selectivity (%)</w:t>
            </w:r>
          </w:p>
        </w:tc>
      </w:tr>
      <w:tr w14:paraId="08BD6AB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0" w:type="pct"/>
            <w:vMerge w:val="continue"/>
            <w:tcBorders>
              <w:top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41F1855A">
            <w:pPr>
              <w:pStyle w:val="2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995A25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B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C82AD5E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C41B1F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E</w:t>
            </w:r>
          </w:p>
        </w:tc>
        <w:tc>
          <w:tcPr>
            <w:tcW w:w="59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F55EB48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o/p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E30281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m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59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87EA27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59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D2AA9B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10</w:t>
            </w:r>
          </w:p>
        </w:tc>
      </w:tr>
      <w:tr w14:paraId="6E5F29E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0" w:type="pct"/>
            <w:tcBorders>
              <w:bottom w:val="nil"/>
              <w:right w:val="nil"/>
            </w:tcBorders>
            <w:vAlign w:val="center"/>
          </w:tcPr>
          <w:p w14:paraId="65B469F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1: 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rFonts w:hint="eastAsia"/>
                <w:sz w:val="24"/>
                <w:szCs w:val="24"/>
              </w:rPr>
              <w:t>0</w:t>
            </w:r>
          </w:p>
        </w:tc>
        <w:tc>
          <w:tcPr>
            <w:tcW w:w="491" w:type="pct"/>
            <w:tcBorders>
              <w:left w:val="nil"/>
              <w:bottom w:val="nil"/>
              <w:right w:val="nil"/>
            </w:tcBorders>
            <w:vAlign w:val="center"/>
          </w:tcPr>
          <w:p w14:paraId="55510C8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−</w:t>
            </w:r>
          </w:p>
        </w:tc>
        <w:tc>
          <w:tcPr>
            <w:tcW w:w="494" w:type="pct"/>
            <w:tcBorders>
              <w:left w:val="nil"/>
              <w:bottom w:val="nil"/>
              <w:right w:val="nil"/>
            </w:tcBorders>
            <w:vAlign w:val="center"/>
          </w:tcPr>
          <w:p w14:paraId="2159956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−</w:t>
            </w:r>
          </w:p>
        </w:tc>
        <w:tc>
          <w:tcPr>
            <w:tcW w:w="494" w:type="pct"/>
            <w:tcBorders>
              <w:left w:val="nil"/>
              <w:bottom w:val="nil"/>
              <w:right w:val="nil"/>
            </w:tcBorders>
            <w:vAlign w:val="center"/>
          </w:tcPr>
          <w:p w14:paraId="04C5FA9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−</w:t>
            </w:r>
          </w:p>
        </w:tc>
        <w:tc>
          <w:tcPr>
            <w:tcW w:w="595" w:type="pct"/>
            <w:tcBorders>
              <w:left w:val="nil"/>
              <w:bottom w:val="nil"/>
              <w:right w:val="nil"/>
            </w:tcBorders>
            <w:vAlign w:val="center"/>
          </w:tcPr>
          <w:p w14:paraId="3A2A7E9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−</w:t>
            </w:r>
          </w:p>
        </w:tc>
        <w:tc>
          <w:tcPr>
            <w:tcW w:w="494" w:type="pct"/>
            <w:tcBorders>
              <w:left w:val="nil"/>
              <w:bottom w:val="nil"/>
              <w:right w:val="nil"/>
            </w:tcBorders>
            <w:vAlign w:val="center"/>
          </w:tcPr>
          <w:p w14:paraId="0B465E1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−</w:t>
            </w:r>
          </w:p>
        </w:tc>
        <w:tc>
          <w:tcPr>
            <w:tcW w:w="595" w:type="pct"/>
            <w:tcBorders>
              <w:left w:val="nil"/>
              <w:bottom w:val="nil"/>
              <w:right w:val="nil"/>
            </w:tcBorders>
            <w:vAlign w:val="center"/>
          </w:tcPr>
          <w:p w14:paraId="2595456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−</w:t>
            </w:r>
          </w:p>
        </w:tc>
        <w:tc>
          <w:tcPr>
            <w:tcW w:w="597" w:type="pct"/>
            <w:tcBorders>
              <w:left w:val="nil"/>
              <w:bottom w:val="nil"/>
              <w:right w:val="nil"/>
            </w:tcBorders>
            <w:vAlign w:val="center"/>
          </w:tcPr>
          <w:p w14:paraId="6A94ED4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−</w:t>
            </w:r>
          </w:p>
        </w:tc>
      </w:tr>
      <w:tr w14:paraId="64F0C8E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0" w:type="pct"/>
            <w:tcBorders>
              <w:top w:val="nil"/>
              <w:bottom w:val="nil"/>
              <w:right w:val="nil"/>
            </w:tcBorders>
            <w:vAlign w:val="center"/>
          </w:tcPr>
          <w:p w14:paraId="53D7B22D">
            <w:pPr>
              <w:pStyle w:val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1: </w:t>
            </w: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B3CCB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0.3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8066C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2.1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B2C6F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0.4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477F0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7.9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A1551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2.2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0AA2F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26.8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D73CF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60.3</w:t>
            </w:r>
          </w:p>
        </w:tc>
      </w:tr>
      <w:tr w14:paraId="6FE717C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0" w:type="pct"/>
            <w:tcBorders>
              <w:top w:val="nil"/>
              <w:bottom w:val="nil"/>
              <w:right w:val="nil"/>
            </w:tcBorders>
            <w:vAlign w:val="center"/>
          </w:tcPr>
          <w:p w14:paraId="04574EA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1: 1: </w:t>
            </w: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70701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0.5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9415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3.2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D047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0.5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1433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12.2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C63B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3.5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AD31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38.3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161F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41.7</w:t>
            </w:r>
          </w:p>
        </w:tc>
      </w:tr>
      <w:tr w14:paraId="354B383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0" w:type="pct"/>
            <w:tcBorders>
              <w:top w:val="nil"/>
              <w:bottom w:val="nil"/>
              <w:right w:val="nil"/>
            </w:tcBorders>
            <w:vAlign w:val="center"/>
          </w:tcPr>
          <w:p w14:paraId="0F87A368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1: 1: 1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4983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0.7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10C4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4.6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057B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1.3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18DC7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17.0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8C8A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5.0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6CC2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45.8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3601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25.6</w:t>
            </w:r>
          </w:p>
        </w:tc>
      </w:tr>
      <w:tr w14:paraId="7565A9A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0" w:type="pct"/>
            <w:tcBorders>
              <w:top w:val="nil"/>
              <w:bottom w:val="nil"/>
              <w:right w:val="nil"/>
            </w:tcBorders>
            <w:vAlign w:val="center"/>
          </w:tcPr>
          <w:p w14:paraId="21B85D3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1: 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 1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DBD0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1.0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A9CDE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8.5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BC86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2.3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473A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23.8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4E19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6.8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06D7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41.3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3A2B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16.3</w:t>
            </w:r>
          </w:p>
        </w:tc>
      </w:tr>
      <w:tr w14:paraId="24CF6C6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0" w:type="pct"/>
            <w:tcBorders>
              <w:top w:val="nil"/>
              <w:bottom w:val="single" w:color="auto" w:sz="4" w:space="0"/>
              <w:right w:val="nil"/>
            </w:tcBorders>
            <w:vAlign w:val="center"/>
          </w:tcPr>
          <w:p w14:paraId="2E4DB73F">
            <w:pPr>
              <w:pStyle w:val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1: </w:t>
            </w: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 1</w:t>
            </w:r>
          </w:p>
        </w:tc>
        <w:tc>
          <w:tcPr>
            <w:tcW w:w="491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67BA7C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1.0</w:t>
            </w:r>
          </w:p>
        </w:tc>
        <w:tc>
          <w:tcPr>
            <w:tcW w:w="494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0DF75F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8.4</w:t>
            </w:r>
          </w:p>
        </w:tc>
        <w:tc>
          <w:tcPr>
            <w:tcW w:w="494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7BDA9C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2.6</w:t>
            </w:r>
          </w:p>
        </w:tc>
        <w:tc>
          <w:tcPr>
            <w:tcW w:w="595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227D6DE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24.2</w:t>
            </w:r>
          </w:p>
        </w:tc>
        <w:tc>
          <w:tcPr>
            <w:tcW w:w="494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D6AED3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7.0</w:t>
            </w:r>
          </w:p>
        </w:tc>
        <w:tc>
          <w:tcPr>
            <w:tcW w:w="595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A1BEC3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42.2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C41D68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14.6</w:t>
            </w:r>
          </w:p>
        </w:tc>
      </w:tr>
      <w:bookmarkEnd w:id="12"/>
    </w:tbl>
    <w:p w14:paraId="447DAAB1">
      <w:pPr>
        <w:widowControl/>
        <w:spacing w:line="360" w:lineRule="auto"/>
        <w:rPr>
          <w:b/>
          <w:bCs/>
        </w:rPr>
      </w:pPr>
    </w:p>
    <w:p w14:paraId="670538F6">
      <w:pPr>
        <w:widowControl/>
        <w:jc w:val="left"/>
        <w:rPr>
          <w:b/>
          <w:bCs/>
        </w:rPr>
      </w:pPr>
      <w:r>
        <w:rPr>
          <w:b/>
          <w:bCs/>
        </w:rPr>
        <w:br w:type="page"/>
      </w:r>
    </w:p>
    <w:p w14:paraId="4E2508F4">
      <w:pPr>
        <w:widowControl/>
        <w:spacing w:line="360" w:lineRule="auto"/>
      </w:pPr>
      <w:bookmarkStart w:id="13" w:name="_Hlk162097733"/>
      <w:r>
        <w:rPr>
          <w:rFonts w:hint="eastAsia"/>
          <w:b/>
          <w:bCs/>
        </w:rPr>
        <w:t>Table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3.</w:t>
      </w:r>
      <w:r>
        <w:t xml:space="preserve"> Comparison of reported work on CO</w:t>
      </w:r>
      <w:r>
        <w:rPr>
          <w:vertAlign w:val="subscript"/>
        </w:rPr>
        <w:t>2</w:t>
      </w:r>
      <w:r>
        <w:t xml:space="preserve"> to aromatics</w:t>
      </w:r>
      <w:bookmarkEnd w:id="13"/>
      <w:r>
        <w:t xml:space="preserve"> based on CO</w:t>
      </w:r>
      <w:r>
        <w:rPr>
          <w:vertAlign w:val="subscript"/>
        </w:rPr>
        <w:t>2</w:t>
      </w:r>
      <w:r>
        <w:rPr>
          <w:rFonts w:hint="eastAsia"/>
        </w:rPr>
        <w:t>-</w:t>
      </w:r>
      <w:r>
        <w:t>MeOH route.</w:t>
      </w:r>
    </w:p>
    <w:tbl>
      <w:tblPr>
        <w:tblStyle w:val="7"/>
        <w:tblW w:w="9437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16"/>
        <w:gridCol w:w="632"/>
        <w:gridCol w:w="830"/>
        <w:gridCol w:w="1419"/>
        <w:gridCol w:w="591"/>
        <w:gridCol w:w="766"/>
        <w:gridCol w:w="21"/>
        <w:gridCol w:w="615"/>
        <w:gridCol w:w="37"/>
        <w:gridCol w:w="610"/>
        <w:gridCol w:w="16"/>
        <w:gridCol w:w="959"/>
        <w:gridCol w:w="21"/>
        <w:gridCol w:w="689"/>
        <w:gridCol w:w="15"/>
      </w:tblGrid>
      <w:tr w14:paraId="6ADCD5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  <w:jc w:val="center"/>
        </w:trPr>
        <w:tc>
          <w:tcPr>
            <w:tcW w:w="272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DD5576C">
            <w:pPr>
              <w:widowControl/>
              <w:spacing w:line="360" w:lineRule="auto"/>
              <w:jc w:val="center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Catalyst</w:t>
            </w:r>
            <w:r>
              <w:rPr>
                <w:rFonts w:hint="eastAsia" w:cs="Times New Roman"/>
                <w:color w:val="000000"/>
                <w:kern w:val="0"/>
                <w:szCs w:val="24"/>
              </w:rPr>
              <w:t>s</w:t>
            </w:r>
          </w:p>
        </w:tc>
        <w:tc>
          <w:tcPr>
            <w:tcW w:w="61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C87C1D1">
            <w:pPr>
              <w:widowControl/>
              <w:spacing w:line="360" w:lineRule="auto"/>
              <w:jc w:val="center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cs="Times New Roman"/>
                <w:i/>
                <w:iCs/>
                <w:color w:val="000000"/>
                <w:kern w:val="0"/>
                <w:szCs w:val="24"/>
              </w:rPr>
              <w:t>T</w:t>
            </w:r>
            <w:r>
              <w:rPr>
                <w:rFonts w:cs="Times New Roman"/>
                <w:color w:val="000000"/>
                <w:kern w:val="0"/>
                <w:szCs w:val="24"/>
              </w:rPr>
              <w:t xml:space="preserve"> (</w:t>
            </w:r>
            <w:r>
              <w:rPr>
                <w:rFonts w:cs="Times New Roman"/>
                <w:iCs/>
              </w:rPr>
              <w:t>°C</w:t>
            </w:r>
            <w:r>
              <w:rPr>
                <w:rFonts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83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F236B3A">
            <w:pPr>
              <w:widowControl/>
              <w:spacing w:line="360" w:lineRule="auto"/>
              <w:jc w:val="center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cs="Times New Roman"/>
                <w:i/>
                <w:iCs/>
                <w:color w:val="000000"/>
                <w:kern w:val="0"/>
                <w:szCs w:val="24"/>
              </w:rPr>
              <w:t>P</w:t>
            </w:r>
            <w:r>
              <w:rPr>
                <w:rFonts w:cs="Times New Roman"/>
                <w:color w:val="000000"/>
                <w:kern w:val="0"/>
                <w:szCs w:val="24"/>
              </w:rPr>
              <w:t xml:space="preserve"> (MP</w:t>
            </w:r>
            <w:r>
              <w:rPr>
                <w:rFonts w:hint="eastAsia" w:cs="Times New Roman"/>
                <w:color w:val="000000"/>
                <w:kern w:val="0"/>
                <w:szCs w:val="24"/>
              </w:rPr>
              <w:t>a</w:t>
            </w:r>
            <w:r>
              <w:rPr>
                <w:rFonts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91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CD59D77">
            <w:pPr>
              <w:widowControl/>
              <w:spacing w:line="360" w:lineRule="auto"/>
              <w:jc w:val="center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GHSV (</w:t>
            </w:r>
            <w:r>
              <w:rPr>
                <w:rFonts w:cs="Times New Roman"/>
                <w:kern w:val="0"/>
                <w:szCs w:val="24"/>
                <w:lang w:bidi="en-US"/>
              </w:rPr>
              <w:t>mL</w:t>
            </w:r>
            <w:r>
              <w:rPr>
                <w:rFonts w:eastAsia="楷体" w:cs="Times New Roman"/>
                <w:szCs w:val="24"/>
              </w:rPr>
              <w:t>·</w:t>
            </w:r>
            <w:r>
              <w:rPr>
                <w:rFonts w:hint="eastAsia" w:cs="Times New Roman"/>
                <w:kern w:val="0"/>
                <w:szCs w:val="24"/>
                <w:lang w:bidi="en-US"/>
              </w:rPr>
              <w:t>h</w:t>
            </w:r>
            <w:r>
              <w:rPr>
                <w:szCs w:val="24"/>
                <w:vertAlign w:val="superscript"/>
              </w:rPr>
              <w:t>–1</w:t>
            </w:r>
            <w:r>
              <w:rPr>
                <w:rFonts w:eastAsia="楷体" w:cs="Times New Roman"/>
                <w:szCs w:val="24"/>
              </w:rPr>
              <w:t>·</w:t>
            </w:r>
            <w:r>
              <w:rPr>
                <w:rFonts w:hint="eastAsia" w:cs="Times New Roman"/>
                <w:kern w:val="0"/>
                <w:szCs w:val="24"/>
                <w:lang w:bidi="en-US"/>
              </w:rPr>
              <w:t>g</w:t>
            </w:r>
            <w:r>
              <w:rPr>
                <w:szCs w:val="24"/>
                <w:vertAlign w:val="superscript"/>
              </w:rPr>
              <w:t>–1</w:t>
            </w:r>
            <w:r>
              <w:rPr>
                <w:rFonts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60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A110355">
            <w:pPr>
              <w:widowControl/>
              <w:spacing w:line="360" w:lineRule="auto"/>
              <w:jc w:val="center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CO</w:t>
            </w:r>
            <w:r>
              <w:rPr>
                <w:rFonts w:cs="Times New Roman"/>
                <w:color w:val="000000"/>
                <w:kern w:val="0"/>
                <w:szCs w:val="24"/>
                <w:vertAlign w:val="subscript"/>
              </w:rPr>
              <w:t>2</w:t>
            </w:r>
          </w:p>
          <w:p w14:paraId="67AC2E76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Conv. (%)</w:t>
            </w:r>
          </w:p>
        </w:tc>
        <w:tc>
          <w:tcPr>
            <w:tcW w:w="7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0DD5974">
            <w:pPr>
              <w:widowControl/>
              <w:spacing w:line="360" w:lineRule="auto"/>
              <w:jc w:val="center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CO</w:t>
            </w:r>
          </w:p>
          <w:p w14:paraId="556162BC">
            <w:pPr>
              <w:widowControl/>
              <w:spacing w:line="360" w:lineRule="auto"/>
              <w:jc w:val="center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Sel. (%)</w:t>
            </w:r>
          </w:p>
        </w:tc>
        <w:tc>
          <w:tcPr>
            <w:tcW w:w="65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E9C748E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 xml:space="preserve">Aro. </w:t>
            </w:r>
          </w:p>
          <w:p w14:paraId="7025BF99">
            <w:pPr>
              <w:widowControl/>
              <w:spacing w:line="360" w:lineRule="auto"/>
              <w:jc w:val="center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Sel. (%)</w:t>
            </w:r>
          </w:p>
        </w:tc>
        <w:tc>
          <w:tcPr>
            <w:tcW w:w="63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4A1EBC8">
            <w:pPr>
              <w:pStyle w:val="6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BTX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39064107">
            <w:pPr>
              <w:widowControl/>
              <w:spacing w:line="360" w:lineRule="auto"/>
              <w:jc w:val="center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Sel. (%)</w:t>
            </w:r>
          </w:p>
        </w:tc>
        <w:tc>
          <w:tcPr>
            <w:tcW w:w="9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EAB80E1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BTX/Aro. (%)</w:t>
            </w:r>
          </w:p>
        </w:tc>
        <w:tc>
          <w:tcPr>
            <w:tcW w:w="71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ADCFCD8">
            <w:pPr>
              <w:widowControl/>
              <w:spacing w:line="360" w:lineRule="auto"/>
              <w:jc w:val="center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R</w:t>
            </w:r>
            <w:r>
              <w:rPr>
                <w:rFonts w:hint="eastAsia" w:cs="Times New Roman"/>
                <w:color w:val="000000"/>
                <w:kern w:val="0"/>
                <w:szCs w:val="24"/>
              </w:rPr>
              <w:t>ef</w:t>
            </w:r>
            <w:r>
              <w:rPr>
                <w:rFonts w:cs="Times New Roman"/>
                <w:color w:val="000000"/>
                <w:kern w:val="0"/>
                <w:szCs w:val="24"/>
              </w:rPr>
              <w:t>.</w:t>
            </w:r>
          </w:p>
        </w:tc>
      </w:tr>
      <w:tr w14:paraId="322516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81" w:hRule="atLeast"/>
          <w:jc w:val="center"/>
        </w:trPr>
        <w:tc>
          <w:tcPr>
            <w:tcW w:w="2721" w:type="dxa"/>
            <w:tcBorders>
              <w:top w:val="single" w:color="auto" w:sz="4" w:space="0"/>
              <w:left w:val="nil"/>
              <w:right w:val="nil"/>
            </w:tcBorders>
            <w:vAlign w:val="center"/>
          </w:tcPr>
          <w:p w14:paraId="2E37E333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Theme="minorEastAsia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ZZO/2SP34/Z5</w:t>
            </w:r>
          </w:p>
        </w:tc>
        <w:tc>
          <w:tcPr>
            <w:tcW w:w="616" w:type="dxa"/>
            <w:tcBorders>
              <w:top w:val="single" w:color="auto" w:sz="4" w:space="0"/>
              <w:left w:val="nil"/>
              <w:right w:val="nil"/>
            </w:tcBorders>
            <w:vAlign w:val="center"/>
          </w:tcPr>
          <w:p w14:paraId="3113DE5D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320</w:t>
            </w:r>
          </w:p>
        </w:tc>
        <w:tc>
          <w:tcPr>
            <w:tcW w:w="830" w:type="dxa"/>
            <w:tcBorders>
              <w:top w:val="single" w:color="auto" w:sz="4" w:space="0"/>
              <w:left w:val="nil"/>
              <w:right w:val="nil"/>
            </w:tcBorders>
            <w:vAlign w:val="center"/>
          </w:tcPr>
          <w:p w14:paraId="62467086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3.0</w:t>
            </w:r>
          </w:p>
        </w:tc>
        <w:tc>
          <w:tcPr>
            <w:tcW w:w="910" w:type="dxa"/>
            <w:tcBorders>
              <w:top w:val="single" w:color="auto" w:sz="4" w:space="0"/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3579D3F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1200</w:t>
            </w:r>
          </w:p>
        </w:tc>
        <w:tc>
          <w:tcPr>
            <w:tcW w:w="600" w:type="dxa"/>
            <w:tcBorders>
              <w:top w:val="single" w:color="auto" w:sz="4" w:space="0"/>
              <w:left w:val="nil"/>
              <w:right w:val="nil"/>
            </w:tcBorders>
            <w:vAlign w:val="center"/>
          </w:tcPr>
          <w:p w14:paraId="13384831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12.4</w:t>
            </w:r>
          </w:p>
        </w:tc>
        <w:tc>
          <w:tcPr>
            <w:tcW w:w="766" w:type="dxa"/>
            <w:tcBorders>
              <w:top w:val="single" w:color="auto" w:sz="4" w:space="0"/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1362C28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48.8</w:t>
            </w:r>
          </w:p>
        </w:tc>
        <w:tc>
          <w:tcPr>
            <w:tcW w:w="636" w:type="dxa"/>
            <w:gridSpan w:val="2"/>
            <w:tcBorders>
              <w:top w:val="single" w:color="auto" w:sz="4" w:space="0"/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615EF14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75.3</w:t>
            </w:r>
          </w:p>
        </w:tc>
        <w:tc>
          <w:tcPr>
            <w:tcW w:w="647" w:type="dxa"/>
            <w:gridSpan w:val="2"/>
            <w:tcBorders>
              <w:top w:val="single" w:color="auto" w:sz="4" w:space="0"/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281D098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31.9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92C3AA7">
            <w:pPr>
              <w:widowControl/>
              <w:spacing w:line="360" w:lineRule="auto"/>
              <w:jc w:val="center"/>
              <w:rPr>
                <w:rFonts w:eastAsia="等线"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42.3</w:t>
            </w:r>
          </w:p>
        </w:tc>
        <w:tc>
          <w:tcPr>
            <w:tcW w:w="710" w:type="dxa"/>
            <w:gridSpan w:val="2"/>
            <w:tcBorders>
              <w:top w:val="single" w:color="auto" w:sz="4" w:space="0"/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0D2CD92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hint="eastAsia" w:cs="Times New Roman"/>
                <w:kern w:val="0"/>
                <w:szCs w:val="24"/>
              </w:rPr>
              <w:t>This work</w:t>
            </w:r>
          </w:p>
        </w:tc>
      </w:tr>
      <w:tr w14:paraId="773346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81" w:hRule="atLeast"/>
          <w:jc w:val="center"/>
        </w:trPr>
        <w:tc>
          <w:tcPr>
            <w:tcW w:w="2721" w:type="dxa"/>
            <w:tcBorders>
              <w:left w:val="nil"/>
              <w:right w:val="nil"/>
            </w:tcBorders>
            <w:vAlign w:val="center"/>
          </w:tcPr>
          <w:p w14:paraId="2F9E1E1B">
            <w:pPr>
              <w:widowControl/>
              <w:spacing w:line="360" w:lineRule="auto"/>
              <w:jc w:val="center"/>
              <w:rPr>
                <w:rFonts w:eastAsiaTheme="minorEastAsia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ZZO/2SP34/Z5</w:t>
            </w:r>
          </w:p>
        </w:tc>
        <w:tc>
          <w:tcPr>
            <w:tcW w:w="616" w:type="dxa"/>
            <w:tcBorders>
              <w:left w:val="nil"/>
              <w:right w:val="nil"/>
            </w:tcBorders>
            <w:vAlign w:val="center"/>
          </w:tcPr>
          <w:p w14:paraId="5FF5CBF2">
            <w:pPr>
              <w:widowControl/>
              <w:spacing w:line="360" w:lineRule="auto"/>
              <w:jc w:val="center"/>
              <w:rPr>
                <w:rFonts w:cs="Times New Roman"/>
                <w:kern w:val="24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320</w:t>
            </w:r>
          </w:p>
        </w:tc>
        <w:tc>
          <w:tcPr>
            <w:tcW w:w="830" w:type="dxa"/>
            <w:tcBorders>
              <w:left w:val="nil"/>
              <w:right w:val="nil"/>
            </w:tcBorders>
            <w:vAlign w:val="center"/>
          </w:tcPr>
          <w:p w14:paraId="739DF075">
            <w:pPr>
              <w:widowControl/>
              <w:spacing w:line="360" w:lineRule="auto"/>
              <w:jc w:val="center"/>
              <w:rPr>
                <w:rFonts w:cs="Times New Roman"/>
                <w:kern w:val="24"/>
                <w:szCs w:val="24"/>
              </w:rPr>
            </w:pPr>
            <w:r>
              <w:rPr>
                <w:rFonts w:hint="eastAsia" w:cs="Times New Roman"/>
                <w:kern w:val="24"/>
                <w:szCs w:val="24"/>
              </w:rPr>
              <w:t>2</w:t>
            </w:r>
            <w:r>
              <w:rPr>
                <w:rFonts w:cs="Times New Roman"/>
                <w:kern w:val="24"/>
                <w:szCs w:val="24"/>
              </w:rPr>
              <w:t>.0</w:t>
            </w:r>
          </w:p>
        </w:tc>
        <w:tc>
          <w:tcPr>
            <w:tcW w:w="910" w:type="dxa"/>
            <w:tcBorders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D1EA7C7">
            <w:pPr>
              <w:widowControl/>
              <w:spacing w:line="360" w:lineRule="auto"/>
              <w:jc w:val="center"/>
              <w:rPr>
                <w:rFonts w:cs="Times New Roman"/>
                <w:kern w:val="24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1200</w:t>
            </w: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14:paraId="6C1726BA">
            <w:pPr>
              <w:widowControl/>
              <w:spacing w:line="360" w:lineRule="auto"/>
              <w:jc w:val="center"/>
              <w:rPr>
                <w:rFonts w:cs="Times New Roman"/>
                <w:kern w:val="24"/>
                <w:szCs w:val="24"/>
              </w:rPr>
            </w:pPr>
            <w:r>
              <w:rPr>
                <w:rFonts w:hint="eastAsia" w:cs="Times New Roman"/>
                <w:kern w:val="24"/>
                <w:szCs w:val="24"/>
              </w:rPr>
              <w:t>10.8</w:t>
            </w:r>
          </w:p>
        </w:tc>
        <w:tc>
          <w:tcPr>
            <w:tcW w:w="766" w:type="dxa"/>
            <w:tcBorders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F359891">
            <w:pPr>
              <w:widowControl/>
              <w:spacing w:line="360" w:lineRule="auto"/>
              <w:jc w:val="center"/>
              <w:rPr>
                <w:rFonts w:cs="Times New Roman"/>
                <w:kern w:val="24"/>
                <w:szCs w:val="24"/>
              </w:rPr>
            </w:pPr>
            <w:r>
              <w:rPr>
                <w:rFonts w:hint="eastAsia" w:cs="Times New Roman"/>
                <w:kern w:val="24"/>
                <w:szCs w:val="24"/>
              </w:rPr>
              <w:t>50.3</w:t>
            </w:r>
          </w:p>
        </w:tc>
        <w:tc>
          <w:tcPr>
            <w:tcW w:w="636" w:type="dxa"/>
            <w:gridSpan w:val="2"/>
            <w:tcBorders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62ADB33">
            <w:pPr>
              <w:widowControl/>
              <w:spacing w:line="360" w:lineRule="auto"/>
              <w:jc w:val="center"/>
              <w:rPr>
                <w:rFonts w:cs="Times New Roman"/>
                <w:kern w:val="24"/>
                <w:szCs w:val="24"/>
              </w:rPr>
            </w:pPr>
            <w:r>
              <w:rPr>
                <w:rFonts w:hint="eastAsia" w:cs="Times New Roman"/>
                <w:kern w:val="24"/>
                <w:szCs w:val="24"/>
              </w:rPr>
              <w:t>68.3</w:t>
            </w:r>
          </w:p>
        </w:tc>
        <w:tc>
          <w:tcPr>
            <w:tcW w:w="647" w:type="dxa"/>
            <w:gridSpan w:val="2"/>
            <w:tcBorders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5281C47">
            <w:pPr>
              <w:widowControl/>
              <w:spacing w:line="360" w:lineRule="auto"/>
              <w:jc w:val="center"/>
              <w:rPr>
                <w:rFonts w:cs="Times New Roman"/>
                <w:kern w:val="24"/>
                <w:szCs w:val="24"/>
              </w:rPr>
            </w:pPr>
            <w:r>
              <w:rPr>
                <w:rFonts w:hint="eastAsia" w:cs="Times New Roman"/>
                <w:kern w:val="24"/>
                <w:szCs w:val="24"/>
              </w:rPr>
              <w:t>35.9</w:t>
            </w:r>
          </w:p>
        </w:tc>
        <w:tc>
          <w:tcPr>
            <w:tcW w:w="980" w:type="dxa"/>
            <w:gridSpan w:val="2"/>
            <w:tcBorders>
              <w:left w:val="nil"/>
              <w:right w:val="nil"/>
            </w:tcBorders>
            <w:vAlign w:val="center"/>
          </w:tcPr>
          <w:p w14:paraId="2ED1A716">
            <w:pPr>
              <w:widowControl/>
              <w:spacing w:line="360" w:lineRule="auto"/>
              <w:jc w:val="center"/>
              <w:rPr>
                <w:rFonts w:cs="Times New Roman"/>
                <w:kern w:val="24"/>
                <w:szCs w:val="24"/>
              </w:rPr>
            </w:pPr>
            <w:r>
              <w:rPr>
                <w:rFonts w:hint="eastAsia" w:cs="Times New Roman"/>
                <w:kern w:val="24"/>
                <w:szCs w:val="24"/>
              </w:rPr>
              <w:t>52.5</w:t>
            </w:r>
          </w:p>
        </w:tc>
        <w:tc>
          <w:tcPr>
            <w:tcW w:w="710" w:type="dxa"/>
            <w:gridSpan w:val="2"/>
            <w:tcBorders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C03C1EC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hint="eastAsia" w:cs="Times New Roman"/>
                <w:kern w:val="0"/>
                <w:szCs w:val="24"/>
              </w:rPr>
              <w:t>This work</w:t>
            </w:r>
          </w:p>
        </w:tc>
      </w:tr>
      <w:tr w14:paraId="2B81CB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81" w:hRule="atLeast"/>
          <w:jc w:val="center"/>
        </w:trPr>
        <w:tc>
          <w:tcPr>
            <w:tcW w:w="2721" w:type="dxa"/>
            <w:tcBorders>
              <w:left w:val="nil"/>
              <w:right w:val="nil"/>
            </w:tcBorders>
            <w:vAlign w:val="center"/>
          </w:tcPr>
          <w:p w14:paraId="350A3DDA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ZrO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-Cr(8:1)/HZSM-5@SiO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16" w:type="dxa"/>
            <w:tcBorders>
              <w:left w:val="nil"/>
              <w:right w:val="nil"/>
            </w:tcBorders>
            <w:vAlign w:val="center"/>
          </w:tcPr>
          <w:p w14:paraId="64F3A03F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390</w:t>
            </w:r>
          </w:p>
        </w:tc>
        <w:tc>
          <w:tcPr>
            <w:tcW w:w="830" w:type="dxa"/>
            <w:tcBorders>
              <w:left w:val="nil"/>
              <w:right w:val="nil"/>
            </w:tcBorders>
            <w:vAlign w:val="center"/>
          </w:tcPr>
          <w:p w14:paraId="715778BC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3.0</w:t>
            </w:r>
          </w:p>
        </w:tc>
        <w:tc>
          <w:tcPr>
            <w:tcW w:w="910" w:type="dxa"/>
            <w:tcBorders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3BFBB0F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1200</w:t>
            </w: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14:paraId="2D78048B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13.9</w:t>
            </w:r>
          </w:p>
        </w:tc>
        <w:tc>
          <w:tcPr>
            <w:tcW w:w="766" w:type="dxa"/>
            <w:tcBorders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0531705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45.1</w:t>
            </w:r>
          </w:p>
        </w:tc>
        <w:tc>
          <w:tcPr>
            <w:tcW w:w="636" w:type="dxa"/>
            <w:gridSpan w:val="2"/>
            <w:tcBorders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8158AFC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76.8</w:t>
            </w:r>
          </w:p>
        </w:tc>
        <w:tc>
          <w:tcPr>
            <w:tcW w:w="647" w:type="dxa"/>
            <w:gridSpan w:val="2"/>
            <w:tcBorders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D81A888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="等线" w:cs="Times New Roman"/>
                <w:kern w:val="24"/>
                <w:szCs w:val="24"/>
              </w:rPr>
              <w:t>39.3</w:t>
            </w:r>
          </w:p>
        </w:tc>
        <w:tc>
          <w:tcPr>
            <w:tcW w:w="98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522B5215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51.2</w:t>
            </w:r>
          </w:p>
        </w:tc>
        <w:tc>
          <w:tcPr>
            <w:tcW w:w="710" w:type="dxa"/>
            <w:gridSpan w:val="2"/>
            <w:tcBorders>
              <w:left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BE8C2B0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kern w:val="0"/>
                <w:szCs w:val="24"/>
              </w:rPr>
              <w:fldChar w:fldCharType="begin"/>
            </w:r>
            <w:r>
              <w:rPr>
                <w:kern w:val="0"/>
                <w:szCs w:val="24"/>
              </w:rPr>
              <w:instrText xml:space="preserve"> ADDIN EN.CITE &lt;EndNote&gt;&lt;Cite&gt;&lt;Author&gt;Zhang&lt;/Author&gt;&lt;Year&gt;2023&lt;/Year&gt;&lt;RecNum&gt;674&lt;/RecNum&gt;&lt;DisplayText&gt;[1]&lt;/DisplayText&gt;&lt;record&gt;&lt;rec-number&gt;674&lt;/rec-number&gt;&lt;foreign-keys&gt;&lt;key app="EN" db-id="r59vppf0eva097e5rayvs5xpv9pvxt0tt9xs" timestamp="1708866925"&gt;674&lt;/key&gt;&lt;/foreign-keys&gt;&lt;ref-type name="Journal Article"&gt;17&lt;/ref-type&gt;&lt;contributors&gt;&lt;authors&gt;&lt;author&gt;Zhang, Lijun&lt;/author&gt;&lt;author&gt;Gao, Weizhe&lt;/author&gt;&lt;author&gt;Wang, Fan&lt;/author&gt;&lt;author&gt;Wang, Chengwei&lt;/author&gt;&lt;author&gt;Liang, Jiaming&lt;/author&gt;&lt;author&gt;Guo, Xiaoyu&lt;/author&gt;&lt;author&gt;He, Yingluo&lt;/author&gt;&lt;author&gt;Yang, Guohui&lt;/author&gt;&lt;author&gt;Tsubaki, Noritatsu&lt;/author&gt;&lt;/authors&gt;&lt;/contributors&gt;&lt;titles&gt;&lt;title&gt;&lt;style face="normal" font="default" size="100%"&gt;Highly selective synthesis of light aromatics from CO&lt;/style&gt;&lt;style face="subscript" font="default" size="100%"&gt;2&lt;/style&gt;&lt;style face="normal" font="default" size="100%"&gt; by chromium-doped ZrO&lt;/style&gt;&lt;style face="subscript" font="default" size="100%"&gt;2&lt;/style&gt;&lt;style face="normal" font="default" size="100%"&gt; aerogels in tandem with HZSM-5@SiO&lt;/style&gt;&lt;style face="subscript" font="default" size="100%"&gt;2&lt;/style&gt;&lt;style face="normal" font="default" size="100%"&gt; catalyst&lt;/style&gt;&lt;/title&gt;&lt;secondary-title&gt;Applied Catalysis B-Environment and Energy&lt;/secondary-title&gt;&lt;/titles&gt;&lt;periodical&gt;&lt;full-title&gt;Applied Catalysis B-Environment and Energy&lt;/full-title&gt;&lt;/periodical&gt;&lt;pages&gt;122535&lt;/pages&gt;&lt;volume&gt;328&lt;/volume&gt;&lt;section&gt;122535&lt;/section&gt;&lt;dates&gt;&lt;year&gt;2023&lt;/year&gt;&lt;/dates&gt;&lt;isbn&gt;09263373&lt;/isbn&gt;&lt;urls&gt;&lt;/urls&gt;&lt;electronic-resource-num&gt;10.1016/j.apcatb.2023.122535&lt;/electronic-resource-num&gt;&lt;/record&gt;&lt;/Cite&gt;&lt;/EndNote&gt;</w:instrText>
            </w:r>
            <w:r>
              <w:rPr>
                <w:kern w:val="0"/>
                <w:szCs w:val="24"/>
              </w:rPr>
              <w:fldChar w:fldCharType="separate"/>
            </w:r>
            <w:r>
              <w:rPr>
                <w:kern w:val="0"/>
                <w:szCs w:val="24"/>
              </w:rPr>
              <w:t>[1]</w:t>
            </w:r>
            <w:r>
              <w:rPr>
                <w:kern w:val="0"/>
                <w:szCs w:val="24"/>
              </w:rPr>
              <w:fldChar w:fldCharType="end"/>
            </w:r>
          </w:p>
        </w:tc>
      </w:tr>
      <w:tr w14:paraId="01F5FF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49" w:hRule="atLeast"/>
          <w:jc w:val="center"/>
        </w:trP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D7B2158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Cr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/H-ZSM-5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7BAF98B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350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B043BC4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3.0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C7581C1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1200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FFA1C2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34.5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3ED3E62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11.4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6D11E20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75.9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F7D864B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="等线" w:cs="Times New Roman"/>
                <w:kern w:val="24"/>
                <w:szCs w:val="24"/>
              </w:rPr>
              <w:t>33.1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5CED3">
            <w:pPr>
              <w:widowControl/>
              <w:spacing w:line="360" w:lineRule="auto"/>
              <w:jc w:val="center"/>
              <w:rPr>
                <w:rFonts w:eastAsia="Times New Roman" w:cs="Times New Roman"/>
                <w:kern w:val="0"/>
                <w:szCs w:val="24"/>
              </w:rPr>
            </w:pPr>
            <w:r>
              <w:rPr>
                <w:rFonts w:cs="Times New Roman"/>
                <w:szCs w:val="24"/>
              </w:rPr>
              <w:t>43.6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C194EEF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kern w:val="0"/>
                <w:szCs w:val="24"/>
              </w:rPr>
              <w:fldChar w:fldCharType="begin"/>
            </w:r>
            <w:r>
              <w:rPr>
                <w:kern w:val="0"/>
                <w:szCs w:val="24"/>
              </w:rPr>
              <w:instrText xml:space="preserve"> ADDIN EN.CITE &lt;EndNote&gt;&lt;Cite&gt;&lt;Author&gt;Wang&lt;/Author&gt;&lt;Year&gt;2019&lt;/Year&gt;&lt;RecNum&gt;654&lt;/RecNum&gt;&lt;DisplayText&gt;[2]&lt;/DisplayText&gt;&lt;record&gt;&lt;rec-number&gt;654&lt;/rec-number&gt;&lt;foreign-keys&gt;&lt;key app="EN" db-id="r59vppf0eva097e5rayvs5xpv9pvxt0tt9xs" timestamp="1708781986"&gt;654&lt;/key&gt;&lt;/foreign-keys&gt;&lt;ref-type name="Journal Article"&gt;17&lt;/ref-type&gt;&lt;contributors&gt;&lt;authors&gt;&lt;author&gt;Wang, Yang&lt;/author&gt;&lt;author&gt;Tan, Li&lt;/author&gt;&lt;author&gt;Tan, Minghui&lt;/author&gt;&lt;author&gt;Zhang, Peipei&lt;/author&gt;&lt;author&gt;Fang, Yuan&lt;/author&gt;&lt;author&gt;Yoneyama, Yoshiharu&lt;/author&gt;&lt;author&gt;Yang, Guohui&lt;/author&gt;&lt;author&gt;Tsubaki, Noritatsu&lt;/author&gt;&lt;/authors&gt;&lt;/contributors&gt;&lt;titles&gt;&lt;title&gt;&lt;style face="normal" font="default" size="100%"&gt;Rationally designing bifunctional catalysts as an efficient strategy to boost CO&lt;/style&gt;&lt;style face="subscript" font="default" size="100%"&gt;2&lt;/style&gt;&lt;style face="normal" font="default" size="100%"&gt; hydrogenation producing value-added aromatics&lt;/style&gt;&lt;/title&gt;&lt;secondary-title&gt;ACS Catalysis&lt;/secondary-title&gt;&lt;/titles&gt;&lt;periodical&gt;&lt;full-title&gt;ACS Catalysis&lt;/full-title&gt;&lt;/periodical&gt;&lt;pages&gt;895‒901&lt;/pages&gt;&lt;volume&gt;9&lt;/volume&gt;&lt;number&gt;2&lt;/number&gt;&lt;section&gt;895&lt;/section&gt;&lt;dates&gt;&lt;year&gt;2019&lt;/year&gt;&lt;/dates&gt;&lt;isbn&gt;2155-5435&amp;#xD;2155-5435&lt;/isbn&gt;&lt;urls&gt;&lt;/urls&gt;&lt;electronic-resource-num&gt;10.1021/acscatal.8b01344&lt;/electronic-resource-num&gt;&lt;/record&gt;&lt;/Cite&gt;&lt;/EndNote&gt;</w:instrText>
            </w:r>
            <w:r>
              <w:rPr>
                <w:kern w:val="0"/>
                <w:szCs w:val="24"/>
              </w:rPr>
              <w:fldChar w:fldCharType="separate"/>
            </w:r>
            <w:r>
              <w:rPr>
                <w:kern w:val="0"/>
                <w:szCs w:val="24"/>
              </w:rPr>
              <w:t>[2]</w:t>
            </w:r>
            <w:r>
              <w:rPr>
                <w:kern w:val="0"/>
                <w:szCs w:val="24"/>
              </w:rPr>
              <w:fldChar w:fldCharType="end"/>
            </w:r>
          </w:p>
        </w:tc>
      </w:tr>
      <w:tr w14:paraId="2AAD3A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49" w:hRule="atLeast"/>
          <w:jc w:val="center"/>
        </w:trP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5536DA1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Cr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/Zn-ZSM-5@SiO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CA18C35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350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C8CD27A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1736AAA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1200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FB527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22.1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2657841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35.1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D2347CA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70.1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D85F8E8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="等线" w:cs="Times New Roman"/>
                <w:color w:val="000000"/>
                <w:kern w:val="24"/>
                <w:szCs w:val="24"/>
              </w:rPr>
              <w:t>27.1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AC507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38.7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82FBE89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kern w:val="0"/>
                <w:szCs w:val="24"/>
              </w:rPr>
              <w:fldChar w:fldCharType="begin"/>
            </w:r>
            <w:r>
              <w:rPr>
                <w:kern w:val="0"/>
                <w:szCs w:val="24"/>
              </w:rPr>
              <w:instrText xml:space="preserve"> ADDIN EN.CITE &lt;EndNote&gt;&lt;Cite&gt;&lt;Author&gt;Wang&lt;/Author&gt;&lt;Year&gt;2019&lt;/Year&gt;&lt;RecNum&gt;657&lt;/RecNum&gt;&lt;DisplayText&gt;[3]&lt;/DisplayText&gt;&lt;record&gt;&lt;rec-number&gt;657&lt;/rec-number&gt;&lt;foreign-keys&gt;&lt;key app="EN" db-id="r59vppf0eva097e5rayvs5xpv9pvxt0tt9xs" timestamp="1708789362"&gt;657&lt;/key&gt;&lt;/foreign-keys&gt;&lt;ref-type name="Journal Article"&gt;17&lt;/ref-type&gt;&lt;contributors&gt;&lt;authors&gt;&lt;author&gt;Wang, Y.&lt;/author&gt;&lt;author&gt;Gao, W.&lt;/author&gt;&lt;author&gt;Kazumi, S.&lt;/author&gt;&lt;author&gt;Li, H.&lt;/author&gt;&lt;author&gt;Yang, G.&lt;/author&gt;&lt;author&gt;Tsubaki, N.&lt;/author&gt;&lt;/authors&gt;&lt;/contributors&gt;&lt;auth-address&gt;Department of Applied Chemistry, Graduate School of Engineering, University of Toyama, Gofuku 3190, Toyama, 930-8555, Japan.&amp;#xD;State Key Laboratory of Coal Conversion, Institute of Coal Chemistry, Chinese Academy of Sciences, Taiyuan, 030001, P.R. China.&lt;/auth-address&gt;&lt;titles&gt;&lt;title&gt;&lt;style face="normal" font="default" size="100%"&gt;Direct and oriented conversion of CO&lt;/style&gt;&lt;style face="subscript" font="default" size="100%"&gt;2&lt;/style&gt;&lt;style face="normal" font="default" size="100%"&gt; into value-added aromatics&lt;/style&gt;&lt;/title&gt;&lt;secondary-title&gt;Chemistry-A European Journal &lt;/secondary-title&gt;&lt;/titles&gt;&lt;pages&gt;5149‒5153&lt;/pages&gt;&lt;volume&gt;25&lt;/volume&gt;&lt;number&gt;20&lt;/number&gt;&lt;edition&gt;2019/02/16&lt;/edition&gt;&lt;keywords&gt;&lt;keyword&gt;CO2 conversion&lt;/keyword&gt;&lt;keyword&gt;bifunctional catalysts&lt;/keyword&gt;&lt;keyword&gt;green chemistry&lt;/keyword&gt;&lt;keyword&gt;xylenes&lt;/keyword&gt;&lt;keyword&gt;zeolites&lt;/keyword&gt;&lt;/keywords&gt;&lt;dates&gt;&lt;year&gt;2019&lt;/year&gt;&lt;pub-dates&gt;&lt;date&gt;Apr 5&lt;/date&gt;&lt;/pub-dates&gt;&lt;/dates&gt;&lt;isbn&gt;1521-3765 (Electronic)&amp;#xD;0947-6539 (Linking)&lt;/isbn&gt;&lt;accession-num&gt;30767301&lt;/accession-num&gt;&lt;urls&gt;&lt;related-urls&gt;&lt;url&gt;https://www.ncbi.nlm.nih.gov/pubmed/30767301&lt;/url&gt;&lt;/related-urls&gt;&lt;/urls&gt;&lt;electronic-resource-num&gt;10.1002/chem.201806165&lt;/electronic-resource-num&gt;&lt;/record&gt;&lt;/Cite&gt;&lt;/EndNote&gt;</w:instrText>
            </w:r>
            <w:r>
              <w:rPr>
                <w:kern w:val="0"/>
                <w:szCs w:val="24"/>
              </w:rPr>
              <w:fldChar w:fldCharType="separate"/>
            </w:r>
            <w:r>
              <w:rPr>
                <w:kern w:val="0"/>
                <w:szCs w:val="24"/>
              </w:rPr>
              <w:t>[3]</w:t>
            </w:r>
            <w:r>
              <w:rPr>
                <w:kern w:val="0"/>
                <w:szCs w:val="24"/>
              </w:rPr>
              <w:fldChar w:fldCharType="end"/>
            </w:r>
          </w:p>
        </w:tc>
      </w:tr>
      <w:tr w14:paraId="3408B1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49" w:hRule="atLeast"/>
          <w:jc w:val="center"/>
        </w:trP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2AA2B32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ZnAlO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x</w:t>
            </w:r>
            <w:r>
              <w:rPr>
                <w:rFonts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&amp;H-ZSM-5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548102D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320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8A18796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7DB34ED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2000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A1ABF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9.1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031097F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57.4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34F0B30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73.9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A6CFF69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="等线" w:cs="Times New Roman"/>
                <w:color w:val="000000"/>
                <w:kern w:val="24"/>
                <w:szCs w:val="24"/>
              </w:rPr>
              <w:t>10.4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F4A38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14.1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8A45975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kern w:val="0"/>
                <w:szCs w:val="24"/>
              </w:rPr>
              <w:fldChar w:fldCharType="begin"/>
            </w:r>
            <w:r>
              <w:rPr>
                <w:kern w:val="0"/>
                <w:szCs w:val="24"/>
              </w:rPr>
              <w:instrText xml:space="preserve"> ADDIN EN.CITE &lt;EndNote&gt;&lt;Cite&gt;&lt;Author&gt;Ni&lt;/Author&gt;&lt;Year&gt;2018&lt;/Year&gt;&lt;RecNum&gt;625&lt;/RecNum&gt;&lt;DisplayText&gt;[4]&lt;/DisplayText&gt;&lt;record&gt;&lt;rec-number&gt;625&lt;/rec-number&gt;&lt;foreign-keys&gt;&lt;key app="EN" db-id="r59vppf0eva097e5rayvs5xpv9pvxt0tt9xs" timestamp="1702625632"&gt;625&lt;/key&gt;&lt;/foreign-keys&gt;&lt;ref-type name="Journal Article"&gt;17&lt;/ref-type&gt;&lt;contributors&gt;&lt;authors&gt;&lt;author&gt;Ni, Y. M.&lt;/author&gt;&lt;author&gt;Chen, Z. Y.&lt;/author&gt;&lt;author&gt;Fu, Y.&lt;/author&gt;&lt;author&gt;Liu, Y.&lt;/author&gt;&lt;author&gt;Zhu, W. L.&lt;/author&gt;&lt;author&gt;Liu, Z. M.&lt;/author&gt;&lt;/authors&gt;&lt;/contributors&gt;&lt;titles&gt;&lt;title&gt;&lt;style face="normal" font="default" size="100%"&gt;Selective conversion of CO&lt;/style&gt;&lt;style face="subscript" font="default" size="100%"&gt;2&lt;/style&gt;&lt;style face="normal" font="default" size="100%"&gt; and H&lt;/style&gt;&lt;style face="subscript" font="default" size="100%"&gt;2&lt;/style&gt;&lt;style face="normal" font="default" size="100%"&gt; into aromatics&lt;/style&gt;&lt;/title&gt;&lt;secondary-title&gt;Nature Communications&lt;/secondary-title&gt;&lt;/titles&gt;&lt;periodical&gt;&lt;full-title&gt;Nature Communications&lt;/full-title&gt;&lt;/periodical&gt;&lt;pages&gt;3457&lt;/pages&gt;&lt;volume&gt;9&lt;/volume&gt;&lt;dates&gt;&lt;year&gt;2018&lt;/year&gt;&lt;pub-dates&gt;&lt;date&gt;Aug&lt;/date&gt;&lt;/pub-dates&gt;&lt;/dates&gt;&lt;isbn&gt;2041-1723&lt;/isbn&gt;&lt;accession-num&gt;WOS:000442790100008&lt;/accession-num&gt;&lt;urls&gt;&lt;related-urls&gt;&lt;url&gt;&lt;style face="underline" font="default" size="100%"&gt;&amp;lt;Go to ISI&amp;gt;://WOS:000442790100008&lt;/style&gt;&lt;/url&gt;&lt;/related-urls&gt;&lt;/urls&gt;&lt;custom7&gt;3457&lt;/custom7&gt;&lt;electronic-resource-num&gt;10.1038/s41467-018-05880-4&lt;/electronic-resource-num&gt;&lt;/record&gt;&lt;/Cite&gt;&lt;/EndNote&gt;</w:instrText>
            </w:r>
            <w:r>
              <w:rPr>
                <w:kern w:val="0"/>
                <w:szCs w:val="24"/>
              </w:rPr>
              <w:fldChar w:fldCharType="separate"/>
            </w:r>
            <w:r>
              <w:rPr>
                <w:kern w:val="0"/>
                <w:szCs w:val="24"/>
              </w:rPr>
              <w:t>[4]</w:t>
            </w:r>
            <w:r>
              <w:rPr>
                <w:kern w:val="0"/>
                <w:szCs w:val="24"/>
              </w:rPr>
              <w:fldChar w:fldCharType="end"/>
            </w:r>
          </w:p>
        </w:tc>
      </w:tr>
      <w:tr w14:paraId="5CD2D9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49" w:hRule="atLeast"/>
          <w:jc w:val="center"/>
        </w:trP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C7D0781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ae-ZnO-ZrO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/H-ZSM-5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395BA26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340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2133F49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4.0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76FBA8C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7200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45D56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15.9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38D62DD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34.0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954EBC0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76.0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9E502C8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="等线" w:cs="Times New Roman"/>
                <w:color w:val="000000"/>
                <w:kern w:val="24"/>
                <w:szCs w:val="24"/>
              </w:rPr>
              <w:t>23.9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8B149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31.4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1B877A5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&lt;EndNote&gt;&lt;Cite&gt;&lt;Author&gt;Zhou&lt;/Author&gt;&lt;Year&gt;2020&lt;/Year&gt;&lt;RecNum&gt;752&lt;/RecNum&gt;&lt;DisplayText&gt;[5]&lt;/DisplayText&gt;&lt;record&gt;&lt;rec-number&gt;752&lt;/rec-number&gt;&lt;foreign-keys&gt;&lt;key app="EN" db-id="r59vppf0eva097e5rayvs5xpv9pvxt0tt9xs" timestamp="1729331405"&gt;752&lt;/key&gt;&lt;/foreign-keys&gt;&lt;ref-type name="Journal Article"&gt;17&lt;/ref-type&gt;&lt;contributors&gt;&lt;authors&gt;&lt;author&gt;Zhou, Cheng&lt;/author&gt;&lt;author&gt;Shi, Jiaqing&lt;/author&gt;&lt;author&gt;Zhou, Wei&lt;/author&gt;&lt;author&gt;Cheng, Kang&lt;/author&gt;&lt;author&gt;Zhang, Qinghong&lt;/author&gt;&lt;author&gt;Kang, Jincan&lt;/author&gt;&lt;author&gt;Wang, Ye&lt;/author&gt;&lt;/authors&gt;&lt;/contributors&gt;&lt;titles&gt;&lt;title&gt;&lt;style face="normal" font="default" size="100%"&gt;Highly active ZnO-ZrO&lt;/style&gt;&lt;style face="subscript" font="default" size="100%"&gt;2&lt;/style&gt;&lt;style face="normal" font="default" size="100%"&gt; aerogels integrated with H-ZSM-5 for aromatics synthesis from carbon dioxide&lt;/style&gt;&lt;/title&gt;&lt;secondary-title&gt;ACS Catalysis&lt;/secondary-title&gt;&lt;/titles&gt;&lt;periodical&gt;&lt;full-title&gt;ACS Catalysis&lt;/full-title&gt;&lt;/periodical&gt;&lt;pages&gt;302‒310&lt;/pages&gt;&lt;volume&gt;10&lt;/volume&gt;&lt;number&gt;1&lt;/number&gt;&lt;dates&gt;&lt;year&gt;2020&lt;/year&gt;&lt;pub-dates&gt;&lt;date&gt;2020/01/03&lt;/date&gt;&lt;/pub-dates&gt;&lt;/dates&gt;&lt;publisher&gt;American Chemical Society&lt;/publisher&gt;&lt;urls&gt;&lt;related-urls&gt;&lt;url&gt;https://doi.org/10.1021/acscatal.9b04309&lt;/url&gt;&lt;/related-urls&gt;&lt;/urls&gt;&lt;electronic-resource-num&gt;10.1021/acscatal.9b04309&lt;/electronic-resource-num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[5]</w:t>
            </w:r>
            <w:r>
              <w:rPr>
                <w:szCs w:val="24"/>
              </w:rPr>
              <w:fldChar w:fldCharType="end"/>
            </w:r>
          </w:p>
        </w:tc>
      </w:tr>
      <w:tr w14:paraId="7EC7ED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49" w:hRule="atLeast"/>
          <w:jc w:val="center"/>
        </w:trP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FEBCDF7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ZnCr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-ZSM-5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4494C61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350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B04024C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4.0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3D90E60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1200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960F4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23.1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7D92F95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27.8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F7357B3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85.3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6F84F37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="等线" w:cs="Times New Roman"/>
                <w:color w:val="000000"/>
                <w:kern w:val="24"/>
                <w:szCs w:val="24"/>
              </w:rPr>
              <w:t>24.1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3ABA6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28.3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6CDC33D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kern w:val="0"/>
                <w:szCs w:val="24"/>
              </w:rPr>
              <w:fldChar w:fldCharType="begin"/>
            </w:r>
            <w:r>
              <w:rPr>
                <w:kern w:val="0"/>
                <w:szCs w:val="24"/>
              </w:rPr>
              <w:instrText xml:space="preserve"> ADDIN EN.CITE &lt;EndNote&gt;&lt;Cite&gt;&lt;Author&gt;Gao&lt;/Author&gt;&lt;Year&gt;2020&lt;/Year&gt;&lt;RecNum&gt;762&lt;/RecNum&gt;&lt;DisplayText&gt;[6]&lt;/DisplayText&gt;&lt;record&gt;&lt;rec-number&gt;762&lt;/rec-number&gt;&lt;foreign-keys&gt;&lt;key app="EN" db-id="r59vppf0eva097e5rayvs5xpv9pvxt0tt9xs" timestamp="1729354857"&gt;762&lt;/key&gt;&lt;/foreign-keys&gt;&lt;ref-type name="Journal Article"&gt;17&lt;/ref-type&gt;&lt;contributors&gt;&lt;authors&gt;&lt;author&gt;Gao, W. Z.&lt;/author&gt;&lt;author&gt;Guo, L. S.&lt;/author&gt;&lt;author&gt;Cui, Y.&lt;/author&gt;&lt;author&gt;Yang, G. H.&lt;/author&gt;&lt;author&gt;He, Y. L.&lt;/author&gt;&lt;author&gt;Zeng, C. Y.&lt;/author&gt;&lt;author&gt;Taguchi, A.&lt;/author&gt;&lt;author&gt;Abe, T.&lt;/author&gt;&lt;author&gt;Ma, Q. X.&lt;/author&gt;&lt;author&gt;Yoneyama, Y.&lt;/author&gt;&lt;author&gt;Tsubaki, N.&lt;/author&gt;&lt;/authors&gt;&lt;/contributors&gt;&lt;titles&gt;&lt;title&gt;&lt;style face="normal" font="default" size="100%"&gt;Selective conversion of CO&lt;/style&gt;&lt;style face="subscript" font="default" size="100%"&gt;2&lt;/style&gt;&lt;style face="normal" font="default" size="100%"&gt; into para-xylene over a ZnCr&lt;/style&gt;&lt;style face="subscript" font="default" size="100%"&gt;2&lt;/style&gt;&lt;style face="normal" font="default" size="100%"&gt;O&lt;/style&gt;&lt;style face="subscript" font="default" size="100%"&gt;4&lt;/style&gt;&lt;style face="normal" font="default" size="100%"&gt;-ZSM-5 catalyst&lt;/style&gt;&lt;/title&gt;&lt;secondary-title&gt;ChemSusChem &lt;/secondary-title&gt;&lt;/titles&gt;&lt;pages&gt;6541‒6545&lt;/pages&gt;&lt;volume&gt;13&lt;/volume&gt;&lt;number&gt;24&lt;/number&gt;&lt;dates&gt;&lt;year&gt;2020&lt;/year&gt;&lt;pub-dates&gt;&lt;date&gt;Dec&lt;/date&gt;&lt;/pub-dates&gt;&lt;/dates&gt;&lt;isbn&gt;1864-5631&lt;/isbn&gt;&lt;accession-num&gt;WOS:000587767500001&lt;/accession-num&gt;&lt;urls&gt;&lt;related-urls&gt;&lt;url&gt;&lt;style face="underline" font="default" size="100%"&gt;&amp;lt;Go to ISI&amp;gt;://WOS:000587767500001&lt;/style&gt;&lt;/url&gt;&lt;/related-urls&gt;&lt;/urls&gt;&lt;electronic-resource-num&gt;10.1002/cssc.202002305&lt;/electronic-resource-num&gt;&lt;/record&gt;&lt;/Cite&gt;&lt;/EndNote&gt;</w:instrText>
            </w:r>
            <w:r>
              <w:rPr>
                <w:kern w:val="0"/>
                <w:szCs w:val="24"/>
              </w:rPr>
              <w:fldChar w:fldCharType="separate"/>
            </w:r>
            <w:r>
              <w:rPr>
                <w:kern w:val="0"/>
                <w:szCs w:val="24"/>
              </w:rPr>
              <w:t>[6]</w:t>
            </w:r>
            <w:r>
              <w:rPr>
                <w:kern w:val="0"/>
                <w:szCs w:val="24"/>
              </w:rPr>
              <w:fldChar w:fldCharType="end"/>
            </w:r>
          </w:p>
        </w:tc>
      </w:tr>
      <w:tr w14:paraId="1EC597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49" w:hRule="atLeast"/>
          <w:jc w:val="center"/>
        </w:trP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6E968A4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ZZ/Z5-0.73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360386A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315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D61165F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0A40884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1020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766CD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17.5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B5F9ED0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23.8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D2D71FC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60.3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37AA764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="等线" w:cs="Times New Roman"/>
                <w:color w:val="000000"/>
                <w:kern w:val="24"/>
                <w:szCs w:val="24"/>
              </w:rPr>
              <w:t>12.3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46ECF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20.4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C5C5F6D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&lt;EndNote&gt;&lt;Cite&gt;&lt;Author&gt;Wang&lt;/Author&gt;&lt;Year&gt;2021&lt;/Year&gt;&lt;RecNum&gt;370&lt;/RecNum&gt;&lt;DisplayText&gt;[7]&lt;/DisplayText&gt;&lt;record&gt;&lt;rec-number&gt;370&lt;/rec-number&gt;&lt;foreign-keys&gt;&lt;key app="EN" db-id="r59vppf0eva097e5rayvs5xpv9pvxt0tt9xs" timestamp="1670860308"&gt;370&lt;/key&gt;&lt;/foreign-keys&gt;&lt;ref-type name="Journal Article"&gt;17&lt;/ref-type&gt;&lt;contributors&gt;&lt;authors&gt;&lt;author&gt;Wang, Ting&lt;/author&gt;&lt;author&gt;Yang, Chengguang&lt;/author&gt;&lt;author&gt;Gao, Peng&lt;/author&gt;&lt;author&gt;Zhou, Shiju&lt;/author&gt;&lt;author&gt;Li, Shenggang&lt;/author&gt;&lt;author&gt;Wang, Hui&lt;/author&gt;&lt;author&gt;Sun, Yuhan&lt;/author&gt;&lt;/authors&gt;&lt;/contributors&gt;&lt;titles&gt;&lt;title&gt;&lt;style face="normal" font="default" size="100%"&gt;ZnZrO&lt;/style&gt;&lt;style face="subscript" font="default" size="100%"&gt;x&lt;/style&gt;&lt;style face="normal" font="default" size="100%"&gt; integrated with chain-like nanocrystal HZSM-5 as efficient catalysts for aromatics synthesis from CO&lt;/style&gt;&lt;style face="subscript" font="default" size="100%"&gt;2&lt;/style&gt;&lt;style face="normal" font="default" size="100%"&gt; hydrogenation&lt;/style&gt;&lt;/title&gt;&lt;secondary-title&gt;Applied Catalysis B-Environment and Energy&lt;/secondary-title&gt;&lt;/titles&gt;&lt;periodical&gt;&lt;full-title&gt;Applied Catalysis B-Environment and Energy&lt;/full-title&gt;&lt;/periodical&gt;&lt;pages&gt;119929&lt;/pages&gt;&lt;volume&gt;286&lt;/volume&gt;&lt;section&gt;119929&lt;/section&gt;&lt;dates&gt;&lt;year&gt;2021&lt;/year&gt;&lt;/dates&gt;&lt;isbn&gt;09263373&lt;/isbn&gt;&lt;urls&gt;&lt;/urls&gt;&lt;electronic-resource-num&gt;10.1016/j.apcatb.2021.119929&lt;/electronic-resource-num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[7]</w:t>
            </w:r>
            <w:r>
              <w:rPr>
                <w:szCs w:val="24"/>
              </w:rPr>
              <w:fldChar w:fldCharType="end"/>
            </w:r>
          </w:p>
        </w:tc>
      </w:tr>
      <w:tr w14:paraId="57095A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49" w:hRule="atLeast"/>
          <w:jc w:val="center"/>
        </w:trP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D5BF267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ZnCrO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x</w:t>
            </w:r>
            <w:r>
              <w:rPr>
                <w:rFonts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/H-ZSM-5(200)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B6F15BC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330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FA1AF9B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8DA8CC7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3000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75C01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17.5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9713E33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38.1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EAEECD6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64.6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7C09C1E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="等线" w:cs="Times New Roman"/>
                <w:color w:val="000000"/>
                <w:kern w:val="24"/>
                <w:szCs w:val="24"/>
              </w:rPr>
              <w:t>15.8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20497">
            <w:pPr>
              <w:widowControl/>
              <w:spacing w:line="360" w:lineRule="auto"/>
              <w:jc w:val="center"/>
              <w:rPr>
                <w:rFonts w:eastAsia="Times New Roman"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24.4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30FFA7D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&lt;EndNote&gt;&lt;Cite&gt;&lt;Author&gt;Guo&lt;/Author&gt;&lt;Year&gt;2024&lt;/Year&gt;&lt;RecNum&gt;763&lt;/RecNum&gt;&lt;DisplayText&gt;[8]&lt;/DisplayText&gt;&lt;record&gt;&lt;rec-number&gt;763&lt;/rec-number&gt;&lt;foreign-keys&gt;&lt;key app="EN" db-id="r59vppf0eva097e5rayvs5xpv9pvxt0tt9xs" timestamp="1729355024"&gt;763&lt;/key&gt;&lt;/foreign-keys&gt;&lt;ref-type name="Journal Article"&gt;17&lt;/ref-type&gt;&lt;contributors&gt;&lt;authors&gt;&lt;author&gt;Guo, Shujia&lt;/author&gt;&lt;author&gt;Fan, Sheng&lt;/author&gt;&lt;author&gt;Wang, Han&lt;/author&gt;&lt;author&gt;Wang, Sen&lt;/author&gt;&lt;author&gt;Qin, Zhangfeng&lt;/author&gt;&lt;author&gt;Dong, Mei&lt;/author&gt;&lt;author&gt;Fan, Weibin&lt;/author&gt;&lt;author&gt;Wang, Jianguo&lt;/author&gt;&lt;/authors&gt;&lt;/contributors&gt;&lt;titles&gt;&lt;title&gt;&lt;style face="normal" font="default" size="100%"&gt;Selective conversion of CO&lt;/style&gt;&lt;style face="subscript" font="default" size="100%"&gt;2&lt;/style&gt;&lt;style face="normal" font="default" size="100%"&gt; to trimethylbenzene and ethene by hydrogenation over a bifunctional ZnCrO&lt;/style&gt;&lt;style face="italic subscript" font="default" size="100%"&gt;x&lt;/style&gt;&lt;style face="normal" font="default" size="100%"&gt;/H-ZSM-5 composite catalyst&lt;/style&gt;&lt;/title&gt;&lt;secondary-title&gt;ACS Catalysis&lt;/secondary-title&gt;&lt;/titles&gt;&lt;periodical&gt;&lt;full-title&gt;ACS Catalysis&lt;/full-title&gt;&lt;/periodical&gt;&lt;pages&gt;271‒282&lt;/pages&gt;&lt;volume&gt;14&lt;/volume&gt;&lt;number&gt;1&lt;/number&gt;&lt;dates&gt;&lt;year&gt;2024&lt;/year&gt;&lt;pub-dates&gt;&lt;date&gt;2024/01/05&lt;/date&gt;&lt;/pub-dates&gt;&lt;/dates&gt;&lt;publisher&gt;American Chemical Society&lt;/publisher&gt;&lt;urls&gt;&lt;related-urls&gt;&lt;url&gt;https://doi.org/10.1021/acscatal.3c03689&lt;/url&gt;&lt;/related-urls&gt;&lt;/urls&gt;&lt;electronic-resource-num&gt;10.1021/acscatal.3c03689&lt;/electronic-resource-num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[8]</w:t>
            </w:r>
            <w:r>
              <w:rPr>
                <w:szCs w:val="24"/>
              </w:rPr>
              <w:fldChar w:fldCharType="end"/>
            </w:r>
          </w:p>
        </w:tc>
      </w:tr>
      <w:tr w14:paraId="235532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49" w:hRule="atLeast"/>
          <w:jc w:val="center"/>
        </w:trP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CF08943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ZnZrO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x</w:t>
            </w: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/ZSM-5-300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2CE9E2A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320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B968E64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4.16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9E18A10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7200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A6BB2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~11.0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F824403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~38.0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B729709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44.0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618F47C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="等线" w:cs="Times New Roman"/>
                <w:color w:val="000000"/>
                <w:kern w:val="24"/>
                <w:szCs w:val="24"/>
              </w:rPr>
              <w:t>9.7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80613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22.0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6165F5D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kern w:val="0"/>
                <w:szCs w:val="24"/>
              </w:rPr>
              <w:fldChar w:fldCharType="begin"/>
            </w:r>
            <w:r>
              <w:rPr>
                <w:kern w:val="0"/>
                <w:szCs w:val="24"/>
              </w:rPr>
              <w:instrText xml:space="preserve"> ADDIN EN.CITE &lt;EndNote&gt;&lt;Cite&gt;&lt;Author&gt;Nezam&lt;/Author&gt;&lt;Year&gt;2023&lt;/Year&gt;&lt;RecNum&gt;670&lt;/RecNum&gt;&lt;DisplayText&gt;[9]&lt;/DisplayText&gt;&lt;record&gt;&lt;rec-number&gt;670&lt;/rec-number&gt;&lt;foreign-keys&gt;&lt;key app="EN" db-id="r59vppf0eva097e5rayvs5xpv9pvxt0tt9xs" timestamp="1708864520"&gt;670&lt;/key&gt;&lt;/foreign-keys&gt;&lt;ref-type name="Journal Article"&gt;17&lt;/ref-type&gt;&lt;contributors&gt;&lt;authors&gt;&lt;author&gt;Nezam, Iman&lt;/author&gt;&lt;author&gt;Zhou, Wei&lt;/author&gt;&lt;author&gt;Shah, Dhrumil R.&lt;/author&gt;&lt;author&gt;Bukhovko, Maxim P.&lt;/author&gt;&lt;author&gt;Ball, Madelyn R.&lt;/author&gt;&lt;author&gt;Gusmão, Gabriel S.&lt;/author&gt;&lt;author&gt;Medford, Andrew J.&lt;/author&gt;&lt;author&gt;Jones, Christopher W.&lt;/author&gt;&lt;/authors&gt;&lt;/contributors&gt;&lt;titles&gt;&lt;title&gt;&lt;style face="normal" font="default" size="100%"&gt;Role of catalyst domain size in the hydrogenation of CO&lt;/style&gt;&lt;style face="subscript" font="default" size="100%"&gt;2&lt;/style&gt;&lt;style face="normal" font="default" size="100%"&gt; to aromatics over ZnZrO&lt;/style&gt;&lt;style face="italic subscript" font="default" size="100%"&gt;x&lt;/style&gt;&lt;style face="normal" font="default" size="100%"&gt;/ZSM-5 catalysts&lt;/style&gt;&lt;/title&gt;&lt;secondary-title&gt;Journal of Physical Chemistry C&lt;/secondary-title&gt;&lt;/titles&gt;&lt;periodical&gt;&lt;full-title&gt;Journal of Physical Chemistry C&lt;/full-title&gt;&lt;/periodical&gt;&lt;pages&gt;6356‒6370&lt;/pages&gt;&lt;volume&gt;127&lt;/volume&gt;&lt;number&gt;13&lt;/number&gt;&lt;section&gt;6356&lt;/section&gt;&lt;dates&gt;&lt;year&gt;2023&lt;/year&gt;&lt;/dates&gt;&lt;isbn&gt;1932-7447&amp;#xD;1932-7455&lt;/isbn&gt;&lt;urls&gt;&lt;/urls&gt;&lt;electronic-resource-num&gt;10.1021/acs.jpcc.3c01306&lt;/electronic-resource-num&gt;&lt;/record&gt;&lt;/Cite&gt;&lt;/EndNote&gt;</w:instrText>
            </w:r>
            <w:r>
              <w:rPr>
                <w:kern w:val="0"/>
                <w:szCs w:val="24"/>
              </w:rPr>
              <w:fldChar w:fldCharType="separate"/>
            </w:r>
            <w:r>
              <w:rPr>
                <w:kern w:val="0"/>
                <w:szCs w:val="24"/>
              </w:rPr>
              <w:t>[9]</w:t>
            </w:r>
            <w:r>
              <w:rPr>
                <w:kern w:val="0"/>
                <w:szCs w:val="24"/>
              </w:rPr>
              <w:fldChar w:fldCharType="end"/>
            </w:r>
          </w:p>
        </w:tc>
      </w:tr>
      <w:tr w14:paraId="43ABA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49" w:hRule="atLeast"/>
          <w:jc w:val="center"/>
        </w:trP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68F7429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10In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-ZnZrO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x</w:t>
            </w: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/NZ5-DS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867F601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320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755452D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D4BADC2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4000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5C038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22.4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3BC0EE4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11.0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E84D022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92.1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8319BAB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~</w:t>
            </w:r>
            <w:r>
              <w:rPr>
                <w:rFonts w:eastAsia="等线" w:cs="Times New Roman"/>
                <w:color w:val="000000"/>
                <w:kern w:val="24"/>
                <w:szCs w:val="24"/>
              </w:rPr>
              <w:t>7.3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DB794">
            <w:pPr>
              <w:widowControl/>
              <w:spacing w:line="360" w:lineRule="auto"/>
              <w:jc w:val="center"/>
              <w:rPr>
                <w:rFonts w:eastAsia="Times New Roman"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~8.0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6DEFD63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kern w:val="0"/>
                <w:szCs w:val="24"/>
              </w:rPr>
              <w:fldChar w:fldCharType="begin"/>
            </w:r>
            <w:r>
              <w:rPr>
                <w:kern w:val="0"/>
                <w:szCs w:val="24"/>
              </w:rPr>
              <w:instrText xml:space="preserve"> ADDIN EN.CITE &lt;EndNote&gt;&lt;Cite&gt;&lt;Author&gt;Liu&lt;/Author&gt;&lt;Year&gt;2023&lt;/Year&gt;&lt;RecNum&gt;753&lt;/RecNum&gt;&lt;DisplayText&gt;[10]&lt;/DisplayText&gt;&lt;record&gt;&lt;rec-number&gt;753&lt;/rec-number&gt;&lt;foreign-keys&gt;&lt;key app="EN" db-id="r59vppf0eva097e5rayvs5xpv9pvxt0tt9xs" timestamp="1729331482"&gt;753&lt;/key&gt;&lt;/foreign-keys&gt;&lt;ref-type name="Journal Article"&gt;17&lt;/ref-type&gt;&lt;contributors&gt;&lt;authors&gt;&lt;author&gt;Liu, Bingyu&lt;/author&gt;&lt;author&gt;Wang, Yongchao&lt;/author&gt;&lt;author&gt;Xie, Ying&lt;/author&gt;&lt;author&gt;Xiao, Linfei&lt;/author&gt;&lt;author&gt;Wang, Wei&lt;/author&gt;&lt;author&gt;Wu, Wei&lt;/author&gt;&lt;/authors&gt;&lt;/contributors&gt;&lt;titles&gt;&lt;title&gt;&lt;style face="italic" font="default" size="100%"&gt;y&lt;/style&gt;&lt;style face="normal" font="default" size="100%"&gt;In&lt;/style&gt;&lt;style face="subscript" font="default" size="100%"&gt;2&lt;/style&gt;&lt;style face="normal" font="default" size="100%"&gt;O&lt;/style&gt;&lt;style face="subscript" font="default" size="100%"&gt;3&lt;/style&gt;&lt;style face="normal" font="default" size="100%"&gt;-ZnZrO&lt;/style&gt;&lt;style face="italic" font="default" size="100%"&gt;x&lt;/style&gt;&lt;style face="normal" font="default" size="100%"&gt;/hierarchical ZSM-5 tandem catalysts for CO&lt;/style&gt;&lt;style face="subscript" font="default" size="100%"&gt;2&lt;/style&gt;&lt;style face="normal" font="default" size="100%"&gt; hydrogenation to aromatics rich in tetramethylbenzene&lt;/style&gt;&lt;/title&gt;&lt;secondary-title&gt;ACS Sustainable Chemistry &amp;amp; Engineering&lt;/secondary-title&gt;&lt;/titles&gt;&lt;periodical&gt;&lt;full-title&gt;Acs Sustainable Chemistry &amp;amp; Engineering&lt;/full-title&gt;&lt;/periodical&gt;&lt;pages&gt;17340‒17354&lt;/pages&gt;&lt;volume&gt;11&lt;/volume&gt;&lt;number&gt;49&lt;/number&gt;&lt;dates&gt;&lt;year&gt;2023&lt;/year&gt;&lt;pub-dates&gt;&lt;date&gt;2023/12/11&lt;/date&gt;&lt;/pub-dates&gt;&lt;/dates&gt;&lt;publisher&gt;American Chemical Society&lt;/publisher&gt;&lt;urls&gt;&lt;related-urls&gt;&lt;url&gt;https://doi.org/10.1021/acssuschemeng.3c04853&lt;/url&gt;&lt;/related-urls&gt;&lt;/urls&gt;&lt;electronic-resource-num&gt;10.1021/acssuschemeng.3c04853&lt;/electronic-resource-num&gt;&lt;/record&gt;&lt;/Cite&gt;&lt;/EndNote&gt;</w:instrText>
            </w:r>
            <w:r>
              <w:rPr>
                <w:kern w:val="0"/>
                <w:szCs w:val="24"/>
              </w:rPr>
              <w:fldChar w:fldCharType="separate"/>
            </w:r>
            <w:r>
              <w:rPr>
                <w:kern w:val="0"/>
                <w:szCs w:val="24"/>
              </w:rPr>
              <w:t>[10]</w:t>
            </w:r>
            <w:r>
              <w:rPr>
                <w:kern w:val="0"/>
                <w:szCs w:val="24"/>
              </w:rPr>
              <w:fldChar w:fldCharType="end"/>
            </w:r>
          </w:p>
        </w:tc>
      </w:tr>
      <w:tr w14:paraId="21BF7C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49" w:hRule="atLeast"/>
          <w:jc w:val="center"/>
        </w:trP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B8D2BEE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InZnZrO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x</w:t>
            </w: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/NZ5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1DB0673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320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A936470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380DD6C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4000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B760A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13.8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FAC3692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19.8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DFA7957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90.6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D0DD646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="等线" w:cs="Times New Roman"/>
                <w:color w:val="000000"/>
                <w:kern w:val="24"/>
                <w:szCs w:val="24"/>
              </w:rPr>
              <w:t>1.6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202D6">
            <w:pPr>
              <w:widowControl/>
              <w:spacing w:line="360" w:lineRule="auto"/>
              <w:jc w:val="center"/>
              <w:rPr>
                <w:rFonts w:eastAsia="Times New Roman"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1.8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6DC6FF3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kern w:val="0"/>
                <w:szCs w:val="24"/>
              </w:rPr>
              <w:fldChar w:fldCharType="begin"/>
            </w:r>
            <w:r>
              <w:rPr>
                <w:kern w:val="0"/>
                <w:szCs w:val="24"/>
              </w:rPr>
              <w:instrText xml:space="preserve"> ADDIN EN.CITE &lt;EndNote&gt;&lt;Cite&gt;&lt;Author&gt;Xin&lt;/Author&gt;&lt;Year&gt;2022&lt;/Year&gt;&lt;RecNum&gt;671&lt;/RecNum&gt;&lt;DisplayText&gt;[11]&lt;/DisplayText&gt;&lt;record&gt;&lt;rec-number&gt;671&lt;/rec-number&gt;&lt;foreign-keys&gt;&lt;key app="EN" db-id="r59vppf0eva097e5rayvs5xpv9pvxt0tt9xs" timestamp="1708864810"&gt;671&lt;/key&gt;&lt;/foreign-keys&gt;&lt;ref-type name="Journal Article"&gt;17&lt;/ref-type&gt;&lt;contributors&gt;&lt;authors&gt;&lt;author&gt;Xin, Qing&lt;/author&gt;&lt;author&gt;Guo, Hongyu&lt;/author&gt;&lt;author&gt;Wang, Yongchao&lt;/author&gt;&lt;author&gt;Xiao, Linfei&lt;/author&gt;&lt;author&gt;Wang, Wei&lt;/author&gt;&lt;author&gt;Wu, Wei&lt;/author&gt;&lt;/authors&gt;&lt;/contributors&gt;&lt;titles&gt;&lt;title&gt;&lt;style face="normal" font="default" size="100%"&gt;Indium-promoted znZrO&lt;/style&gt;&lt;style face="italic" font="default" size="100%"&gt;x&lt;/style&gt;&lt;style face="normal" font="default" size="100%"&gt;/nano-ZSM-5 for efficient conversion of CO&lt;/style&gt;&lt;style face="subscript" font="default" size="100%"&gt;2&lt;/style&gt;&lt;style face="normal" font="default" size="100%"&gt; to aromatics with high selectivity&lt;/style&gt;&lt;/title&gt;&lt;secondary-title&gt;Journal of Environmental Chemical Engineering &lt;/secondary-title&gt;&lt;/titles&gt;&lt;pages&gt;108032&lt;/pages&gt;&lt;volume&gt;10&lt;/volume&gt;&lt;number&gt;3&lt;/number&gt;&lt;section&gt;108032&lt;/section&gt;&lt;dates&gt;&lt;year&gt;2022&lt;/year&gt;&lt;/dates&gt;&lt;isbn&gt;22133437&lt;/isbn&gt;&lt;urls&gt;&lt;/urls&gt;&lt;electronic-resource-num&gt;10.1016/j.jece.2022.108032&lt;/electronic-resource-num&gt;&lt;/record&gt;&lt;/Cite&gt;&lt;/EndNote&gt;</w:instrText>
            </w:r>
            <w:r>
              <w:rPr>
                <w:kern w:val="0"/>
                <w:szCs w:val="24"/>
              </w:rPr>
              <w:fldChar w:fldCharType="separate"/>
            </w:r>
            <w:r>
              <w:rPr>
                <w:kern w:val="0"/>
                <w:szCs w:val="24"/>
              </w:rPr>
              <w:t>[11]</w:t>
            </w:r>
            <w:r>
              <w:rPr>
                <w:kern w:val="0"/>
                <w:szCs w:val="24"/>
              </w:rPr>
              <w:fldChar w:fldCharType="end"/>
            </w:r>
          </w:p>
        </w:tc>
      </w:tr>
      <w:tr w14:paraId="59F7D1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49" w:hRule="atLeast"/>
          <w:jc w:val="center"/>
        </w:trP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A077A42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ZnZrO/ZSM-5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BEA06E7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320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C1785FC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4.0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D7C0BFC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1200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48AB5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14.0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CA9F227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44.0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610B1C2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73.0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980254F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="等线" w:cs="Times New Roman"/>
                <w:color w:val="000000"/>
                <w:kern w:val="24"/>
                <w:szCs w:val="24"/>
              </w:rPr>
              <w:t>8.0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42CA0">
            <w:pPr>
              <w:widowControl/>
              <w:spacing w:line="360" w:lineRule="auto"/>
              <w:jc w:val="center"/>
              <w:rPr>
                <w:rFonts w:eastAsia="Times New Roman"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11.0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BA0FC32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kern w:val="0"/>
                <w:szCs w:val="24"/>
              </w:rPr>
              <w:fldChar w:fldCharType="begin"/>
            </w:r>
            <w:r>
              <w:rPr>
                <w:kern w:val="0"/>
                <w:szCs w:val="24"/>
              </w:rPr>
              <w:instrText xml:space="preserve"> ADDIN EN.CITE &lt;EndNote&gt;&lt;Cite&gt;&lt;Author&gt;Li&lt;/Author&gt;&lt;Year&gt;2019&lt;/Year&gt;&lt;RecNum&gt;597&lt;/RecNum&gt;&lt;DisplayText&gt;[12]&lt;/DisplayText&gt;&lt;record&gt;&lt;rec-number&gt;597&lt;/rec-number&gt;&lt;foreign-keys&gt;&lt;key app="EN" db-id="r59vppf0eva097e5rayvs5xpv9pvxt0tt9xs" timestamp="1701156693"&gt;597&lt;/key&gt;&lt;/foreign-keys&gt;&lt;ref-type name="Journal Article"&gt;17&lt;/ref-type&gt;&lt;contributors&gt;&lt;authors&gt;&lt;author&gt;Li, Zelong&lt;/author&gt;&lt;author&gt;Qu, Yuanzhi&lt;/author&gt;&lt;author&gt;Wang, Jijie&lt;/author&gt;&lt;author&gt;Liu, Hailong&lt;/author&gt;&lt;author&gt;Li, Mingrun&lt;/author&gt;&lt;author&gt;Miao, Shu&lt;/author&gt;&lt;author&gt;Li, Can&lt;/author&gt;&lt;/authors&gt;&lt;/contributors&gt;&lt;titles&gt;&lt;title&gt;Highly selective conversion of carbon dioxide to aromatics over tandem catalysts&lt;/title&gt;&lt;secondary-title&gt;Joule&lt;/secondary-title&gt;&lt;/titles&gt;&lt;pages&gt;570‒583&lt;/pages&gt;&lt;volume&gt;3&lt;/volume&gt;&lt;number&gt;2&lt;/number&gt;&lt;section&gt;570&lt;/section&gt;&lt;dates&gt;&lt;year&gt;2019&lt;/year&gt;&lt;/dates&gt;&lt;isbn&gt;25424351&lt;/isbn&gt;&lt;urls&gt;&lt;/urls&gt;&lt;electronic-resource-num&gt;10.1016/j.joule.2018.10.027&lt;/electronic-resource-num&gt;&lt;/record&gt;&lt;/Cite&gt;&lt;/EndNote&gt;</w:instrText>
            </w:r>
            <w:r>
              <w:rPr>
                <w:kern w:val="0"/>
                <w:szCs w:val="24"/>
              </w:rPr>
              <w:fldChar w:fldCharType="separate"/>
            </w:r>
            <w:r>
              <w:rPr>
                <w:kern w:val="0"/>
                <w:szCs w:val="24"/>
              </w:rPr>
              <w:t>[12]</w:t>
            </w:r>
            <w:r>
              <w:rPr>
                <w:kern w:val="0"/>
                <w:szCs w:val="24"/>
              </w:rPr>
              <w:fldChar w:fldCharType="end"/>
            </w:r>
          </w:p>
        </w:tc>
      </w:tr>
      <w:tr w14:paraId="77D690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1" w:type="dxa"/>
          <w:trHeight w:val="449" w:hRule="atLeast"/>
          <w:jc w:val="center"/>
        </w:trPr>
        <w:tc>
          <w:tcPr>
            <w:tcW w:w="2721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F5318E1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ZnO/ZrO</w:t>
            </w:r>
            <w:r>
              <w:rPr>
                <w:rFonts w:hint="eastAsia" w:eastAsiaTheme="minorEastAsia"/>
                <w:color w:val="000000" w:themeColor="text1"/>
                <w:szCs w:val="24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-Z5-300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1EE3A39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340</w:t>
            </w:r>
          </w:p>
        </w:tc>
        <w:tc>
          <w:tcPr>
            <w:tcW w:w="830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B3C55F4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3.0</w:t>
            </w:r>
          </w:p>
        </w:tc>
        <w:tc>
          <w:tcPr>
            <w:tcW w:w="910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4BA42C9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2700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8A10E5B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9.1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5B0A422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42.5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4C8D451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70.0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785D8BB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rFonts w:eastAsia="等线" w:cs="Times New Roman"/>
                <w:color w:val="000000"/>
                <w:kern w:val="24"/>
                <w:szCs w:val="24"/>
              </w:rPr>
              <w:t>8.4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4D84557">
            <w:pPr>
              <w:widowControl/>
              <w:spacing w:line="360" w:lineRule="auto"/>
              <w:jc w:val="center"/>
              <w:rPr>
                <w:rFonts w:eastAsia="等线" w:cs="Times New Roman"/>
                <w:color w:val="000000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12.0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F8EE43C">
            <w:pPr>
              <w:widowControl/>
              <w:spacing w:line="360" w:lineRule="auto"/>
              <w:jc w:val="center"/>
              <w:rPr>
                <w:rFonts w:cs="Times New Roman"/>
                <w:kern w:val="0"/>
                <w:szCs w:val="24"/>
              </w:rPr>
            </w:pPr>
            <w:r>
              <w:rPr>
                <w:kern w:val="0"/>
                <w:szCs w:val="24"/>
              </w:rPr>
              <w:fldChar w:fldCharType="begin"/>
            </w:r>
            <w:r>
              <w:rPr>
                <w:kern w:val="0"/>
                <w:szCs w:val="24"/>
              </w:rPr>
              <w:instrText xml:space="preserve"> ADDIN EN.CITE &lt;EndNote&gt;&lt;Cite&gt;&lt;Author&gt;Zhang&lt;/Author&gt;&lt;Year&gt;2019&lt;/Year&gt;&lt;RecNum&gt;659&lt;/RecNum&gt;&lt;DisplayText&gt;[13]&lt;/DisplayText&gt;&lt;record&gt;&lt;rec-number&gt;659&lt;/rec-number&gt;&lt;foreign-keys&gt;&lt;key app="EN" db-id="r59vppf0eva097e5rayvs5xpv9pvxt0tt9xs" timestamp="1708848668"&gt;659&lt;/key&gt;&lt;/foreign-keys&gt;&lt;ref-type name="Journal Article"&gt;17&lt;/ref-type&gt;&lt;contributors&gt;&lt;authors&gt;&lt;author&gt;Zhang, Xinbao&lt;/author&gt;&lt;author&gt;Zhang, Anfeng&lt;/author&gt;&lt;author&gt;Jiang, Xiao&lt;/author&gt;&lt;author&gt;Zhu, Jie&lt;/author&gt;&lt;author&gt;Liu, Junhui&lt;/author&gt;&lt;author&gt;Li, Junjie&lt;/author&gt;&lt;author&gt;Zhang, Guanghui&lt;/author&gt;&lt;author&gt;Song, Chunshan&lt;/author&gt;&lt;author&gt;Guo, Xinwen&lt;/author&gt;&lt;/authors&gt;&lt;/contributors&gt;&lt;titles&gt;&lt;title&gt;&lt;style face="normal" font="default" size="100%"&gt;Utilization of CO&lt;/style&gt;&lt;style face="subscript" font="default" size="100%"&gt;2&lt;/style&gt;&lt;style face="normal" font="default" size="100%"&gt; for aromatics production over ZnO/ZrO&lt;/style&gt;&lt;style face="subscript" font="default" size="100%"&gt;2&lt;/style&gt;&lt;style face="normal" font="default" size="100%"&gt;-ZSM-5 tandem catalyst&lt;/style&gt;&lt;/title&gt;&lt;secondary-title&gt;&lt;style face="normal" font="default" size="100%"&gt;Journal of CO&lt;/style&gt;&lt;style face="subscript" font="default" size="100%"&gt;2&lt;/style&gt;&lt;style face="normal" font="default" size="100%"&gt; Utilization&lt;/style&gt;&lt;/secondary-title&gt;&lt;/titles&gt;&lt;periodical&gt;&lt;full-title&gt;Journal of CO2 Utilization&lt;/full-title&gt;&lt;/periodical&gt;&lt;pages&gt;140‒145&lt;/pages&gt;&lt;volume&gt;29&lt;/volume&gt;&lt;section&gt;140&lt;/section&gt;&lt;dates&gt;&lt;year&gt;2019&lt;/year&gt;&lt;/dates&gt;&lt;isbn&gt;22129820&lt;/isbn&gt;&lt;urls&gt;&lt;/urls&gt;&lt;electronic-resource-num&gt;10.1016/j.jcou.2018.12.002&lt;/electronic-resource-num&gt;&lt;/record&gt;&lt;/Cite&gt;&lt;/EndNote&gt;</w:instrText>
            </w:r>
            <w:r>
              <w:rPr>
                <w:kern w:val="0"/>
                <w:szCs w:val="24"/>
              </w:rPr>
              <w:fldChar w:fldCharType="separate"/>
            </w:r>
            <w:r>
              <w:rPr>
                <w:kern w:val="0"/>
                <w:szCs w:val="24"/>
              </w:rPr>
              <w:t>[13]</w:t>
            </w:r>
            <w:r>
              <w:rPr>
                <w:kern w:val="0"/>
                <w:szCs w:val="24"/>
              </w:rPr>
              <w:fldChar w:fldCharType="end"/>
            </w:r>
          </w:p>
        </w:tc>
      </w:tr>
    </w:tbl>
    <w:p w14:paraId="7EACAAB2">
      <w:pPr>
        <w:widowControl/>
        <w:spacing w:line="360" w:lineRule="auto"/>
        <w:jc w:val="left"/>
      </w:pPr>
    </w:p>
    <w:p w14:paraId="411D6B45">
      <w:pPr>
        <w:widowControl/>
        <w:spacing w:line="360" w:lineRule="auto"/>
        <w:jc w:val="left"/>
      </w:pPr>
      <w:r>
        <w:br w:type="page"/>
      </w:r>
    </w:p>
    <w:p w14:paraId="07A43B74">
      <w:pPr>
        <w:spacing w:line="360" w:lineRule="auto"/>
      </w:pPr>
      <w:r>
        <w:rPr>
          <w:rFonts w:hint="eastAsia"/>
          <w:b/>
          <w:bCs/>
        </w:rPr>
        <w:t>Table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4.</w:t>
      </w:r>
      <w:r>
        <w:t xml:space="preserve"> Catalytic performance of </w:t>
      </w:r>
      <w:r>
        <w:rPr>
          <w:color w:val="000000"/>
        </w:rPr>
        <w:t>CO</w:t>
      </w:r>
      <w:r>
        <w:rPr>
          <w:color w:val="000000"/>
          <w:vertAlign w:val="subscript"/>
        </w:rPr>
        <w:t>2</w:t>
      </w:r>
      <w:r>
        <w:rPr>
          <w:color w:val="000000"/>
        </w:rPr>
        <w:t xml:space="preserve"> hydrogenation over </w:t>
      </w:r>
      <w:r>
        <w:t>ZZO/</w:t>
      </w:r>
      <w:r>
        <w:rPr>
          <w:rFonts w:hint="eastAsia"/>
        </w:rPr>
        <w:t>2</w:t>
      </w:r>
      <w:r>
        <w:t xml:space="preserve">SP34/Z5 catalyst under the different </w:t>
      </w:r>
      <w:r>
        <w:rPr>
          <w:rFonts w:hint="eastAsia"/>
        </w:rPr>
        <w:t>m</w:t>
      </w:r>
      <w:r>
        <w:t>ixing methods.</w:t>
      </w:r>
    </w:p>
    <w:tbl>
      <w:tblPr>
        <w:tblStyle w:val="8"/>
        <w:tblW w:w="961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7"/>
        <w:gridCol w:w="862"/>
        <w:gridCol w:w="833"/>
        <w:gridCol w:w="688"/>
        <w:gridCol w:w="986"/>
        <w:gridCol w:w="967"/>
        <w:gridCol w:w="691"/>
        <w:gridCol w:w="844"/>
        <w:gridCol w:w="853"/>
        <w:gridCol w:w="1196"/>
      </w:tblGrid>
      <w:tr w14:paraId="07A5BD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928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2899254">
            <w:pPr>
              <w:widowControl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Mixing methods</w:t>
            </w:r>
          </w:p>
        </w:tc>
        <w:tc>
          <w:tcPr>
            <w:tcW w:w="912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BF7B68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CO</w:t>
            </w:r>
            <w:r>
              <w:rPr>
                <w:color w:val="000000"/>
                <w:vertAlign w:val="subscript"/>
              </w:rPr>
              <w:t xml:space="preserve">2 </w:t>
            </w:r>
            <w:r>
              <w:rPr>
                <w:color w:val="000000"/>
              </w:rPr>
              <w:t>conv.</w:t>
            </w:r>
          </w:p>
          <w:p w14:paraId="76EE04EB">
            <w:pPr>
              <w:widowControl/>
              <w:spacing w:line="360" w:lineRule="auto"/>
              <w:jc w:val="center"/>
            </w:pPr>
            <w:r>
              <w:rPr>
                <w:rFonts w:hint="eastAsia"/>
                <w:color w:val="000000"/>
              </w:rPr>
              <w:t>(</w:t>
            </w:r>
            <w:r>
              <w:rPr>
                <w:color w:val="000000"/>
              </w:rPr>
              <w:t>%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906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3F97CB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 xml:space="preserve">CO sel. 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color w:val="000000"/>
              </w:rPr>
              <w:t>%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3764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6AF1A4B">
            <w:pPr>
              <w:widowControl/>
              <w:spacing w:line="360" w:lineRule="auto"/>
              <w:jc w:val="center"/>
            </w:pPr>
            <w:r>
              <w:t>Hydrocarbon distribution (%)</w:t>
            </w:r>
          </w:p>
        </w:tc>
        <w:tc>
          <w:tcPr>
            <w:tcW w:w="911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907706">
            <w:pPr>
              <w:widowControl/>
              <w:spacing w:line="360" w:lineRule="auto"/>
              <w:jc w:val="center"/>
            </w:pPr>
            <w:r>
              <w:rPr>
                <w:rFonts w:cs="Times New Roman"/>
                <w:color w:val="000000"/>
                <w:kern w:val="0"/>
                <w:szCs w:val="24"/>
              </w:rPr>
              <w:t>BTX (%)</w:t>
            </w:r>
          </w:p>
        </w:tc>
        <w:tc>
          <w:tcPr>
            <w:tcW w:w="1196" w:type="dxa"/>
            <w:vMerge w:val="restart"/>
            <w:tcBorders>
              <w:top w:val="single" w:color="auto" w:sz="4" w:space="0"/>
            </w:tcBorders>
            <w:vAlign w:val="center"/>
          </w:tcPr>
          <w:p w14:paraId="1F3321D5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BTX/Aro. (%)</w:t>
            </w:r>
          </w:p>
        </w:tc>
      </w:tr>
      <w:tr w14:paraId="1B3CB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  <w:jc w:val="center"/>
        </w:trPr>
        <w:tc>
          <w:tcPr>
            <w:tcW w:w="1928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C667808">
            <w:pPr>
              <w:widowControl/>
              <w:spacing w:line="360" w:lineRule="auto"/>
              <w:jc w:val="center"/>
            </w:pPr>
          </w:p>
        </w:tc>
        <w:tc>
          <w:tcPr>
            <w:tcW w:w="912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17BDA0">
            <w:pPr>
              <w:widowControl/>
              <w:spacing w:line="360" w:lineRule="auto"/>
              <w:jc w:val="center"/>
            </w:pPr>
          </w:p>
        </w:tc>
        <w:tc>
          <w:tcPr>
            <w:tcW w:w="906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D25A32">
            <w:pPr>
              <w:widowControl/>
              <w:spacing w:line="360" w:lineRule="auto"/>
              <w:jc w:val="center"/>
            </w:pPr>
          </w:p>
        </w:tc>
        <w:tc>
          <w:tcPr>
            <w:tcW w:w="71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DB1D6A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CH</w:t>
            </w:r>
            <w:r>
              <w:rPr>
                <w:color w:val="000000"/>
                <w:vertAlign w:val="subscript"/>
              </w:rPr>
              <w:t>4</w:t>
            </w:r>
          </w:p>
        </w:tc>
        <w:tc>
          <w:tcPr>
            <w:tcW w:w="71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042F8B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=</w:t>
            </w:r>
            <w:r>
              <w:rPr>
                <w:color w:val="000000"/>
              </w:rPr>
              <w:t>–C</w:t>
            </w:r>
            <w:r>
              <w:rPr>
                <w:color w:val="000000"/>
                <w:vertAlign w:val="subscript"/>
              </w:rPr>
              <w:t>4</w:t>
            </w:r>
            <w:r>
              <w:rPr>
                <w:color w:val="000000"/>
                <w:vertAlign w:val="superscript"/>
              </w:rPr>
              <w:t>=</w:t>
            </w:r>
          </w:p>
        </w:tc>
        <w:tc>
          <w:tcPr>
            <w:tcW w:w="71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A0BEA3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0</w:t>
            </w:r>
            <w:r>
              <w:rPr>
                <w:color w:val="000000"/>
              </w:rPr>
              <w:t>–C</w:t>
            </w:r>
            <w:r>
              <w:rPr>
                <w:color w:val="000000"/>
                <w:vertAlign w:val="subscript"/>
              </w:rPr>
              <w:t>4</w:t>
            </w:r>
            <w:r>
              <w:rPr>
                <w:color w:val="000000"/>
                <w:vertAlign w:val="superscript"/>
              </w:rPr>
              <w:t>0</w:t>
            </w:r>
          </w:p>
        </w:tc>
        <w:tc>
          <w:tcPr>
            <w:tcW w:w="71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BE5692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</w:t>
            </w:r>
            <w:r>
              <w:rPr>
                <w:color w:val="000000"/>
                <w:vertAlign w:val="subscript"/>
              </w:rPr>
              <w:t>5+</w:t>
            </w:r>
          </w:p>
        </w:tc>
        <w:tc>
          <w:tcPr>
            <w:tcW w:w="91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0BF355">
            <w:pPr>
              <w:widowControl/>
              <w:spacing w:line="360" w:lineRule="auto"/>
              <w:jc w:val="center"/>
            </w:pPr>
            <w:r>
              <w:t>Ar</w:t>
            </w:r>
            <w:r>
              <w:rPr>
                <w:rFonts w:hint="eastAsia"/>
              </w:rPr>
              <w:t>o.</w:t>
            </w:r>
          </w:p>
        </w:tc>
        <w:tc>
          <w:tcPr>
            <w:tcW w:w="91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E82EAFC">
            <w:pPr>
              <w:widowControl/>
              <w:spacing w:line="360" w:lineRule="auto"/>
              <w:jc w:val="center"/>
            </w:pPr>
          </w:p>
        </w:tc>
        <w:tc>
          <w:tcPr>
            <w:tcW w:w="1196" w:type="dxa"/>
            <w:vMerge w:val="continue"/>
            <w:tcBorders>
              <w:bottom w:val="single" w:color="auto" w:sz="4" w:space="0"/>
            </w:tcBorders>
            <w:vAlign w:val="center"/>
          </w:tcPr>
          <w:p w14:paraId="4F7D76A0">
            <w:pPr>
              <w:widowControl/>
              <w:spacing w:line="360" w:lineRule="auto"/>
              <w:jc w:val="center"/>
            </w:pPr>
          </w:p>
        </w:tc>
      </w:tr>
      <w:tr w14:paraId="3216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928" w:type="dxa"/>
            <w:vAlign w:val="center"/>
          </w:tcPr>
          <w:p w14:paraId="025EC416">
            <w:pPr>
              <w:widowControl/>
              <w:spacing w:line="360" w:lineRule="auto"/>
              <w:jc w:val="center"/>
            </w:pPr>
            <w:bookmarkStart w:id="14" w:name="OLE_LINK24"/>
            <w:r>
              <w:t>Grinding mixing</w:t>
            </w:r>
            <w:bookmarkEnd w:id="14"/>
          </w:p>
        </w:tc>
        <w:tc>
          <w:tcPr>
            <w:tcW w:w="912" w:type="dxa"/>
            <w:vAlign w:val="center"/>
          </w:tcPr>
          <w:p w14:paraId="0895423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12.4</w:t>
            </w:r>
          </w:p>
        </w:tc>
        <w:tc>
          <w:tcPr>
            <w:tcW w:w="906" w:type="dxa"/>
            <w:vAlign w:val="center"/>
          </w:tcPr>
          <w:p w14:paraId="611A9AC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48.8</w:t>
            </w:r>
          </w:p>
        </w:tc>
        <w:tc>
          <w:tcPr>
            <w:tcW w:w="711" w:type="dxa"/>
            <w:vAlign w:val="center"/>
          </w:tcPr>
          <w:p w14:paraId="54B1218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0.3</w:t>
            </w:r>
          </w:p>
        </w:tc>
        <w:tc>
          <w:tcPr>
            <w:tcW w:w="713" w:type="dxa"/>
            <w:vAlign w:val="center"/>
          </w:tcPr>
          <w:p w14:paraId="2A60D12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7.8</w:t>
            </w:r>
          </w:p>
        </w:tc>
        <w:tc>
          <w:tcPr>
            <w:tcW w:w="713" w:type="dxa"/>
            <w:vAlign w:val="center"/>
          </w:tcPr>
          <w:p w14:paraId="5F45729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9.5</w:t>
            </w:r>
          </w:p>
        </w:tc>
        <w:tc>
          <w:tcPr>
            <w:tcW w:w="711" w:type="dxa"/>
            <w:vAlign w:val="center"/>
          </w:tcPr>
          <w:p w14:paraId="064A7430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7.1</w:t>
            </w:r>
          </w:p>
        </w:tc>
        <w:tc>
          <w:tcPr>
            <w:tcW w:w="916" w:type="dxa"/>
            <w:vAlign w:val="center"/>
          </w:tcPr>
          <w:p w14:paraId="7157FAA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75.3</w:t>
            </w:r>
          </w:p>
        </w:tc>
        <w:tc>
          <w:tcPr>
            <w:tcW w:w="911" w:type="dxa"/>
            <w:vAlign w:val="center"/>
          </w:tcPr>
          <w:p w14:paraId="5738A340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31.9</w:t>
            </w:r>
          </w:p>
        </w:tc>
        <w:tc>
          <w:tcPr>
            <w:tcW w:w="1196" w:type="dxa"/>
            <w:vAlign w:val="center"/>
          </w:tcPr>
          <w:p w14:paraId="32DBB760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42.3</w:t>
            </w:r>
          </w:p>
        </w:tc>
      </w:tr>
      <w:tr w14:paraId="46106A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928" w:type="dxa"/>
            <w:vAlign w:val="center"/>
          </w:tcPr>
          <w:p w14:paraId="2BA9E3A1">
            <w:pPr>
              <w:widowControl/>
              <w:spacing w:line="360" w:lineRule="auto"/>
              <w:jc w:val="center"/>
            </w:pPr>
            <w:r>
              <w:t>Powder mixing</w:t>
            </w:r>
          </w:p>
        </w:tc>
        <w:tc>
          <w:tcPr>
            <w:tcW w:w="912" w:type="dxa"/>
            <w:vAlign w:val="center"/>
          </w:tcPr>
          <w:p w14:paraId="2F8E656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9.3</w:t>
            </w:r>
          </w:p>
        </w:tc>
        <w:tc>
          <w:tcPr>
            <w:tcW w:w="906" w:type="dxa"/>
            <w:vAlign w:val="center"/>
          </w:tcPr>
          <w:p w14:paraId="04D569C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54.5</w:t>
            </w:r>
          </w:p>
        </w:tc>
        <w:tc>
          <w:tcPr>
            <w:tcW w:w="711" w:type="dxa"/>
            <w:vAlign w:val="center"/>
          </w:tcPr>
          <w:p w14:paraId="0A46C737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0.5</w:t>
            </w:r>
          </w:p>
        </w:tc>
        <w:tc>
          <w:tcPr>
            <w:tcW w:w="713" w:type="dxa"/>
            <w:vAlign w:val="center"/>
          </w:tcPr>
          <w:p w14:paraId="58554200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9.1</w:t>
            </w:r>
          </w:p>
        </w:tc>
        <w:tc>
          <w:tcPr>
            <w:tcW w:w="713" w:type="dxa"/>
            <w:vAlign w:val="center"/>
          </w:tcPr>
          <w:p w14:paraId="59D1DC9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12.6</w:t>
            </w:r>
          </w:p>
        </w:tc>
        <w:tc>
          <w:tcPr>
            <w:tcW w:w="711" w:type="dxa"/>
            <w:vAlign w:val="center"/>
          </w:tcPr>
          <w:p w14:paraId="630901A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10.5</w:t>
            </w:r>
          </w:p>
        </w:tc>
        <w:tc>
          <w:tcPr>
            <w:tcW w:w="916" w:type="dxa"/>
            <w:vAlign w:val="center"/>
          </w:tcPr>
          <w:p w14:paraId="6B9100E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67.3</w:t>
            </w:r>
          </w:p>
        </w:tc>
        <w:tc>
          <w:tcPr>
            <w:tcW w:w="911" w:type="dxa"/>
            <w:vAlign w:val="center"/>
          </w:tcPr>
          <w:p w14:paraId="34DBFE86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27.1</w:t>
            </w:r>
          </w:p>
        </w:tc>
        <w:tc>
          <w:tcPr>
            <w:tcW w:w="1196" w:type="dxa"/>
            <w:vAlign w:val="center"/>
          </w:tcPr>
          <w:p w14:paraId="76C03078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40.2</w:t>
            </w:r>
          </w:p>
        </w:tc>
      </w:tr>
      <w:tr w14:paraId="402A5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928" w:type="dxa"/>
            <w:vAlign w:val="center"/>
          </w:tcPr>
          <w:p w14:paraId="7EE4A433">
            <w:pPr>
              <w:widowControl/>
              <w:spacing w:line="360" w:lineRule="auto"/>
              <w:jc w:val="center"/>
            </w:pPr>
            <w:r>
              <w:t>Particle mixing</w:t>
            </w:r>
          </w:p>
        </w:tc>
        <w:tc>
          <w:tcPr>
            <w:tcW w:w="912" w:type="dxa"/>
            <w:tcBorders>
              <w:top w:val="nil"/>
              <w:left w:val="nil"/>
              <w:right w:val="nil"/>
            </w:tcBorders>
            <w:vAlign w:val="center"/>
          </w:tcPr>
          <w:p w14:paraId="247C3F40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8.4</w:t>
            </w:r>
          </w:p>
        </w:tc>
        <w:tc>
          <w:tcPr>
            <w:tcW w:w="906" w:type="dxa"/>
            <w:tcBorders>
              <w:top w:val="nil"/>
              <w:left w:val="nil"/>
              <w:right w:val="nil"/>
            </w:tcBorders>
            <w:vAlign w:val="center"/>
          </w:tcPr>
          <w:p w14:paraId="4D934481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36.6</w:t>
            </w:r>
          </w:p>
        </w:tc>
        <w:tc>
          <w:tcPr>
            <w:tcW w:w="711" w:type="dxa"/>
            <w:tcBorders>
              <w:top w:val="nil"/>
              <w:left w:val="nil"/>
              <w:right w:val="nil"/>
            </w:tcBorders>
            <w:vAlign w:val="center"/>
          </w:tcPr>
          <w:p w14:paraId="25B7E2EE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0.9</w:t>
            </w:r>
          </w:p>
        </w:tc>
        <w:tc>
          <w:tcPr>
            <w:tcW w:w="713" w:type="dxa"/>
            <w:tcBorders>
              <w:top w:val="nil"/>
              <w:left w:val="nil"/>
              <w:right w:val="nil"/>
            </w:tcBorders>
            <w:vAlign w:val="center"/>
          </w:tcPr>
          <w:p w14:paraId="1A8984AD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26.5</w:t>
            </w:r>
          </w:p>
        </w:tc>
        <w:tc>
          <w:tcPr>
            <w:tcW w:w="713" w:type="dxa"/>
            <w:tcBorders>
              <w:top w:val="nil"/>
              <w:left w:val="nil"/>
              <w:right w:val="nil"/>
            </w:tcBorders>
            <w:vAlign w:val="center"/>
          </w:tcPr>
          <w:p w14:paraId="28B3ADE0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21.6</w:t>
            </w:r>
          </w:p>
        </w:tc>
        <w:tc>
          <w:tcPr>
            <w:tcW w:w="711" w:type="dxa"/>
            <w:tcBorders>
              <w:top w:val="nil"/>
              <w:left w:val="nil"/>
              <w:right w:val="nil"/>
            </w:tcBorders>
            <w:vAlign w:val="center"/>
          </w:tcPr>
          <w:p w14:paraId="102239BA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27.0</w:t>
            </w:r>
          </w:p>
        </w:tc>
        <w:tc>
          <w:tcPr>
            <w:tcW w:w="916" w:type="dxa"/>
            <w:tcBorders>
              <w:top w:val="nil"/>
              <w:left w:val="nil"/>
              <w:right w:val="nil"/>
            </w:tcBorders>
            <w:vAlign w:val="center"/>
          </w:tcPr>
          <w:p w14:paraId="0C0D55C3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24.0</w:t>
            </w:r>
          </w:p>
        </w:tc>
        <w:tc>
          <w:tcPr>
            <w:tcW w:w="911" w:type="dxa"/>
            <w:vAlign w:val="center"/>
          </w:tcPr>
          <w:p w14:paraId="769FCE5D">
            <w:pPr>
              <w:widowControl/>
              <w:spacing w:line="360" w:lineRule="auto"/>
              <w:jc w:val="center"/>
              <w:rPr>
                <w:rFonts w:eastAsia="等线"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5.0</w:t>
            </w:r>
          </w:p>
        </w:tc>
        <w:tc>
          <w:tcPr>
            <w:tcW w:w="1196" w:type="dxa"/>
            <w:vAlign w:val="center"/>
          </w:tcPr>
          <w:p w14:paraId="6BBCAC49">
            <w:pPr>
              <w:widowControl/>
              <w:spacing w:line="360" w:lineRule="auto"/>
              <w:jc w:val="center"/>
              <w:rPr>
                <w:rFonts w:eastAsia="等线"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20.8</w:t>
            </w:r>
          </w:p>
        </w:tc>
      </w:tr>
      <w:tr w14:paraId="763D12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928" w:type="dxa"/>
            <w:tcBorders>
              <w:bottom w:val="single" w:color="auto" w:sz="4" w:space="0"/>
            </w:tcBorders>
            <w:vAlign w:val="center"/>
          </w:tcPr>
          <w:p w14:paraId="33A2E919">
            <w:pPr>
              <w:widowControl/>
              <w:spacing w:line="360" w:lineRule="auto"/>
              <w:jc w:val="center"/>
            </w:pPr>
            <w:r>
              <w:t>Multi-bed mixing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BD52BDE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4.7</w:t>
            </w:r>
          </w:p>
        </w:tc>
        <w:tc>
          <w:tcPr>
            <w:tcW w:w="906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C009794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85.8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DC3B786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8.6</w:t>
            </w:r>
          </w:p>
        </w:tc>
        <w:tc>
          <w:tcPr>
            <w:tcW w:w="71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8645058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14.3</w:t>
            </w:r>
          </w:p>
        </w:tc>
        <w:tc>
          <w:tcPr>
            <w:tcW w:w="71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B6B1071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56.3</w:t>
            </w:r>
          </w:p>
        </w:tc>
        <w:tc>
          <w:tcPr>
            <w:tcW w:w="71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5629C09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18.3</w:t>
            </w:r>
          </w:p>
        </w:tc>
        <w:tc>
          <w:tcPr>
            <w:tcW w:w="916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308EF11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2.6</w:t>
            </w:r>
          </w:p>
        </w:tc>
        <w:tc>
          <w:tcPr>
            <w:tcW w:w="911" w:type="dxa"/>
            <w:tcBorders>
              <w:bottom w:val="single" w:color="auto" w:sz="4" w:space="0"/>
            </w:tcBorders>
            <w:vAlign w:val="center"/>
          </w:tcPr>
          <w:p w14:paraId="38C84B4C">
            <w:pPr>
              <w:widowControl/>
              <w:spacing w:line="360" w:lineRule="auto"/>
              <w:jc w:val="center"/>
              <w:rPr>
                <w:rFonts w:eastAsia="等线"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0.8</w:t>
            </w:r>
          </w:p>
        </w:tc>
        <w:tc>
          <w:tcPr>
            <w:tcW w:w="1196" w:type="dxa"/>
            <w:tcBorders>
              <w:bottom w:val="single" w:color="auto" w:sz="4" w:space="0"/>
            </w:tcBorders>
            <w:vAlign w:val="center"/>
          </w:tcPr>
          <w:p w14:paraId="76FD80A4">
            <w:pPr>
              <w:widowControl/>
              <w:spacing w:line="360" w:lineRule="auto"/>
              <w:jc w:val="center"/>
              <w:rPr>
                <w:rFonts w:eastAsia="等线"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29.8</w:t>
            </w:r>
          </w:p>
        </w:tc>
      </w:tr>
    </w:tbl>
    <w:p w14:paraId="1FF05432">
      <w:pPr>
        <w:widowControl/>
        <w:spacing w:line="360" w:lineRule="auto"/>
        <w:jc w:val="left"/>
        <w:rPr>
          <w:sz w:val="21"/>
          <w:szCs w:val="21"/>
        </w:rPr>
      </w:pPr>
      <w:r>
        <w:rPr>
          <w:szCs w:val="24"/>
        </w:rPr>
        <w:t>R</w:t>
      </w:r>
      <w:r>
        <w:rPr>
          <w:rFonts w:hint="eastAsia"/>
          <w:szCs w:val="24"/>
        </w:rPr>
        <w:t>eaction</w:t>
      </w:r>
      <w:r>
        <w:rPr>
          <w:szCs w:val="24"/>
        </w:rPr>
        <w:t xml:space="preserve"> condition: </w:t>
      </w:r>
      <w:r>
        <w:rPr>
          <w:rFonts w:hint="eastAsia"/>
          <w:szCs w:val="24"/>
        </w:rPr>
        <w:t>32</w:t>
      </w:r>
      <w:r>
        <w:rPr>
          <w:szCs w:val="24"/>
        </w:rPr>
        <w:t xml:space="preserve">0 </w:t>
      </w:r>
      <w:r>
        <w:rPr>
          <w:rFonts w:cs="Times New Roman"/>
          <w:iCs/>
        </w:rPr>
        <w:t>°C</w:t>
      </w:r>
      <w:r>
        <w:rPr>
          <w:szCs w:val="24"/>
        </w:rPr>
        <w:t xml:space="preserve">, </w:t>
      </w:r>
      <w:r>
        <w:rPr>
          <w:rFonts w:hint="eastAsia"/>
          <w:szCs w:val="24"/>
        </w:rPr>
        <w:t>3</w:t>
      </w:r>
      <w:r>
        <w:rPr>
          <w:szCs w:val="24"/>
        </w:rPr>
        <w:t xml:space="preserve">.0 MPa, </w:t>
      </w:r>
      <w:r>
        <w:rPr>
          <w:rFonts w:hint="eastAsia"/>
          <w:szCs w:val="24"/>
        </w:rPr>
        <w:t>1200</w:t>
      </w:r>
      <w:r>
        <w:rPr>
          <w:szCs w:val="24"/>
        </w:rPr>
        <w:t xml:space="preserve"> mL g</w:t>
      </w:r>
      <w:r>
        <w:rPr>
          <w:szCs w:val="24"/>
          <w:vertAlign w:val="subscript"/>
        </w:rPr>
        <w:t>cat</w:t>
      </w:r>
      <w:r>
        <w:rPr>
          <w:szCs w:val="24"/>
          <w:vertAlign w:val="superscript"/>
        </w:rPr>
        <w:t xml:space="preserve">−1 </w:t>
      </w:r>
      <w:r>
        <w:rPr>
          <w:szCs w:val="24"/>
        </w:rPr>
        <w:t>h</w:t>
      </w:r>
      <w:r>
        <w:rPr>
          <w:szCs w:val="24"/>
          <w:vertAlign w:val="superscript"/>
        </w:rPr>
        <w:t>−1</w:t>
      </w:r>
      <w:r>
        <w:rPr>
          <w:szCs w:val="24"/>
        </w:rPr>
        <w:t xml:space="preserve"> and H</w:t>
      </w:r>
      <w:r>
        <w:rPr>
          <w:szCs w:val="24"/>
          <w:vertAlign w:val="subscript"/>
        </w:rPr>
        <w:t>2</w:t>
      </w:r>
      <w:r>
        <w:rPr>
          <w:szCs w:val="24"/>
        </w:rPr>
        <w:t>/CO</w:t>
      </w:r>
      <w:r>
        <w:rPr>
          <w:rFonts w:hint="eastAsia"/>
          <w:szCs w:val="24"/>
          <w:vertAlign w:val="subscript"/>
        </w:rPr>
        <w:t>2</w:t>
      </w:r>
      <w:r>
        <w:rPr>
          <w:szCs w:val="24"/>
        </w:rPr>
        <w:t xml:space="preserve"> = </w:t>
      </w:r>
      <w:r>
        <w:rPr>
          <w:rFonts w:hint="eastAsia"/>
          <w:szCs w:val="24"/>
        </w:rPr>
        <w:t>3</w:t>
      </w:r>
      <w:r>
        <w:rPr>
          <w:szCs w:val="24"/>
        </w:rPr>
        <w:t>.</w:t>
      </w:r>
    </w:p>
    <w:p w14:paraId="3377CD97">
      <w:pPr>
        <w:widowControl/>
        <w:jc w:val="left"/>
      </w:pPr>
      <w:r>
        <w:br w:type="page"/>
      </w:r>
    </w:p>
    <w:p w14:paraId="74DD0C89">
      <w:pPr>
        <w:pStyle w:val="22"/>
        <w:jc w:val="both"/>
        <w:rPr>
          <w:rFonts w:cs="Times New Roman"/>
          <w:sz w:val="24"/>
          <w:szCs w:val="24"/>
          <w:vertAlign w:val="superscript"/>
        </w:rPr>
      </w:pPr>
      <w:r>
        <w:rPr>
          <w:rFonts w:cs="Times New Roman"/>
          <w:b/>
          <w:bCs/>
          <w:color w:val="000000"/>
          <w:sz w:val="24"/>
          <w:szCs w:val="24"/>
        </w:rPr>
        <w:t xml:space="preserve">Table </w:t>
      </w:r>
      <w:r>
        <w:rPr>
          <w:rFonts w:hint="eastAsia" w:cs="Times New Roman"/>
          <w:b/>
          <w:bCs/>
          <w:color w:val="000000"/>
          <w:sz w:val="24"/>
          <w:szCs w:val="24"/>
        </w:rPr>
        <w:t>S5.</w:t>
      </w:r>
      <w:r>
        <w:rPr>
          <w:rFonts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Aromatics distributions over </w:t>
      </w:r>
      <w:r>
        <w:rPr>
          <w:sz w:val="24"/>
          <w:szCs w:val="24"/>
        </w:rPr>
        <w:t>ZZO/2SP34/Z5</w:t>
      </w:r>
      <w:r>
        <w:rPr>
          <w:rFonts w:cs="Times New Roman"/>
          <w:sz w:val="24"/>
          <w:szCs w:val="24"/>
        </w:rPr>
        <w:t xml:space="preserve"> catalyst</w:t>
      </w:r>
      <w:r>
        <w:rPr>
          <w:rFonts w:hint="eastAsia" w:cs="Times New Roman"/>
          <w:sz w:val="24"/>
          <w:szCs w:val="24"/>
        </w:rPr>
        <w:t xml:space="preserve"> at different m</w:t>
      </w:r>
      <w:r>
        <w:rPr>
          <w:rFonts w:cs="Times New Roman"/>
          <w:sz w:val="24"/>
          <w:szCs w:val="24"/>
        </w:rPr>
        <w:t>ixing methods.</w:t>
      </w:r>
    </w:p>
    <w:tbl>
      <w:tblPr>
        <w:tblStyle w:val="7"/>
        <w:tblW w:w="4481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8"/>
        <w:gridCol w:w="831"/>
        <w:gridCol w:w="1038"/>
        <w:gridCol w:w="836"/>
        <w:gridCol w:w="1056"/>
        <w:gridCol w:w="836"/>
        <w:gridCol w:w="1056"/>
        <w:gridCol w:w="1057"/>
      </w:tblGrid>
      <w:tr w14:paraId="693E9F0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16" w:type="pct"/>
            <w:vMerge w:val="restart"/>
            <w:tcBorders>
              <w:bottom w:val="single" w:color="auto" w:sz="4" w:space="0"/>
              <w:right w:val="nil"/>
            </w:tcBorders>
            <w:vAlign w:val="center"/>
          </w:tcPr>
          <w:p w14:paraId="5F36CD6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Mixing methods</w:t>
            </w:r>
          </w:p>
        </w:tc>
        <w:tc>
          <w:tcPr>
            <w:tcW w:w="3884" w:type="pct"/>
            <w:gridSpan w:val="7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 w14:paraId="5473603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Aromatic selectivity (%)</w:t>
            </w:r>
          </w:p>
        </w:tc>
      </w:tr>
      <w:tr w14:paraId="3ADEF58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16" w:type="pct"/>
            <w:vMerge w:val="continue"/>
            <w:tcBorders>
              <w:top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2267BE37">
            <w:pPr>
              <w:pStyle w:val="2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0F9025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B</w:t>
            </w:r>
          </w:p>
        </w:tc>
        <w:tc>
          <w:tcPr>
            <w:tcW w:w="60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BDAE26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72D32E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E</w:t>
            </w:r>
          </w:p>
        </w:tc>
        <w:tc>
          <w:tcPr>
            <w:tcW w:w="61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C05F1D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o/p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B1B10C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m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61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86090E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612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BA4585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10</w:t>
            </w:r>
          </w:p>
        </w:tc>
      </w:tr>
      <w:tr w14:paraId="6BBA654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16" w:type="pct"/>
            <w:tcBorders>
              <w:top w:val="nil"/>
              <w:bottom w:val="nil"/>
              <w:right w:val="nil"/>
            </w:tcBorders>
            <w:vAlign w:val="center"/>
          </w:tcPr>
          <w:p w14:paraId="167EEF2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Grinding mixing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A59B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1.0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1203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8.5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EC50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2.3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9D44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23.8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21BE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6.8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58B3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41.3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B9BF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16.3</w:t>
            </w:r>
          </w:p>
        </w:tc>
      </w:tr>
      <w:tr w14:paraId="4CF3A8C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16" w:type="pct"/>
            <w:tcBorders>
              <w:top w:val="nil"/>
              <w:bottom w:val="nil"/>
              <w:right w:val="nil"/>
            </w:tcBorders>
            <w:vAlign w:val="center"/>
          </w:tcPr>
          <w:p w14:paraId="68CB86B7">
            <w:pPr>
              <w:pStyle w:val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Powder mixing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FC107E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1.0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18ED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8.0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1722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2.4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4DD8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22.6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2F65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6.2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0EB8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43.7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7786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16.0</w:t>
            </w:r>
          </w:p>
        </w:tc>
      </w:tr>
      <w:tr w14:paraId="4B3A67C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16" w:type="pct"/>
            <w:tcBorders>
              <w:top w:val="nil"/>
              <w:bottom w:val="nil"/>
              <w:right w:val="nil"/>
            </w:tcBorders>
            <w:vAlign w:val="center"/>
          </w:tcPr>
          <w:p w14:paraId="3A9F3A41">
            <w:pPr>
              <w:pStyle w:val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Particle mixing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AA689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0.6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37DDC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2.7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01B38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1.8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0F2F4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12.2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58302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3.4</w:t>
            </w:r>
          </w:p>
        </w:tc>
        <w:tc>
          <w:tcPr>
            <w:tcW w:w="61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FD40C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39.2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68E9F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40.1</w:t>
            </w:r>
          </w:p>
        </w:tc>
      </w:tr>
      <w:tr w14:paraId="75EC08E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16" w:type="pct"/>
            <w:tcBorders>
              <w:top w:val="nil"/>
              <w:bottom w:val="single" w:color="auto" w:sz="4" w:space="0"/>
              <w:right w:val="nil"/>
            </w:tcBorders>
            <w:vAlign w:val="center"/>
          </w:tcPr>
          <w:p w14:paraId="1AAC9E4E">
            <w:pPr>
              <w:pStyle w:val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Multi-bed mixing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B41DBB8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3.1</w:t>
            </w:r>
          </w:p>
        </w:tc>
        <w:tc>
          <w:tcPr>
            <w:tcW w:w="601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8970353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11.3</w:t>
            </w:r>
          </w:p>
        </w:tc>
        <w:tc>
          <w:tcPr>
            <w:tcW w:w="484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4676D21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1.7</w:t>
            </w:r>
          </w:p>
        </w:tc>
        <w:tc>
          <w:tcPr>
            <w:tcW w:w="611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ED26CFE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11.7</w:t>
            </w:r>
          </w:p>
        </w:tc>
        <w:tc>
          <w:tcPr>
            <w:tcW w:w="484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9AC3C97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2.2</w:t>
            </w:r>
          </w:p>
        </w:tc>
        <w:tc>
          <w:tcPr>
            <w:tcW w:w="611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F9D517D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22.6</w:t>
            </w:r>
          </w:p>
        </w:tc>
        <w:tc>
          <w:tcPr>
            <w:tcW w:w="612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14BD9B7">
            <w:pPr>
              <w:pStyle w:val="23"/>
              <w:rPr>
                <w:rFonts w:eastAsia="等线"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47.5</w:t>
            </w:r>
          </w:p>
        </w:tc>
      </w:tr>
    </w:tbl>
    <w:p w14:paraId="2DFC012D">
      <w:pPr>
        <w:widowControl/>
        <w:spacing w:line="360" w:lineRule="auto"/>
        <w:rPr>
          <w:b/>
          <w:bCs/>
        </w:rPr>
      </w:pPr>
    </w:p>
    <w:p w14:paraId="2B4DCC7B">
      <w:pPr>
        <w:spacing w:line="360" w:lineRule="auto"/>
      </w:pPr>
      <w:r>
        <w:rPr>
          <w:b/>
          <w:bCs/>
        </w:rPr>
        <w:br w:type="page"/>
      </w:r>
      <w:r>
        <w:rPr>
          <w:rFonts w:hint="eastAsia"/>
          <w:b/>
          <w:bCs/>
        </w:rPr>
        <w:t>Table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6.</w:t>
      </w:r>
      <w:r>
        <w:t xml:space="preserve"> Catalytic performance of </w:t>
      </w:r>
      <w:r>
        <w:rPr>
          <w:color w:val="000000"/>
        </w:rPr>
        <w:t>CO</w:t>
      </w:r>
      <w:r>
        <w:rPr>
          <w:color w:val="000000"/>
          <w:vertAlign w:val="subscript"/>
        </w:rPr>
        <w:t>2</w:t>
      </w:r>
      <w:r>
        <w:rPr>
          <w:color w:val="000000"/>
        </w:rPr>
        <w:t xml:space="preserve"> hydrogenation over </w:t>
      </w:r>
      <w:r>
        <w:t>ZZO/</w:t>
      </w:r>
      <w:r>
        <w:rPr>
          <w:rFonts w:hint="eastAsia"/>
        </w:rPr>
        <w:t>2</w:t>
      </w:r>
      <w:r>
        <w:t xml:space="preserve">SP34/Z5 catalyst under different </w:t>
      </w:r>
      <w:r>
        <w:rPr>
          <w:rFonts w:cs="Times New Roman"/>
          <w:szCs w:val="24"/>
        </w:rPr>
        <w:t>temperatures</w:t>
      </w:r>
      <w:r>
        <w:t>.</w:t>
      </w:r>
    </w:p>
    <w:tbl>
      <w:tblPr>
        <w:tblStyle w:val="8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1050"/>
        <w:gridCol w:w="837"/>
        <w:gridCol w:w="800"/>
        <w:gridCol w:w="736"/>
        <w:gridCol w:w="986"/>
        <w:gridCol w:w="967"/>
        <w:gridCol w:w="732"/>
        <w:gridCol w:w="743"/>
        <w:gridCol w:w="825"/>
        <w:gridCol w:w="1196"/>
      </w:tblGrid>
      <w:tr w14:paraId="41E84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AA5B61">
            <w:pPr>
              <w:widowControl/>
              <w:spacing w:line="360" w:lineRule="auto"/>
              <w:jc w:val="center"/>
            </w:pPr>
            <w:r>
              <w:rPr>
                <w:i/>
                <w:iCs/>
                <w:color w:val="000000"/>
              </w:rPr>
              <w:t>T</w:t>
            </w:r>
            <w:r>
              <w:rPr>
                <w:rFonts w:hint="eastAsia"/>
                <w:color w:val="000000"/>
              </w:rPr>
              <w:t xml:space="preserve"> (</w:t>
            </w:r>
            <w:r>
              <w:rPr>
                <w:vertAlign w:val="superscript"/>
              </w:rPr>
              <w:t>o</w:t>
            </w:r>
            <w:r>
              <w:t>C</w:t>
            </w:r>
            <w:r>
              <w:rPr>
                <w:rFonts w:hint="eastAsia"/>
              </w:rPr>
              <w:t>)</w:t>
            </w:r>
          </w:p>
        </w:tc>
        <w:tc>
          <w:tcPr>
            <w:tcW w:w="1119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808A21">
            <w:pPr>
              <w:widowControl/>
              <w:spacing w:line="360" w:lineRule="auto"/>
              <w:jc w:val="center"/>
            </w:pPr>
            <w:r>
              <w:rPr>
                <w:rFonts w:hint="eastAsia"/>
                <w:color w:val="000000"/>
              </w:rPr>
              <w:t>GH</w:t>
            </w:r>
            <w:r>
              <w:rPr>
                <w:color w:val="000000"/>
              </w:rPr>
              <w:t>SV</w:t>
            </w:r>
            <w:r>
              <w:rPr>
                <w:rFonts w:hint="eastAsia"/>
                <w:color w:val="000000"/>
              </w:rPr>
              <w:t xml:space="preserve"> (</w:t>
            </w:r>
            <w:bookmarkStart w:id="15" w:name="_Hlk213177457"/>
            <w:r>
              <w:t>mL g</w:t>
            </w:r>
            <w:r>
              <w:rPr>
                <w:vertAlign w:val="subscript"/>
              </w:rPr>
              <w:t>cat</w:t>
            </w:r>
            <w:r>
              <w:rPr>
                <w:vertAlign w:val="superscript"/>
              </w:rPr>
              <w:t xml:space="preserve">−1 </w:t>
            </w:r>
            <w:r>
              <w:t>h</w:t>
            </w:r>
            <w:r>
              <w:rPr>
                <w:vertAlign w:val="superscript"/>
              </w:rPr>
              <w:t>−1</w:t>
            </w:r>
            <w:bookmarkEnd w:id="15"/>
            <w:r>
              <w:rPr>
                <w:rFonts w:hint="eastAsia"/>
              </w:rPr>
              <w:t>)</w:t>
            </w:r>
          </w:p>
        </w:tc>
        <w:tc>
          <w:tcPr>
            <w:tcW w:w="879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3FF16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CO</w:t>
            </w:r>
            <w:r>
              <w:rPr>
                <w:color w:val="000000"/>
                <w:vertAlign w:val="subscript"/>
              </w:rPr>
              <w:t xml:space="preserve">2 </w:t>
            </w:r>
            <w:r>
              <w:rPr>
                <w:color w:val="000000"/>
              </w:rPr>
              <w:t>conv.</w:t>
            </w:r>
          </w:p>
          <w:p w14:paraId="721DA97A">
            <w:pPr>
              <w:widowControl/>
              <w:spacing w:line="360" w:lineRule="auto"/>
              <w:jc w:val="center"/>
            </w:pPr>
            <w:r>
              <w:rPr>
                <w:rFonts w:hint="eastAsia"/>
                <w:color w:val="000000"/>
              </w:rPr>
              <w:t>(</w:t>
            </w:r>
            <w:r>
              <w:rPr>
                <w:color w:val="000000"/>
              </w:rPr>
              <w:t>%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862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FBA713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 xml:space="preserve">CO sel. 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color w:val="000000"/>
              </w:rPr>
              <w:t>%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3883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F458A8D">
            <w:pPr>
              <w:widowControl/>
              <w:spacing w:line="360" w:lineRule="auto"/>
              <w:jc w:val="center"/>
            </w:pPr>
            <w:r>
              <w:t>Hydrocarbon distribution (%)</w:t>
            </w:r>
          </w:p>
        </w:tc>
        <w:tc>
          <w:tcPr>
            <w:tcW w:w="874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9E10670">
            <w:pPr>
              <w:widowControl/>
              <w:spacing w:line="360" w:lineRule="auto"/>
              <w:jc w:val="center"/>
            </w:pPr>
            <w:r>
              <w:rPr>
                <w:rFonts w:cs="Times New Roman"/>
                <w:color w:val="000000"/>
                <w:kern w:val="0"/>
                <w:szCs w:val="24"/>
              </w:rPr>
              <w:t>BTX (%)</w:t>
            </w:r>
          </w:p>
        </w:tc>
        <w:tc>
          <w:tcPr>
            <w:tcW w:w="1196" w:type="dxa"/>
            <w:vMerge w:val="restart"/>
            <w:tcBorders>
              <w:top w:val="single" w:color="auto" w:sz="4" w:space="0"/>
            </w:tcBorders>
            <w:vAlign w:val="center"/>
          </w:tcPr>
          <w:p w14:paraId="68C0A78A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bookmarkStart w:id="16" w:name="_Hlk213177376"/>
            <w:r>
              <w:rPr>
                <w:rFonts w:cs="Times New Roman"/>
                <w:color w:val="000000"/>
                <w:kern w:val="0"/>
                <w:szCs w:val="24"/>
              </w:rPr>
              <w:t>BTX/Aro.</w:t>
            </w:r>
            <w:bookmarkEnd w:id="16"/>
            <w:r>
              <w:rPr>
                <w:rFonts w:cs="Times New Roman"/>
                <w:color w:val="000000"/>
                <w:kern w:val="0"/>
                <w:szCs w:val="24"/>
              </w:rPr>
              <w:t xml:space="preserve"> (%)</w:t>
            </w:r>
          </w:p>
        </w:tc>
      </w:tr>
      <w:tr w14:paraId="32828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70AFAE">
            <w:pPr>
              <w:widowControl/>
              <w:spacing w:line="360" w:lineRule="auto"/>
              <w:jc w:val="center"/>
            </w:pPr>
          </w:p>
        </w:tc>
        <w:tc>
          <w:tcPr>
            <w:tcW w:w="1119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106753">
            <w:pPr>
              <w:widowControl/>
              <w:spacing w:line="360" w:lineRule="auto"/>
              <w:jc w:val="center"/>
            </w:pPr>
          </w:p>
        </w:tc>
        <w:tc>
          <w:tcPr>
            <w:tcW w:w="879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C58AF13">
            <w:pPr>
              <w:widowControl/>
              <w:spacing w:line="360" w:lineRule="auto"/>
              <w:jc w:val="center"/>
            </w:pPr>
          </w:p>
        </w:tc>
        <w:tc>
          <w:tcPr>
            <w:tcW w:w="862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141302A">
            <w:pPr>
              <w:widowControl/>
              <w:spacing w:line="360" w:lineRule="auto"/>
              <w:jc w:val="center"/>
            </w:pPr>
          </w:p>
        </w:tc>
        <w:tc>
          <w:tcPr>
            <w:tcW w:w="7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CE180F0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CH</w:t>
            </w:r>
            <w:r>
              <w:rPr>
                <w:color w:val="000000"/>
                <w:vertAlign w:val="subscript"/>
              </w:rPr>
              <w:t>4</w:t>
            </w:r>
          </w:p>
        </w:tc>
        <w:tc>
          <w:tcPr>
            <w:tcW w:w="78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1C748A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=</w:t>
            </w:r>
            <w:r>
              <w:rPr>
                <w:color w:val="000000"/>
              </w:rPr>
              <w:t>–C</w:t>
            </w:r>
            <w:r>
              <w:rPr>
                <w:color w:val="000000"/>
                <w:vertAlign w:val="subscript"/>
              </w:rPr>
              <w:t>4</w:t>
            </w:r>
            <w:r>
              <w:rPr>
                <w:color w:val="000000"/>
                <w:vertAlign w:val="superscript"/>
              </w:rPr>
              <w:t>=</w:t>
            </w:r>
          </w:p>
        </w:tc>
        <w:tc>
          <w:tcPr>
            <w:tcW w:w="7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8AFCDFD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0</w:t>
            </w:r>
            <w:r>
              <w:rPr>
                <w:color w:val="000000"/>
              </w:rPr>
              <w:t>–C</w:t>
            </w:r>
            <w:r>
              <w:rPr>
                <w:color w:val="000000"/>
                <w:vertAlign w:val="subscript"/>
              </w:rPr>
              <w:t>4</w:t>
            </w:r>
            <w:r>
              <w:rPr>
                <w:color w:val="000000"/>
                <w:vertAlign w:val="superscript"/>
              </w:rPr>
              <w:t>0</w:t>
            </w:r>
          </w:p>
        </w:tc>
        <w:tc>
          <w:tcPr>
            <w:tcW w:w="76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7E467E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</w:t>
            </w:r>
            <w:r>
              <w:rPr>
                <w:color w:val="000000"/>
                <w:vertAlign w:val="subscript"/>
              </w:rPr>
              <w:t>5+</w:t>
            </w:r>
          </w:p>
        </w:tc>
        <w:tc>
          <w:tcPr>
            <w:tcW w:w="7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663129C">
            <w:pPr>
              <w:widowControl/>
              <w:spacing w:line="360" w:lineRule="auto"/>
              <w:jc w:val="center"/>
            </w:pPr>
            <w:r>
              <w:t>Ar</w:t>
            </w:r>
            <w:r>
              <w:rPr>
                <w:rFonts w:hint="eastAsia"/>
              </w:rPr>
              <w:t>o.</w:t>
            </w:r>
          </w:p>
        </w:tc>
        <w:tc>
          <w:tcPr>
            <w:tcW w:w="874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CDC569">
            <w:pPr>
              <w:widowControl/>
              <w:spacing w:line="360" w:lineRule="auto"/>
              <w:jc w:val="center"/>
            </w:pPr>
          </w:p>
        </w:tc>
        <w:tc>
          <w:tcPr>
            <w:tcW w:w="1196" w:type="dxa"/>
            <w:vMerge w:val="continue"/>
            <w:tcBorders>
              <w:bottom w:val="single" w:color="auto" w:sz="4" w:space="0"/>
            </w:tcBorders>
            <w:vAlign w:val="center"/>
          </w:tcPr>
          <w:p w14:paraId="3E1B25B6">
            <w:pPr>
              <w:widowControl/>
              <w:spacing w:line="360" w:lineRule="auto"/>
              <w:jc w:val="center"/>
            </w:pPr>
          </w:p>
        </w:tc>
      </w:tr>
      <w:tr w14:paraId="264CCD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25" w:type="dxa"/>
            <w:vAlign w:val="center"/>
          </w:tcPr>
          <w:p w14:paraId="54452C97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310</w:t>
            </w:r>
          </w:p>
        </w:tc>
        <w:tc>
          <w:tcPr>
            <w:tcW w:w="1119" w:type="dxa"/>
            <w:vMerge w:val="restart"/>
            <w:vAlign w:val="center"/>
          </w:tcPr>
          <w:p w14:paraId="7CCC8B12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1200</w:t>
            </w:r>
          </w:p>
        </w:tc>
        <w:tc>
          <w:tcPr>
            <w:tcW w:w="879" w:type="dxa"/>
            <w:vAlign w:val="center"/>
          </w:tcPr>
          <w:p w14:paraId="4E00392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9.3</w:t>
            </w:r>
          </w:p>
        </w:tc>
        <w:tc>
          <w:tcPr>
            <w:tcW w:w="862" w:type="dxa"/>
            <w:vAlign w:val="center"/>
          </w:tcPr>
          <w:p w14:paraId="799DAB0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48.4</w:t>
            </w:r>
          </w:p>
        </w:tc>
        <w:tc>
          <w:tcPr>
            <w:tcW w:w="777" w:type="dxa"/>
            <w:vAlign w:val="center"/>
          </w:tcPr>
          <w:p w14:paraId="30B793F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0.3</w:t>
            </w:r>
          </w:p>
        </w:tc>
        <w:tc>
          <w:tcPr>
            <w:tcW w:w="780" w:type="dxa"/>
            <w:vAlign w:val="center"/>
          </w:tcPr>
          <w:p w14:paraId="0DB47C5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7.9</w:t>
            </w:r>
          </w:p>
        </w:tc>
        <w:tc>
          <w:tcPr>
            <w:tcW w:w="779" w:type="dxa"/>
            <w:vAlign w:val="center"/>
          </w:tcPr>
          <w:p w14:paraId="6012067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8.2</w:t>
            </w:r>
          </w:p>
        </w:tc>
        <w:tc>
          <w:tcPr>
            <w:tcW w:w="768" w:type="dxa"/>
            <w:vAlign w:val="center"/>
          </w:tcPr>
          <w:p w14:paraId="2E8FEC2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4.5</w:t>
            </w:r>
          </w:p>
        </w:tc>
        <w:tc>
          <w:tcPr>
            <w:tcW w:w="779" w:type="dxa"/>
            <w:vAlign w:val="center"/>
          </w:tcPr>
          <w:p w14:paraId="6263B94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79.0</w:t>
            </w:r>
          </w:p>
        </w:tc>
        <w:tc>
          <w:tcPr>
            <w:tcW w:w="874" w:type="dxa"/>
            <w:vAlign w:val="center"/>
          </w:tcPr>
          <w:p w14:paraId="26C8F26E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30.5</w:t>
            </w:r>
          </w:p>
        </w:tc>
        <w:tc>
          <w:tcPr>
            <w:tcW w:w="1196" w:type="dxa"/>
            <w:vAlign w:val="center"/>
          </w:tcPr>
          <w:p w14:paraId="06091A91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38.5</w:t>
            </w:r>
          </w:p>
        </w:tc>
      </w:tr>
      <w:tr w14:paraId="53E3D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25" w:type="dxa"/>
            <w:vAlign w:val="center"/>
          </w:tcPr>
          <w:p w14:paraId="6B716A2B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320</w:t>
            </w:r>
          </w:p>
        </w:tc>
        <w:tc>
          <w:tcPr>
            <w:tcW w:w="1119" w:type="dxa"/>
            <w:vMerge w:val="continue"/>
            <w:vAlign w:val="center"/>
          </w:tcPr>
          <w:p w14:paraId="7902EDD3">
            <w:pPr>
              <w:widowControl/>
              <w:spacing w:line="360" w:lineRule="auto"/>
              <w:jc w:val="center"/>
            </w:pPr>
          </w:p>
        </w:tc>
        <w:tc>
          <w:tcPr>
            <w:tcW w:w="879" w:type="dxa"/>
            <w:vAlign w:val="center"/>
          </w:tcPr>
          <w:p w14:paraId="006AC1C0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12.4</w:t>
            </w:r>
          </w:p>
        </w:tc>
        <w:tc>
          <w:tcPr>
            <w:tcW w:w="862" w:type="dxa"/>
            <w:vAlign w:val="center"/>
          </w:tcPr>
          <w:p w14:paraId="1A978D3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48.8</w:t>
            </w:r>
          </w:p>
        </w:tc>
        <w:tc>
          <w:tcPr>
            <w:tcW w:w="777" w:type="dxa"/>
            <w:vAlign w:val="center"/>
          </w:tcPr>
          <w:p w14:paraId="4312104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0.3</w:t>
            </w:r>
          </w:p>
        </w:tc>
        <w:tc>
          <w:tcPr>
            <w:tcW w:w="780" w:type="dxa"/>
            <w:vAlign w:val="center"/>
          </w:tcPr>
          <w:p w14:paraId="2706BB0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7.8</w:t>
            </w:r>
          </w:p>
        </w:tc>
        <w:tc>
          <w:tcPr>
            <w:tcW w:w="779" w:type="dxa"/>
            <w:vAlign w:val="center"/>
          </w:tcPr>
          <w:p w14:paraId="48421E9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9.5</w:t>
            </w:r>
          </w:p>
        </w:tc>
        <w:tc>
          <w:tcPr>
            <w:tcW w:w="768" w:type="dxa"/>
            <w:vAlign w:val="center"/>
          </w:tcPr>
          <w:p w14:paraId="2B9C43E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7.1</w:t>
            </w:r>
          </w:p>
        </w:tc>
        <w:tc>
          <w:tcPr>
            <w:tcW w:w="779" w:type="dxa"/>
            <w:vAlign w:val="center"/>
          </w:tcPr>
          <w:p w14:paraId="24E69000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75.3</w:t>
            </w:r>
          </w:p>
        </w:tc>
        <w:tc>
          <w:tcPr>
            <w:tcW w:w="874" w:type="dxa"/>
            <w:vAlign w:val="center"/>
          </w:tcPr>
          <w:p w14:paraId="3C2F0C9E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31.9</w:t>
            </w:r>
          </w:p>
        </w:tc>
        <w:tc>
          <w:tcPr>
            <w:tcW w:w="1196" w:type="dxa"/>
            <w:vAlign w:val="center"/>
          </w:tcPr>
          <w:p w14:paraId="7403E136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42.3</w:t>
            </w:r>
          </w:p>
        </w:tc>
      </w:tr>
      <w:tr w14:paraId="67432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25" w:type="dxa"/>
            <w:vAlign w:val="center"/>
          </w:tcPr>
          <w:p w14:paraId="65BBD5CB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330</w:t>
            </w:r>
          </w:p>
        </w:tc>
        <w:tc>
          <w:tcPr>
            <w:tcW w:w="1119" w:type="dxa"/>
            <w:vMerge w:val="continue"/>
            <w:vAlign w:val="center"/>
          </w:tcPr>
          <w:p w14:paraId="7205BE2F">
            <w:pPr>
              <w:widowControl/>
              <w:spacing w:line="360" w:lineRule="auto"/>
              <w:jc w:val="center"/>
            </w:pPr>
          </w:p>
        </w:tc>
        <w:tc>
          <w:tcPr>
            <w:tcW w:w="879" w:type="dxa"/>
            <w:tcBorders>
              <w:top w:val="nil"/>
              <w:left w:val="nil"/>
              <w:right w:val="nil"/>
            </w:tcBorders>
            <w:vAlign w:val="center"/>
          </w:tcPr>
          <w:p w14:paraId="615E116D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15.3</w:t>
            </w:r>
          </w:p>
        </w:tc>
        <w:tc>
          <w:tcPr>
            <w:tcW w:w="862" w:type="dxa"/>
            <w:tcBorders>
              <w:top w:val="nil"/>
              <w:left w:val="nil"/>
              <w:right w:val="nil"/>
            </w:tcBorders>
            <w:vAlign w:val="center"/>
          </w:tcPr>
          <w:p w14:paraId="70CF6247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45.3</w:t>
            </w:r>
          </w:p>
        </w:tc>
        <w:tc>
          <w:tcPr>
            <w:tcW w:w="777" w:type="dxa"/>
            <w:tcBorders>
              <w:top w:val="nil"/>
              <w:left w:val="nil"/>
              <w:right w:val="nil"/>
            </w:tcBorders>
            <w:vAlign w:val="center"/>
          </w:tcPr>
          <w:p w14:paraId="5EFA3C45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0.5</w:t>
            </w:r>
          </w:p>
        </w:tc>
        <w:tc>
          <w:tcPr>
            <w:tcW w:w="780" w:type="dxa"/>
            <w:tcBorders>
              <w:top w:val="nil"/>
              <w:left w:val="nil"/>
              <w:right w:val="nil"/>
            </w:tcBorders>
            <w:vAlign w:val="center"/>
          </w:tcPr>
          <w:p w14:paraId="40E71449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10.9</w:t>
            </w:r>
          </w:p>
        </w:tc>
        <w:tc>
          <w:tcPr>
            <w:tcW w:w="779" w:type="dxa"/>
            <w:tcBorders>
              <w:top w:val="nil"/>
              <w:left w:val="nil"/>
              <w:right w:val="nil"/>
            </w:tcBorders>
            <w:vAlign w:val="center"/>
          </w:tcPr>
          <w:p w14:paraId="7C01F99A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12.4</w:t>
            </w:r>
          </w:p>
        </w:tc>
        <w:tc>
          <w:tcPr>
            <w:tcW w:w="768" w:type="dxa"/>
            <w:tcBorders>
              <w:top w:val="nil"/>
              <w:left w:val="nil"/>
              <w:right w:val="nil"/>
            </w:tcBorders>
            <w:vAlign w:val="center"/>
          </w:tcPr>
          <w:p w14:paraId="72D174EA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12.1</w:t>
            </w:r>
          </w:p>
        </w:tc>
        <w:tc>
          <w:tcPr>
            <w:tcW w:w="779" w:type="dxa"/>
            <w:tcBorders>
              <w:top w:val="nil"/>
              <w:left w:val="nil"/>
              <w:right w:val="nil"/>
            </w:tcBorders>
            <w:vAlign w:val="center"/>
          </w:tcPr>
          <w:p w14:paraId="687F2B78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64.1</w:t>
            </w:r>
          </w:p>
        </w:tc>
        <w:tc>
          <w:tcPr>
            <w:tcW w:w="874" w:type="dxa"/>
            <w:vAlign w:val="center"/>
          </w:tcPr>
          <w:p w14:paraId="71B37B2C">
            <w:pPr>
              <w:widowControl/>
              <w:spacing w:line="360" w:lineRule="auto"/>
              <w:jc w:val="center"/>
              <w:rPr>
                <w:rFonts w:eastAsia="等线"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29.0</w:t>
            </w:r>
          </w:p>
        </w:tc>
        <w:tc>
          <w:tcPr>
            <w:tcW w:w="1196" w:type="dxa"/>
            <w:vAlign w:val="center"/>
          </w:tcPr>
          <w:p w14:paraId="0D894C5C">
            <w:pPr>
              <w:widowControl/>
              <w:spacing w:line="360" w:lineRule="auto"/>
              <w:jc w:val="center"/>
              <w:rPr>
                <w:rFonts w:eastAsia="等线"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45.3</w:t>
            </w:r>
          </w:p>
        </w:tc>
      </w:tr>
      <w:tr w14:paraId="5383B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25" w:type="dxa"/>
            <w:tcBorders>
              <w:bottom w:val="single" w:color="auto" w:sz="4" w:space="0"/>
            </w:tcBorders>
            <w:vAlign w:val="center"/>
          </w:tcPr>
          <w:p w14:paraId="15F66C05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340</w:t>
            </w:r>
          </w:p>
        </w:tc>
        <w:tc>
          <w:tcPr>
            <w:tcW w:w="1119" w:type="dxa"/>
            <w:vMerge w:val="continue"/>
            <w:tcBorders>
              <w:bottom w:val="single" w:color="auto" w:sz="4" w:space="0"/>
            </w:tcBorders>
            <w:vAlign w:val="center"/>
          </w:tcPr>
          <w:p w14:paraId="299ABD88">
            <w:pPr>
              <w:widowControl/>
              <w:spacing w:line="360" w:lineRule="auto"/>
              <w:jc w:val="center"/>
            </w:pPr>
          </w:p>
        </w:tc>
        <w:tc>
          <w:tcPr>
            <w:tcW w:w="879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065C959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16.0</w:t>
            </w:r>
          </w:p>
        </w:tc>
        <w:tc>
          <w:tcPr>
            <w:tcW w:w="86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BEA24FC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46.9</w:t>
            </w:r>
          </w:p>
        </w:tc>
        <w:tc>
          <w:tcPr>
            <w:tcW w:w="777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099C697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0.8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6647009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14.5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62AF9BC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15.4</w:t>
            </w:r>
          </w:p>
        </w:tc>
        <w:tc>
          <w:tcPr>
            <w:tcW w:w="76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9BB93CA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18.0</w:t>
            </w:r>
          </w:p>
        </w:tc>
        <w:tc>
          <w:tcPr>
            <w:tcW w:w="779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C2174D7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51.3</w:t>
            </w:r>
          </w:p>
        </w:tc>
        <w:tc>
          <w:tcPr>
            <w:tcW w:w="874" w:type="dxa"/>
            <w:tcBorders>
              <w:bottom w:val="single" w:color="auto" w:sz="4" w:space="0"/>
            </w:tcBorders>
            <w:vAlign w:val="center"/>
          </w:tcPr>
          <w:p w14:paraId="3A8C2862">
            <w:pPr>
              <w:widowControl/>
              <w:spacing w:line="360" w:lineRule="auto"/>
              <w:jc w:val="center"/>
              <w:rPr>
                <w:rFonts w:eastAsia="等线"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24.4</w:t>
            </w:r>
          </w:p>
        </w:tc>
        <w:tc>
          <w:tcPr>
            <w:tcW w:w="1196" w:type="dxa"/>
            <w:tcBorders>
              <w:bottom w:val="single" w:color="auto" w:sz="4" w:space="0"/>
            </w:tcBorders>
            <w:vAlign w:val="center"/>
          </w:tcPr>
          <w:p w14:paraId="2DF60DFF">
            <w:pPr>
              <w:widowControl/>
              <w:spacing w:line="360" w:lineRule="auto"/>
              <w:jc w:val="center"/>
              <w:rPr>
                <w:rFonts w:eastAsia="等线"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47.5</w:t>
            </w:r>
          </w:p>
        </w:tc>
      </w:tr>
    </w:tbl>
    <w:p w14:paraId="1AF37EB7">
      <w:pPr>
        <w:widowControl/>
        <w:spacing w:line="360" w:lineRule="auto"/>
        <w:jc w:val="left"/>
        <w:rPr>
          <w:sz w:val="21"/>
          <w:szCs w:val="21"/>
        </w:rPr>
      </w:pPr>
      <w:r>
        <w:rPr>
          <w:szCs w:val="24"/>
        </w:rPr>
        <w:t>R</w:t>
      </w:r>
      <w:r>
        <w:rPr>
          <w:rFonts w:hint="eastAsia"/>
          <w:szCs w:val="24"/>
        </w:rPr>
        <w:t>eaction</w:t>
      </w:r>
      <w:r>
        <w:rPr>
          <w:szCs w:val="24"/>
        </w:rPr>
        <w:t xml:space="preserve"> condition: </w:t>
      </w:r>
      <w:r>
        <w:rPr>
          <w:rFonts w:hint="eastAsia"/>
          <w:szCs w:val="24"/>
        </w:rPr>
        <w:t>3</w:t>
      </w:r>
      <w:r>
        <w:rPr>
          <w:szCs w:val="24"/>
        </w:rPr>
        <w:t>.0 MPa and H</w:t>
      </w:r>
      <w:r>
        <w:rPr>
          <w:szCs w:val="24"/>
          <w:vertAlign w:val="subscript"/>
        </w:rPr>
        <w:t>2</w:t>
      </w:r>
      <w:r>
        <w:rPr>
          <w:szCs w:val="24"/>
        </w:rPr>
        <w:t>/CO</w:t>
      </w:r>
      <w:r>
        <w:rPr>
          <w:rFonts w:hint="eastAsia"/>
          <w:szCs w:val="24"/>
          <w:vertAlign w:val="subscript"/>
        </w:rPr>
        <w:t>2</w:t>
      </w:r>
      <w:r>
        <w:rPr>
          <w:szCs w:val="24"/>
        </w:rPr>
        <w:t xml:space="preserve"> = </w:t>
      </w:r>
      <w:r>
        <w:rPr>
          <w:rFonts w:hint="eastAsia"/>
          <w:szCs w:val="24"/>
        </w:rPr>
        <w:t>3</w:t>
      </w:r>
      <w:r>
        <w:rPr>
          <w:szCs w:val="24"/>
        </w:rPr>
        <w:t>.</w:t>
      </w:r>
    </w:p>
    <w:p w14:paraId="0A50F6E5">
      <w:pPr>
        <w:widowControl/>
        <w:spacing w:line="360" w:lineRule="auto"/>
      </w:pPr>
    </w:p>
    <w:p w14:paraId="5F1C5C72">
      <w:pPr>
        <w:widowControl/>
        <w:spacing w:line="360" w:lineRule="auto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14:paraId="2094A65E">
      <w:pPr>
        <w:pStyle w:val="22"/>
        <w:jc w:val="both"/>
        <w:rPr>
          <w:rFonts w:cs="Times New Roman"/>
          <w:sz w:val="24"/>
          <w:szCs w:val="24"/>
          <w:vertAlign w:val="superscript"/>
        </w:rPr>
      </w:pPr>
      <w:r>
        <w:rPr>
          <w:rFonts w:cs="Times New Roman"/>
          <w:b/>
          <w:bCs/>
          <w:color w:val="000000"/>
          <w:sz w:val="24"/>
          <w:szCs w:val="24"/>
        </w:rPr>
        <w:t xml:space="preserve">Table </w:t>
      </w:r>
      <w:r>
        <w:rPr>
          <w:rFonts w:hint="eastAsia" w:cs="Times New Roman"/>
          <w:b/>
          <w:bCs/>
          <w:color w:val="000000"/>
          <w:sz w:val="24"/>
          <w:szCs w:val="24"/>
        </w:rPr>
        <w:t>S7.</w:t>
      </w:r>
      <w:r>
        <w:rPr>
          <w:rFonts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Aromatics distributions over </w:t>
      </w:r>
      <w:r>
        <w:rPr>
          <w:sz w:val="24"/>
          <w:szCs w:val="24"/>
        </w:rPr>
        <w:t>ZZO/2SP34/Z5</w:t>
      </w:r>
      <w:r>
        <w:rPr>
          <w:rFonts w:cs="Times New Roman"/>
          <w:sz w:val="24"/>
          <w:szCs w:val="24"/>
        </w:rPr>
        <w:t xml:space="preserve"> catalyst</w:t>
      </w:r>
      <w:r>
        <w:rPr>
          <w:rFonts w:hint="eastAsia" w:cs="Times New Roman"/>
          <w:sz w:val="24"/>
          <w:szCs w:val="24"/>
        </w:rPr>
        <w:t xml:space="preserve"> at different </w:t>
      </w:r>
      <w:r>
        <w:rPr>
          <w:rFonts w:cs="Times New Roman"/>
          <w:sz w:val="24"/>
          <w:szCs w:val="24"/>
        </w:rPr>
        <w:t>temperatures.</w:t>
      </w:r>
    </w:p>
    <w:tbl>
      <w:tblPr>
        <w:tblStyle w:val="7"/>
        <w:tblW w:w="4460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4"/>
        <w:gridCol w:w="941"/>
        <w:gridCol w:w="944"/>
        <w:gridCol w:w="944"/>
        <w:gridCol w:w="944"/>
        <w:gridCol w:w="944"/>
        <w:gridCol w:w="944"/>
        <w:gridCol w:w="942"/>
      </w:tblGrid>
      <w:tr w14:paraId="0FA21FE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60" w:type="pct"/>
            <w:vMerge w:val="restart"/>
            <w:tcBorders>
              <w:bottom w:val="single" w:color="auto" w:sz="4" w:space="0"/>
              <w:right w:val="nil"/>
            </w:tcBorders>
            <w:vAlign w:val="center"/>
          </w:tcPr>
          <w:p w14:paraId="01BF15F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Temperature</w:t>
            </w:r>
            <w:r>
              <w:rPr>
                <w:rFonts w:hint="eastAsia" w:cs="Times New Roman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4"/>
              </w:rPr>
              <w:t>(</w:t>
            </w:r>
            <w:r>
              <w:rPr>
                <w:sz w:val="24"/>
                <w:szCs w:val="24"/>
                <w:vertAlign w:val="superscript"/>
              </w:rPr>
              <w:t>o</w:t>
            </w:r>
            <w:r>
              <w:rPr>
                <w:sz w:val="24"/>
                <w:szCs w:val="24"/>
              </w:rPr>
              <w:t>C</w:t>
            </w:r>
            <w:r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3840" w:type="pct"/>
            <w:gridSpan w:val="7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 w14:paraId="1ABAE9A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Aromatic selectivity (%)</w:t>
            </w:r>
          </w:p>
        </w:tc>
      </w:tr>
      <w:tr w14:paraId="66FD346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60" w:type="pct"/>
            <w:vMerge w:val="continue"/>
            <w:tcBorders>
              <w:top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9AEE444">
            <w:pPr>
              <w:pStyle w:val="2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577EE8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B</w:t>
            </w:r>
          </w:p>
        </w:tc>
        <w:tc>
          <w:tcPr>
            <w:tcW w:w="54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50590A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4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18A01B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E</w:t>
            </w:r>
          </w:p>
        </w:tc>
        <w:tc>
          <w:tcPr>
            <w:tcW w:w="54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670E78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o/p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54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46E1CC7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m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54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F52BAC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5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3D394B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10</w:t>
            </w:r>
          </w:p>
        </w:tc>
      </w:tr>
      <w:tr w14:paraId="5F59F1F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60" w:type="pct"/>
            <w:tcBorders>
              <w:top w:val="nil"/>
              <w:bottom w:val="nil"/>
              <w:right w:val="nil"/>
            </w:tcBorders>
            <w:vAlign w:val="center"/>
          </w:tcPr>
          <w:p w14:paraId="1AD134C8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310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2A7C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0.8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C912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7.1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9870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2.0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6D9C5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22.5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3810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6.2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AF2E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44.8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55EC6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16.7</w:t>
            </w:r>
          </w:p>
        </w:tc>
      </w:tr>
      <w:tr w14:paraId="1CF5B17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60" w:type="pct"/>
            <w:tcBorders>
              <w:top w:val="nil"/>
              <w:bottom w:val="nil"/>
              <w:right w:val="nil"/>
            </w:tcBorders>
            <w:vAlign w:val="center"/>
          </w:tcPr>
          <w:p w14:paraId="18A4A1CB">
            <w:pPr>
              <w:pStyle w:val="23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320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FB56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1.0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3EDCE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8.5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E460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2.3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C1D49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23.8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5482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6.8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DA27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41.3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3F503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16.3</w:t>
            </w:r>
          </w:p>
        </w:tc>
      </w:tr>
      <w:tr w14:paraId="073A9B6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60" w:type="pct"/>
            <w:tcBorders>
              <w:top w:val="nil"/>
              <w:bottom w:val="nil"/>
              <w:right w:val="nil"/>
            </w:tcBorders>
            <w:vAlign w:val="center"/>
          </w:tcPr>
          <w:p w14:paraId="18A5E764">
            <w:pPr>
              <w:pStyle w:val="23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330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AB3E8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1.2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4972F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9.5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8BFFE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2.7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A258D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24.7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1F677D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7.2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21B60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41.4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0FA2F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13.3</w:t>
            </w:r>
          </w:p>
        </w:tc>
      </w:tr>
      <w:tr w14:paraId="4601F2E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60" w:type="pct"/>
            <w:tcBorders>
              <w:top w:val="nil"/>
              <w:bottom w:val="single" w:color="auto" w:sz="4" w:space="0"/>
              <w:right w:val="nil"/>
            </w:tcBorders>
            <w:vAlign w:val="center"/>
          </w:tcPr>
          <w:p w14:paraId="6E691024">
            <w:pPr>
              <w:pStyle w:val="23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340</w:t>
            </w:r>
          </w:p>
        </w:tc>
        <w:tc>
          <w:tcPr>
            <w:tcW w:w="54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F9D1EBA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1.4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9B0A3E7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10.6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88CC90E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2.8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C0A0CC0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25.2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8982CD2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7.4</w:t>
            </w:r>
          </w:p>
        </w:tc>
        <w:tc>
          <w:tcPr>
            <w:tcW w:w="549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0FC2C8F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40.5</w:t>
            </w:r>
          </w:p>
        </w:tc>
        <w:tc>
          <w:tcPr>
            <w:tcW w:w="54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546539A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12.0</w:t>
            </w:r>
          </w:p>
        </w:tc>
      </w:tr>
    </w:tbl>
    <w:p w14:paraId="53B0B12A">
      <w:pPr>
        <w:pStyle w:val="21"/>
        <w:adjustRightInd w:val="0"/>
        <w:snapToGrid w:val="0"/>
        <w:ind w:firstLine="0" w:firstLineChars="0"/>
      </w:pPr>
    </w:p>
    <w:p w14:paraId="52E73094">
      <w:pPr>
        <w:widowControl/>
        <w:jc w:val="left"/>
        <w:rPr>
          <w:b/>
          <w:bCs/>
        </w:rPr>
      </w:pPr>
      <w:r>
        <w:rPr>
          <w:b/>
          <w:bCs/>
        </w:rPr>
        <w:br w:type="page"/>
      </w:r>
    </w:p>
    <w:p w14:paraId="0EFB497D">
      <w:pPr>
        <w:spacing w:line="360" w:lineRule="auto"/>
      </w:pPr>
      <w:r>
        <w:rPr>
          <w:rFonts w:hint="eastAsia"/>
          <w:b/>
          <w:bCs/>
        </w:rPr>
        <w:t>Table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8.</w:t>
      </w:r>
      <w:r>
        <w:t xml:space="preserve"> Catalytic performance of </w:t>
      </w:r>
      <w:r>
        <w:rPr>
          <w:color w:val="000000"/>
        </w:rPr>
        <w:t>CO</w:t>
      </w:r>
      <w:r>
        <w:rPr>
          <w:color w:val="000000"/>
          <w:vertAlign w:val="subscript"/>
        </w:rPr>
        <w:t>2</w:t>
      </w:r>
      <w:r>
        <w:rPr>
          <w:color w:val="000000"/>
        </w:rPr>
        <w:t xml:space="preserve"> hydrogenation over </w:t>
      </w:r>
      <w:r>
        <w:t>ZZO/</w:t>
      </w:r>
      <w:r>
        <w:rPr>
          <w:rFonts w:hint="eastAsia"/>
        </w:rPr>
        <w:t>2</w:t>
      </w:r>
      <w:r>
        <w:t xml:space="preserve">SP34/Z5 catalyst under different </w:t>
      </w:r>
      <w:r>
        <w:rPr>
          <w:rFonts w:hint="eastAsia"/>
          <w:color w:val="000000"/>
        </w:rPr>
        <w:t>GH</w:t>
      </w:r>
      <w:r>
        <w:rPr>
          <w:color w:val="000000"/>
        </w:rPr>
        <w:t>SV</w:t>
      </w:r>
      <w:r>
        <w:t>.</w:t>
      </w:r>
    </w:p>
    <w:tbl>
      <w:tblPr>
        <w:tblStyle w:val="8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1050"/>
        <w:gridCol w:w="837"/>
        <w:gridCol w:w="800"/>
        <w:gridCol w:w="736"/>
        <w:gridCol w:w="986"/>
        <w:gridCol w:w="967"/>
        <w:gridCol w:w="732"/>
        <w:gridCol w:w="743"/>
        <w:gridCol w:w="825"/>
        <w:gridCol w:w="1196"/>
      </w:tblGrid>
      <w:tr w14:paraId="4D782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93EF948">
            <w:pPr>
              <w:widowControl/>
              <w:spacing w:line="360" w:lineRule="auto"/>
              <w:jc w:val="center"/>
            </w:pPr>
            <w:r>
              <w:rPr>
                <w:i/>
                <w:iCs/>
                <w:color w:val="000000"/>
              </w:rPr>
              <w:t>T</w:t>
            </w:r>
            <w:r>
              <w:rPr>
                <w:rFonts w:hint="eastAsia"/>
                <w:i/>
                <w:iCs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vertAlign w:val="superscript"/>
              </w:rPr>
              <w:t>o</w:t>
            </w:r>
            <w:r>
              <w:t>C</w:t>
            </w:r>
            <w:r>
              <w:rPr>
                <w:rFonts w:hint="eastAsia"/>
              </w:rPr>
              <w:t>)</w:t>
            </w:r>
          </w:p>
        </w:tc>
        <w:tc>
          <w:tcPr>
            <w:tcW w:w="1119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EE13D3">
            <w:pPr>
              <w:widowControl/>
              <w:spacing w:line="360" w:lineRule="auto"/>
              <w:jc w:val="center"/>
            </w:pPr>
            <w:r>
              <w:rPr>
                <w:rFonts w:hint="eastAsia"/>
                <w:color w:val="000000"/>
              </w:rPr>
              <w:t>GH</w:t>
            </w:r>
            <w:r>
              <w:rPr>
                <w:color w:val="000000"/>
              </w:rPr>
              <w:t>SV</w:t>
            </w:r>
            <w:r>
              <w:rPr>
                <w:rFonts w:hint="eastAsia"/>
                <w:color w:val="000000"/>
              </w:rPr>
              <w:t xml:space="preserve"> (</w:t>
            </w:r>
            <w:r>
              <w:t>mL g</w:t>
            </w:r>
            <w:r>
              <w:rPr>
                <w:vertAlign w:val="subscript"/>
              </w:rPr>
              <w:t>cat</w:t>
            </w:r>
            <w:r>
              <w:rPr>
                <w:vertAlign w:val="superscript"/>
              </w:rPr>
              <w:t xml:space="preserve">−1 </w:t>
            </w:r>
            <w:r>
              <w:t>h</w:t>
            </w:r>
            <w:r>
              <w:rPr>
                <w:vertAlign w:val="superscript"/>
              </w:rPr>
              <w:t>−1</w:t>
            </w:r>
            <w:r>
              <w:rPr>
                <w:rFonts w:hint="eastAsia"/>
              </w:rPr>
              <w:t>)</w:t>
            </w:r>
          </w:p>
        </w:tc>
        <w:tc>
          <w:tcPr>
            <w:tcW w:w="879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7B693B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CO</w:t>
            </w:r>
            <w:r>
              <w:rPr>
                <w:color w:val="000000"/>
                <w:vertAlign w:val="subscript"/>
              </w:rPr>
              <w:t xml:space="preserve">2 </w:t>
            </w:r>
            <w:r>
              <w:rPr>
                <w:color w:val="000000"/>
              </w:rPr>
              <w:t>conv.</w:t>
            </w:r>
          </w:p>
          <w:p w14:paraId="5880E5A2">
            <w:pPr>
              <w:widowControl/>
              <w:spacing w:line="360" w:lineRule="auto"/>
              <w:jc w:val="center"/>
            </w:pPr>
            <w:r>
              <w:rPr>
                <w:rFonts w:hint="eastAsia"/>
                <w:color w:val="000000"/>
              </w:rPr>
              <w:t>(</w:t>
            </w:r>
            <w:r>
              <w:rPr>
                <w:color w:val="000000"/>
              </w:rPr>
              <w:t>%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862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F65296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 xml:space="preserve">CO sel. 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color w:val="000000"/>
              </w:rPr>
              <w:t>%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3883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CB436B">
            <w:pPr>
              <w:widowControl/>
              <w:spacing w:line="360" w:lineRule="auto"/>
              <w:jc w:val="center"/>
            </w:pPr>
            <w:r>
              <w:t>Hydrocarbon distribution (%)</w:t>
            </w:r>
          </w:p>
        </w:tc>
        <w:tc>
          <w:tcPr>
            <w:tcW w:w="874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E65489">
            <w:pPr>
              <w:widowControl/>
              <w:spacing w:line="360" w:lineRule="auto"/>
              <w:jc w:val="center"/>
            </w:pPr>
            <w:r>
              <w:rPr>
                <w:rFonts w:cs="Times New Roman"/>
                <w:color w:val="000000"/>
                <w:kern w:val="0"/>
                <w:szCs w:val="24"/>
              </w:rPr>
              <w:t>BTX (%)</w:t>
            </w:r>
          </w:p>
        </w:tc>
        <w:tc>
          <w:tcPr>
            <w:tcW w:w="1196" w:type="dxa"/>
            <w:vMerge w:val="restart"/>
            <w:tcBorders>
              <w:top w:val="single" w:color="auto" w:sz="4" w:space="0"/>
            </w:tcBorders>
            <w:vAlign w:val="center"/>
          </w:tcPr>
          <w:p w14:paraId="0245DE92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BTX/Aro. (%)</w:t>
            </w:r>
          </w:p>
        </w:tc>
      </w:tr>
      <w:tr w14:paraId="3B72D2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C31EA4">
            <w:pPr>
              <w:widowControl/>
              <w:spacing w:line="360" w:lineRule="auto"/>
              <w:jc w:val="center"/>
            </w:pPr>
          </w:p>
        </w:tc>
        <w:tc>
          <w:tcPr>
            <w:tcW w:w="1119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67B3B97">
            <w:pPr>
              <w:widowControl/>
              <w:spacing w:line="360" w:lineRule="auto"/>
              <w:jc w:val="center"/>
            </w:pPr>
          </w:p>
        </w:tc>
        <w:tc>
          <w:tcPr>
            <w:tcW w:w="879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0A9EAAB">
            <w:pPr>
              <w:widowControl/>
              <w:spacing w:line="360" w:lineRule="auto"/>
              <w:jc w:val="center"/>
            </w:pPr>
          </w:p>
        </w:tc>
        <w:tc>
          <w:tcPr>
            <w:tcW w:w="862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9C81A8">
            <w:pPr>
              <w:widowControl/>
              <w:spacing w:line="360" w:lineRule="auto"/>
              <w:jc w:val="center"/>
            </w:pPr>
          </w:p>
        </w:tc>
        <w:tc>
          <w:tcPr>
            <w:tcW w:w="7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C26D437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CH</w:t>
            </w:r>
            <w:r>
              <w:rPr>
                <w:color w:val="000000"/>
                <w:vertAlign w:val="subscript"/>
              </w:rPr>
              <w:t>4</w:t>
            </w:r>
          </w:p>
        </w:tc>
        <w:tc>
          <w:tcPr>
            <w:tcW w:w="78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8A7EEB6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=</w:t>
            </w:r>
            <w:r>
              <w:rPr>
                <w:color w:val="000000"/>
              </w:rPr>
              <w:t>–C</w:t>
            </w:r>
            <w:r>
              <w:rPr>
                <w:color w:val="000000"/>
                <w:vertAlign w:val="subscript"/>
              </w:rPr>
              <w:t>4</w:t>
            </w:r>
            <w:r>
              <w:rPr>
                <w:color w:val="000000"/>
                <w:vertAlign w:val="superscript"/>
              </w:rPr>
              <w:t>=</w:t>
            </w:r>
          </w:p>
        </w:tc>
        <w:tc>
          <w:tcPr>
            <w:tcW w:w="7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7DA6D0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0</w:t>
            </w:r>
            <w:r>
              <w:rPr>
                <w:color w:val="000000"/>
              </w:rPr>
              <w:t>–C</w:t>
            </w:r>
            <w:r>
              <w:rPr>
                <w:color w:val="000000"/>
                <w:vertAlign w:val="subscript"/>
              </w:rPr>
              <w:t>4</w:t>
            </w:r>
            <w:r>
              <w:rPr>
                <w:color w:val="000000"/>
                <w:vertAlign w:val="superscript"/>
              </w:rPr>
              <w:t>0</w:t>
            </w:r>
          </w:p>
        </w:tc>
        <w:tc>
          <w:tcPr>
            <w:tcW w:w="76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8756C95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</w:t>
            </w:r>
            <w:r>
              <w:rPr>
                <w:color w:val="000000"/>
                <w:vertAlign w:val="subscript"/>
              </w:rPr>
              <w:t>5+</w:t>
            </w:r>
          </w:p>
        </w:tc>
        <w:tc>
          <w:tcPr>
            <w:tcW w:w="7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D33CB7">
            <w:pPr>
              <w:widowControl/>
              <w:spacing w:line="360" w:lineRule="auto"/>
              <w:jc w:val="center"/>
            </w:pPr>
            <w:r>
              <w:t>Ar</w:t>
            </w:r>
            <w:r>
              <w:rPr>
                <w:rFonts w:hint="eastAsia"/>
              </w:rPr>
              <w:t>o.</w:t>
            </w:r>
          </w:p>
        </w:tc>
        <w:tc>
          <w:tcPr>
            <w:tcW w:w="874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CCEEE2">
            <w:pPr>
              <w:widowControl/>
              <w:spacing w:line="360" w:lineRule="auto"/>
              <w:jc w:val="center"/>
            </w:pPr>
          </w:p>
        </w:tc>
        <w:tc>
          <w:tcPr>
            <w:tcW w:w="1196" w:type="dxa"/>
            <w:vMerge w:val="continue"/>
            <w:tcBorders>
              <w:bottom w:val="single" w:color="auto" w:sz="4" w:space="0"/>
            </w:tcBorders>
            <w:vAlign w:val="center"/>
          </w:tcPr>
          <w:p w14:paraId="7DF502A1">
            <w:pPr>
              <w:widowControl/>
              <w:spacing w:line="360" w:lineRule="auto"/>
              <w:jc w:val="center"/>
            </w:pPr>
          </w:p>
        </w:tc>
      </w:tr>
      <w:tr w14:paraId="0A99A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25" w:type="dxa"/>
            <w:vMerge w:val="restart"/>
            <w:tcBorders>
              <w:top w:val="single" w:color="auto" w:sz="4" w:space="0"/>
            </w:tcBorders>
            <w:vAlign w:val="center"/>
          </w:tcPr>
          <w:p w14:paraId="3F14774B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320</w:t>
            </w:r>
          </w:p>
        </w:tc>
        <w:tc>
          <w:tcPr>
            <w:tcW w:w="1119" w:type="dxa"/>
            <w:tcBorders>
              <w:top w:val="single" w:color="auto" w:sz="4" w:space="0"/>
            </w:tcBorders>
            <w:vAlign w:val="center"/>
          </w:tcPr>
          <w:p w14:paraId="0F31541D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600</w:t>
            </w:r>
          </w:p>
        </w:tc>
        <w:tc>
          <w:tcPr>
            <w:tcW w:w="879" w:type="dxa"/>
            <w:tcBorders>
              <w:top w:val="single" w:color="auto" w:sz="4" w:space="0"/>
            </w:tcBorders>
            <w:vAlign w:val="center"/>
          </w:tcPr>
          <w:p w14:paraId="7274842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14.1</w:t>
            </w:r>
          </w:p>
        </w:tc>
        <w:tc>
          <w:tcPr>
            <w:tcW w:w="862" w:type="dxa"/>
            <w:tcBorders>
              <w:top w:val="single" w:color="auto" w:sz="4" w:space="0"/>
            </w:tcBorders>
            <w:vAlign w:val="center"/>
          </w:tcPr>
          <w:p w14:paraId="7AFF693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46.9</w:t>
            </w:r>
          </w:p>
        </w:tc>
        <w:tc>
          <w:tcPr>
            <w:tcW w:w="777" w:type="dxa"/>
            <w:tcBorders>
              <w:top w:val="single" w:color="auto" w:sz="4" w:space="0"/>
            </w:tcBorders>
            <w:vAlign w:val="center"/>
          </w:tcPr>
          <w:p w14:paraId="33737B8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0.5</w:t>
            </w:r>
          </w:p>
        </w:tc>
        <w:tc>
          <w:tcPr>
            <w:tcW w:w="780" w:type="dxa"/>
            <w:tcBorders>
              <w:top w:val="single" w:color="auto" w:sz="4" w:space="0"/>
            </w:tcBorders>
            <w:vAlign w:val="center"/>
          </w:tcPr>
          <w:p w14:paraId="7055E3B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9.3</w:t>
            </w:r>
          </w:p>
        </w:tc>
        <w:tc>
          <w:tcPr>
            <w:tcW w:w="779" w:type="dxa"/>
            <w:tcBorders>
              <w:top w:val="single" w:color="auto" w:sz="4" w:space="0"/>
            </w:tcBorders>
            <w:vAlign w:val="center"/>
          </w:tcPr>
          <w:p w14:paraId="2A0D09B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12.9</w:t>
            </w:r>
          </w:p>
        </w:tc>
        <w:tc>
          <w:tcPr>
            <w:tcW w:w="768" w:type="dxa"/>
            <w:tcBorders>
              <w:top w:val="single" w:color="auto" w:sz="4" w:space="0"/>
            </w:tcBorders>
            <w:vAlign w:val="center"/>
          </w:tcPr>
          <w:p w14:paraId="513A9A9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12.0</w:t>
            </w:r>
          </w:p>
        </w:tc>
        <w:tc>
          <w:tcPr>
            <w:tcW w:w="779" w:type="dxa"/>
            <w:tcBorders>
              <w:top w:val="single" w:color="auto" w:sz="4" w:space="0"/>
            </w:tcBorders>
            <w:vAlign w:val="center"/>
          </w:tcPr>
          <w:p w14:paraId="504A0014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65.3</w:t>
            </w:r>
          </w:p>
        </w:tc>
        <w:tc>
          <w:tcPr>
            <w:tcW w:w="874" w:type="dxa"/>
            <w:tcBorders>
              <w:top w:val="single" w:color="auto" w:sz="4" w:space="0"/>
            </w:tcBorders>
            <w:vAlign w:val="center"/>
          </w:tcPr>
          <w:p w14:paraId="41F1DBF4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25.8</w:t>
            </w:r>
          </w:p>
        </w:tc>
        <w:tc>
          <w:tcPr>
            <w:tcW w:w="1196" w:type="dxa"/>
            <w:tcBorders>
              <w:top w:val="single" w:color="auto" w:sz="4" w:space="0"/>
            </w:tcBorders>
            <w:vAlign w:val="center"/>
          </w:tcPr>
          <w:p w14:paraId="768FED90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39.6</w:t>
            </w:r>
          </w:p>
        </w:tc>
      </w:tr>
      <w:tr w14:paraId="4C76C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25" w:type="dxa"/>
            <w:vMerge w:val="continue"/>
            <w:vAlign w:val="center"/>
          </w:tcPr>
          <w:p w14:paraId="441878E8">
            <w:pPr>
              <w:widowControl/>
              <w:spacing w:line="360" w:lineRule="auto"/>
              <w:jc w:val="center"/>
            </w:pPr>
          </w:p>
        </w:tc>
        <w:tc>
          <w:tcPr>
            <w:tcW w:w="1119" w:type="dxa"/>
            <w:vAlign w:val="center"/>
          </w:tcPr>
          <w:p w14:paraId="79E342A1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1200</w:t>
            </w:r>
          </w:p>
        </w:tc>
        <w:tc>
          <w:tcPr>
            <w:tcW w:w="879" w:type="dxa"/>
            <w:vAlign w:val="center"/>
          </w:tcPr>
          <w:p w14:paraId="1E801F57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12.4</w:t>
            </w:r>
          </w:p>
        </w:tc>
        <w:tc>
          <w:tcPr>
            <w:tcW w:w="862" w:type="dxa"/>
            <w:vAlign w:val="center"/>
          </w:tcPr>
          <w:p w14:paraId="343F020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48.8</w:t>
            </w:r>
          </w:p>
        </w:tc>
        <w:tc>
          <w:tcPr>
            <w:tcW w:w="777" w:type="dxa"/>
            <w:vAlign w:val="center"/>
          </w:tcPr>
          <w:p w14:paraId="703DB3F0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0.3</w:t>
            </w:r>
          </w:p>
        </w:tc>
        <w:tc>
          <w:tcPr>
            <w:tcW w:w="780" w:type="dxa"/>
            <w:vAlign w:val="center"/>
          </w:tcPr>
          <w:p w14:paraId="0A2CDF8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7.8</w:t>
            </w:r>
          </w:p>
        </w:tc>
        <w:tc>
          <w:tcPr>
            <w:tcW w:w="779" w:type="dxa"/>
            <w:vAlign w:val="center"/>
          </w:tcPr>
          <w:p w14:paraId="7687C95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9.5</w:t>
            </w:r>
          </w:p>
        </w:tc>
        <w:tc>
          <w:tcPr>
            <w:tcW w:w="768" w:type="dxa"/>
            <w:vAlign w:val="center"/>
          </w:tcPr>
          <w:p w14:paraId="5244924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7.1</w:t>
            </w:r>
          </w:p>
        </w:tc>
        <w:tc>
          <w:tcPr>
            <w:tcW w:w="779" w:type="dxa"/>
            <w:vAlign w:val="center"/>
          </w:tcPr>
          <w:p w14:paraId="2BADAA0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75.3</w:t>
            </w:r>
          </w:p>
        </w:tc>
        <w:tc>
          <w:tcPr>
            <w:tcW w:w="874" w:type="dxa"/>
            <w:vAlign w:val="center"/>
          </w:tcPr>
          <w:p w14:paraId="4061AE42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31.9</w:t>
            </w:r>
          </w:p>
        </w:tc>
        <w:tc>
          <w:tcPr>
            <w:tcW w:w="1196" w:type="dxa"/>
            <w:vAlign w:val="center"/>
          </w:tcPr>
          <w:p w14:paraId="7E66E547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42.3</w:t>
            </w:r>
          </w:p>
        </w:tc>
      </w:tr>
      <w:tr w14:paraId="71413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25" w:type="dxa"/>
            <w:vMerge w:val="continue"/>
            <w:vAlign w:val="center"/>
          </w:tcPr>
          <w:p w14:paraId="033E0A30">
            <w:pPr>
              <w:widowControl/>
              <w:spacing w:line="360" w:lineRule="auto"/>
              <w:jc w:val="center"/>
            </w:pPr>
          </w:p>
        </w:tc>
        <w:tc>
          <w:tcPr>
            <w:tcW w:w="1119" w:type="dxa"/>
            <w:vAlign w:val="center"/>
          </w:tcPr>
          <w:p w14:paraId="7E197F58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1800</w:t>
            </w:r>
          </w:p>
        </w:tc>
        <w:tc>
          <w:tcPr>
            <w:tcW w:w="879" w:type="dxa"/>
            <w:vAlign w:val="center"/>
          </w:tcPr>
          <w:p w14:paraId="33373DB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8.7</w:t>
            </w:r>
          </w:p>
        </w:tc>
        <w:tc>
          <w:tcPr>
            <w:tcW w:w="862" w:type="dxa"/>
            <w:vAlign w:val="center"/>
          </w:tcPr>
          <w:p w14:paraId="69488CA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55.0</w:t>
            </w:r>
          </w:p>
        </w:tc>
        <w:tc>
          <w:tcPr>
            <w:tcW w:w="777" w:type="dxa"/>
            <w:vAlign w:val="center"/>
          </w:tcPr>
          <w:p w14:paraId="1F4881F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0.4</w:t>
            </w:r>
          </w:p>
        </w:tc>
        <w:tc>
          <w:tcPr>
            <w:tcW w:w="780" w:type="dxa"/>
            <w:vAlign w:val="center"/>
          </w:tcPr>
          <w:p w14:paraId="3BAF9DE7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8.5</w:t>
            </w:r>
          </w:p>
        </w:tc>
        <w:tc>
          <w:tcPr>
            <w:tcW w:w="779" w:type="dxa"/>
            <w:vAlign w:val="center"/>
          </w:tcPr>
          <w:p w14:paraId="5B497C5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8.7</w:t>
            </w:r>
          </w:p>
        </w:tc>
        <w:tc>
          <w:tcPr>
            <w:tcW w:w="768" w:type="dxa"/>
            <w:vAlign w:val="center"/>
          </w:tcPr>
          <w:p w14:paraId="2D33CBC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6.1</w:t>
            </w:r>
          </w:p>
        </w:tc>
        <w:tc>
          <w:tcPr>
            <w:tcW w:w="779" w:type="dxa"/>
            <w:vAlign w:val="center"/>
          </w:tcPr>
          <w:p w14:paraId="371D77A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76.4</w:t>
            </w:r>
          </w:p>
        </w:tc>
        <w:tc>
          <w:tcPr>
            <w:tcW w:w="874" w:type="dxa"/>
            <w:vAlign w:val="center"/>
          </w:tcPr>
          <w:p w14:paraId="0083D36E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30.7</w:t>
            </w:r>
          </w:p>
        </w:tc>
        <w:tc>
          <w:tcPr>
            <w:tcW w:w="1196" w:type="dxa"/>
            <w:vAlign w:val="center"/>
          </w:tcPr>
          <w:p w14:paraId="5C52D84F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40.1</w:t>
            </w:r>
          </w:p>
        </w:tc>
      </w:tr>
      <w:tr w14:paraId="65AA82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25" w:type="dxa"/>
            <w:vMerge w:val="continue"/>
            <w:tcBorders>
              <w:bottom w:val="single" w:color="auto" w:sz="4" w:space="0"/>
            </w:tcBorders>
            <w:vAlign w:val="center"/>
          </w:tcPr>
          <w:p w14:paraId="6D9FFD8A">
            <w:pPr>
              <w:widowControl/>
              <w:spacing w:line="360" w:lineRule="auto"/>
              <w:jc w:val="center"/>
            </w:pPr>
          </w:p>
        </w:tc>
        <w:tc>
          <w:tcPr>
            <w:tcW w:w="1119" w:type="dxa"/>
            <w:tcBorders>
              <w:bottom w:val="single" w:color="auto" w:sz="4" w:space="0"/>
            </w:tcBorders>
            <w:vAlign w:val="center"/>
          </w:tcPr>
          <w:p w14:paraId="2DCE8D25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2400</w:t>
            </w:r>
          </w:p>
        </w:tc>
        <w:tc>
          <w:tcPr>
            <w:tcW w:w="879" w:type="dxa"/>
            <w:tcBorders>
              <w:bottom w:val="single" w:color="auto" w:sz="4" w:space="0"/>
            </w:tcBorders>
            <w:vAlign w:val="center"/>
          </w:tcPr>
          <w:p w14:paraId="6809A19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5.4</w:t>
            </w:r>
          </w:p>
        </w:tc>
        <w:tc>
          <w:tcPr>
            <w:tcW w:w="862" w:type="dxa"/>
            <w:tcBorders>
              <w:bottom w:val="single" w:color="auto" w:sz="4" w:space="0"/>
            </w:tcBorders>
            <w:vAlign w:val="center"/>
          </w:tcPr>
          <w:p w14:paraId="54887C2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61.6</w:t>
            </w:r>
          </w:p>
        </w:tc>
        <w:tc>
          <w:tcPr>
            <w:tcW w:w="777" w:type="dxa"/>
            <w:tcBorders>
              <w:bottom w:val="single" w:color="auto" w:sz="4" w:space="0"/>
            </w:tcBorders>
            <w:vAlign w:val="center"/>
          </w:tcPr>
          <w:p w14:paraId="130F2E9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0.7</w:t>
            </w:r>
          </w:p>
        </w:tc>
        <w:tc>
          <w:tcPr>
            <w:tcW w:w="780" w:type="dxa"/>
            <w:tcBorders>
              <w:bottom w:val="single" w:color="auto" w:sz="4" w:space="0"/>
            </w:tcBorders>
            <w:vAlign w:val="center"/>
          </w:tcPr>
          <w:p w14:paraId="487B5BE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12.7</w:t>
            </w:r>
          </w:p>
        </w:tc>
        <w:tc>
          <w:tcPr>
            <w:tcW w:w="779" w:type="dxa"/>
            <w:tcBorders>
              <w:bottom w:val="single" w:color="auto" w:sz="4" w:space="0"/>
            </w:tcBorders>
            <w:vAlign w:val="center"/>
          </w:tcPr>
          <w:p w14:paraId="3F8283B7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7.8</w:t>
            </w:r>
          </w:p>
        </w:tc>
        <w:tc>
          <w:tcPr>
            <w:tcW w:w="768" w:type="dxa"/>
            <w:tcBorders>
              <w:bottom w:val="single" w:color="auto" w:sz="4" w:space="0"/>
            </w:tcBorders>
            <w:vAlign w:val="center"/>
          </w:tcPr>
          <w:p w14:paraId="0D03DD8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8.6</w:t>
            </w:r>
          </w:p>
        </w:tc>
        <w:tc>
          <w:tcPr>
            <w:tcW w:w="779" w:type="dxa"/>
            <w:tcBorders>
              <w:bottom w:val="single" w:color="auto" w:sz="4" w:space="0"/>
            </w:tcBorders>
            <w:vAlign w:val="center"/>
          </w:tcPr>
          <w:p w14:paraId="6857041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70.2</w:t>
            </w:r>
          </w:p>
        </w:tc>
        <w:tc>
          <w:tcPr>
            <w:tcW w:w="874" w:type="dxa"/>
            <w:tcBorders>
              <w:bottom w:val="single" w:color="auto" w:sz="4" w:space="0"/>
            </w:tcBorders>
            <w:vAlign w:val="center"/>
          </w:tcPr>
          <w:p w14:paraId="6D4419ED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26.6</w:t>
            </w:r>
          </w:p>
        </w:tc>
        <w:tc>
          <w:tcPr>
            <w:tcW w:w="1196" w:type="dxa"/>
            <w:tcBorders>
              <w:bottom w:val="single" w:color="auto" w:sz="4" w:space="0"/>
            </w:tcBorders>
            <w:vAlign w:val="center"/>
          </w:tcPr>
          <w:p w14:paraId="68A38ECF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37.8</w:t>
            </w:r>
          </w:p>
        </w:tc>
      </w:tr>
    </w:tbl>
    <w:p w14:paraId="454D6593">
      <w:pPr>
        <w:pStyle w:val="22"/>
        <w:jc w:val="both"/>
        <w:rPr>
          <w:rFonts w:cs="Times New Roman"/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t>R</w:t>
      </w:r>
      <w:r>
        <w:rPr>
          <w:rFonts w:hint="eastAsia"/>
          <w:sz w:val="24"/>
          <w:szCs w:val="24"/>
        </w:rPr>
        <w:t>eaction</w:t>
      </w:r>
      <w:r>
        <w:rPr>
          <w:sz w:val="24"/>
          <w:szCs w:val="24"/>
        </w:rPr>
        <w:t xml:space="preserve"> condition: </w:t>
      </w:r>
      <w:r>
        <w:rPr>
          <w:rFonts w:hint="eastAsia"/>
          <w:sz w:val="24"/>
          <w:szCs w:val="24"/>
        </w:rPr>
        <w:t>3</w:t>
      </w:r>
      <w:r>
        <w:rPr>
          <w:sz w:val="24"/>
          <w:szCs w:val="24"/>
        </w:rPr>
        <w:t>.0 MPa and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/CO</w:t>
      </w:r>
      <w:r>
        <w:rPr>
          <w:rFonts w:hint="eastAsia"/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= </w:t>
      </w:r>
      <w:r>
        <w:rPr>
          <w:rFonts w:hint="eastAsia"/>
          <w:sz w:val="24"/>
          <w:szCs w:val="24"/>
        </w:rPr>
        <w:t>3</w:t>
      </w:r>
      <w:r>
        <w:rPr>
          <w:sz w:val="24"/>
          <w:szCs w:val="24"/>
        </w:rPr>
        <w:t>.</w:t>
      </w:r>
    </w:p>
    <w:p w14:paraId="786A753C">
      <w:pPr>
        <w:widowControl/>
        <w:jc w:val="left"/>
        <w:rPr>
          <w:rFonts w:cs="Times New Roman"/>
          <w:b/>
          <w:bCs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br w:type="page"/>
      </w:r>
    </w:p>
    <w:p w14:paraId="20F4A41C">
      <w:pPr>
        <w:pStyle w:val="22"/>
        <w:jc w:val="both"/>
        <w:rPr>
          <w:rFonts w:cs="Times New Roman"/>
          <w:sz w:val="24"/>
          <w:szCs w:val="24"/>
          <w:vertAlign w:val="superscript"/>
        </w:rPr>
      </w:pPr>
      <w:r>
        <w:rPr>
          <w:rFonts w:cs="Times New Roman"/>
          <w:b/>
          <w:bCs/>
          <w:color w:val="000000"/>
          <w:sz w:val="24"/>
          <w:szCs w:val="24"/>
        </w:rPr>
        <w:t xml:space="preserve">Table </w:t>
      </w:r>
      <w:r>
        <w:rPr>
          <w:rFonts w:hint="eastAsia" w:cs="Times New Roman"/>
          <w:b/>
          <w:bCs/>
          <w:color w:val="000000"/>
          <w:sz w:val="24"/>
          <w:szCs w:val="24"/>
        </w:rPr>
        <w:t>S9.</w:t>
      </w:r>
      <w:r>
        <w:rPr>
          <w:rFonts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Aromatics distributions over </w:t>
      </w:r>
      <w:r>
        <w:rPr>
          <w:sz w:val="24"/>
          <w:szCs w:val="24"/>
        </w:rPr>
        <w:t>ZZO/2SP34/Z5</w:t>
      </w:r>
      <w:r>
        <w:rPr>
          <w:rFonts w:cs="Times New Roman"/>
          <w:sz w:val="24"/>
          <w:szCs w:val="24"/>
        </w:rPr>
        <w:t xml:space="preserve"> catalyst</w:t>
      </w:r>
      <w:r>
        <w:rPr>
          <w:rFonts w:hint="eastAsia" w:cs="Times New Roman"/>
          <w:sz w:val="24"/>
          <w:szCs w:val="24"/>
        </w:rPr>
        <w:t xml:space="preserve"> at different </w:t>
      </w:r>
      <w:r>
        <w:rPr>
          <w:rFonts w:cs="Times New Roman"/>
          <w:sz w:val="24"/>
          <w:szCs w:val="24"/>
        </w:rPr>
        <w:t>GHSV.</w:t>
      </w:r>
    </w:p>
    <w:tbl>
      <w:tblPr>
        <w:tblStyle w:val="7"/>
        <w:tblW w:w="4633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4"/>
        <w:gridCol w:w="936"/>
        <w:gridCol w:w="947"/>
        <w:gridCol w:w="948"/>
        <w:gridCol w:w="948"/>
        <w:gridCol w:w="948"/>
        <w:gridCol w:w="948"/>
        <w:gridCol w:w="932"/>
      </w:tblGrid>
      <w:tr w14:paraId="69F98A6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01" w:type="pct"/>
            <w:vMerge w:val="restart"/>
            <w:tcBorders>
              <w:bottom w:val="single" w:color="auto" w:sz="4" w:space="0"/>
              <w:right w:val="nil"/>
            </w:tcBorders>
            <w:vAlign w:val="center"/>
          </w:tcPr>
          <w:p w14:paraId="64487D9E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GHSV (mL g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cat</w:t>
            </w:r>
            <w:r>
              <w:rPr>
                <w:rFonts w:cs="Times New Roman"/>
                <w:sz w:val="24"/>
                <w:szCs w:val="24"/>
                <w:vertAlign w:val="superscript"/>
              </w:rPr>
              <w:t>–1</w:t>
            </w:r>
            <w:r>
              <w:rPr>
                <w:rFonts w:cs="Times New Roman"/>
                <w:sz w:val="24"/>
                <w:szCs w:val="24"/>
              </w:rPr>
              <w:t xml:space="preserve"> h</w:t>
            </w:r>
            <w:r>
              <w:rPr>
                <w:rFonts w:cs="Times New Roman"/>
                <w:sz w:val="24"/>
                <w:szCs w:val="24"/>
                <w:vertAlign w:val="superscript"/>
              </w:rPr>
              <w:t>–1</w:t>
            </w:r>
            <w:r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3699" w:type="pct"/>
            <w:gridSpan w:val="7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 w14:paraId="4C08001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Aromatic selectivity (%)</w:t>
            </w:r>
          </w:p>
        </w:tc>
      </w:tr>
      <w:tr w14:paraId="4AAC702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01" w:type="pct"/>
            <w:vMerge w:val="continue"/>
            <w:tcBorders>
              <w:top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253FE697">
            <w:pPr>
              <w:pStyle w:val="2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F7DFFC8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B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FCA55B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3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04791A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E</w:t>
            </w:r>
          </w:p>
        </w:tc>
        <w:tc>
          <w:tcPr>
            <w:tcW w:w="53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4AB2EF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o/p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53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634E91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m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53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6DF9FEE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C072F3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10</w:t>
            </w:r>
          </w:p>
        </w:tc>
      </w:tr>
      <w:tr w14:paraId="2DA3058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01" w:type="pct"/>
            <w:tcBorders>
              <w:top w:val="nil"/>
              <w:bottom w:val="nil"/>
              <w:right w:val="nil"/>
            </w:tcBorders>
            <w:vAlign w:val="center"/>
          </w:tcPr>
          <w:p w14:paraId="54579A6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C370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7721E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8.0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19E5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2.2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39D3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22.1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1F568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6.2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06EB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41.4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7578A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19.0</w:t>
            </w:r>
          </w:p>
        </w:tc>
      </w:tr>
      <w:tr w14:paraId="0CF392E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01" w:type="pct"/>
            <w:tcBorders>
              <w:top w:val="nil"/>
              <w:bottom w:val="nil"/>
              <w:right w:val="nil"/>
            </w:tcBorders>
            <w:vAlign w:val="center"/>
          </w:tcPr>
          <w:p w14:paraId="6217B181">
            <w:pPr>
              <w:pStyle w:val="23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1200</w:t>
            </w: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19B2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1.0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AC3B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8.5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44B47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2.3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8DB48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23.8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10FA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6.8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16F5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41.3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99DB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16.3</w:t>
            </w:r>
          </w:p>
        </w:tc>
      </w:tr>
      <w:tr w14:paraId="6657705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01" w:type="pct"/>
            <w:tcBorders>
              <w:top w:val="nil"/>
              <w:bottom w:val="nil"/>
              <w:right w:val="nil"/>
            </w:tcBorders>
            <w:vAlign w:val="center"/>
          </w:tcPr>
          <w:p w14:paraId="775673B6">
            <w:pPr>
              <w:pStyle w:val="23"/>
              <w:rPr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1800</w:t>
            </w: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A2133D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0.9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8EA65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7.5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D4F95D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2.2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F2201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23.0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84333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6.5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B6D644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43.8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6C744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16.1</w:t>
            </w:r>
          </w:p>
        </w:tc>
      </w:tr>
      <w:tr w14:paraId="0783798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01" w:type="pct"/>
            <w:tcBorders>
              <w:top w:val="nil"/>
              <w:bottom w:val="single" w:color="auto" w:sz="4" w:space="0"/>
              <w:right w:val="nil"/>
            </w:tcBorders>
            <w:vAlign w:val="center"/>
          </w:tcPr>
          <w:p w14:paraId="437E98F2">
            <w:pPr>
              <w:pStyle w:val="23"/>
              <w:rPr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2400</w:t>
            </w:r>
          </w:p>
        </w:tc>
        <w:tc>
          <w:tcPr>
            <w:tcW w:w="524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ABE4ABD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0.8</w:t>
            </w:r>
          </w:p>
        </w:tc>
        <w:tc>
          <w:tcPr>
            <w:tcW w:w="530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14611CC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6.6</w:t>
            </w:r>
          </w:p>
        </w:tc>
        <w:tc>
          <w:tcPr>
            <w:tcW w:w="531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825907C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2.1</w:t>
            </w:r>
          </w:p>
        </w:tc>
        <w:tc>
          <w:tcPr>
            <w:tcW w:w="531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424A28F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22.2</w:t>
            </w:r>
          </w:p>
        </w:tc>
        <w:tc>
          <w:tcPr>
            <w:tcW w:w="531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C7D4D06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6.1</w:t>
            </w:r>
          </w:p>
        </w:tc>
        <w:tc>
          <w:tcPr>
            <w:tcW w:w="531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E00A96F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43.4</w:t>
            </w:r>
          </w:p>
        </w:tc>
        <w:tc>
          <w:tcPr>
            <w:tcW w:w="522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A70E163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18.8</w:t>
            </w:r>
          </w:p>
        </w:tc>
      </w:tr>
    </w:tbl>
    <w:p w14:paraId="59DA9685">
      <w:pPr>
        <w:widowControl/>
        <w:spacing w:line="360" w:lineRule="auto"/>
        <w:rPr>
          <w:b/>
          <w:bCs/>
        </w:rPr>
      </w:pPr>
    </w:p>
    <w:p w14:paraId="7956D600">
      <w:pPr>
        <w:spacing w:line="360" w:lineRule="auto"/>
      </w:pPr>
      <w:r>
        <w:rPr>
          <w:b/>
          <w:bCs/>
        </w:rPr>
        <w:br w:type="page"/>
      </w:r>
      <w:bookmarkStart w:id="17" w:name="OLE_LINK63"/>
      <w:r>
        <w:rPr>
          <w:rFonts w:hint="eastAsia"/>
          <w:b/>
          <w:bCs/>
        </w:rPr>
        <w:t>Table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10.</w:t>
      </w:r>
      <w:r>
        <w:t xml:space="preserve"> Catalytic performance of </w:t>
      </w:r>
      <w:r>
        <w:rPr>
          <w:color w:val="000000"/>
        </w:rPr>
        <w:t>CO</w:t>
      </w:r>
      <w:r>
        <w:rPr>
          <w:color w:val="000000"/>
          <w:vertAlign w:val="subscript"/>
        </w:rPr>
        <w:t>2</w:t>
      </w:r>
      <w:r>
        <w:rPr>
          <w:color w:val="000000"/>
        </w:rPr>
        <w:t xml:space="preserve"> hydrogenation over </w:t>
      </w:r>
      <w:r>
        <w:t>ZZO/</w:t>
      </w:r>
      <w:r>
        <w:rPr>
          <w:rFonts w:hint="eastAsia"/>
        </w:rPr>
        <w:t>2</w:t>
      </w:r>
      <w:r>
        <w:t xml:space="preserve">SP34/Z5 catalyst under different </w:t>
      </w:r>
      <w:r>
        <w:rPr>
          <w:color w:val="000000"/>
        </w:rPr>
        <w:t>pressures</w:t>
      </w:r>
      <w:r>
        <w:t>.</w:t>
      </w:r>
      <w:bookmarkEnd w:id="17"/>
    </w:p>
    <w:tbl>
      <w:tblPr>
        <w:tblStyle w:val="8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091"/>
        <w:gridCol w:w="832"/>
        <w:gridCol w:w="792"/>
        <w:gridCol w:w="730"/>
        <w:gridCol w:w="986"/>
        <w:gridCol w:w="967"/>
        <w:gridCol w:w="727"/>
        <w:gridCol w:w="739"/>
        <w:gridCol w:w="819"/>
        <w:gridCol w:w="1196"/>
      </w:tblGrid>
      <w:tr w14:paraId="0A6A6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5CAF38">
            <w:pPr>
              <w:widowControl/>
              <w:spacing w:line="360" w:lineRule="auto"/>
              <w:jc w:val="center"/>
            </w:pPr>
            <w:r>
              <w:rPr>
                <w:i/>
                <w:iCs/>
                <w:color w:val="000000"/>
              </w:rPr>
              <w:t>T</w:t>
            </w:r>
            <w:r>
              <w:rPr>
                <w:rFonts w:hint="eastAsia"/>
                <w:i/>
                <w:iCs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vertAlign w:val="superscript"/>
              </w:rPr>
              <w:t>o</w:t>
            </w:r>
            <w:r>
              <w:t>C</w:t>
            </w:r>
            <w:r>
              <w:rPr>
                <w:rFonts w:hint="eastAsia"/>
              </w:rPr>
              <w:t>)</w:t>
            </w:r>
          </w:p>
        </w:tc>
        <w:tc>
          <w:tcPr>
            <w:tcW w:w="1119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BABC80">
            <w:pPr>
              <w:widowControl/>
              <w:spacing w:line="360" w:lineRule="auto"/>
              <w:jc w:val="center"/>
            </w:pPr>
            <w:r>
              <w:rPr>
                <w:rFonts w:hint="eastAsia" w:cs="Times New Roman"/>
                <w:szCs w:val="24"/>
              </w:rPr>
              <w:t>P</w:t>
            </w:r>
            <w:r>
              <w:rPr>
                <w:rFonts w:cs="Times New Roman"/>
                <w:szCs w:val="24"/>
              </w:rPr>
              <w:t>ressure</w:t>
            </w:r>
            <w:r>
              <w:rPr>
                <w:rFonts w:hint="eastAsia" w:cs="Times New Roman"/>
                <w:szCs w:val="24"/>
              </w:rPr>
              <w:t xml:space="preserve"> (MPa)</w:t>
            </w:r>
          </w:p>
        </w:tc>
        <w:tc>
          <w:tcPr>
            <w:tcW w:w="879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DE6D71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CO</w:t>
            </w:r>
            <w:r>
              <w:rPr>
                <w:color w:val="000000"/>
                <w:vertAlign w:val="subscript"/>
              </w:rPr>
              <w:t xml:space="preserve">2 </w:t>
            </w:r>
            <w:r>
              <w:rPr>
                <w:color w:val="000000"/>
              </w:rPr>
              <w:t>conv.</w:t>
            </w:r>
          </w:p>
          <w:p w14:paraId="3B1953F4">
            <w:pPr>
              <w:widowControl/>
              <w:spacing w:line="360" w:lineRule="auto"/>
              <w:jc w:val="center"/>
            </w:pPr>
            <w:r>
              <w:rPr>
                <w:rFonts w:hint="eastAsia"/>
                <w:color w:val="000000"/>
              </w:rPr>
              <w:t>(</w:t>
            </w:r>
            <w:r>
              <w:rPr>
                <w:color w:val="000000"/>
              </w:rPr>
              <w:t>%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862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B6918E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 xml:space="preserve">CO sel. 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color w:val="000000"/>
              </w:rPr>
              <w:t>%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3883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FACD3A">
            <w:pPr>
              <w:widowControl/>
              <w:spacing w:line="360" w:lineRule="auto"/>
              <w:jc w:val="center"/>
            </w:pPr>
            <w:r>
              <w:t>Hydrocarbon distribution (%)</w:t>
            </w:r>
          </w:p>
        </w:tc>
        <w:tc>
          <w:tcPr>
            <w:tcW w:w="874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9FFF57">
            <w:pPr>
              <w:widowControl/>
              <w:spacing w:line="360" w:lineRule="auto"/>
              <w:jc w:val="center"/>
            </w:pPr>
            <w:r>
              <w:rPr>
                <w:rFonts w:cs="Times New Roman"/>
                <w:color w:val="000000"/>
                <w:kern w:val="0"/>
                <w:szCs w:val="24"/>
              </w:rPr>
              <w:t>BTX (%)</w:t>
            </w:r>
          </w:p>
        </w:tc>
        <w:tc>
          <w:tcPr>
            <w:tcW w:w="1196" w:type="dxa"/>
            <w:vMerge w:val="restart"/>
            <w:tcBorders>
              <w:top w:val="single" w:color="auto" w:sz="4" w:space="0"/>
            </w:tcBorders>
            <w:vAlign w:val="center"/>
          </w:tcPr>
          <w:p w14:paraId="54137B34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BTX/Aro. (%)</w:t>
            </w:r>
          </w:p>
        </w:tc>
      </w:tr>
      <w:tr w14:paraId="52BF92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F373AC9">
            <w:pPr>
              <w:widowControl/>
              <w:spacing w:line="360" w:lineRule="auto"/>
              <w:jc w:val="center"/>
            </w:pPr>
          </w:p>
        </w:tc>
        <w:tc>
          <w:tcPr>
            <w:tcW w:w="1119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D6ED69">
            <w:pPr>
              <w:widowControl/>
              <w:spacing w:line="360" w:lineRule="auto"/>
              <w:jc w:val="center"/>
            </w:pPr>
          </w:p>
        </w:tc>
        <w:tc>
          <w:tcPr>
            <w:tcW w:w="879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5EBE6A">
            <w:pPr>
              <w:widowControl/>
              <w:spacing w:line="360" w:lineRule="auto"/>
              <w:jc w:val="center"/>
            </w:pPr>
          </w:p>
        </w:tc>
        <w:tc>
          <w:tcPr>
            <w:tcW w:w="862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1BBF0A6">
            <w:pPr>
              <w:widowControl/>
              <w:spacing w:line="360" w:lineRule="auto"/>
              <w:jc w:val="center"/>
            </w:pPr>
          </w:p>
        </w:tc>
        <w:tc>
          <w:tcPr>
            <w:tcW w:w="7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0C1228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CH</w:t>
            </w:r>
            <w:r>
              <w:rPr>
                <w:color w:val="000000"/>
                <w:vertAlign w:val="subscript"/>
              </w:rPr>
              <w:t>4</w:t>
            </w:r>
          </w:p>
        </w:tc>
        <w:tc>
          <w:tcPr>
            <w:tcW w:w="78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215A21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=</w:t>
            </w:r>
            <w:r>
              <w:rPr>
                <w:color w:val="000000"/>
              </w:rPr>
              <w:t>–C</w:t>
            </w:r>
            <w:r>
              <w:rPr>
                <w:color w:val="000000"/>
                <w:vertAlign w:val="subscript"/>
              </w:rPr>
              <w:t>4</w:t>
            </w:r>
            <w:r>
              <w:rPr>
                <w:color w:val="000000"/>
                <w:vertAlign w:val="superscript"/>
              </w:rPr>
              <w:t>=</w:t>
            </w:r>
          </w:p>
        </w:tc>
        <w:tc>
          <w:tcPr>
            <w:tcW w:w="7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8B7668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0</w:t>
            </w:r>
            <w:r>
              <w:rPr>
                <w:color w:val="000000"/>
              </w:rPr>
              <w:t>–C</w:t>
            </w:r>
            <w:r>
              <w:rPr>
                <w:color w:val="000000"/>
                <w:vertAlign w:val="subscript"/>
              </w:rPr>
              <w:t>4</w:t>
            </w:r>
            <w:r>
              <w:rPr>
                <w:color w:val="000000"/>
                <w:vertAlign w:val="superscript"/>
              </w:rPr>
              <w:t>0</w:t>
            </w:r>
          </w:p>
        </w:tc>
        <w:tc>
          <w:tcPr>
            <w:tcW w:w="76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4A6C7E">
            <w:pPr>
              <w:widowControl/>
              <w:spacing w:line="360" w:lineRule="auto"/>
              <w:jc w:val="center"/>
            </w:pPr>
            <w:r>
              <w:rPr>
                <w:color w:val="000000"/>
              </w:rPr>
              <w:t>C</w:t>
            </w:r>
            <w:r>
              <w:rPr>
                <w:color w:val="000000"/>
                <w:vertAlign w:val="subscript"/>
              </w:rPr>
              <w:t>5+</w:t>
            </w:r>
          </w:p>
        </w:tc>
        <w:tc>
          <w:tcPr>
            <w:tcW w:w="7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30E93B">
            <w:pPr>
              <w:widowControl/>
              <w:spacing w:line="360" w:lineRule="auto"/>
              <w:jc w:val="center"/>
            </w:pPr>
            <w:r>
              <w:t>Ar</w:t>
            </w:r>
            <w:r>
              <w:rPr>
                <w:rFonts w:hint="eastAsia"/>
              </w:rPr>
              <w:t>o.</w:t>
            </w:r>
          </w:p>
        </w:tc>
        <w:tc>
          <w:tcPr>
            <w:tcW w:w="874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8702C8A">
            <w:pPr>
              <w:widowControl/>
              <w:spacing w:line="360" w:lineRule="auto"/>
              <w:jc w:val="center"/>
            </w:pPr>
          </w:p>
        </w:tc>
        <w:tc>
          <w:tcPr>
            <w:tcW w:w="1196" w:type="dxa"/>
            <w:vMerge w:val="continue"/>
            <w:tcBorders>
              <w:bottom w:val="single" w:color="auto" w:sz="4" w:space="0"/>
            </w:tcBorders>
            <w:vAlign w:val="center"/>
          </w:tcPr>
          <w:p w14:paraId="72697522">
            <w:pPr>
              <w:widowControl/>
              <w:spacing w:line="360" w:lineRule="auto"/>
              <w:jc w:val="center"/>
            </w:pPr>
          </w:p>
        </w:tc>
      </w:tr>
      <w:tr w14:paraId="25093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25" w:type="dxa"/>
            <w:vMerge w:val="restart"/>
            <w:tcBorders>
              <w:top w:val="single" w:color="auto" w:sz="4" w:space="0"/>
            </w:tcBorders>
            <w:vAlign w:val="center"/>
          </w:tcPr>
          <w:p w14:paraId="1A6D1A07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320</w:t>
            </w:r>
          </w:p>
        </w:tc>
        <w:tc>
          <w:tcPr>
            <w:tcW w:w="1119" w:type="dxa"/>
            <w:tcBorders>
              <w:top w:val="single" w:color="auto" w:sz="4" w:space="0"/>
            </w:tcBorders>
            <w:vAlign w:val="center"/>
          </w:tcPr>
          <w:p w14:paraId="668C4F50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879" w:type="dxa"/>
            <w:tcBorders>
              <w:top w:val="single" w:color="auto" w:sz="4" w:space="0"/>
            </w:tcBorders>
            <w:vAlign w:val="center"/>
          </w:tcPr>
          <w:p w14:paraId="2FCBA8E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5.6</w:t>
            </w:r>
          </w:p>
        </w:tc>
        <w:tc>
          <w:tcPr>
            <w:tcW w:w="862" w:type="dxa"/>
            <w:tcBorders>
              <w:top w:val="single" w:color="auto" w:sz="4" w:space="0"/>
            </w:tcBorders>
            <w:vAlign w:val="center"/>
          </w:tcPr>
          <w:p w14:paraId="331C3F0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48.0</w:t>
            </w:r>
          </w:p>
        </w:tc>
        <w:tc>
          <w:tcPr>
            <w:tcW w:w="777" w:type="dxa"/>
            <w:tcBorders>
              <w:top w:val="single" w:color="auto" w:sz="4" w:space="0"/>
            </w:tcBorders>
            <w:vAlign w:val="center"/>
          </w:tcPr>
          <w:p w14:paraId="5DAB9CF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0.5</w:t>
            </w:r>
          </w:p>
        </w:tc>
        <w:tc>
          <w:tcPr>
            <w:tcW w:w="780" w:type="dxa"/>
            <w:tcBorders>
              <w:top w:val="single" w:color="auto" w:sz="4" w:space="0"/>
            </w:tcBorders>
            <w:vAlign w:val="center"/>
          </w:tcPr>
          <w:p w14:paraId="1BB2190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25.7</w:t>
            </w:r>
          </w:p>
        </w:tc>
        <w:tc>
          <w:tcPr>
            <w:tcW w:w="779" w:type="dxa"/>
            <w:tcBorders>
              <w:top w:val="single" w:color="auto" w:sz="4" w:space="0"/>
            </w:tcBorders>
            <w:vAlign w:val="center"/>
          </w:tcPr>
          <w:p w14:paraId="1A78200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7.0</w:t>
            </w:r>
          </w:p>
        </w:tc>
        <w:tc>
          <w:tcPr>
            <w:tcW w:w="768" w:type="dxa"/>
            <w:tcBorders>
              <w:top w:val="single" w:color="auto" w:sz="4" w:space="0"/>
            </w:tcBorders>
            <w:vAlign w:val="center"/>
          </w:tcPr>
          <w:p w14:paraId="0D72772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7.6</w:t>
            </w:r>
          </w:p>
        </w:tc>
        <w:tc>
          <w:tcPr>
            <w:tcW w:w="779" w:type="dxa"/>
            <w:tcBorders>
              <w:top w:val="single" w:color="auto" w:sz="4" w:space="0"/>
            </w:tcBorders>
            <w:vAlign w:val="center"/>
          </w:tcPr>
          <w:p w14:paraId="7B50EFB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59.2</w:t>
            </w:r>
          </w:p>
        </w:tc>
        <w:tc>
          <w:tcPr>
            <w:tcW w:w="874" w:type="dxa"/>
            <w:tcBorders>
              <w:top w:val="single" w:color="auto" w:sz="4" w:space="0"/>
            </w:tcBorders>
            <w:vAlign w:val="center"/>
          </w:tcPr>
          <w:p w14:paraId="6B0A6C84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27.0</w:t>
            </w:r>
          </w:p>
        </w:tc>
        <w:tc>
          <w:tcPr>
            <w:tcW w:w="1196" w:type="dxa"/>
            <w:tcBorders>
              <w:top w:val="single" w:color="auto" w:sz="4" w:space="0"/>
            </w:tcBorders>
            <w:vAlign w:val="center"/>
          </w:tcPr>
          <w:p w14:paraId="09F20728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45.6</w:t>
            </w:r>
          </w:p>
        </w:tc>
      </w:tr>
      <w:tr w14:paraId="0D9B6B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25" w:type="dxa"/>
            <w:vMerge w:val="continue"/>
            <w:vAlign w:val="center"/>
          </w:tcPr>
          <w:p w14:paraId="6EC6C3C6">
            <w:pPr>
              <w:widowControl/>
              <w:spacing w:line="360" w:lineRule="auto"/>
              <w:jc w:val="center"/>
            </w:pPr>
          </w:p>
        </w:tc>
        <w:tc>
          <w:tcPr>
            <w:tcW w:w="1119" w:type="dxa"/>
            <w:vAlign w:val="center"/>
          </w:tcPr>
          <w:p w14:paraId="5A518262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879" w:type="dxa"/>
            <w:vAlign w:val="center"/>
          </w:tcPr>
          <w:p w14:paraId="0403C26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10.8</w:t>
            </w:r>
          </w:p>
        </w:tc>
        <w:tc>
          <w:tcPr>
            <w:tcW w:w="862" w:type="dxa"/>
            <w:vAlign w:val="center"/>
          </w:tcPr>
          <w:p w14:paraId="1F45598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50.3</w:t>
            </w:r>
          </w:p>
        </w:tc>
        <w:tc>
          <w:tcPr>
            <w:tcW w:w="777" w:type="dxa"/>
            <w:vAlign w:val="center"/>
          </w:tcPr>
          <w:p w14:paraId="4288A32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0.3</w:t>
            </w:r>
          </w:p>
        </w:tc>
        <w:tc>
          <w:tcPr>
            <w:tcW w:w="780" w:type="dxa"/>
            <w:vAlign w:val="center"/>
          </w:tcPr>
          <w:p w14:paraId="0EE6F1F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11.6</w:t>
            </w:r>
          </w:p>
        </w:tc>
        <w:tc>
          <w:tcPr>
            <w:tcW w:w="779" w:type="dxa"/>
            <w:vAlign w:val="center"/>
          </w:tcPr>
          <w:p w14:paraId="4CDD8DC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10.6</w:t>
            </w:r>
          </w:p>
        </w:tc>
        <w:tc>
          <w:tcPr>
            <w:tcW w:w="768" w:type="dxa"/>
            <w:vAlign w:val="center"/>
          </w:tcPr>
          <w:p w14:paraId="6A9537E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9.2</w:t>
            </w:r>
          </w:p>
        </w:tc>
        <w:tc>
          <w:tcPr>
            <w:tcW w:w="779" w:type="dxa"/>
            <w:vAlign w:val="center"/>
          </w:tcPr>
          <w:p w14:paraId="798F6C1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68.3</w:t>
            </w:r>
          </w:p>
        </w:tc>
        <w:tc>
          <w:tcPr>
            <w:tcW w:w="874" w:type="dxa"/>
            <w:vAlign w:val="center"/>
          </w:tcPr>
          <w:p w14:paraId="0E339FC1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35.9</w:t>
            </w:r>
          </w:p>
        </w:tc>
        <w:tc>
          <w:tcPr>
            <w:tcW w:w="1196" w:type="dxa"/>
            <w:vAlign w:val="center"/>
          </w:tcPr>
          <w:p w14:paraId="6D847578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52.5</w:t>
            </w:r>
          </w:p>
        </w:tc>
      </w:tr>
      <w:tr w14:paraId="07D75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25" w:type="dxa"/>
            <w:vMerge w:val="continue"/>
            <w:vAlign w:val="center"/>
          </w:tcPr>
          <w:p w14:paraId="1E88AD08">
            <w:pPr>
              <w:widowControl/>
              <w:spacing w:line="360" w:lineRule="auto"/>
              <w:jc w:val="center"/>
            </w:pPr>
          </w:p>
        </w:tc>
        <w:tc>
          <w:tcPr>
            <w:tcW w:w="1119" w:type="dxa"/>
            <w:vAlign w:val="center"/>
          </w:tcPr>
          <w:p w14:paraId="7C62D362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879" w:type="dxa"/>
            <w:vAlign w:val="center"/>
          </w:tcPr>
          <w:p w14:paraId="765461B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12.4</w:t>
            </w:r>
          </w:p>
        </w:tc>
        <w:tc>
          <w:tcPr>
            <w:tcW w:w="862" w:type="dxa"/>
            <w:vAlign w:val="center"/>
          </w:tcPr>
          <w:p w14:paraId="1E369BB4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48.8</w:t>
            </w:r>
          </w:p>
        </w:tc>
        <w:tc>
          <w:tcPr>
            <w:tcW w:w="777" w:type="dxa"/>
            <w:vAlign w:val="center"/>
          </w:tcPr>
          <w:p w14:paraId="30000E9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0.3</w:t>
            </w:r>
          </w:p>
        </w:tc>
        <w:tc>
          <w:tcPr>
            <w:tcW w:w="780" w:type="dxa"/>
            <w:vAlign w:val="center"/>
          </w:tcPr>
          <w:p w14:paraId="0D3CE4F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7.8</w:t>
            </w:r>
          </w:p>
        </w:tc>
        <w:tc>
          <w:tcPr>
            <w:tcW w:w="779" w:type="dxa"/>
            <w:vAlign w:val="center"/>
          </w:tcPr>
          <w:p w14:paraId="74299CD7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9.5</w:t>
            </w:r>
          </w:p>
        </w:tc>
        <w:tc>
          <w:tcPr>
            <w:tcW w:w="768" w:type="dxa"/>
            <w:vAlign w:val="center"/>
          </w:tcPr>
          <w:p w14:paraId="7B72E9A0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7.1</w:t>
            </w:r>
          </w:p>
        </w:tc>
        <w:tc>
          <w:tcPr>
            <w:tcW w:w="779" w:type="dxa"/>
            <w:vAlign w:val="center"/>
          </w:tcPr>
          <w:p w14:paraId="0279935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75.3</w:t>
            </w:r>
          </w:p>
        </w:tc>
        <w:tc>
          <w:tcPr>
            <w:tcW w:w="874" w:type="dxa"/>
            <w:vAlign w:val="center"/>
          </w:tcPr>
          <w:p w14:paraId="0D163FF5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31.9</w:t>
            </w:r>
          </w:p>
        </w:tc>
        <w:tc>
          <w:tcPr>
            <w:tcW w:w="1196" w:type="dxa"/>
            <w:vAlign w:val="center"/>
          </w:tcPr>
          <w:p w14:paraId="29A05B32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kern w:val="24"/>
                <w:szCs w:val="24"/>
              </w:rPr>
              <w:t>42.3</w:t>
            </w:r>
          </w:p>
        </w:tc>
      </w:tr>
      <w:tr w14:paraId="7CEC8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25" w:type="dxa"/>
            <w:vMerge w:val="continue"/>
            <w:tcBorders>
              <w:bottom w:val="single" w:color="auto" w:sz="4" w:space="0"/>
            </w:tcBorders>
            <w:vAlign w:val="center"/>
          </w:tcPr>
          <w:p w14:paraId="6B71FFC2">
            <w:pPr>
              <w:widowControl/>
              <w:spacing w:line="360" w:lineRule="auto"/>
              <w:jc w:val="center"/>
            </w:pPr>
          </w:p>
        </w:tc>
        <w:tc>
          <w:tcPr>
            <w:tcW w:w="1119" w:type="dxa"/>
            <w:tcBorders>
              <w:bottom w:val="single" w:color="auto" w:sz="4" w:space="0"/>
            </w:tcBorders>
            <w:vAlign w:val="center"/>
          </w:tcPr>
          <w:p w14:paraId="0F6DB74B">
            <w:pPr>
              <w:widowControl/>
              <w:spacing w:line="360" w:lineRule="auto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879" w:type="dxa"/>
            <w:tcBorders>
              <w:bottom w:val="single" w:color="auto" w:sz="4" w:space="0"/>
            </w:tcBorders>
            <w:vAlign w:val="center"/>
          </w:tcPr>
          <w:p w14:paraId="7F1D733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12.8</w:t>
            </w:r>
          </w:p>
        </w:tc>
        <w:tc>
          <w:tcPr>
            <w:tcW w:w="862" w:type="dxa"/>
            <w:tcBorders>
              <w:bottom w:val="single" w:color="auto" w:sz="4" w:space="0"/>
            </w:tcBorders>
            <w:vAlign w:val="center"/>
          </w:tcPr>
          <w:p w14:paraId="27D9DCF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48.7</w:t>
            </w:r>
          </w:p>
        </w:tc>
        <w:tc>
          <w:tcPr>
            <w:tcW w:w="777" w:type="dxa"/>
            <w:tcBorders>
              <w:bottom w:val="single" w:color="auto" w:sz="4" w:space="0"/>
            </w:tcBorders>
            <w:vAlign w:val="center"/>
          </w:tcPr>
          <w:p w14:paraId="6BFE1357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0.5</w:t>
            </w:r>
          </w:p>
        </w:tc>
        <w:tc>
          <w:tcPr>
            <w:tcW w:w="780" w:type="dxa"/>
            <w:tcBorders>
              <w:bottom w:val="single" w:color="auto" w:sz="4" w:space="0"/>
            </w:tcBorders>
            <w:vAlign w:val="center"/>
          </w:tcPr>
          <w:p w14:paraId="0D38F23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8.3</w:t>
            </w:r>
          </w:p>
        </w:tc>
        <w:tc>
          <w:tcPr>
            <w:tcW w:w="779" w:type="dxa"/>
            <w:tcBorders>
              <w:bottom w:val="single" w:color="auto" w:sz="4" w:space="0"/>
            </w:tcBorders>
            <w:vAlign w:val="center"/>
          </w:tcPr>
          <w:p w14:paraId="5CB1A490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11.4</w:t>
            </w:r>
          </w:p>
        </w:tc>
        <w:tc>
          <w:tcPr>
            <w:tcW w:w="768" w:type="dxa"/>
            <w:tcBorders>
              <w:bottom w:val="single" w:color="auto" w:sz="4" w:space="0"/>
            </w:tcBorders>
            <w:vAlign w:val="center"/>
          </w:tcPr>
          <w:p w14:paraId="26030E1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10.2</w:t>
            </w:r>
          </w:p>
        </w:tc>
        <w:tc>
          <w:tcPr>
            <w:tcW w:w="779" w:type="dxa"/>
            <w:tcBorders>
              <w:bottom w:val="single" w:color="auto" w:sz="4" w:space="0"/>
            </w:tcBorders>
            <w:vAlign w:val="center"/>
          </w:tcPr>
          <w:p w14:paraId="5E3F6F47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69.6</w:t>
            </w:r>
          </w:p>
        </w:tc>
        <w:tc>
          <w:tcPr>
            <w:tcW w:w="874" w:type="dxa"/>
            <w:tcBorders>
              <w:bottom w:val="single" w:color="auto" w:sz="4" w:space="0"/>
            </w:tcBorders>
            <w:vAlign w:val="center"/>
          </w:tcPr>
          <w:p w14:paraId="429CCD1C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26.5</w:t>
            </w:r>
          </w:p>
        </w:tc>
        <w:tc>
          <w:tcPr>
            <w:tcW w:w="1196" w:type="dxa"/>
            <w:tcBorders>
              <w:bottom w:val="single" w:color="auto" w:sz="4" w:space="0"/>
            </w:tcBorders>
            <w:vAlign w:val="center"/>
          </w:tcPr>
          <w:p w14:paraId="14758E9B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38.1</w:t>
            </w:r>
          </w:p>
        </w:tc>
      </w:tr>
    </w:tbl>
    <w:p w14:paraId="18BF253D">
      <w:pPr>
        <w:pStyle w:val="22"/>
        <w:jc w:val="both"/>
        <w:rPr>
          <w:rFonts w:cs="Times New Roman"/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t>R</w:t>
      </w:r>
      <w:r>
        <w:rPr>
          <w:rFonts w:hint="eastAsia"/>
          <w:sz w:val="24"/>
          <w:szCs w:val="24"/>
        </w:rPr>
        <w:t>eaction</w:t>
      </w:r>
      <w:r>
        <w:rPr>
          <w:sz w:val="24"/>
          <w:szCs w:val="24"/>
        </w:rPr>
        <w:t xml:space="preserve"> condition: </w:t>
      </w:r>
      <w:r>
        <w:rPr>
          <w:rFonts w:hint="eastAsia"/>
          <w:sz w:val="24"/>
          <w:szCs w:val="24"/>
        </w:rPr>
        <w:t>1200</w:t>
      </w:r>
      <w:r>
        <w:rPr>
          <w:sz w:val="24"/>
          <w:szCs w:val="24"/>
        </w:rPr>
        <w:t xml:space="preserve"> mL g</w:t>
      </w:r>
      <w:r>
        <w:rPr>
          <w:sz w:val="24"/>
          <w:szCs w:val="24"/>
          <w:vertAlign w:val="subscript"/>
        </w:rPr>
        <w:t>cat</w:t>
      </w:r>
      <w:r>
        <w:rPr>
          <w:sz w:val="24"/>
          <w:szCs w:val="24"/>
          <w:vertAlign w:val="superscript"/>
        </w:rPr>
        <w:t xml:space="preserve">−1 </w:t>
      </w:r>
      <w:r>
        <w:rPr>
          <w:sz w:val="24"/>
          <w:szCs w:val="24"/>
        </w:rPr>
        <w:t>h</w:t>
      </w:r>
      <w:r>
        <w:rPr>
          <w:sz w:val="24"/>
          <w:szCs w:val="24"/>
          <w:vertAlign w:val="superscript"/>
        </w:rPr>
        <w:t>−1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and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/CO</w:t>
      </w:r>
      <w:r>
        <w:rPr>
          <w:rFonts w:hint="eastAsia"/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= </w:t>
      </w:r>
      <w:r>
        <w:rPr>
          <w:rFonts w:hint="eastAsia"/>
          <w:sz w:val="24"/>
          <w:szCs w:val="24"/>
        </w:rPr>
        <w:t>3</w:t>
      </w:r>
      <w:r>
        <w:rPr>
          <w:sz w:val="24"/>
          <w:szCs w:val="24"/>
        </w:rPr>
        <w:t>.</w:t>
      </w:r>
    </w:p>
    <w:p w14:paraId="780446AF">
      <w:pPr>
        <w:widowControl/>
        <w:jc w:val="left"/>
        <w:rPr>
          <w:rFonts w:cs="Times New Roman"/>
          <w:b/>
          <w:bCs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br w:type="page"/>
      </w:r>
    </w:p>
    <w:p w14:paraId="5718AA40">
      <w:pPr>
        <w:pStyle w:val="22"/>
        <w:jc w:val="both"/>
        <w:rPr>
          <w:rFonts w:cs="Times New Roman"/>
          <w:sz w:val="24"/>
          <w:szCs w:val="24"/>
          <w:vertAlign w:val="superscript"/>
        </w:rPr>
      </w:pPr>
      <w:r>
        <w:rPr>
          <w:rFonts w:cs="Times New Roman"/>
          <w:b/>
          <w:bCs/>
          <w:color w:val="000000"/>
          <w:sz w:val="24"/>
          <w:szCs w:val="24"/>
        </w:rPr>
        <w:t xml:space="preserve">Table </w:t>
      </w:r>
      <w:r>
        <w:rPr>
          <w:rFonts w:hint="eastAsia" w:cs="Times New Roman"/>
          <w:b/>
          <w:bCs/>
          <w:color w:val="000000"/>
          <w:sz w:val="24"/>
          <w:szCs w:val="24"/>
        </w:rPr>
        <w:t>S11.</w:t>
      </w:r>
      <w:r>
        <w:rPr>
          <w:rFonts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Aromatics distributions over </w:t>
      </w:r>
      <w:r>
        <w:rPr>
          <w:sz w:val="24"/>
          <w:szCs w:val="24"/>
        </w:rPr>
        <w:t>ZZO/2SP34/Z5</w:t>
      </w:r>
      <w:r>
        <w:rPr>
          <w:rFonts w:cs="Times New Roman"/>
          <w:sz w:val="24"/>
          <w:szCs w:val="24"/>
        </w:rPr>
        <w:t xml:space="preserve"> catalyst</w:t>
      </w:r>
      <w:r>
        <w:rPr>
          <w:rFonts w:hint="eastAsia" w:cs="Times New Roman"/>
          <w:sz w:val="24"/>
          <w:szCs w:val="24"/>
        </w:rPr>
        <w:t xml:space="preserve"> at different </w:t>
      </w:r>
      <w:r>
        <w:rPr>
          <w:rFonts w:cs="Times New Roman"/>
          <w:sz w:val="24"/>
          <w:szCs w:val="24"/>
        </w:rPr>
        <w:t>pressures.</w:t>
      </w:r>
    </w:p>
    <w:tbl>
      <w:tblPr>
        <w:tblStyle w:val="7"/>
        <w:tblW w:w="4334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4"/>
        <w:gridCol w:w="927"/>
        <w:gridCol w:w="936"/>
        <w:gridCol w:w="932"/>
        <w:gridCol w:w="932"/>
        <w:gridCol w:w="932"/>
        <w:gridCol w:w="932"/>
        <w:gridCol w:w="928"/>
        <w:gridCol w:w="21"/>
      </w:tblGrid>
      <w:tr w14:paraId="5697512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86" w:type="pct"/>
            <w:vMerge w:val="restart"/>
            <w:tcBorders>
              <w:bottom w:val="single" w:color="auto" w:sz="4" w:space="0"/>
              <w:right w:val="nil"/>
            </w:tcBorders>
            <w:vAlign w:val="center"/>
          </w:tcPr>
          <w:p w14:paraId="68482AB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P</w:t>
            </w:r>
            <w:r>
              <w:rPr>
                <w:rFonts w:cs="Times New Roman"/>
                <w:sz w:val="24"/>
                <w:szCs w:val="24"/>
              </w:rPr>
              <w:t>ressure</w:t>
            </w:r>
            <w:r>
              <w:rPr>
                <w:rFonts w:hint="eastAsia" w:cs="Times New Roman"/>
                <w:sz w:val="24"/>
                <w:szCs w:val="24"/>
              </w:rPr>
              <w:t xml:space="preserve"> (MPa)</w:t>
            </w:r>
          </w:p>
        </w:tc>
        <w:tc>
          <w:tcPr>
            <w:tcW w:w="3914" w:type="pct"/>
            <w:gridSpan w:val="8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 w14:paraId="339AD98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Aromatic selectivity (%)</w:t>
            </w:r>
          </w:p>
        </w:tc>
      </w:tr>
      <w:tr w14:paraId="0A5E6D0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pct"/>
          <w:trHeight w:val="510" w:hRule="atLeast"/>
          <w:jc w:val="center"/>
        </w:trPr>
        <w:tc>
          <w:tcPr>
            <w:tcW w:w="1086" w:type="pct"/>
            <w:vMerge w:val="continue"/>
            <w:tcBorders>
              <w:top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06121C58">
            <w:pPr>
              <w:pStyle w:val="2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FD60C2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B</w:t>
            </w:r>
          </w:p>
        </w:tc>
        <w:tc>
          <w:tcPr>
            <w:tcW w:w="5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19CDFC7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A41A45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E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34A8FA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o/p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E75985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m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5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0611A1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55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831D25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10</w:t>
            </w:r>
          </w:p>
        </w:tc>
      </w:tr>
      <w:tr w14:paraId="6CFD1AC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pct"/>
          <w:trHeight w:val="510" w:hRule="atLeast"/>
          <w:jc w:val="center"/>
        </w:trPr>
        <w:tc>
          <w:tcPr>
            <w:tcW w:w="1086" w:type="pct"/>
            <w:tcBorders>
              <w:top w:val="nil"/>
              <w:bottom w:val="nil"/>
              <w:right w:val="nil"/>
            </w:tcBorders>
            <w:vAlign w:val="center"/>
          </w:tcPr>
          <w:p w14:paraId="63898C3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42E2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1.2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BA62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9.4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0DB2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3.11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597C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25.2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1D8BE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6.7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8C330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37.7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F13F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16.6</w:t>
            </w:r>
          </w:p>
        </w:tc>
      </w:tr>
      <w:tr w14:paraId="7B3A939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pct"/>
          <w:trHeight w:val="510" w:hRule="atLeast"/>
          <w:jc w:val="center"/>
        </w:trPr>
        <w:tc>
          <w:tcPr>
            <w:tcW w:w="1086" w:type="pct"/>
            <w:tcBorders>
              <w:top w:val="nil"/>
              <w:bottom w:val="nil"/>
              <w:right w:val="nil"/>
            </w:tcBorders>
            <w:vAlign w:val="center"/>
          </w:tcPr>
          <w:p w14:paraId="44F94BC3">
            <w:pPr>
              <w:pStyle w:val="23"/>
              <w:rPr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2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C614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1.4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C36F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11.5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62DC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3.0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5EE2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28.8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7EFC8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7.8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9B7B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38.3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9623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9.2</w:t>
            </w:r>
          </w:p>
        </w:tc>
      </w:tr>
      <w:tr w14:paraId="3367D94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pct"/>
          <w:trHeight w:val="510" w:hRule="atLeast"/>
          <w:jc w:val="center"/>
        </w:trPr>
        <w:tc>
          <w:tcPr>
            <w:tcW w:w="1086" w:type="pct"/>
            <w:tcBorders>
              <w:top w:val="nil"/>
              <w:bottom w:val="nil"/>
              <w:right w:val="nil"/>
            </w:tcBorders>
            <w:vAlign w:val="center"/>
          </w:tcPr>
          <w:p w14:paraId="113C714E">
            <w:pPr>
              <w:pStyle w:val="23"/>
              <w:rPr>
                <w:sz w:val="24"/>
                <w:szCs w:val="24"/>
              </w:rPr>
            </w:pP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37D66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1.0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E9783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8.5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72DD2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2.3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591BB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23.8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46E80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6.8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00DDA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41.3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026A9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kern w:val="24"/>
                <w:sz w:val="24"/>
                <w:szCs w:val="24"/>
              </w:rPr>
              <w:t>16.3</w:t>
            </w:r>
          </w:p>
        </w:tc>
      </w:tr>
      <w:tr w14:paraId="6E19108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pct"/>
          <w:trHeight w:val="510" w:hRule="atLeast"/>
          <w:jc w:val="center"/>
        </w:trPr>
        <w:tc>
          <w:tcPr>
            <w:tcW w:w="1086" w:type="pct"/>
            <w:tcBorders>
              <w:top w:val="nil"/>
              <w:bottom w:val="single" w:color="auto" w:sz="4" w:space="0"/>
              <w:right w:val="nil"/>
            </w:tcBorders>
            <w:vAlign w:val="center"/>
          </w:tcPr>
          <w:p w14:paraId="3207D90E">
            <w:pPr>
              <w:pStyle w:val="23"/>
              <w:rPr>
                <w:sz w:val="24"/>
                <w:szCs w:val="24"/>
              </w:rPr>
            </w:pP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55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21EBA83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0.9</w:t>
            </w:r>
          </w:p>
        </w:tc>
        <w:tc>
          <w:tcPr>
            <w:tcW w:w="560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FE617EC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7.2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930749A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2.2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2F616CE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21.8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5D5B507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6.1</w:t>
            </w:r>
          </w:p>
        </w:tc>
        <w:tc>
          <w:tcPr>
            <w:tcW w:w="55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28E9F5E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45.2</w:t>
            </w:r>
          </w:p>
        </w:tc>
        <w:tc>
          <w:tcPr>
            <w:tcW w:w="555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4849A1D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16.7</w:t>
            </w:r>
          </w:p>
        </w:tc>
      </w:tr>
    </w:tbl>
    <w:p w14:paraId="529B8AD1">
      <w:pPr>
        <w:widowControl/>
        <w:spacing w:line="360" w:lineRule="auto"/>
        <w:rPr>
          <w:b/>
          <w:bCs/>
        </w:rPr>
      </w:pPr>
    </w:p>
    <w:p w14:paraId="34295F4D">
      <w:pPr>
        <w:widowControl/>
        <w:jc w:val="left"/>
        <w:rPr>
          <w:b/>
          <w:bCs/>
        </w:rPr>
      </w:pPr>
      <w:r>
        <w:rPr>
          <w:b/>
          <w:bCs/>
        </w:rPr>
        <w:br w:type="page"/>
      </w:r>
    </w:p>
    <w:p w14:paraId="511C597D">
      <w:pPr>
        <w:widowControl/>
        <w:spacing w:line="360" w:lineRule="auto"/>
        <w:jc w:val="left"/>
        <w:rPr>
          <w:rFonts w:cs="Times New Roman"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t xml:space="preserve">Table </w:t>
      </w:r>
      <w:r>
        <w:rPr>
          <w:rFonts w:hint="eastAsia" w:cs="Times New Roman"/>
          <w:b/>
          <w:bCs/>
          <w:color w:val="000000"/>
          <w:szCs w:val="24"/>
        </w:rPr>
        <w:t>S12.</w:t>
      </w:r>
      <w:r>
        <w:rPr>
          <w:rFonts w:cs="Times New Roman"/>
          <w:b/>
          <w:bCs/>
          <w:color w:val="000000"/>
          <w:szCs w:val="24"/>
        </w:rPr>
        <w:t xml:space="preserve"> </w:t>
      </w:r>
      <w:r>
        <w:t>CO</w:t>
      </w:r>
      <w:r>
        <w:rPr>
          <w:vertAlign w:val="subscript"/>
        </w:rPr>
        <w:t>2</w:t>
      </w:r>
      <w:r>
        <w:t xml:space="preserve"> adsorption </w:t>
      </w:r>
      <w:bookmarkStart w:id="18" w:name="_Hlk225765492"/>
      <w:r>
        <w:t>capacity</w:t>
      </w:r>
      <w:bookmarkEnd w:id="18"/>
      <w:r>
        <w:t xml:space="preserve"> of</w:t>
      </w:r>
      <w:r>
        <w:rPr>
          <w:rFonts w:hint="eastAsia"/>
        </w:rPr>
        <w:t xml:space="preserve">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sampl</w:t>
      </w:r>
      <w:r>
        <w:t>es</w:t>
      </w:r>
      <w:r>
        <w:rPr>
          <w:rFonts w:hint="eastAsia"/>
        </w:rPr>
        <w:t>.</w:t>
      </w:r>
    </w:p>
    <w:tbl>
      <w:tblPr>
        <w:tblStyle w:val="8"/>
        <w:tblW w:w="85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8"/>
        <w:gridCol w:w="1984"/>
        <w:gridCol w:w="1984"/>
        <w:gridCol w:w="1985"/>
      </w:tblGrid>
      <w:tr w14:paraId="6011B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608" w:type="dxa"/>
            <w:vMerge w:val="restart"/>
            <w:tcBorders>
              <w:top w:val="single" w:color="auto" w:sz="4" w:space="0"/>
              <w:left w:val="nil"/>
              <w:right w:val="nil"/>
            </w:tcBorders>
            <w:vAlign w:val="center"/>
          </w:tcPr>
          <w:p w14:paraId="47A2036D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Samples</w:t>
            </w:r>
          </w:p>
        </w:tc>
        <w:tc>
          <w:tcPr>
            <w:tcW w:w="5953" w:type="dxa"/>
            <w:gridSpan w:val="3"/>
            <w:tcBorders>
              <w:top w:val="single" w:color="auto" w:sz="4" w:space="0"/>
              <w:left w:val="nil"/>
              <w:bottom w:val="single" w:color="auto" w:sz="6" w:space="0"/>
              <w:right w:val="nil"/>
            </w:tcBorders>
            <w:vAlign w:val="center"/>
          </w:tcPr>
          <w:p w14:paraId="2D6A3F78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bookmarkStart w:id="19" w:name="OLE_LINK93"/>
            <w:r>
              <w:rPr>
                <w:rFonts w:cs="Times New Roman"/>
                <w:color w:val="000000"/>
                <w:szCs w:val="24"/>
              </w:rPr>
              <w:t>CO</w:t>
            </w:r>
            <w:r>
              <w:rPr>
                <w:rFonts w:cs="Times New Roman"/>
                <w:color w:val="000000"/>
                <w:szCs w:val="24"/>
                <w:vertAlign w:val="subscript"/>
              </w:rPr>
              <w:t>2</w:t>
            </w:r>
            <w:r>
              <w:rPr>
                <w:rFonts w:cs="Times New Roman"/>
                <w:color w:val="000000"/>
                <w:szCs w:val="24"/>
              </w:rPr>
              <w:t xml:space="preserve"> </w:t>
            </w:r>
            <w:bookmarkStart w:id="20" w:name="OLE_LINK92"/>
            <w:r>
              <w:rPr>
                <w:rFonts w:cs="Times New Roman"/>
                <w:color w:val="000000"/>
                <w:szCs w:val="24"/>
              </w:rPr>
              <w:t>adsorption capacity</w:t>
            </w:r>
            <w:bookmarkEnd w:id="19"/>
            <w:bookmarkEnd w:id="20"/>
            <w:r>
              <w:rPr>
                <w:rFonts w:cs="Times New Roman"/>
                <w:color w:val="000000"/>
                <w:szCs w:val="24"/>
              </w:rPr>
              <w:t xml:space="preserve"> (</w:t>
            </w:r>
            <w:bookmarkStart w:id="21" w:name="OLE_LINK76"/>
            <w:r>
              <w:rPr>
                <w:rFonts w:cs="Times New Roman"/>
                <w:color w:val="000000"/>
                <w:szCs w:val="24"/>
              </w:rPr>
              <w:t>μmol·g</w:t>
            </w:r>
            <w:r>
              <w:rPr>
                <w:rFonts w:cs="Times New Roman"/>
                <w:color w:val="000000"/>
                <w:szCs w:val="24"/>
                <w:vertAlign w:val="superscript"/>
              </w:rPr>
              <w:t>−1</w:t>
            </w:r>
            <w:bookmarkEnd w:id="21"/>
            <w:r>
              <w:rPr>
                <w:rFonts w:cs="Times New Roman"/>
                <w:color w:val="000000"/>
                <w:szCs w:val="24"/>
              </w:rPr>
              <w:t>)</w:t>
            </w:r>
          </w:p>
        </w:tc>
      </w:tr>
      <w:tr w14:paraId="16151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608" w:type="dxa"/>
            <w:vMerge w:val="continue"/>
            <w:tcBorders>
              <w:left w:val="nil"/>
              <w:bottom w:val="single" w:color="auto" w:sz="6" w:space="0"/>
              <w:right w:val="nil"/>
            </w:tcBorders>
            <w:vAlign w:val="center"/>
          </w:tcPr>
          <w:p w14:paraId="224212FB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vAlign w:val="center"/>
          </w:tcPr>
          <w:p w14:paraId="5BDEF8EE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Weak adsorption capacity</w:t>
            </w:r>
          </w:p>
        </w:tc>
        <w:tc>
          <w:tcPr>
            <w:tcW w:w="19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vAlign w:val="center"/>
          </w:tcPr>
          <w:p w14:paraId="1400A2D2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Strong adsorption capacity</w:t>
            </w:r>
          </w:p>
        </w:tc>
        <w:tc>
          <w:tcPr>
            <w:tcW w:w="1985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vAlign w:val="center"/>
          </w:tcPr>
          <w:p w14:paraId="77731C64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Total adsorption capacity</w:t>
            </w:r>
          </w:p>
        </w:tc>
      </w:tr>
      <w:tr w14:paraId="2C0C8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608" w:type="dxa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42B2B2BF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ZZO</w:t>
            </w:r>
          </w:p>
        </w:tc>
        <w:tc>
          <w:tcPr>
            <w:tcW w:w="1984" w:type="dxa"/>
            <w:tcBorders>
              <w:top w:val="single" w:color="auto" w:sz="6" w:space="0"/>
              <w:left w:val="nil"/>
              <w:bottom w:val="nil"/>
              <w:right w:val="nil"/>
            </w:tcBorders>
            <w:vAlign w:val="bottom"/>
          </w:tcPr>
          <w:p w14:paraId="5C8015AA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10.7</w:t>
            </w:r>
          </w:p>
        </w:tc>
        <w:tc>
          <w:tcPr>
            <w:tcW w:w="1984" w:type="dxa"/>
            <w:tcBorders>
              <w:top w:val="single" w:color="auto" w:sz="6" w:space="0"/>
              <w:left w:val="nil"/>
              <w:bottom w:val="nil"/>
              <w:right w:val="nil"/>
            </w:tcBorders>
            <w:vAlign w:val="bottom"/>
          </w:tcPr>
          <w:p w14:paraId="38CBF127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0.4</w:t>
            </w:r>
          </w:p>
        </w:tc>
        <w:tc>
          <w:tcPr>
            <w:tcW w:w="1985" w:type="dxa"/>
            <w:tcBorders>
              <w:top w:val="single" w:color="auto" w:sz="6" w:space="0"/>
              <w:left w:val="nil"/>
              <w:bottom w:val="nil"/>
              <w:right w:val="nil"/>
            </w:tcBorders>
            <w:vAlign w:val="bottom"/>
          </w:tcPr>
          <w:p w14:paraId="02EF2935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11.1</w:t>
            </w:r>
          </w:p>
        </w:tc>
      </w:tr>
      <w:tr w14:paraId="38599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52143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SP34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F9F2A4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0.8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DE3540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0.4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ADB085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1.2</w:t>
            </w:r>
          </w:p>
        </w:tc>
      </w:tr>
      <w:tr w14:paraId="7CBB5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2AC3A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Z5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6619CA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0.2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849B9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0.3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313B42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0.5</w:t>
            </w:r>
          </w:p>
        </w:tc>
      </w:tr>
      <w:tr w14:paraId="0ACEF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BB2E8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ZZO/2SP34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EB5335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10.3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E40BCB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6.4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A5482F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16.7</w:t>
            </w:r>
          </w:p>
        </w:tc>
      </w:tr>
      <w:tr w14:paraId="1082A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7FF66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ZZO/2Z5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EDCC43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12.4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C208DF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3.1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DB2762">
            <w:pPr>
              <w:widowControl/>
              <w:spacing w:line="36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15.5</w:t>
            </w:r>
          </w:p>
        </w:tc>
      </w:tr>
      <w:tr w14:paraId="76492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60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E998404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ZZO/2SP34/Z5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626A8D0E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7.9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2CB238D0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6.9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4C3A5E86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14.8</w:t>
            </w:r>
          </w:p>
        </w:tc>
      </w:tr>
    </w:tbl>
    <w:p w14:paraId="6F96221A">
      <w:pPr>
        <w:widowControl/>
        <w:spacing w:line="360" w:lineRule="auto"/>
        <w:jc w:val="left"/>
        <w:rPr>
          <w:rFonts w:cs="Times New Roman"/>
          <w:color w:val="000000"/>
          <w:szCs w:val="24"/>
        </w:rPr>
      </w:pPr>
    </w:p>
    <w:p w14:paraId="0378F173">
      <w:pPr>
        <w:widowControl/>
        <w:jc w:val="left"/>
        <w:rPr>
          <w:rFonts w:cs="Times New Roman"/>
          <w:b/>
          <w:bCs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br w:type="page"/>
      </w:r>
    </w:p>
    <w:p w14:paraId="744712C2">
      <w:pPr>
        <w:widowControl/>
        <w:spacing w:line="360" w:lineRule="auto"/>
        <w:rPr>
          <w:b/>
          <w:bCs/>
        </w:rPr>
      </w:pPr>
      <w:r>
        <w:rPr>
          <w:rFonts w:cs="Times New Roman"/>
          <w:b/>
          <w:bCs/>
          <w:color w:val="000000"/>
          <w:szCs w:val="24"/>
        </w:rPr>
        <w:t xml:space="preserve">Table </w:t>
      </w:r>
      <w:r>
        <w:rPr>
          <w:rFonts w:hint="eastAsia" w:cs="Times New Roman"/>
          <w:b/>
          <w:bCs/>
          <w:color w:val="000000"/>
          <w:szCs w:val="24"/>
        </w:rPr>
        <w:t>S13.</w:t>
      </w:r>
      <w:r>
        <w:rPr>
          <w:rFonts w:cs="Times New Roman"/>
          <w:b/>
          <w:bCs/>
          <w:color w:val="000000"/>
          <w:szCs w:val="24"/>
        </w:rPr>
        <w:t xml:space="preserve">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M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ethanol conversion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cs="Times New Roman"/>
          <w:szCs w:val="24"/>
        </w:rPr>
        <w:t>p</w:t>
      </w:r>
      <w:r>
        <w:rPr>
          <w:rFonts w:cs="Times New Roman"/>
          <w:szCs w:val="24"/>
        </w:rPr>
        <w:t xml:space="preserve">erformance over Z5 </w:t>
      </w:r>
      <w:r>
        <w:rPr>
          <w:rFonts w:hint="eastAsia" w:cs="Times New Roman"/>
          <w:szCs w:val="24"/>
        </w:rPr>
        <w:t>and</w:t>
      </w:r>
      <w:r>
        <w:rPr>
          <w:rFonts w:cs="Times New Roman"/>
          <w:szCs w:val="24"/>
        </w:rPr>
        <w:t xml:space="preserve"> 2SP34/Z5.</w:t>
      </w:r>
    </w:p>
    <w:tbl>
      <w:tblPr>
        <w:tblStyle w:val="8"/>
        <w:tblW w:w="965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8"/>
        <w:gridCol w:w="1256"/>
        <w:gridCol w:w="883"/>
        <w:gridCol w:w="719"/>
        <w:gridCol w:w="986"/>
        <w:gridCol w:w="967"/>
        <w:gridCol w:w="719"/>
        <w:gridCol w:w="865"/>
        <w:gridCol w:w="739"/>
        <w:gridCol w:w="1197"/>
      </w:tblGrid>
      <w:tr w14:paraId="2F847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53442C">
            <w:pPr>
              <w:widowControl/>
              <w:spacing w:line="36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Catalysts</w:t>
            </w:r>
          </w:p>
        </w:tc>
        <w:tc>
          <w:tcPr>
            <w:tcW w:w="1361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BCE90E8">
            <w:pPr>
              <w:spacing w:line="36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MeOH</w:t>
            </w:r>
            <w:r>
              <w:rPr>
                <w:rFonts w:hint="eastAsia"/>
                <w:color w:val="000000"/>
                <w:szCs w:val="24"/>
              </w:rPr>
              <w:t xml:space="preserve"> WHSV</w:t>
            </w:r>
          </w:p>
          <w:p w14:paraId="62B07786">
            <w:pPr>
              <w:spacing w:line="36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(</w:t>
            </w:r>
            <w:r>
              <w:rPr>
                <w:rFonts w:hint="eastAsia"/>
                <w:color w:val="000000"/>
                <w:szCs w:val="24"/>
              </w:rPr>
              <w:t>h</w:t>
            </w:r>
            <w:r>
              <w:rPr>
                <w:color w:val="000000"/>
                <w:szCs w:val="24"/>
                <w:vertAlign w:val="superscript"/>
              </w:rPr>
              <w:t>–1</w:t>
            </w:r>
            <w:r>
              <w:rPr>
                <w:color w:val="000000"/>
                <w:szCs w:val="24"/>
              </w:rPr>
              <w:t>)</w:t>
            </w:r>
          </w:p>
        </w:tc>
        <w:tc>
          <w:tcPr>
            <w:tcW w:w="883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E64744">
            <w:pPr>
              <w:widowControl/>
              <w:spacing w:line="36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MeOH</w:t>
            </w:r>
            <w:r>
              <w:rPr>
                <w:rFonts w:hint="eastAsia"/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conv.</w:t>
            </w:r>
            <w:r>
              <w:rPr>
                <w:rFonts w:hint="eastAsia"/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(%)</w:t>
            </w:r>
          </w:p>
        </w:tc>
        <w:tc>
          <w:tcPr>
            <w:tcW w:w="4115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48D1A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Hydrocarbon distribution (%)</w:t>
            </w:r>
          </w:p>
        </w:tc>
        <w:tc>
          <w:tcPr>
            <w:tcW w:w="753" w:type="dxa"/>
            <w:vMerge w:val="restart"/>
            <w:tcBorders>
              <w:top w:val="single" w:color="auto" w:sz="4" w:space="0"/>
            </w:tcBorders>
            <w:vAlign w:val="center"/>
          </w:tcPr>
          <w:p w14:paraId="639F8DE4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BTX (%)</w:t>
            </w:r>
          </w:p>
        </w:tc>
        <w:tc>
          <w:tcPr>
            <w:tcW w:w="1196" w:type="dxa"/>
            <w:vMerge w:val="restart"/>
            <w:tcBorders>
              <w:top w:val="single" w:color="auto" w:sz="4" w:space="0"/>
            </w:tcBorders>
            <w:vAlign w:val="center"/>
          </w:tcPr>
          <w:p w14:paraId="7B1353D8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BTX/Aro. (%)</w:t>
            </w:r>
          </w:p>
        </w:tc>
      </w:tr>
      <w:tr w14:paraId="63E4D9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76A6ED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36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EE83B3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883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3F4D4E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1859D1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CH</w:t>
            </w:r>
            <w:r>
              <w:rPr>
                <w:color w:val="000000"/>
                <w:szCs w:val="24"/>
                <w:vertAlign w:val="subscript"/>
              </w:rPr>
              <w:t>4</w:t>
            </w:r>
          </w:p>
        </w:tc>
        <w:tc>
          <w:tcPr>
            <w:tcW w:w="75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E8BA5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  <w:r>
              <w:rPr>
                <w:color w:val="000000"/>
                <w:szCs w:val="24"/>
                <w:vertAlign w:val="subscript"/>
              </w:rPr>
              <w:t>2</w:t>
            </w:r>
            <w:r>
              <w:rPr>
                <w:color w:val="000000"/>
                <w:szCs w:val="24"/>
                <w:vertAlign w:val="superscript"/>
              </w:rPr>
              <w:t>=</w:t>
            </w:r>
            <w:r>
              <w:rPr>
                <w:color w:val="000000"/>
                <w:szCs w:val="24"/>
              </w:rPr>
              <w:t>–C</w:t>
            </w:r>
            <w:r>
              <w:rPr>
                <w:color w:val="000000"/>
                <w:szCs w:val="24"/>
                <w:vertAlign w:val="subscript"/>
              </w:rPr>
              <w:t>4</w:t>
            </w:r>
            <w:r>
              <w:rPr>
                <w:color w:val="000000"/>
                <w:szCs w:val="24"/>
                <w:vertAlign w:val="superscript"/>
              </w:rPr>
              <w:t>=</w:t>
            </w:r>
          </w:p>
        </w:tc>
        <w:tc>
          <w:tcPr>
            <w:tcW w:w="9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441C23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  <w:r>
              <w:rPr>
                <w:color w:val="000000"/>
                <w:szCs w:val="24"/>
                <w:vertAlign w:val="subscript"/>
              </w:rPr>
              <w:t>2</w:t>
            </w:r>
            <w:r>
              <w:rPr>
                <w:color w:val="000000"/>
                <w:szCs w:val="24"/>
                <w:vertAlign w:val="superscript"/>
              </w:rPr>
              <w:t>0</w:t>
            </w:r>
            <w:r>
              <w:rPr>
                <w:color w:val="000000"/>
                <w:szCs w:val="24"/>
              </w:rPr>
              <w:t>–C</w:t>
            </w:r>
            <w:r>
              <w:rPr>
                <w:color w:val="000000"/>
                <w:szCs w:val="24"/>
                <w:vertAlign w:val="subscript"/>
              </w:rPr>
              <w:t>4</w:t>
            </w:r>
            <w:r>
              <w:rPr>
                <w:color w:val="000000"/>
                <w:szCs w:val="24"/>
                <w:vertAlign w:val="superscript"/>
              </w:rPr>
              <w:t>0</w:t>
            </w:r>
          </w:p>
        </w:tc>
        <w:tc>
          <w:tcPr>
            <w:tcW w:w="74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C5CF1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  <w:r>
              <w:rPr>
                <w:color w:val="000000"/>
                <w:szCs w:val="24"/>
                <w:vertAlign w:val="subscript"/>
              </w:rPr>
              <w:t>5+</w:t>
            </w:r>
          </w:p>
        </w:tc>
        <w:tc>
          <w:tcPr>
            <w:tcW w:w="93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A5936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Ar</w:t>
            </w:r>
            <w:r>
              <w:rPr>
                <w:rFonts w:hint="eastAsia"/>
                <w:szCs w:val="24"/>
              </w:rPr>
              <w:t>o.</w:t>
            </w:r>
          </w:p>
        </w:tc>
        <w:tc>
          <w:tcPr>
            <w:tcW w:w="753" w:type="dxa"/>
            <w:vMerge w:val="continue"/>
            <w:tcBorders>
              <w:bottom w:val="single" w:color="auto" w:sz="4" w:space="0"/>
            </w:tcBorders>
            <w:vAlign w:val="center"/>
          </w:tcPr>
          <w:p w14:paraId="1F1469D4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96" w:type="dxa"/>
            <w:vMerge w:val="continue"/>
            <w:tcBorders>
              <w:bottom w:val="single" w:color="auto" w:sz="4" w:space="0"/>
            </w:tcBorders>
          </w:tcPr>
          <w:p w14:paraId="6D2C9F36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</w:tr>
      <w:tr w14:paraId="05EE6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51" w:type="dxa"/>
            <w:vMerge w:val="restart"/>
            <w:tcBorders>
              <w:top w:val="single" w:color="auto" w:sz="4" w:space="0"/>
            </w:tcBorders>
            <w:vAlign w:val="center"/>
          </w:tcPr>
          <w:p w14:paraId="5D77BE5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Z5</w:t>
            </w:r>
            <w:r>
              <w:rPr>
                <w:szCs w:val="24"/>
                <w:vertAlign w:val="superscript"/>
              </w:rPr>
              <w:t>a</w:t>
            </w:r>
          </w:p>
        </w:tc>
        <w:tc>
          <w:tcPr>
            <w:tcW w:w="1361" w:type="dxa"/>
            <w:tcBorders>
              <w:top w:val="single" w:color="auto" w:sz="4" w:space="0"/>
            </w:tcBorders>
            <w:vAlign w:val="center"/>
          </w:tcPr>
          <w:p w14:paraId="55CED39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  <w:r>
              <w:rPr>
                <w:rFonts w:hint="eastAsia"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83" w:type="dxa"/>
            <w:tcBorders>
              <w:top w:val="single" w:color="auto" w:sz="4" w:space="0"/>
            </w:tcBorders>
            <w:vAlign w:val="center"/>
          </w:tcPr>
          <w:p w14:paraId="7A9857F0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100.0</w:t>
            </w:r>
          </w:p>
        </w:tc>
        <w:tc>
          <w:tcPr>
            <w:tcW w:w="748" w:type="dxa"/>
            <w:tcBorders>
              <w:top w:val="single" w:color="auto" w:sz="4" w:space="0"/>
            </w:tcBorders>
            <w:vAlign w:val="center"/>
          </w:tcPr>
          <w:p w14:paraId="41729DB4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0.4</w:t>
            </w:r>
          </w:p>
        </w:tc>
        <w:tc>
          <w:tcPr>
            <w:tcW w:w="755" w:type="dxa"/>
            <w:tcBorders>
              <w:top w:val="single" w:color="auto" w:sz="4" w:space="0"/>
            </w:tcBorders>
            <w:vAlign w:val="center"/>
          </w:tcPr>
          <w:p w14:paraId="6518E49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41.6</w:t>
            </w:r>
          </w:p>
        </w:tc>
        <w:tc>
          <w:tcPr>
            <w:tcW w:w="934" w:type="dxa"/>
            <w:tcBorders>
              <w:top w:val="single" w:color="auto" w:sz="4" w:space="0"/>
            </w:tcBorders>
            <w:vAlign w:val="center"/>
          </w:tcPr>
          <w:p w14:paraId="070786A0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8.4</w:t>
            </w:r>
          </w:p>
        </w:tc>
        <w:tc>
          <w:tcPr>
            <w:tcW w:w="745" w:type="dxa"/>
            <w:tcBorders>
              <w:top w:val="single" w:color="auto" w:sz="4" w:space="0"/>
            </w:tcBorders>
            <w:vAlign w:val="center"/>
          </w:tcPr>
          <w:p w14:paraId="46C459F4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16.2</w:t>
            </w:r>
          </w:p>
        </w:tc>
        <w:tc>
          <w:tcPr>
            <w:tcW w:w="933" w:type="dxa"/>
            <w:tcBorders>
              <w:top w:val="single" w:color="auto" w:sz="4" w:space="0"/>
            </w:tcBorders>
            <w:vAlign w:val="center"/>
          </w:tcPr>
          <w:p w14:paraId="75BBB77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33.4</w:t>
            </w:r>
          </w:p>
        </w:tc>
        <w:tc>
          <w:tcPr>
            <w:tcW w:w="753" w:type="dxa"/>
            <w:tcBorders>
              <w:top w:val="single" w:color="auto" w:sz="4" w:space="0"/>
            </w:tcBorders>
            <w:vAlign w:val="center"/>
          </w:tcPr>
          <w:p w14:paraId="3D7A1132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21.3</w:t>
            </w:r>
          </w:p>
        </w:tc>
        <w:tc>
          <w:tcPr>
            <w:tcW w:w="1196" w:type="dxa"/>
            <w:tcBorders>
              <w:top w:val="single" w:color="auto" w:sz="4" w:space="0"/>
            </w:tcBorders>
            <w:vAlign w:val="center"/>
          </w:tcPr>
          <w:p w14:paraId="0EF2713A">
            <w:pPr>
              <w:widowControl/>
              <w:spacing w:line="360" w:lineRule="auto"/>
              <w:jc w:val="center"/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63.7</w:t>
            </w:r>
          </w:p>
        </w:tc>
      </w:tr>
      <w:tr w14:paraId="0C0CA0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51" w:type="dxa"/>
            <w:vMerge w:val="continue"/>
            <w:tcBorders>
              <w:bottom w:val="single" w:color="auto" w:sz="4" w:space="0"/>
            </w:tcBorders>
            <w:vAlign w:val="center"/>
          </w:tcPr>
          <w:p w14:paraId="26928487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361" w:type="dxa"/>
            <w:tcBorders>
              <w:bottom w:val="single" w:color="auto" w:sz="4" w:space="0"/>
            </w:tcBorders>
            <w:vAlign w:val="center"/>
          </w:tcPr>
          <w:p w14:paraId="5DF2E71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83" w:type="dxa"/>
            <w:tcBorders>
              <w:bottom w:val="single" w:color="auto" w:sz="4" w:space="0"/>
            </w:tcBorders>
            <w:vAlign w:val="center"/>
          </w:tcPr>
          <w:p w14:paraId="4A98321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99.9</w:t>
            </w:r>
          </w:p>
        </w:tc>
        <w:tc>
          <w:tcPr>
            <w:tcW w:w="748" w:type="dxa"/>
            <w:tcBorders>
              <w:bottom w:val="single" w:color="auto" w:sz="4" w:space="0"/>
            </w:tcBorders>
            <w:vAlign w:val="center"/>
          </w:tcPr>
          <w:p w14:paraId="4BC6D3A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0.3</w:t>
            </w:r>
          </w:p>
        </w:tc>
        <w:tc>
          <w:tcPr>
            <w:tcW w:w="755" w:type="dxa"/>
            <w:tcBorders>
              <w:bottom w:val="single" w:color="auto" w:sz="4" w:space="0"/>
            </w:tcBorders>
            <w:vAlign w:val="center"/>
          </w:tcPr>
          <w:p w14:paraId="25B1AC9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37.2</w:t>
            </w:r>
          </w:p>
        </w:tc>
        <w:tc>
          <w:tcPr>
            <w:tcW w:w="934" w:type="dxa"/>
            <w:tcBorders>
              <w:bottom w:val="single" w:color="auto" w:sz="4" w:space="0"/>
            </w:tcBorders>
            <w:vAlign w:val="center"/>
          </w:tcPr>
          <w:p w14:paraId="2C3611C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9.1</w:t>
            </w:r>
          </w:p>
        </w:tc>
        <w:tc>
          <w:tcPr>
            <w:tcW w:w="745" w:type="dxa"/>
            <w:tcBorders>
              <w:bottom w:val="single" w:color="auto" w:sz="4" w:space="0"/>
            </w:tcBorders>
            <w:vAlign w:val="center"/>
          </w:tcPr>
          <w:p w14:paraId="3155476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29.7</w:t>
            </w:r>
          </w:p>
        </w:tc>
        <w:tc>
          <w:tcPr>
            <w:tcW w:w="933" w:type="dxa"/>
            <w:tcBorders>
              <w:bottom w:val="single" w:color="auto" w:sz="4" w:space="0"/>
            </w:tcBorders>
            <w:vAlign w:val="center"/>
          </w:tcPr>
          <w:p w14:paraId="2FA200A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23.7</w:t>
            </w:r>
          </w:p>
        </w:tc>
        <w:tc>
          <w:tcPr>
            <w:tcW w:w="753" w:type="dxa"/>
            <w:tcBorders>
              <w:bottom w:val="single" w:color="auto" w:sz="4" w:space="0"/>
            </w:tcBorders>
            <w:vAlign w:val="center"/>
          </w:tcPr>
          <w:p w14:paraId="7500019F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12.7</w:t>
            </w:r>
          </w:p>
        </w:tc>
        <w:tc>
          <w:tcPr>
            <w:tcW w:w="1196" w:type="dxa"/>
            <w:tcBorders>
              <w:bottom w:val="single" w:color="auto" w:sz="4" w:space="0"/>
            </w:tcBorders>
            <w:vAlign w:val="center"/>
          </w:tcPr>
          <w:p w14:paraId="1C4B33BD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53.5</w:t>
            </w:r>
          </w:p>
        </w:tc>
      </w:tr>
      <w:tr w14:paraId="48503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51" w:type="dxa"/>
            <w:vMerge w:val="restart"/>
            <w:tcBorders>
              <w:top w:val="single" w:color="auto" w:sz="4" w:space="0"/>
            </w:tcBorders>
            <w:vAlign w:val="center"/>
          </w:tcPr>
          <w:p w14:paraId="5B7AA7C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2SP34/Z5</w:t>
            </w:r>
            <w:r>
              <w:rPr>
                <w:szCs w:val="24"/>
                <w:vertAlign w:val="superscript"/>
              </w:rPr>
              <w:t>a</w:t>
            </w:r>
          </w:p>
        </w:tc>
        <w:tc>
          <w:tcPr>
            <w:tcW w:w="1361" w:type="dxa"/>
            <w:tcBorders>
              <w:top w:val="single" w:color="auto" w:sz="4" w:space="0"/>
            </w:tcBorders>
            <w:vAlign w:val="center"/>
          </w:tcPr>
          <w:p w14:paraId="0B82BFEE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  <w:r>
              <w:rPr>
                <w:rFonts w:hint="eastAsia"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83" w:type="dxa"/>
            <w:tcBorders>
              <w:top w:val="single" w:color="auto" w:sz="4" w:space="0"/>
            </w:tcBorders>
            <w:vAlign w:val="center"/>
          </w:tcPr>
          <w:p w14:paraId="3209CA0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100.0</w:t>
            </w:r>
          </w:p>
        </w:tc>
        <w:tc>
          <w:tcPr>
            <w:tcW w:w="748" w:type="dxa"/>
            <w:tcBorders>
              <w:top w:val="single" w:color="auto" w:sz="4" w:space="0"/>
            </w:tcBorders>
            <w:vAlign w:val="center"/>
          </w:tcPr>
          <w:p w14:paraId="3C97593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0.4</w:t>
            </w:r>
          </w:p>
        </w:tc>
        <w:tc>
          <w:tcPr>
            <w:tcW w:w="755" w:type="dxa"/>
            <w:tcBorders>
              <w:top w:val="single" w:color="auto" w:sz="4" w:space="0"/>
            </w:tcBorders>
            <w:vAlign w:val="center"/>
          </w:tcPr>
          <w:p w14:paraId="1546461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58.0</w:t>
            </w:r>
          </w:p>
        </w:tc>
        <w:tc>
          <w:tcPr>
            <w:tcW w:w="934" w:type="dxa"/>
            <w:tcBorders>
              <w:top w:val="single" w:color="auto" w:sz="4" w:space="0"/>
            </w:tcBorders>
            <w:vAlign w:val="center"/>
          </w:tcPr>
          <w:p w14:paraId="43FB68D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11.9</w:t>
            </w:r>
          </w:p>
        </w:tc>
        <w:tc>
          <w:tcPr>
            <w:tcW w:w="745" w:type="dxa"/>
            <w:tcBorders>
              <w:top w:val="single" w:color="auto" w:sz="4" w:space="0"/>
            </w:tcBorders>
            <w:vAlign w:val="center"/>
          </w:tcPr>
          <w:p w14:paraId="1EF12E4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21.7</w:t>
            </w:r>
          </w:p>
        </w:tc>
        <w:tc>
          <w:tcPr>
            <w:tcW w:w="933" w:type="dxa"/>
            <w:tcBorders>
              <w:top w:val="single" w:color="auto" w:sz="4" w:space="0"/>
            </w:tcBorders>
            <w:vAlign w:val="center"/>
          </w:tcPr>
          <w:p w14:paraId="258972E0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8.1</w:t>
            </w:r>
          </w:p>
        </w:tc>
        <w:tc>
          <w:tcPr>
            <w:tcW w:w="753" w:type="dxa"/>
            <w:tcBorders>
              <w:top w:val="single" w:color="auto" w:sz="4" w:space="0"/>
            </w:tcBorders>
            <w:vAlign w:val="center"/>
          </w:tcPr>
          <w:p w14:paraId="2508B260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5.1</w:t>
            </w:r>
          </w:p>
        </w:tc>
        <w:tc>
          <w:tcPr>
            <w:tcW w:w="1196" w:type="dxa"/>
            <w:tcBorders>
              <w:top w:val="single" w:color="auto" w:sz="4" w:space="0"/>
            </w:tcBorders>
            <w:vAlign w:val="center"/>
          </w:tcPr>
          <w:p w14:paraId="59AFCCCA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63.4</w:t>
            </w:r>
          </w:p>
        </w:tc>
      </w:tr>
      <w:tr w14:paraId="50F8B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51" w:type="dxa"/>
            <w:vMerge w:val="continue"/>
            <w:tcBorders>
              <w:bottom w:val="single" w:color="auto" w:sz="4" w:space="0"/>
            </w:tcBorders>
            <w:vAlign w:val="center"/>
          </w:tcPr>
          <w:p w14:paraId="48A3AF63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361" w:type="dxa"/>
            <w:tcBorders>
              <w:bottom w:val="single" w:color="auto" w:sz="4" w:space="0"/>
            </w:tcBorders>
            <w:vAlign w:val="center"/>
          </w:tcPr>
          <w:p w14:paraId="4A8C4F04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83" w:type="dxa"/>
            <w:tcBorders>
              <w:bottom w:val="single" w:color="auto" w:sz="4" w:space="0"/>
            </w:tcBorders>
            <w:vAlign w:val="center"/>
          </w:tcPr>
          <w:p w14:paraId="03C0356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99.9</w:t>
            </w:r>
          </w:p>
        </w:tc>
        <w:tc>
          <w:tcPr>
            <w:tcW w:w="748" w:type="dxa"/>
            <w:tcBorders>
              <w:bottom w:val="single" w:color="auto" w:sz="4" w:space="0"/>
            </w:tcBorders>
            <w:vAlign w:val="center"/>
          </w:tcPr>
          <w:p w14:paraId="7FCE82C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0.4</w:t>
            </w:r>
          </w:p>
        </w:tc>
        <w:tc>
          <w:tcPr>
            <w:tcW w:w="755" w:type="dxa"/>
            <w:tcBorders>
              <w:bottom w:val="single" w:color="auto" w:sz="4" w:space="0"/>
            </w:tcBorders>
            <w:vAlign w:val="center"/>
          </w:tcPr>
          <w:p w14:paraId="307C8AA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59.3</w:t>
            </w:r>
          </w:p>
        </w:tc>
        <w:tc>
          <w:tcPr>
            <w:tcW w:w="934" w:type="dxa"/>
            <w:tcBorders>
              <w:bottom w:val="single" w:color="auto" w:sz="4" w:space="0"/>
            </w:tcBorders>
            <w:vAlign w:val="center"/>
          </w:tcPr>
          <w:p w14:paraId="34E0DC1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11.7</w:t>
            </w:r>
          </w:p>
        </w:tc>
        <w:tc>
          <w:tcPr>
            <w:tcW w:w="745" w:type="dxa"/>
            <w:tcBorders>
              <w:bottom w:val="single" w:color="auto" w:sz="4" w:space="0"/>
            </w:tcBorders>
            <w:vAlign w:val="center"/>
          </w:tcPr>
          <w:p w14:paraId="31688F5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21.8</w:t>
            </w:r>
          </w:p>
        </w:tc>
        <w:tc>
          <w:tcPr>
            <w:tcW w:w="933" w:type="dxa"/>
            <w:tcBorders>
              <w:bottom w:val="single" w:color="auto" w:sz="4" w:space="0"/>
            </w:tcBorders>
            <w:vAlign w:val="center"/>
          </w:tcPr>
          <w:p w14:paraId="134FB16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6.8</w:t>
            </w:r>
          </w:p>
        </w:tc>
        <w:tc>
          <w:tcPr>
            <w:tcW w:w="753" w:type="dxa"/>
            <w:tcBorders>
              <w:bottom w:val="single" w:color="auto" w:sz="4" w:space="0"/>
            </w:tcBorders>
            <w:vAlign w:val="center"/>
          </w:tcPr>
          <w:p w14:paraId="7356A4F8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4.0</w:t>
            </w:r>
          </w:p>
        </w:tc>
        <w:tc>
          <w:tcPr>
            <w:tcW w:w="1196" w:type="dxa"/>
            <w:tcBorders>
              <w:bottom w:val="single" w:color="auto" w:sz="4" w:space="0"/>
            </w:tcBorders>
            <w:vAlign w:val="center"/>
          </w:tcPr>
          <w:p w14:paraId="5E03C064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59.6</w:t>
            </w:r>
          </w:p>
        </w:tc>
      </w:tr>
      <w:tr w14:paraId="5270C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51" w:type="dxa"/>
            <w:vMerge w:val="restart"/>
            <w:tcBorders>
              <w:top w:val="single" w:color="auto" w:sz="4" w:space="0"/>
            </w:tcBorders>
            <w:vAlign w:val="center"/>
          </w:tcPr>
          <w:p w14:paraId="70AD875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2SP34/Z5</w:t>
            </w:r>
            <w:r>
              <w:rPr>
                <w:szCs w:val="24"/>
                <w:vertAlign w:val="superscript"/>
              </w:rPr>
              <w:t>b</w:t>
            </w:r>
          </w:p>
        </w:tc>
        <w:tc>
          <w:tcPr>
            <w:tcW w:w="1361" w:type="dxa"/>
            <w:tcBorders>
              <w:top w:val="single" w:color="auto" w:sz="4" w:space="0"/>
            </w:tcBorders>
            <w:vAlign w:val="center"/>
          </w:tcPr>
          <w:p w14:paraId="4C2E82A7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  <w:r>
              <w:rPr>
                <w:rFonts w:hint="eastAsia"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83" w:type="dxa"/>
            <w:tcBorders>
              <w:top w:val="single" w:color="auto" w:sz="4" w:space="0"/>
            </w:tcBorders>
            <w:vAlign w:val="center"/>
          </w:tcPr>
          <w:p w14:paraId="2F571D5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100.0</w:t>
            </w:r>
          </w:p>
        </w:tc>
        <w:tc>
          <w:tcPr>
            <w:tcW w:w="748" w:type="dxa"/>
            <w:tcBorders>
              <w:top w:val="single" w:color="auto" w:sz="4" w:space="0"/>
            </w:tcBorders>
            <w:vAlign w:val="center"/>
          </w:tcPr>
          <w:p w14:paraId="3C0DF9F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0.4</w:t>
            </w:r>
          </w:p>
        </w:tc>
        <w:tc>
          <w:tcPr>
            <w:tcW w:w="755" w:type="dxa"/>
            <w:tcBorders>
              <w:top w:val="single" w:color="auto" w:sz="4" w:space="0"/>
            </w:tcBorders>
            <w:vAlign w:val="center"/>
          </w:tcPr>
          <w:p w14:paraId="7F3C0EC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47.6</w:t>
            </w:r>
          </w:p>
        </w:tc>
        <w:tc>
          <w:tcPr>
            <w:tcW w:w="934" w:type="dxa"/>
            <w:tcBorders>
              <w:top w:val="single" w:color="auto" w:sz="4" w:space="0"/>
            </w:tcBorders>
            <w:vAlign w:val="center"/>
          </w:tcPr>
          <w:p w14:paraId="3E1037D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11.1</w:t>
            </w:r>
          </w:p>
        </w:tc>
        <w:tc>
          <w:tcPr>
            <w:tcW w:w="745" w:type="dxa"/>
            <w:tcBorders>
              <w:top w:val="single" w:color="auto" w:sz="4" w:space="0"/>
            </w:tcBorders>
            <w:vAlign w:val="center"/>
          </w:tcPr>
          <w:p w14:paraId="0F3B3901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23.0</w:t>
            </w:r>
          </w:p>
        </w:tc>
        <w:tc>
          <w:tcPr>
            <w:tcW w:w="933" w:type="dxa"/>
            <w:tcBorders>
              <w:top w:val="single" w:color="auto" w:sz="4" w:space="0"/>
            </w:tcBorders>
            <w:vAlign w:val="center"/>
          </w:tcPr>
          <w:p w14:paraId="6E06A58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17.9</w:t>
            </w:r>
          </w:p>
        </w:tc>
        <w:tc>
          <w:tcPr>
            <w:tcW w:w="753" w:type="dxa"/>
            <w:tcBorders>
              <w:top w:val="single" w:color="auto" w:sz="4" w:space="0"/>
            </w:tcBorders>
            <w:vAlign w:val="center"/>
          </w:tcPr>
          <w:p w14:paraId="10099898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10.7</w:t>
            </w:r>
          </w:p>
        </w:tc>
        <w:tc>
          <w:tcPr>
            <w:tcW w:w="1196" w:type="dxa"/>
            <w:tcBorders>
              <w:top w:val="single" w:color="auto" w:sz="4" w:space="0"/>
            </w:tcBorders>
            <w:vAlign w:val="center"/>
          </w:tcPr>
          <w:p w14:paraId="5B2FC3A0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59.8</w:t>
            </w:r>
          </w:p>
        </w:tc>
      </w:tr>
      <w:tr w14:paraId="6AF36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51" w:type="dxa"/>
            <w:vMerge w:val="continue"/>
            <w:tcBorders>
              <w:bottom w:val="single" w:color="auto" w:sz="4" w:space="0"/>
            </w:tcBorders>
            <w:vAlign w:val="center"/>
          </w:tcPr>
          <w:p w14:paraId="4C2CBFEC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361" w:type="dxa"/>
            <w:tcBorders>
              <w:bottom w:val="single" w:color="auto" w:sz="4" w:space="0"/>
            </w:tcBorders>
            <w:vAlign w:val="center"/>
          </w:tcPr>
          <w:p w14:paraId="6BCB96E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83" w:type="dxa"/>
            <w:tcBorders>
              <w:bottom w:val="single" w:color="auto" w:sz="4" w:space="0"/>
            </w:tcBorders>
            <w:vAlign w:val="center"/>
          </w:tcPr>
          <w:p w14:paraId="7C68F16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99.9</w:t>
            </w:r>
          </w:p>
        </w:tc>
        <w:tc>
          <w:tcPr>
            <w:tcW w:w="748" w:type="dxa"/>
            <w:tcBorders>
              <w:bottom w:val="single" w:color="auto" w:sz="4" w:space="0"/>
            </w:tcBorders>
            <w:vAlign w:val="center"/>
          </w:tcPr>
          <w:p w14:paraId="61022CB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0.4</w:t>
            </w:r>
          </w:p>
        </w:tc>
        <w:tc>
          <w:tcPr>
            <w:tcW w:w="755" w:type="dxa"/>
            <w:tcBorders>
              <w:bottom w:val="single" w:color="auto" w:sz="4" w:space="0"/>
            </w:tcBorders>
            <w:vAlign w:val="center"/>
          </w:tcPr>
          <w:p w14:paraId="2B7A9E7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41.6</w:t>
            </w:r>
          </w:p>
        </w:tc>
        <w:tc>
          <w:tcPr>
            <w:tcW w:w="934" w:type="dxa"/>
            <w:tcBorders>
              <w:bottom w:val="single" w:color="auto" w:sz="4" w:space="0"/>
            </w:tcBorders>
            <w:vAlign w:val="center"/>
          </w:tcPr>
          <w:p w14:paraId="1A1EB665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10.9</w:t>
            </w:r>
          </w:p>
        </w:tc>
        <w:tc>
          <w:tcPr>
            <w:tcW w:w="745" w:type="dxa"/>
            <w:tcBorders>
              <w:bottom w:val="single" w:color="auto" w:sz="4" w:space="0"/>
            </w:tcBorders>
            <w:vAlign w:val="center"/>
          </w:tcPr>
          <w:p w14:paraId="2747EEC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30.2</w:t>
            </w:r>
          </w:p>
        </w:tc>
        <w:tc>
          <w:tcPr>
            <w:tcW w:w="933" w:type="dxa"/>
            <w:tcBorders>
              <w:bottom w:val="single" w:color="auto" w:sz="4" w:space="0"/>
            </w:tcBorders>
            <w:vAlign w:val="center"/>
          </w:tcPr>
          <w:p w14:paraId="0D9FF09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17.0</w:t>
            </w:r>
          </w:p>
        </w:tc>
        <w:tc>
          <w:tcPr>
            <w:tcW w:w="753" w:type="dxa"/>
            <w:tcBorders>
              <w:bottom w:val="single" w:color="auto" w:sz="4" w:space="0"/>
            </w:tcBorders>
            <w:vAlign w:val="center"/>
          </w:tcPr>
          <w:p w14:paraId="4BDE3982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9.3</w:t>
            </w:r>
          </w:p>
        </w:tc>
        <w:tc>
          <w:tcPr>
            <w:tcW w:w="1196" w:type="dxa"/>
            <w:tcBorders>
              <w:bottom w:val="single" w:color="auto" w:sz="4" w:space="0"/>
            </w:tcBorders>
            <w:vAlign w:val="center"/>
          </w:tcPr>
          <w:p w14:paraId="275109D8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54.6</w:t>
            </w:r>
          </w:p>
        </w:tc>
      </w:tr>
    </w:tbl>
    <w:p w14:paraId="7990C565">
      <w:pPr>
        <w:widowControl/>
        <w:spacing w:line="360" w:lineRule="auto"/>
      </w:pPr>
      <w:r>
        <w:t>Reaction conditions:</w:t>
      </w:r>
      <w:r>
        <w:rPr>
          <w:rFonts w:hint="eastAsia"/>
        </w:rPr>
        <w:t xml:space="preserve"> 320</w:t>
      </w:r>
      <w:r>
        <w:t xml:space="preserve"> </w:t>
      </w:r>
      <w:r>
        <w:rPr>
          <w:szCs w:val="24"/>
          <w:vertAlign w:val="superscript"/>
        </w:rPr>
        <w:t>o</w:t>
      </w:r>
      <w:r>
        <w:rPr>
          <w:szCs w:val="24"/>
        </w:rPr>
        <w:t>C</w:t>
      </w:r>
      <w:r>
        <w:rPr>
          <w:rFonts w:hint="eastAsia"/>
          <w:szCs w:val="24"/>
        </w:rPr>
        <w:t xml:space="preserve">, </w:t>
      </w:r>
      <w:r>
        <w:t>0.1 MPa, Carrier gas (Ar) flow rate =25 mL min</w:t>
      </w:r>
      <w:r>
        <w:rPr>
          <w:vertAlign w:val="superscript"/>
        </w:rPr>
        <w:t>–1</w:t>
      </w:r>
      <w:r>
        <w:t xml:space="preserve">. Mass of loaded catalyst: </w:t>
      </w:r>
      <w:r>
        <w:rPr>
          <w:vertAlign w:val="superscript"/>
        </w:rPr>
        <w:t>a</w:t>
      </w:r>
      <w:r>
        <w:t xml:space="preserve"> 0.5 g, </w:t>
      </w:r>
      <w:r>
        <w:rPr>
          <w:vertAlign w:val="superscript"/>
        </w:rPr>
        <w:t>b</w:t>
      </w:r>
      <w:r>
        <w:t xml:space="preserve"> 1.5 g. </w:t>
      </w:r>
    </w:p>
    <w:p w14:paraId="2AA0CEB1">
      <w:pPr>
        <w:widowControl/>
        <w:jc w:val="left"/>
        <w:rPr>
          <w:b/>
          <w:bCs/>
        </w:rPr>
      </w:pPr>
    </w:p>
    <w:p w14:paraId="0E982D56">
      <w:pPr>
        <w:widowControl/>
        <w:jc w:val="left"/>
        <w:rPr>
          <w:b/>
          <w:bCs/>
        </w:rPr>
      </w:pPr>
      <w:r>
        <w:rPr>
          <w:b/>
          <w:bCs/>
        </w:rPr>
        <w:br w:type="page"/>
      </w:r>
    </w:p>
    <w:p w14:paraId="0D8444BF">
      <w:pPr>
        <w:pStyle w:val="22"/>
        <w:jc w:val="both"/>
        <w:rPr>
          <w:rFonts w:cs="Times New Roman"/>
          <w:sz w:val="24"/>
          <w:szCs w:val="24"/>
          <w:vertAlign w:val="superscript"/>
        </w:rPr>
      </w:pPr>
      <w:r>
        <w:rPr>
          <w:rFonts w:cs="Times New Roman"/>
          <w:b/>
          <w:bCs/>
          <w:color w:val="000000"/>
          <w:sz w:val="24"/>
          <w:szCs w:val="24"/>
        </w:rPr>
        <w:t xml:space="preserve">Table </w:t>
      </w:r>
      <w:r>
        <w:rPr>
          <w:rFonts w:hint="eastAsia" w:cs="Times New Roman"/>
          <w:b/>
          <w:bCs/>
          <w:color w:val="000000"/>
          <w:sz w:val="24"/>
          <w:szCs w:val="24"/>
        </w:rPr>
        <w:t>S14.</w:t>
      </w:r>
      <w:r>
        <w:rPr>
          <w:rFonts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Aromatics distributions </w:t>
      </w:r>
      <w:r>
        <w:rPr>
          <w:rFonts w:hint="eastAsia" w:cs="Times New Roman"/>
          <w:sz w:val="24"/>
          <w:szCs w:val="24"/>
        </w:rPr>
        <w:t>of m</w:t>
      </w:r>
      <w:r>
        <w:rPr>
          <w:rFonts w:cs="Times New Roman"/>
          <w:sz w:val="24"/>
          <w:szCs w:val="24"/>
        </w:rPr>
        <w:t>ethanol conversion</w:t>
      </w:r>
      <w:r>
        <w:rPr>
          <w:rFonts w:hint="eastAsia"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over Z5 and 2SP34/Z5.</w:t>
      </w:r>
    </w:p>
    <w:tbl>
      <w:tblPr>
        <w:tblStyle w:val="7"/>
        <w:tblW w:w="5000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1702"/>
        <w:gridCol w:w="759"/>
        <w:gridCol w:w="763"/>
        <w:gridCol w:w="763"/>
        <w:gridCol w:w="919"/>
        <w:gridCol w:w="764"/>
        <w:gridCol w:w="920"/>
        <w:gridCol w:w="922"/>
      </w:tblGrid>
      <w:tr w14:paraId="5EA3D84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restart"/>
            <w:tcBorders>
              <w:right w:val="nil"/>
            </w:tcBorders>
            <w:vAlign w:val="center"/>
          </w:tcPr>
          <w:p w14:paraId="2D6ABAA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Catalysts</w:t>
            </w:r>
          </w:p>
        </w:tc>
        <w:tc>
          <w:tcPr>
            <w:tcW w:w="883" w:type="pct"/>
            <w:vMerge w:val="restart"/>
            <w:tcBorders>
              <w:bottom w:val="single" w:color="auto" w:sz="4" w:space="0"/>
              <w:right w:val="nil"/>
            </w:tcBorders>
            <w:vAlign w:val="center"/>
          </w:tcPr>
          <w:p w14:paraId="264DFCAD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color w:val="000000"/>
                <w:szCs w:val="24"/>
              </w:rPr>
              <w:t>MeOH</w:t>
            </w:r>
            <w:r>
              <w:rPr>
                <w:rFonts w:hint="eastAsia"/>
                <w:color w:val="000000"/>
                <w:szCs w:val="24"/>
              </w:rPr>
              <w:t xml:space="preserve"> WHSV</w:t>
            </w:r>
            <w:r>
              <w:rPr>
                <w:color w:val="000000"/>
                <w:szCs w:val="24"/>
              </w:rPr>
              <w:t xml:space="preserve"> (</w:t>
            </w:r>
            <w:r>
              <w:rPr>
                <w:rFonts w:hint="eastAsia"/>
                <w:color w:val="000000"/>
                <w:szCs w:val="24"/>
              </w:rPr>
              <w:t>h</w:t>
            </w:r>
            <w:r>
              <w:rPr>
                <w:color w:val="000000"/>
                <w:szCs w:val="24"/>
                <w:vertAlign w:val="superscript"/>
              </w:rPr>
              <w:t>–1</w:t>
            </w:r>
            <w:r>
              <w:rPr>
                <w:color w:val="000000"/>
                <w:szCs w:val="24"/>
              </w:rPr>
              <w:t>)</w:t>
            </w:r>
          </w:p>
        </w:tc>
        <w:tc>
          <w:tcPr>
            <w:tcW w:w="3013" w:type="pct"/>
            <w:gridSpan w:val="7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 w14:paraId="18E32F8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Aromatic selectivity (%)</w:t>
            </w:r>
          </w:p>
        </w:tc>
      </w:tr>
      <w:tr w14:paraId="776C0C8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continue"/>
            <w:tcBorders>
              <w:bottom w:val="single" w:color="auto" w:sz="4" w:space="0"/>
              <w:right w:val="nil"/>
            </w:tcBorders>
            <w:vAlign w:val="center"/>
          </w:tcPr>
          <w:p w14:paraId="36706BBB">
            <w:pPr>
              <w:pStyle w:val="2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83" w:type="pct"/>
            <w:vMerge w:val="continue"/>
            <w:tcBorders>
              <w:top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4EAC6A57">
            <w:pPr>
              <w:pStyle w:val="2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77869F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B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185105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8D02ED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E</w:t>
            </w:r>
          </w:p>
        </w:tc>
        <w:tc>
          <w:tcPr>
            <w:tcW w:w="47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5A1131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o/p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F6558C8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m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47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E0BAFD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47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164E9D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10</w:t>
            </w:r>
          </w:p>
        </w:tc>
      </w:tr>
      <w:tr w14:paraId="5CBE7FD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restart"/>
            <w:tcBorders>
              <w:right w:val="nil"/>
            </w:tcBorders>
            <w:vAlign w:val="center"/>
          </w:tcPr>
          <w:p w14:paraId="1997A3AD">
            <w:pPr>
              <w:pStyle w:val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Z5</w:t>
            </w:r>
            <w:r>
              <w:rPr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883" w:type="pct"/>
            <w:tcBorders>
              <w:bottom w:val="nil"/>
              <w:right w:val="nil"/>
            </w:tcBorders>
            <w:vAlign w:val="center"/>
          </w:tcPr>
          <w:p w14:paraId="0728DFE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94" w:type="pct"/>
            <w:tcBorders>
              <w:left w:val="nil"/>
              <w:bottom w:val="nil"/>
              <w:right w:val="nil"/>
            </w:tcBorders>
            <w:vAlign w:val="center"/>
          </w:tcPr>
          <w:p w14:paraId="46223A0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16.4</w:t>
            </w:r>
          </w:p>
        </w:tc>
        <w:tc>
          <w:tcPr>
            <w:tcW w:w="396" w:type="pct"/>
            <w:tcBorders>
              <w:left w:val="nil"/>
              <w:bottom w:val="nil"/>
              <w:right w:val="nil"/>
            </w:tcBorders>
            <w:vAlign w:val="center"/>
          </w:tcPr>
          <w:p w14:paraId="2A18A5E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14.0</w:t>
            </w:r>
          </w:p>
        </w:tc>
        <w:tc>
          <w:tcPr>
            <w:tcW w:w="396" w:type="pct"/>
            <w:tcBorders>
              <w:left w:val="nil"/>
              <w:bottom w:val="nil"/>
              <w:right w:val="nil"/>
            </w:tcBorders>
            <w:vAlign w:val="center"/>
          </w:tcPr>
          <w:p w14:paraId="0EA0C7A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3.0</w:t>
            </w:r>
          </w:p>
        </w:tc>
        <w:tc>
          <w:tcPr>
            <w:tcW w:w="477" w:type="pct"/>
            <w:tcBorders>
              <w:left w:val="nil"/>
              <w:bottom w:val="nil"/>
              <w:right w:val="nil"/>
            </w:tcBorders>
            <w:vAlign w:val="center"/>
          </w:tcPr>
          <w:p w14:paraId="4918823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23.7</w:t>
            </w:r>
          </w:p>
        </w:tc>
        <w:tc>
          <w:tcPr>
            <w:tcW w:w="396" w:type="pct"/>
            <w:tcBorders>
              <w:left w:val="nil"/>
              <w:bottom w:val="nil"/>
              <w:right w:val="nil"/>
            </w:tcBorders>
            <w:vAlign w:val="center"/>
          </w:tcPr>
          <w:p w14:paraId="4C47B64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6.6</w:t>
            </w:r>
          </w:p>
        </w:tc>
        <w:tc>
          <w:tcPr>
            <w:tcW w:w="477" w:type="pct"/>
            <w:tcBorders>
              <w:left w:val="nil"/>
              <w:bottom w:val="nil"/>
              <w:right w:val="nil"/>
            </w:tcBorders>
            <w:vAlign w:val="center"/>
          </w:tcPr>
          <w:p w14:paraId="7628437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28.8</w:t>
            </w:r>
          </w:p>
        </w:tc>
        <w:tc>
          <w:tcPr>
            <w:tcW w:w="478" w:type="pct"/>
            <w:tcBorders>
              <w:left w:val="nil"/>
              <w:bottom w:val="nil"/>
              <w:right w:val="nil"/>
            </w:tcBorders>
            <w:vAlign w:val="center"/>
          </w:tcPr>
          <w:p w14:paraId="01B01FBE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7.5</w:t>
            </w:r>
          </w:p>
        </w:tc>
      </w:tr>
      <w:tr w14:paraId="5D5418F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continue"/>
            <w:tcBorders>
              <w:bottom w:val="single" w:color="auto" w:sz="4" w:space="0"/>
              <w:right w:val="nil"/>
            </w:tcBorders>
            <w:vAlign w:val="center"/>
          </w:tcPr>
          <w:p w14:paraId="5FE4F32E">
            <w:pPr>
              <w:pStyle w:val="23"/>
              <w:rPr>
                <w:sz w:val="24"/>
                <w:szCs w:val="24"/>
              </w:rPr>
            </w:pPr>
          </w:p>
        </w:tc>
        <w:tc>
          <w:tcPr>
            <w:tcW w:w="883" w:type="pct"/>
            <w:tcBorders>
              <w:top w:val="nil"/>
              <w:bottom w:val="single" w:color="auto" w:sz="4" w:space="0"/>
              <w:right w:val="nil"/>
            </w:tcBorders>
            <w:vAlign w:val="center"/>
          </w:tcPr>
          <w:p w14:paraId="133AF6FC">
            <w:pPr>
              <w:pStyle w:val="23"/>
              <w:rPr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821DB8A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1.2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5F02D9A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10.2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A123913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3.1</w:t>
            </w:r>
          </w:p>
        </w:tc>
        <w:tc>
          <w:tcPr>
            <w:tcW w:w="47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824565B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32.0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511D3B3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7.0</w:t>
            </w:r>
          </w:p>
        </w:tc>
        <w:tc>
          <w:tcPr>
            <w:tcW w:w="47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7F35092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34.5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C66C304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12.0</w:t>
            </w:r>
          </w:p>
        </w:tc>
      </w:tr>
      <w:tr w14:paraId="38FD52A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restart"/>
            <w:tcBorders>
              <w:top w:val="single" w:color="auto" w:sz="4" w:space="0"/>
              <w:right w:val="nil"/>
            </w:tcBorders>
            <w:vAlign w:val="center"/>
          </w:tcPr>
          <w:p w14:paraId="00F62984">
            <w:pPr>
              <w:pStyle w:val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2SP34/Z5</w:t>
            </w:r>
            <w:r>
              <w:rPr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883" w:type="pct"/>
            <w:tcBorders>
              <w:top w:val="single" w:color="auto" w:sz="4" w:space="0"/>
              <w:bottom w:val="nil"/>
              <w:right w:val="nil"/>
            </w:tcBorders>
            <w:vAlign w:val="center"/>
          </w:tcPr>
          <w:p w14:paraId="7E4F860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94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BD514B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2.4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88821B8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15.7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2982720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4.7</w:t>
            </w:r>
          </w:p>
        </w:tc>
        <w:tc>
          <w:tcPr>
            <w:tcW w:w="477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0C5C41E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34.9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A58A42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5.7</w:t>
            </w:r>
          </w:p>
        </w:tc>
        <w:tc>
          <w:tcPr>
            <w:tcW w:w="477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59DCA8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33.2</w:t>
            </w:r>
          </w:p>
        </w:tc>
        <w:tc>
          <w:tcPr>
            <w:tcW w:w="478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16F6187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3.4</w:t>
            </w:r>
          </w:p>
        </w:tc>
      </w:tr>
      <w:tr w14:paraId="11398B2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continue"/>
            <w:tcBorders>
              <w:bottom w:val="single" w:color="auto" w:sz="4" w:space="0"/>
              <w:right w:val="nil"/>
            </w:tcBorders>
            <w:vAlign w:val="center"/>
          </w:tcPr>
          <w:p w14:paraId="5D2A2876">
            <w:pPr>
              <w:pStyle w:val="23"/>
              <w:rPr>
                <w:sz w:val="24"/>
                <w:szCs w:val="24"/>
              </w:rPr>
            </w:pPr>
          </w:p>
        </w:tc>
        <w:tc>
          <w:tcPr>
            <w:tcW w:w="883" w:type="pct"/>
            <w:tcBorders>
              <w:top w:val="nil"/>
              <w:bottom w:val="single" w:color="auto" w:sz="4" w:space="0"/>
              <w:right w:val="nil"/>
            </w:tcBorders>
            <w:vAlign w:val="center"/>
          </w:tcPr>
          <w:p w14:paraId="6957DB7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A8BD43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1.3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159870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10.0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29E7FE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4.0</w:t>
            </w:r>
          </w:p>
        </w:tc>
        <w:tc>
          <w:tcPr>
            <w:tcW w:w="47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59D584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39.6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05128D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4.6</w:t>
            </w:r>
          </w:p>
        </w:tc>
        <w:tc>
          <w:tcPr>
            <w:tcW w:w="47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99642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34.8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BA4ED8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5.6</w:t>
            </w:r>
          </w:p>
        </w:tc>
      </w:tr>
      <w:tr w14:paraId="7EFC2BB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restart"/>
            <w:tcBorders>
              <w:top w:val="single" w:color="auto" w:sz="4" w:space="0"/>
              <w:right w:val="nil"/>
            </w:tcBorders>
            <w:vAlign w:val="center"/>
          </w:tcPr>
          <w:p w14:paraId="1B0541F2">
            <w:pPr>
              <w:pStyle w:val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2SP34/Z5</w:t>
            </w:r>
            <w:r>
              <w:rPr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883" w:type="pct"/>
            <w:tcBorders>
              <w:top w:val="single" w:color="auto" w:sz="4" w:space="0"/>
              <w:bottom w:val="nil"/>
              <w:right w:val="nil"/>
            </w:tcBorders>
            <w:vAlign w:val="center"/>
          </w:tcPr>
          <w:p w14:paraId="679CC7C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94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04A8673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1.7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B8BBD7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14.2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AF0189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4.2</w:t>
            </w:r>
          </w:p>
        </w:tc>
        <w:tc>
          <w:tcPr>
            <w:tcW w:w="477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77ECC9B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32.1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204A39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7.5</w:t>
            </w:r>
          </w:p>
        </w:tc>
        <w:tc>
          <w:tcPr>
            <w:tcW w:w="477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1705A85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31.9</w:t>
            </w:r>
          </w:p>
        </w:tc>
        <w:tc>
          <w:tcPr>
            <w:tcW w:w="478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F18A198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8.3</w:t>
            </w:r>
          </w:p>
        </w:tc>
      </w:tr>
      <w:tr w14:paraId="0C40084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continue"/>
            <w:tcBorders>
              <w:bottom w:val="single" w:color="auto" w:sz="4" w:space="0"/>
              <w:right w:val="nil"/>
            </w:tcBorders>
            <w:vAlign w:val="center"/>
          </w:tcPr>
          <w:p w14:paraId="5A13B653">
            <w:pPr>
              <w:pStyle w:val="23"/>
              <w:rPr>
                <w:sz w:val="24"/>
                <w:szCs w:val="24"/>
              </w:rPr>
            </w:pPr>
          </w:p>
        </w:tc>
        <w:tc>
          <w:tcPr>
            <w:tcW w:w="883" w:type="pct"/>
            <w:tcBorders>
              <w:top w:val="nil"/>
              <w:bottom w:val="single" w:color="auto" w:sz="4" w:space="0"/>
              <w:right w:val="nil"/>
            </w:tcBorders>
            <w:vAlign w:val="center"/>
          </w:tcPr>
          <w:p w14:paraId="2B251F96">
            <w:pPr>
              <w:pStyle w:val="23"/>
              <w:rPr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A3981C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1.2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B338EC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10.3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3F9FF1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3.3</w:t>
            </w:r>
          </w:p>
        </w:tc>
        <w:tc>
          <w:tcPr>
            <w:tcW w:w="47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8BC5DD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33.7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D69C3D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6.1</w:t>
            </w:r>
          </w:p>
        </w:tc>
        <w:tc>
          <w:tcPr>
            <w:tcW w:w="47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D8A35A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33.2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A38B337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12.1</w:t>
            </w:r>
          </w:p>
        </w:tc>
      </w:tr>
    </w:tbl>
    <w:p w14:paraId="0F89F6E4">
      <w:pPr>
        <w:widowControl/>
        <w:spacing w:line="360" w:lineRule="auto"/>
        <w:rPr>
          <w:b/>
          <w:bCs/>
        </w:rPr>
      </w:pPr>
      <w:r>
        <w:t>Reaction conditions:</w:t>
      </w:r>
      <w:r>
        <w:rPr>
          <w:rFonts w:hint="eastAsia"/>
        </w:rPr>
        <w:t xml:space="preserve"> 320</w:t>
      </w:r>
      <w:r>
        <w:t xml:space="preserve"> </w:t>
      </w:r>
      <w:r>
        <w:rPr>
          <w:szCs w:val="24"/>
          <w:vertAlign w:val="superscript"/>
        </w:rPr>
        <w:t>o</w:t>
      </w:r>
      <w:r>
        <w:rPr>
          <w:szCs w:val="24"/>
        </w:rPr>
        <w:t>C</w:t>
      </w:r>
      <w:r>
        <w:rPr>
          <w:rFonts w:hint="eastAsia"/>
          <w:szCs w:val="24"/>
        </w:rPr>
        <w:t xml:space="preserve">, </w:t>
      </w:r>
      <w:r>
        <w:t>0.1 MPa, Carrier gas (Ar) flow rate =25 mL min</w:t>
      </w:r>
      <w:r>
        <w:rPr>
          <w:vertAlign w:val="superscript"/>
        </w:rPr>
        <w:t>–1</w:t>
      </w:r>
      <w:r>
        <w:t xml:space="preserve">. Mass of loaded catalyst: </w:t>
      </w:r>
      <w:r>
        <w:rPr>
          <w:vertAlign w:val="superscript"/>
        </w:rPr>
        <w:t>a</w:t>
      </w:r>
      <w:r>
        <w:t xml:space="preserve"> 0.5 g, </w:t>
      </w:r>
      <w:r>
        <w:rPr>
          <w:vertAlign w:val="superscript"/>
        </w:rPr>
        <w:t>b</w:t>
      </w:r>
      <w:r>
        <w:t xml:space="preserve"> 1.5 g.</w:t>
      </w:r>
    </w:p>
    <w:p w14:paraId="482D50DF">
      <w:pPr>
        <w:widowControl/>
        <w:jc w:val="left"/>
        <w:rPr>
          <w:b/>
          <w:bCs/>
        </w:rPr>
      </w:pPr>
    </w:p>
    <w:p w14:paraId="01966CB7">
      <w:pPr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</w:rPr>
        <w:br w:type="page"/>
      </w:r>
      <w:r>
        <w:rPr>
          <w:rFonts w:cs="Times New Roman"/>
          <w:b/>
          <w:bCs/>
          <w:color w:val="000000"/>
          <w:szCs w:val="24"/>
        </w:rPr>
        <w:t xml:space="preserve">Table </w:t>
      </w:r>
      <w:r>
        <w:rPr>
          <w:rFonts w:hint="eastAsia" w:cs="Times New Roman"/>
          <w:b/>
          <w:bCs/>
          <w:color w:val="000000"/>
          <w:szCs w:val="24"/>
        </w:rPr>
        <w:t>S15.</w:t>
      </w:r>
      <w:r>
        <w:rPr>
          <w:rFonts w:cs="Times New Roman"/>
          <w:b/>
          <w:bCs/>
          <w:color w:val="000000"/>
          <w:szCs w:val="24"/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C</w:t>
      </w:r>
      <w:r>
        <w:rPr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H</w:t>
      </w:r>
      <w:r>
        <w:rPr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conversion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cs="Times New Roman"/>
          <w:szCs w:val="24"/>
        </w:rPr>
        <w:t>p</w:t>
      </w:r>
      <w:r>
        <w:rPr>
          <w:rFonts w:cs="Times New Roman"/>
          <w:szCs w:val="24"/>
        </w:rPr>
        <w:t xml:space="preserve">erformance over Z5 </w:t>
      </w:r>
      <w:r>
        <w:rPr>
          <w:rFonts w:hint="eastAsia" w:cs="Times New Roman"/>
          <w:szCs w:val="24"/>
        </w:rPr>
        <w:t>and</w:t>
      </w:r>
      <w:r>
        <w:rPr>
          <w:rFonts w:cs="Times New Roman"/>
          <w:szCs w:val="24"/>
        </w:rPr>
        <w:t xml:space="preserve"> 2SP34/Z5.</w:t>
      </w:r>
    </w:p>
    <w:tbl>
      <w:tblPr>
        <w:tblStyle w:val="8"/>
        <w:tblW w:w="965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7"/>
        <w:gridCol w:w="1275"/>
        <w:gridCol w:w="852"/>
        <w:gridCol w:w="724"/>
        <w:gridCol w:w="986"/>
        <w:gridCol w:w="967"/>
        <w:gridCol w:w="723"/>
        <w:gridCol w:w="877"/>
        <w:gridCol w:w="742"/>
        <w:gridCol w:w="1196"/>
      </w:tblGrid>
      <w:tr w14:paraId="1154E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D569BF">
            <w:pPr>
              <w:widowControl/>
              <w:spacing w:line="36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Catalysts</w:t>
            </w:r>
          </w:p>
        </w:tc>
        <w:tc>
          <w:tcPr>
            <w:tcW w:w="1361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1B94C14">
            <w:pPr>
              <w:spacing w:line="36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  <w:r>
              <w:rPr>
                <w:color w:val="000000"/>
                <w:szCs w:val="24"/>
                <w:vertAlign w:val="subscript"/>
              </w:rPr>
              <w:t>2</w:t>
            </w:r>
            <w:r>
              <w:rPr>
                <w:color w:val="000000"/>
                <w:szCs w:val="24"/>
              </w:rPr>
              <w:t>H</w:t>
            </w:r>
            <w:r>
              <w:rPr>
                <w:color w:val="000000"/>
                <w:szCs w:val="24"/>
                <w:vertAlign w:val="subscript"/>
              </w:rPr>
              <w:t>4</w:t>
            </w:r>
            <w:r>
              <w:rPr>
                <w:rFonts w:hint="eastAsia"/>
                <w:color w:val="000000"/>
                <w:szCs w:val="24"/>
              </w:rPr>
              <w:t xml:space="preserve"> WHSV</w:t>
            </w:r>
            <w:r>
              <w:rPr>
                <w:color w:val="000000"/>
                <w:szCs w:val="24"/>
              </w:rPr>
              <w:t xml:space="preserve"> </w:t>
            </w:r>
          </w:p>
          <w:p w14:paraId="3BA4C89E">
            <w:pPr>
              <w:spacing w:line="36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(</w:t>
            </w:r>
            <w:r>
              <w:rPr>
                <w:rFonts w:hint="eastAsia"/>
                <w:color w:val="000000"/>
                <w:szCs w:val="24"/>
              </w:rPr>
              <w:t>h</w:t>
            </w:r>
            <w:r>
              <w:rPr>
                <w:color w:val="000000"/>
                <w:szCs w:val="24"/>
                <w:vertAlign w:val="superscript"/>
              </w:rPr>
              <w:t>–1</w:t>
            </w:r>
            <w:r>
              <w:rPr>
                <w:color w:val="000000"/>
                <w:szCs w:val="24"/>
              </w:rPr>
              <w:t>)</w:t>
            </w:r>
          </w:p>
        </w:tc>
        <w:tc>
          <w:tcPr>
            <w:tcW w:w="883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BB139E1">
            <w:pPr>
              <w:widowControl/>
              <w:spacing w:line="36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  <w:r>
              <w:rPr>
                <w:color w:val="000000"/>
                <w:szCs w:val="24"/>
                <w:vertAlign w:val="subscript"/>
              </w:rPr>
              <w:t>2</w:t>
            </w:r>
            <w:r>
              <w:rPr>
                <w:color w:val="000000"/>
                <w:szCs w:val="24"/>
              </w:rPr>
              <w:t>H</w:t>
            </w:r>
            <w:r>
              <w:rPr>
                <w:color w:val="000000"/>
                <w:szCs w:val="24"/>
                <w:vertAlign w:val="subscript"/>
              </w:rPr>
              <w:t>4</w:t>
            </w:r>
            <w:r>
              <w:rPr>
                <w:rFonts w:hint="eastAsia"/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conv.</w:t>
            </w:r>
            <w:r>
              <w:rPr>
                <w:rFonts w:hint="eastAsia"/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(%)</w:t>
            </w:r>
          </w:p>
        </w:tc>
        <w:tc>
          <w:tcPr>
            <w:tcW w:w="4115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906367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Hydrocarbon distribution (%)</w:t>
            </w:r>
          </w:p>
        </w:tc>
        <w:tc>
          <w:tcPr>
            <w:tcW w:w="753" w:type="dxa"/>
            <w:vMerge w:val="restart"/>
            <w:tcBorders>
              <w:top w:val="single" w:color="auto" w:sz="4" w:space="0"/>
            </w:tcBorders>
            <w:vAlign w:val="center"/>
          </w:tcPr>
          <w:p w14:paraId="1E64693F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BTX (%)</w:t>
            </w:r>
          </w:p>
        </w:tc>
        <w:tc>
          <w:tcPr>
            <w:tcW w:w="1196" w:type="dxa"/>
            <w:vMerge w:val="restart"/>
            <w:tcBorders>
              <w:top w:val="single" w:color="auto" w:sz="4" w:space="0"/>
            </w:tcBorders>
            <w:vAlign w:val="center"/>
          </w:tcPr>
          <w:p w14:paraId="0D264C96">
            <w:pPr>
              <w:widowControl/>
              <w:spacing w:line="360" w:lineRule="auto"/>
              <w:jc w:val="center"/>
              <w:rPr>
                <w:rFonts w:cs="Times New Roman"/>
                <w:color w:val="000000"/>
                <w:kern w:val="0"/>
                <w:szCs w:val="24"/>
              </w:rPr>
            </w:pPr>
            <w:r>
              <w:rPr>
                <w:rFonts w:cs="Times New Roman"/>
                <w:color w:val="000000"/>
                <w:kern w:val="0"/>
                <w:szCs w:val="24"/>
              </w:rPr>
              <w:t>BTX/Aro. (%)</w:t>
            </w:r>
          </w:p>
        </w:tc>
      </w:tr>
      <w:tr w14:paraId="05381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449932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36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B5CB22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883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33ECB7D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117777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CH</w:t>
            </w:r>
            <w:r>
              <w:rPr>
                <w:color w:val="000000"/>
                <w:szCs w:val="24"/>
                <w:vertAlign w:val="subscript"/>
              </w:rPr>
              <w:t>4</w:t>
            </w:r>
          </w:p>
        </w:tc>
        <w:tc>
          <w:tcPr>
            <w:tcW w:w="75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20F03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  <w:r>
              <w:rPr>
                <w:color w:val="000000"/>
                <w:szCs w:val="24"/>
                <w:vertAlign w:val="subscript"/>
              </w:rPr>
              <w:t>2</w:t>
            </w:r>
            <w:r>
              <w:rPr>
                <w:color w:val="000000"/>
                <w:szCs w:val="24"/>
                <w:vertAlign w:val="superscript"/>
              </w:rPr>
              <w:t>=</w:t>
            </w:r>
            <w:r>
              <w:rPr>
                <w:color w:val="000000"/>
                <w:szCs w:val="24"/>
              </w:rPr>
              <w:t>–C</w:t>
            </w:r>
            <w:r>
              <w:rPr>
                <w:color w:val="000000"/>
                <w:szCs w:val="24"/>
                <w:vertAlign w:val="subscript"/>
              </w:rPr>
              <w:t>4</w:t>
            </w:r>
            <w:r>
              <w:rPr>
                <w:color w:val="000000"/>
                <w:szCs w:val="24"/>
                <w:vertAlign w:val="superscript"/>
              </w:rPr>
              <w:t>=</w:t>
            </w:r>
          </w:p>
        </w:tc>
        <w:tc>
          <w:tcPr>
            <w:tcW w:w="9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AC3B9C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  <w:r>
              <w:rPr>
                <w:color w:val="000000"/>
                <w:szCs w:val="24"/>
                <w:vertAlign w:val="subscript"/>
              </w:rPr>
              <w:t>2</w:t>
            </w:r>
            <w:r>
              <w:rPr>
                <w:color w:val="000000"/>
                <w:szCs w:val="24"/>
                <w:vertAlign w:val="superscript"/>
              </w:rPr>
              <w:t>0</w:t>
            </w:r>
            <w:r>
              <w:rPr>
                <w:color w:val="000000"/>
                <w:szCs w:val="24"/>
              </w:rPr>
              <w:t>–C</w:t>
            </w:r>
            <w:r>
              <w:rPr>
                <w:color w:val="000000"/>
                <w:szCs w:val="24"/>
                <w:vertAlign w:val="subscript"/>
              </w:rPr>
              <w:t>4</w:t>
            </w:r>
            <w:r>
              <w:rPr>
                <w:color w:val="000000"/>
                <w:szCs w:val="24"/>
                <w:vertAlign w:val="superscript"/>
              </w:rPr>
              <w:t>0</w:t>
            </w:r>
          </w:p>
        </w:tc>
        <w:tc>
          <w:tcPr>
            <w:tcW w:w="74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778A0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C</w:t>
            </w:r>
            <w:r>
              <w:rPr>
                <w:color w:val="000000"/>
                <w:szCs w:val="24"/>
                <w:vertAlign w:val="subscript"/>
              </w:rPr>
              <w:t>5+</w:t>
            </w:r>
          </w:p>
        </w:tc>
        <w:tc>
          <w:tcPr>
            <w:tcW w:w="93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F78E94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Ar</w:t>
            </w:r>
            <w:r>
              <w:rPr>
                <w:rFonts w:hint="eastAsia"/>
                <w:szCs w:val="24"/>
              </w:rPr>
              <w:t>o.</w:t>
            </w:r>
          </w:p>
        </w:tc>
        <w:tc>
          <w:tcPr>
            <w:tcW w:w="753" w:type="dxa"/>
            <w:vMerge w:val="continue"/>
            <w:tcBorders>
              <w:bottom w:val="single" w:color="auto" w:sz="4" w:space="0"/>
            </w:tcBorders>
            <w:vAlign w:val="center"/>
          </w:tcPr>
          <w:p w14:paraId="0C25A1A7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96" w:type="dxa"/>
            <w:vMerge w:val="continue"/>
            <w:tcBorders>
              <w:bottom w:val="single" w:color="auto" w:sz="4" w:space="0"/>
            </w:tcBorders>
          </w:tcPr>
          <w:p w14:paraId="1AB74E00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</w:tr>
      <w:tr w14:paraId="16674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51" w:type="dxa"/>
            <w:vMerge w:val="restart"/>
            <w:tcBorders>
              <w:top w:val="single" w:color="auto" w:sz="4" w:space="0"/>
            </w:tcBorders>
            <w:vAlign w:val="center"/>
          </w:tcPr>
          <w:p w14:paraId="52E4529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Z5</w:t>
            </w:r>
          </w:p>
        </w:tc>
        <w:tc>
          <w:tcPr>
            <w:tcW w:w="1361" w:type="dxa"/>
            <w:tcBorders>
              <w:top w:val="single" w:color="auto" w:sz="4" w:space="0"/>
            </w:tcBorders>
            <w:vAlign w:val="center"/>
          </w:tcPr>
          <w:p w14:paraId="1C40C52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  <w:r>
              <w:rPr>
                <w:rFonts w:hint="eastAsia"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83" w:type="dxa"/>
            <w:tcBorders>
              <w:top w:val="single" w:color="auto" w:sz="4" w:space="0"/>
            </w:tcBorders>
            <w:vAlign w:val="center"/>
          </w:tcPr>
          <w:p w14:paraId="7BD8CE7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98.7</w:t>
            </w:r>
          </w:p>
        </w:tc>
        <w:tc>
          <w:tcPr>
            <w:tcW w:w="748" w:type="dxa"/>
            <w:tcBorders>
              <w:top w:val="single" w:color="auto" w:sz="4" w:space="0"/>
            </w:tcBorders>
            <w:vAlign w:val="center"/>
          </w:tcPr>
          <w:p w14:paraId="4774E4B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</w:p>
        </w:tc>
        <w:tc>
          <w:tcPr>
            <w:tcW w:w="755" w:type="dxa"/>
            <w:tcBorders>
              <w:top w:val="single" w:color="auto" w:sz="4" w:space="0"/>
            </w:tcBorders>
            <w:vAlign w:val="center"/>
          </w:tcPr>
          <w:p w14:paraId="6A776A0A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29.1</w:t>
            </w:r>
          </w:p>
        </w:tc>
        <w:tc>
          <w:tcPr>
            <w:tcW w:w="934" w:type="dxa"/>
            <w:tcBorders>
              <w:top w:val="single" w:color="auto" w:sz="4" w:space="0"/>
            </w:tcBorders>
            <w:vAlign w:val="center"/>
          </w:tcPr>
          <w:p w14:paraId="022C03D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14.7</w:t>
            </w:r>
          </w:p>
        </w:tc>
        <w:tc>
          <w:tcPr>
            <w:tcW w:w="745" w:type="dxa"/>
            <w:tcBorders>
              <w:top w:val="single" w:color="auto" w:sz="4" w:space="0"/>
            </w:tcBorders>
            <w:vAlign w:val="center"/>
          </w:tcPr>
          <w:p w14:paraId="6D9CDCE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25.0</w:t>
            </w:r>
          </w:p>
        </w:tc>
        <w:tc>
          <w:tcPr>
            <w:tcW w:w="933" w:type="dxa"/>
            <w:tcBorders>
              <w:top w:val="single" w:color="auto" w:sz="4" w:space="0"/>
            </w:tcBorders>
            <w:vAlign w:val="center"/>
          </w:tcPr>
          <w:p w14:paraId="35D426F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31.2</w:t>
            </w:r>
          </w:p>
        </w:tc>
        <w:tc>
          <w:tcPr>
            <w:tcW w:w="753" w:type="dxa"/>
            <w:tcBorders>
              <w:top w:val="single" w:color="auto" w:sz="4" w:space="0"/>
            </w:tcBorders>
            <w:vAlign w:val="center"/>
          </w:tcPr>
          <w:p w14:paraId="26E70156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18.7</w:t>
            </w:r>
          </w:p>
        </w:tc>
        <w:tc>
          <w:tcPr>
            <w:tcW w:w="1196" w:type="dxa"/>
            <w:tcBorders>
              <w:top w:val="single" w:color="auto" w:sz="4" w:space="0"/>
            </w:tcBorders>
            <w:vAlign w:val="center"/>
          </w:tcPr>
          <w:p w14:paraId="072AF78B">
            <w:pPr>
              <w:widowControl/>
              <w:spacing w:line="360" w:lineRule="auto"/>
              <w:jc w:val="center"/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60.0</w:t>
            </w:r>
          </w:p>
        </w:tc>
      </w:tr>
      <w:tr w14:paraId="2E6BCE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51" w:type="dxa"/>
            <w:vMerge w:val="continue"/>
            <w:tcBorders>
              <w:bottom w:val="single" w:color="auto" w:sz="4" w:space="0"/>
            </w:tcBorders>
            <w:vAlign w:val="center"/>
          </w:tcPr>
          <w:p w14:paraId="12CBD8C5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361" w:type="dxa"/>
            <w:tcBorders>
              <w:bottom w:val="single" w:color="auto" w:sz="4" w:space="0"/>
            </w:tcBorders>
            <w:vAlign w:val="center"/>
          </w:tcPr>
          <w:p w14:paraId="3147B88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83" w:type="dxa"/>
            <w:tcBorders>
              <w:bottom w:val="single" w:color="auto" w:sz="4" w:space="0"/>
            </w:tcBorders>
            <w:vAlign w:val="center"/>
          </w:tcPr>
          <w:p w14:paraId="277F37B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90.9</w:t>
            </w:r>
          </w:p>
        </w:tc>
        <w:tc>
          <w:tcPr>
            <w:tcW w:w="748" w:type="dxa"/>
            <w:tcBorders>
              <w:bottom w:val="single" w:color="auto" w:sz="4" w:space="0"/>
            </w:tcBorders>
            <w:vAlign w:val="center"/>
          </w:tcPr>
          <w:p w14:paraId="568A0A9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</w:p>
        </w:tc>
        <w:tc>
          <w:tcPr>
            <w:tcW w:w="755" w:type="dxa"/>
            <w:tcBorders>
              <w:bottom w:val="single" w:color="auto" w:sz="4" w:space="0"/>
            </w:tcBorders>
            <w:vAlign w:val="center"/>
          </w:tcPr>
          <w:p w14:paraId="08C49D18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38.9</w:t>
            </w:r>
          </w:p>
        </w:tc>
        <w:tc>
          <w:tcPr>
            <w:tcW w:w="934" w:type="dxa"/>
            <w:tcBorders>
              <w:bottom w:val="single" w:color="auto" w:sz="4" w:space="0"/>
            </w:tcBorders>
            <w:vAlign w:val="center"/>
          </w:tcPr>
          <w:p w14:paraId="79CB669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12.3</w:t>
            </w:r>
          </w:p>
        </w:tc>
        <w:tc>
          <w:tcPr>
            <w:tcW w:w="745" w:type="dxa"/>
            <w:tcBorders>
              <w:bottom w:val="single" w:color="auto" w:sz="4" w:space="0"/>
            </w:tcBorders>
            <w:vAlign w:val="center"/>
          </w:tcPr>
          <w:p w14:paraId="0B2B12D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33.9</w:t>
            </w:r>
          </w:p>
        </w:tc>
        <w:tc>
          <w:tcPr>
            <w:tcW w:w="933" w:type="dxa"/>
            <w:tcBorders>
              <w:bottom w:val="single" w:color="auto" w:sz="4" w:space="0"/>
            </w:tcBorders>
            <w:vAlign w:val="center"/>
          </w:tcPr>
          <w:p w14:paraId="0E7E51E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14.9</w:t>
            </w:r>
          </w:p>
        </w:tc>
        <w:tc>
          <w:tcPr>
            <w:tcW w:w="753" w:type="dxa"/>
            <w:tcBorders>
              <w:bottom w:val="single" w:color="auto" w:sz="4" w:space="0"/>
            </w:tcBorders>
            <w:vAlign w:val="center"/>
          </w:tcPr>
          <w:p w14:paraId="1F19645D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7.1</w:t>
            </w:r>
          </w:p>
        </w:tc>
        <w:tc>
          <w:tcPr>
            <w:tcW w:w="1196" w:type="dxa"/>
            <w:tcBorders>
              <w:bottom w:val="single" w:color="auto" w:sz="4" w:space="0"/>
            </w:tcBorders>
            <w:vAlign w:val="center"/>
          </w:tcPr>
          <w:p w14:paraId="2C2BFBE8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47.7</w:t>
            </w:r>
          </w:p>
        </w:tc>
      </w:tr>
      <w:tr w14:paraId="3461D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51" w:type="dxa"/>
            <w:vMerge w:val="restart"/>
            <w:tcBorders>
              <w:top w:val="single" w:color="auto" w:sz="4" w:space="0"/>
            </w:tcBorders>
            <w:vAlign w:val="center"/>
          </w:tcPr>
          <w:p w14:paraId="78F0CCB2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2SP34/Z5</w:t>
            </w:r>
          </w:p>
        </w:tc>
        <w:tc>
          <w:tcPr>
            <w:tcW w:w="1361" w:type="dxa"/>
            <w:tcBorders>
              <w:top w:val="single" w:color="auto" w:sz="4" w:space="0"/>
            </w:tcBorders>
            <w:vAlign w:val="center"/>
          </w:tcPr>
          <w:p w14:paraId="48E9D47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  <w:r>
              <w:rPr>
                <w:rFonts w:hint="eastAsia"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83" w:type="dxa"/>
            <w:tcBorders>
              <w:top w:val="single" w:color="auto" w:sz="4" w:space="0"/>
            </w:tcBorders>
            <w:vAlign w:val="center"/>
          </w:tcPr>
          <w:p w14:paraId="4D894A6D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91.6</w:t>
            </w:r>
          </w:p>
        </w:tc>
        <w:tc>
          <w:tcPr>
            <w:tcW w:w="748" w:type="dxa"/>
            <w:tcBorders>
              <w:top w:val="single" w:color="auto" w:sz="4" w:space="0"/>
            </w:tcBorders>
            <w:vAlign w:val="center"/>
          </w:tcPr>
          <w:p w14:paraId="26F905F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0.1</w:t>
            </w:r>
          </w:p>
        </w:tc>
        <w:tc>
          <w:tcPr>
            <w:tcW w:w="755" w:type="dxa"/>
            <w:tcBorders>
              <w:top w:val="single" w:color="auto" w:sz="4" w:space="0"/>
            </w:tcBorders>
            <w:vAlign w:val="center"/>
          </w:tcPr>
          <w:p w14:paraId="3A66FB2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31.7</w:t>
            </w:r>
          </w:p>
        </w:tc>
        <w:tc>
          <w:tcPr>
            <w:tcW w:w="934" w:type="dxa"/>
            <w:tcBorders>
              <w:top w:val="single" w:color="auto" w:sz="4" w:space="0"/>
            </w:tcBorders>
            <w:vAlign w:val="center"/>
          </w:tcPr>
          <w:p w14:paraId="1BBDA48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17.2</w:t>
            </w:r>
          </w:p>
        </w:tc>
        <w:tc>
          <w:tcPr>
            <w:tcW w:w="745" w:type="dxa"/>
            <w:tcBorders>
              <w:top w:val="single" w:color="auto" w:sz="4" w:space="0"/>
            </w:tcBorders>
            <w:vAlign w:val="center"/>
          </w:tcPr>
          <w:p w14:paraId="555E23C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27.8</w:t>
            </w:r>
          </w:p>
        </w:tc>
        <w:tc>
          <w:tcPr>
            <w:tcW w:w="933" w:type="dxa"/>
            <w:tcBorders>
              <w:top w:val="single" w:color="auto" w:sz="4" w:space="0"/>
            </w:tcBorders>
            <w:vAlign w:val="center"/>
          </w:tcPr>
          <w:p w14:paraId="178EE3A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23.2</w:t>
            </w:r>
          </w:p>
        </w:tc>
        <w:tc>
          <w:tcPr>
            <w:tcW w:w="753" w:type="dxa"/>
            <w:tcBorders>
              <w:top w:val="single" w:color="auto" w:sz="4" w:space="0"/>
            </w:tcBorders>
            <w:vAlign w:val="center"/>
          </w:tcPr>
          <w:p w14:paraId="5FC15D01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11.5</w:t>
            </w:r>
          </w:p>
        </w:tc>
        <w:tc>
          <w:tcPr>
            <w:tcW w:w="1196" w:type="dxa"/>
            <w:tcBorders>
              <w:top w:val="single" w:color="auto" w:sz="4" w:space="0"/>
            </w:tcBorders>
            <w:vAlign w:val="center"/>
          </w:tcPr>
          <w:p w14:paraId="1819E48E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49.4</w:t>
            </w:r>
          </w:p>
        </w:tc>
      </w:tr>
      <w:tr w14:paraId="0CE0D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51" w:type="dxa"/>
            <w:vMerge w:val="continue"/>
            <w:tcBorders>
              <w:bottom w:val="single" w:color="auto" w:sz="4" w:space="0"/>
            </w:tcBorders>
            <w:vAlign w:val="center"/>
          </w:tcPr>
          <w:p w14:paraId="27CFE4CC">
            <w:pPr>
              <w:widowControl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361" w:type="dxa"/>
            <w:tcBorders>
              <w:bottom w:val="single" w:color="auto" w:sz="4" w:space="0"/>
            </w:tcBorders>
            <w:vAlign w:val="center"/>
          </w:tcPr>
          <w:p w14:paraId="6D8923A0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cs="Times New Roman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83" w:type="dxa"/>
            <w:tcBorders>
              <w:bottom w:val="single" w:color="auto" w:sz="4" w:space="0"/>
            </w:tcBorders>
            <w:vAlign w:val="center"/>
          </w:tcPr>
          <w:p w14:paraId="41288FD6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27.8</w:t>
            </w:r>
          </w:p>
        </w:tc>
        <w:tc>
          <w:tcPr>
            <w:tcW w:w="748" w:type="dxa"/>
            <w:tcBorders>
              <w:bottom w:val="single" w:color="auto" w:sz="4" w:space="0"/>
            </w:tcBorders>
            <w:vAlign w:val="center"/>
          </w:tcPr>
          <w:p w14:paraId="4C22CEFF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</w:p>
        </w:tc>
        <w:tc>
          <w:tcPr>
            <w:tcW w:w="755" w:type="dxa"/>
            <w:tcBorders>
              <w:bottom w:val="single" w:color="auto" w:sz="4" w:space="0"/>
            </w:tcBorders>
            <w:vAlign w:val="center"/>
          </w:tcPr>
          <w:p w14:paraId="6E6BE6B3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50.4</w:t>
            </w:r>
          </w:p>
        </w:tc>
        <w:tc>
          <w:tcPr>
            <w:tcW w:w="934" w:type="dxa"/>
            <w:tcBorders>
              <w:bottom w:val="single" w:color="auto" w:sz="4" w:space="0"/>
            </w:tcBorders>
            <w:vAlign w:val="center"/>
          </w:tcPr>
          <w:p w14:paraId="3C7E479B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14.5</w:t>
            </w:r>
          </w:p>
        </w:tc>
        <w:tc>
          <w:tcPr>
            <w:tcW w:w="745" w:type="dxa"/>
            <w:tcBorders>
              <w:bottom w:val="single" w:color="auto" w:sz="4" w:space="0"/>
            </w:tcBorders>
            <w:vAlign w:val="center"/>
          </w:tcPr>
          <w:p w14:paraId="538DD269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32.2</w:t>
            </w:r>
          </w:p>
        </w:tc>
        <w:tc>
          <w:tcPr>
            <w:tcW w:w="933" w:type="dxa"/>
            <w:tcBorders>
              <w:bottom w:val="single" w:color="auto" w:sz="4" w:space="0"/>
            </w:tcBorders>
            <w:vAlign w:val="center"/>
          </w:tcPr>
          <w:p w14:paraId="02CDDC77">
            <w:pPr>
              <w:widowControl/>
              <w:spacing w:line="360" w:lineRule="auto"/>
              <w:jc w:val="center"/>
              <w:rPr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2.9</w:t>
            </w:r>
          </w:p>
        </w:tc>
        <w:tc>
          <w:tcPr>
            <w:tcW w:w="753" w:type="dxa"/>
            <w:tcBorders>
              <w:bottom w:val="single" w:color="auto" w:sz="4" w:space="0"/>
            </w:tcBorders>
            <w:vAlign w:val="center"/>
          </w:tcPr>
          <w:p w14:paraId="2E8F7E4C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1.5</w:t>
            </w:r>
          </w:p>
        </w:tc>
        <w:tc>
          <w:tcPr>
            <w:tcW w:w="1196" w:type="dxa"/>
            <w:tcBorders>
              <w:bottom w:val="single" w:color="auto" w:sz="4" w:space="0"/>
            </w:tcBorders>
            <w:vAlign w:val="center"/>
          </w:tcPr>
          <w:p w14:paraId="51ED04E0">
            <w:pPr>
              <w:widowControl/>
              <w:spacing w:line="36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Cs w:val="24"/>
                <w14:textFill>
                  <w14:solidFill>
                    <w14:schemeClr w14:val="tx1"/>
                  </w14:solidFill>
                </w14:textFill>
              </w:rPr>
              <w:t>51.1</w:t>
            </w:r>
          </w:p>
        </w:tc>
      </w:tr>
    </w:tbl>
    <w:p w14:paraId="22CE663F">
      <w:pPr>
        <w:widowControl/>
        <w:spacing w:line="360" w:lineRule="auto"/>
        <w:rPr>
          <w:b/>
          <w:bCs/>
        </w:rPr>
      </w:pPr>
      <w:r>
        <w:t>Reaction conditions:</w:t>
      </w:r>
      <w:r>
        <w:rPr>
          <w:rFonts w:hint="eastAsia"/>
        </w:rPr>
        <w:t xml:space="preserve"> 320</w:t>
      </w:r>
      <w:r>
        <w:t xml:space="preserve"> </w:t>
      </w:r>
      <w:r>
        <w:rPr>
          <w:szCs w:val="24"/>
          <w:vertAlign w:val="superscript"/>
        </w:rPr>
        <w:t>o</w:t>
      </w:r>
      <w:r>
        <w:rPr>
          <w:szCs w:val="24"/>
        </w:rPr>
        <w:t>C</w:t>
      </w:r>
      <w:r>
        <w:rPr>
          <w:rFonts w:hint="eastAsia"/>
          <w:szCs w:val="24"/>
        </w:rPr>
        <w:t xml:space="preserve">, </w:t>
      </w:r>
      <w:r>
        <w:t>0.1 MPa, C</w:t>
      </w:r>
      <w:r>
        <w:rPr>
          <w:vertAlign w:val="subscript"/>
        </w:rPr>
        <w:t>2</w:t>
      </w:r>
      <w:r>
        <w:t>H</w:t>
      </w:r>
      <w:r>
        <w:rPr>
          <w:vertAlign w:val="subscript"/>
        </w:rPr>
        <w:t>4</w:t>
      </w:r>
      <w:r>
        <w:t>/Ar/N</w:t>
      </w:r>
      <w:r>
        <w:rPr>
          <w:vertAlign w:val="subscript"/>
        </w:rPr>
        <w:t>2</w:t>
      </w:r>
      <w:r>
        <w:t xml:space="preserve"> = 2/7/1. Mass of loaded catalyst: 0.5 g.</w:t>
      </w:r>
    </w:p>
    <w:p w14:paraId="0A3FA4B6">
      <w:pPr>
        <w:widowControl/>
        <w:jc w:val="left"/>
        <w:rPr>
          <w:b/>
          <w:bCs/>
        </w:rPr>
      </w:pPr>
    </w:p>
    <w:p w14:paraId="469E8C05">
      <w:pPr>
        <w:widowControl/>
        <w:jc w:val="left"/>
        <w:rPr>
          <w:b/>
          <w:bCs/>
        </w:rPr>
      </w:pPr>
      <w:r>
        <w:rPr>
          <w:b/>
          <w:bCs/>
        </w:rPr>
        <w:br w:type="page"/>
      </w:r>
    </w:p>
    <w:p w14:paraId="4B6E749B">
      <w:pPr>
        <w:pStyle w:val="22"/>
        <w:jc w:val="both"/>
        <w:rPr>
          <w:rFonts w:cs="Times New Roman"/>
          <w:sz w:val="24"/>
          <w:szCs w:val="24"/>
          <w:vertAlign w:val="superscript"/>
        </w:rPr>
      </w:pPr>
      <w:r>
        <w:rPr>
          <w:rFonts w:cs="Times New Roman"/>
          <w:b/>
          <w:bCs/>
          <w:color w:val="000000"/>
          <w:sz w:val="24"/>
          <w:szCs w:val="24"/>
        </w:rPr>
        <w:t xml:space="preserve">Table </w:t>
      </w:r>
      <w:r>
        <w:rPr>
          <w:rFonts w:hint="eastAsia" w:cs="Times New Roman"/>
          <w:b/>
          <w:bCs/>
          <w:color w:val="000000"/>
          <w:sz w:val="24"/>
          <w:szCs w:val="24"/>
        </w:rPr>
        <w:t>S16.</w:t>
      </w:r>
      <w:r>
        <w:rPr>
          <w:rFonts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Aromatics distributions </w:t>
      </w:r>
      <w:r>
        <w:rPr>
          <w:rFonts w:hint="eastAsia" w:cs="Times New Roman"/>
          <w:sz w:val="24"/>
          <w:szCs w:val="24"/>
        </w:rPr>
        <w:t xml:space="preserve">of </w:t>
      </w:r>
      <w:r>
        <w:rPr>
          <w:color w:val="000000"/>
          <w:szCs w:val="24"/>
        </w:rPr>
        <w:t>C</w:t>
      </w:r>
      <w:r>
        <w:rPr>
          <w:color w:val="000000"/>
          <w:szCs w:val="24"/>
          <w:vertAlign w:val="subscript"/>
        </w:rPr>
        <w:t>2</w:t>
      </w:r>
      <w:r>
        <w:rPr>
          <w:color w:val="000000"/>
          <w:szCs w:val="24"/>
        </w:rPr>
        <w:t>H</w:t>
      </w:r>
      <w:r>
        <w:rPr>
          <w:color w:val="000000"/>
          <w:szCs w:val="24"/>
          <w:vertAlign w:val="subscript"/>
        </w:rPr>
        <w:t>4</w:t>
      </w:r>
      <w:r>
        <w:rPr>
          <w:rFonts w:cs="Times New Roman"/>
          <w:sz w:val="24"/>
          <w:szCs w:val="24"/>
        </w:rPr>
        <w:t xml:space="preserve"> conversion</w:t>
      </w:r>
      <w:r>
        <w:rPr>
          <w:rFonts w:hint="eastAsia"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over Z5 and 2SP34/Z5.</w:t>
      </w:r>
    </w:p>
    <w:tbl>
      <w:tblPr>
        <w:tblStyle w:val="7"/>
        <w:tblW w:w="5000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1702"/>
        <w:gridCol w:w="759"/>
        <w:gridCol w:w="763"/>
        <w:gridCol w:w="763"/>
        <w:gridCol w:w="919"/>
        <w:gridCol w:w="764"/>
        <w:gridCol w:w="920"/>
        <w:gridCol w:w="922"/>
      </w:tblGrid>
      <w:tr w14:paraId="7B9E98D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restart"/>
            <w:tcBorders>
              <w:right w:val="nil"/>
            </w:tcBorders>
            <w:vAlign w:val="center"/>
          </w:tcPr>
          <w:p w14:paraId="677C418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Catalysts</w:t>
            </w:r>
          </w:p>
        </w:tc>
        <w:tc>
          <w:tcPr>
            <w:tcW w:w="883" w:type="pct"/>
            <w:vMerge w:val="restart"/>
            <w:tcBorders>
              <w:bottom w:val="single" w:color="auto" w:sz="4" w:space="0"/>
              <w:right w:val="nil"/>
            </w:tcBorders>
            <w:vAlign w:val="center"/>
          </w:tcPr>
          <w:p w14:paraId="468C650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  <w:vertAlign w:val="subscript"/>
              </w:rPr>
              <w:t>2</w:t>
            </w:r>
            <w:r>
              <w:rPr>
                <w:color w:val="000000"/>
                <w:sz w:val="24"/>
                <w:szCs w:val="24"/>
              </w:rPr>
              <w:t>H</w:t>
            </w:r>
            <w:r>
              <w:rPr>
                <w:color w:val="000000"/>
                <w:sz w:val="24"/>
                <w:szCs w:val="24"/>
                <w:vertAlign w:val="subscript"/>
              </w:rPr>
              <w:t>4</w:t>
            </w:r>
            <w:r>
              <w:rPr>
                <w:rFonts w:hint="eastAsia"/>
                <w:color w:val="000000"/>
                <w:sz w:val="24"/>
                <w:szCs w:val="24"/>
              </w:rPr>
              <w:t xml:space="preserve"> WHSV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rFonts w:hint="eastAsia"/>
                <w:color w:val="000000"/>
                <w:sz w:val="24"/>
                <w:szCs w:val="24"/>
              </w:rPr>
              <w:t>h</w:t>
            </w:r>
            <w:r>
              <w:rPr>
                <w:color w:val="000000"/>
                <w:sz w:val="24"/>
                <w:szCs w:val="24"/>
                <w:vertAlign w:val="superscript"/>
              </w:rPr>
              <w:t>–1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3013" w:type="pct"/>
            <w:gridSpan w:val="7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 w14:paraId="130D2DB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Aromatic selectivity (%)</w:t>
            </w:r>
          </w:p>
        </w:tc>
      </w:tr>
      <w:tr w14:paraId="452AB5A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continue"/>
            <w:tcBorders>
              <w:bottom w:val="single" w:color="auto" w:sz="4" w:space="0"/>
              <w:right w:val="nil"/>
            </w:tcBorders>
            <w:vAlign w:val="center"/>
          </w:tcPr>
          <w:p w14:paraId="0E5A837E">
            <w:pPr>
              <w:pStyle w:val="2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83" w:type="pct"/>
            <w:vMerge w:val="continue"/>
            <w:tcBorders>
              <w:top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41733757">
            <w:pPr>
              <w:pStyle w:val="2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C1ED1C7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B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62C2F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8DD76EE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E</w:t>
            </w:r>
          </w:p>
        </w:tc>
        <w:tc>
          <w:tcPr>
            <w:tcW w:w="47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328916E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o/p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660044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m</w:t>
            </w:r>
            <w:r>
              <w:rPr>
                <w:rFonts w:cs="Times New Roman"/>
                <w:sz w:val="24"/>
                <w:szCs w:val="24"/>
              </w:rPr>
              <w:t>-X</w:t>
            </w:r>
          </w:p>
        </w:tc>
        <w:tc>
          <w:tcPr>
            <w:tcW w:w="47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C91C18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47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EBB5EA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  <w:vertAlign w:val="subscript"/>
              </w:rPr>
              <w:t>10</w:t>
            </w:r>
          </w:p>
        </w:tc>
      </w:tr>
      <w:tr w14:paraId="76DC72C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restart"/>
            <w:tcBorders>
              <w:right w:val="nil"/>
            </w:tcBorders>
            <w:vAlign w:val="center"/>
          </w:tcPr>
          <w:p w14:paraId="1287E672">
            <w:pPr>
              <w:pStyle w:val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Z5</w:t>
            </w:r>
          </w:p>
        </w:tc>
        <w:tc>
          <w:tcPr>
            <w:tcW w:w="883" w:type="pct"/>
            <w:tcBorders>
              <w:bottom w:val="nil"/>
              <w:right w:val="nil"/>
            </w:tcBorders>
            <w:vAlign w:val="center"/>
          </w:tcPr>
          <w:p w14:paraId="02A052EC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94" w:type="pct"/>
            <w:tcBorders>
              <w:left w:val="nil"/>
              <w:bottom w:val="nil"/>
              <w:right w:val="nil"/>
            </w:tcBorders>
            <w:vAlign w:val="center"/>
          </w:tcPr>
          <w:p w14:paraId="5B99E15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2.8</w:t>
            </w:r>
          </w:p>
        </w:tc>
        <w:tc>
          <w:tcPr>
            <w:tcW w:w="396" w:type="pct"/>
            <w:tcBorders>
              <w:left w:val="nil"/>
              <w:bottom w:val="nil"/>
              <w:right w:val="nil"/>
            </w:tcBorders>
            <w:vAlign w:val="center"/>
          </w:tcPr>
          <w:p w14:paraId="39672DB0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21.4</w:t>
            </w:r>
          </w:p>
        </w:tc>
        <w:tc>
          <w:tcPr>
            <w:tcW w:w="396" w:type="pct"/>
            <w:tcBorders>
              <w:left w:val="nil"/>
              <w:bottom w:val="nil"/>
              <w:right w:val="nil"/>
            </w:tcBorders>
            <w:vAlign w:val="center"/>
          </w:tcPr>
          <w:p w14:paraId="46508A4F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7.4</w:t>
            </w:r>
          </w:p>
        </w:tc>
        <w:tc>
          <w:tcPr>
            <w:tcW w:w="477" w:type="pct"/>
            <w:tcBorders>
              <w:left w:val="nil"/>
              <w:bottom w:val="nil"/>
              <w:right w:val="nil"/>
            </w:tcBorders>
            <w:vAlign w:val="center"/>
          </w:tcPr>
          <w:p w14:paraId="1AD6DC95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22.5</w:t>
            </w:r>
          </w:p>
        </w:tc>
        <w:tc>
          <w:tcPr>
            <w:tcW w:w="396" w:type="pct"/>
            <w:tcBorders>
              <w:left w:val="nil"/>
              <w:bottom w:val="nil"/>
              <w:right w:val="nil"/>
            </w:tcBorders>
            <w:vAlign w:val="center"/>
          </w:tcPr>
          <w:p w14:paraId="3FD8F87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5.9</w:t>
            </w:r>
          </w:p>
        </w:tc>
        <w:tc>
          <w:tcPr>
            <w:tcW w:w="477" w:type="pct"/>
            <w:tcBorders>
              <w:left w:val="nil"/>
              <w:bottom w:val="nil"/>
              <w:right w:val="nil"/>
            </w:tcBorders>
            <w:vAlign w:val="center"/>
          </w:tcPr>
          <w:p w14:paraId="01C12A94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29.8</w:t>
            </w:r>
          </w:p>
        </w:tc>
        <w:tc>
          <w:tcPr>
            <w:tcW w:w="478" w:type="pct"/>
            <w:tcBorders>
              <w:left w:val="nil"/>
              <w:bottom w:val="nil"/>
              <w:right w:val="nil"/>
            </w:tcBorders>
            <w:vAlign w:val="center"/>
          </w:tcPr>
          <w:p w14:paraId="6A8B2377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10.2</w:t>
            </w:r>
          </w:p>
        </w:tc>
      </w:tr>
      <w:tr w14:paraId="058AE48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continue"/>
            <w:tcBorders>
              <w:bottom w:val="single" w:color="auto" w:sz="4" w:space="0"/>
              <w:right w:val="nil"/>
            </w:tcBorders>
            <w:vAlign w:val="center"/>
          </w:tcPr>
          <w:p w14:paraId="022D533C">
            <w:pPr>
              <w:pStyle w:val="23"/>
              <w:rPr>
                <w:sz w:val="24"/>
                <w:szCs w:val="24"/>
              </w:rPr>
            </w:pPr>
          </w:p>
        </w:tc>
        <w:tc>
          <w:tcPr>
            <w:tcW w:w="883" w:type="pct"/>
            <w:tcBorders>
              <w:top w:val="nil"/>
              <w:bottom w:val="single" w:color="auto" w:sz="4" w:space="0"/>
              <w:right w:val="nil"/>
            </w:tcBorders>
            <w:vAlign w:val="center"/>
          </w:tcPr>
          <w:p w14:paraId="1FDEC4CB">
            <w:pPr>
              <w:pStyle w:val="23"/>
              <w:rPr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03068BB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1.6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C2E9545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14.3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221288C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6.1</w:t>
            </w:r>
          </w:p>
        </w:tc>
        <w:tc>
          <w:tcPr>
            <w:tcW w:w="47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D1D4A58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22.4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7B9D063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3.3</w:t>
            </w:r>
          </w:p>
        </w:tc>
        <w:tc>
          <w:tcPr>
            <w:tcW w:w="47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E7C2534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37.3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BAC216C">
            <w:pPr>
              <w:pStyle w:val="23"/>
              <w:rPr>
                <w:rFonts w:eastAsia="等线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15.0</w:t>
            </w:r>
          </w:p>
        </w:tc>
      </w:tr>
      <w:tr w14:paraId="2FDBEED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restart"/>
            <w:tcBorders>
              <w:top w:val="single" w:color="auto" w:sz="4" w:space="0"/>
              <w:right w:val="nil"/>
            </w:tcBorders>
            <w:vAlign w:val="center"/>
          </w:tcPr>
          <w:p w14:paraId="3C6D1283">
            <w:pPr>
              <w:pStyle w:val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2SP34/Z5</w:t>
            </w:r>
          </w:p>
        </w:tc>
        <w:tc>
          <w:tcPr>
            <w:tcW w:w="883" w:type="pct"/>
            <w:tcBorders>
              <w:top w:val="single" w:color="auto" w:sz="4" w:space="0"/>
              <w:bottom w:val="nil"/>
              <w:right w:val="nil"/>
            </w:tcBorders>
            <w:vAlign w:val="center"/>
          </w:tcPr>
          <w:p w14:paraId="3F6C09C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0.0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94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2EBFD72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2.2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10AD03E7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15.2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87B7282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5.2</w:t>
            </w:r>
          </w:p>
        </w:tc>
        <w:tc>
          <w:tcPr>
            <w:tcW w:w="477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12E4CAE8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22.6</w:t>
            </w:r>
          </w:p>
        </w:tc>
        <w:tc>
          <w:tcPr>
            <w:tcW w:w="396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6E48EC69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4.2</w:t>
            </w:r>
          </w:p>
        </w:tc>
        <w:tc>
          <w:tcPr>
            <w:tcW w:w="477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7EA278F1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33.6</w:t>
            </w:r>
          </w:p>
        </w:tc>
        <w:tc>
          <w:tcPr>
            <w:tcW w:w="478" w:type="pc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3A06BF0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16.9</w:t>
            </w:r>
          </w:p>
        </w:tc>
      </w:tr>
      <w:tr w14:paraId="5F4C179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03" w:type="pct"/>
            <w:vMerge w:val="continue"/>
            <w:tcBorders>
              <w:bottom w:val="single" w:color="auto" w:sz="4" w:space="0"/>
              <w:right w:val="nil"/>
            </w:tcBorders>
            <w:vAlign w:val="center"/>
          </w:tcPr>
          <w:p w14:paraId="2365E8B9">
            <w:pPr>
              <w:pStyle w:val="23"/>
              <w:rPr>
                <w:sz w:val="24"/>
                <w:szCs w:val="24"/>
              </w:rPr>
            </w:pPr>
          </w:p>
        </w:tc>
        <w:tc>
          <w:tcPr>
            <w:tcW w:w="883" w:type="pct"/>
            <w:tcBorders>
              <w:top w:val="nil"/>
              <w:bottom w:val="single" w:color="auto" w:sz="4" w:space="0"/>
              <w:right w:val="nil"/>
            </w:tcBorders>
            <w:vAlign w:val="center"/>
          </w:tcPr>
          <w:p w14:paraId="179DD368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CC3FA3A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3.4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5633473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19.8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69DFEE26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8.3</w:t>
            </w:r>
          </w:p>
        </w:tc>
        <w:tc>
          <w:tcPr>
            <w:tcW w:w="47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EC027D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14.4</w:t>
            </w:r>
          </w:p>
        </w:tc>
        <w:tc>
          <w:tcPr>
            <w:tcW w:w="396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CC5E6A8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5.2</w:t>
            </w:r>
          </w:p>
        </w:tc>
        <w:tc>
          <w:tcPr>
            <w:tcW w:w="477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F2E9CAB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32.0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A3CF33D">
            <w:pPr>
              <w:pStyle w:val="23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17.0</w:t>
            </w:r>
          </w:p>
        </w:tc>
      </w:tr>
    </w:tbl>
    <w:p w14:paraId="11E2604E">
      <w:pPr>
        <w:widowControl/>
        <w:spacing w:line="360" w:lineRule="auto"/>
        <w:rPr>
          <w:b/>
          <w:bCs/>
        </w:rPr>
      </w:pPr>
      <w:r>
        <w:t>Reaction conditions:</w:t>
      </w:r>
      <w:r>
        <w:rPr>
          <w:rFonts w:hint="eastAsia"/>
        </w:rPr>
        <w:t xml:space="preserve"> 320</w:t>
      </w:r>
      <w:r>
        <w:t xml:space="preserve"> </w:t>
      </w:r>
      <w:r>
        <w:rPr>
          <w:szCs w:val="24"/>
          <w:vertAlign w:val="superscript"/>
        </w:rPr>
        <w:t>o</w:t>
      </w:r>
      <w:r>
        <w:rPr>
          <w:szCs w:val="24"/>
        </w:rPr>
        <w:t>C</w:t>
      </w:r>
      <w:r>
        <w:rPr>
          <w:rFonts w:hint="eastAsia"/>
          <w:szCs w:val="24"/>
        </w:rPr>
        <w:t xml:space="preserve">, </w:t>
      </w:r>
      <w:r>
        <w:t>0.1 MPa, C</w:t>
      </w:r>
      <w:r>
        <w:rPr>
          <w:vertAlign w:val="subscript"/>
        </w:rPr>
        <w:t>2</w:t>
      </w:r>
      <w:r>
        <w:t>H</w:t>
      </w:r>
      <w:r>
        <w:rPr>
          <w:vertAlign w:val="subscript"/>
        </w:rPr>
        <w:t>4</w:t>
      </w:r>
      <w:r>
        <w:t>/Ar/N</w:t>
      </w:r>
      <w:r>
        <w:rPr>
          <w:vertAlign w:val="subscript"/>
        </w:rPr>
        <w:t>2</w:t>
      </w:r>
      <w:r>
        <w:t xml:space="preserve"> = 2/7/1. Mass of loaded catalyst: 0.5 g.</w:t>
      </w:r>
    </w:p>
    <w:p w14:paraId="34955ABE">
      <w:pPr>
        <w:widowControl/>
        <w:jc w:val="left"/>
        <w:rPr>
          <w:b/>
          <w:bCs/>
        </w:rPr>
      </w:pPr>
    </w:p>
    <w:p w14:paraId="60C6FB07">
      <w:pPr>
        <w:widowControl/>
        <w:jc w:val="left"/>
        <w:rPr>
          <w:b/>
          <w:bCs/>
        </w:rPr>
      </w:pPr>
      <w:r>
        <w:rPr>
          <w:b/>
          <w:bCs/>
        </w:rPr>
        <w:br w:type="page"/>
      </w:r>
    </w:p>
    <w:p w14:paraId="0FF9A03C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Supporting references</w:t>
      </w:r>
    </w:p>
    <w:p w14:paraId="4D529216">
      <w:pPr>
        <w:spacing w:line="360" w:lineRule="auto"/>
        <w:rPr>
          <w:b/>
          <w:bCs/>
          <w:sz w:val="28"/>
          <w:szCs w:val="28"/>
        </w:rPr>
      </w:pPr>
    </w:p>
    <w:p w14:paraId="4D157B28">
      <w:pPr>
        <w:pStyle w:val="16"/>
        <w:spacing w:line="360" w:lineRule="auto"/>
      </w:pPr>
      <w:r>
        <w:fldChar w:fldCharType="begin"/>
      </w:r>
      <w:r>
        <w:instrText xml:space="preserve"> ADDIN EN.REFLIST </w:instrText>
      </w:r>
      <w:r>
        <w:fldChar w:fldCharType="separate"/>
      </w:r>
      <w:r>
        <w:t>1. Zhang L, Gao W, Wang F, et al. Highly selective synthesis of light aromatics from CO</w:t>
      </w:r>
      <w:r>
        <w:rPr>
          <w:vertAlign w:val="subscript"/>
        </w:rPr>
        <w:t>2</w:t>
      </w:r>
      <w:r>
        <w:t xml:space="preserve"> by chromium-doped ZrO</w:t>
      </w:r>
      <w:r>
        <w:rPr>
          <w:vertAlign w:val="subscript"/>
        </w:rPr>
        <w:t>2</w:t>
      </w:r>
      <w:r>
        <w:t xml:space="preserve"> aerogels in tandem with HZSM-5@SiO</w:t>
      </w:r>
      <w:r>
        <w:rPr>
          <w:vertAlign w:val="subscript"/>
        </w:rPr>
        <w:t>2</w:t>
      </w:r>
      <w:r>
        <w:t xml:space="preserve"> catalyst. Applied Catalysis B-Environment and Energy,</w:t>
      </w:r>
      <w:r>
        <w:rPr>
          <w:i/>
        </w:rPr>
        <w:t xml:space="preserve"> </w:t>
      </w:r>
      <w:r>
        <w:t>2023, 328: 122535</w:t>
      </w:r>
    </w:p>
    <w:p w14:paraId="5C2F98E2">
      <w:pPr>
        <w:pStyle w:val="16"/>
        <w:spacing w:line="360" w:lineRule="auto"/>
      </w:pPr>
      <w:r>
        <w:t>2. Wang Y, Tan L, Tan M, et al. Rationally designing bifunctional catalysts as an efficient strategy to boost CO</w:t>
      </w:r>
      <w:r>
        <w:rPr>
          <w:vertAlign w:val="subscript"/>
        </w:rPr>
        <w:t>2</w:t>
      </w:r>
      <w:r>
        <w:t xml:space="preserve"> hydrogenation producing value-added aromatics. ACS Catalysis,</w:t>
      </w:r>
      <w:r>
        <w:rPr>
          <w:i/>
        </w:rPr>
        <w:t xml:space="preserve"> </w:t>
      </w:r>
      <w:r>
        <w:t>2019, 9(2): 895‒901</w:t>
      </w:r>
    </w:p>
    <w:p w14:paraId="291DA62C">
      <w:pPr>
        <w:pStyle w:val="16"/>
        <w:spacing w:line="360" w:lineRule="auto"/>
        <w:rPr>
          <w:lang w:val="fr-FR"/>
        </w:rPr>
      </w:pPr>
      <w:r>
        <w:t>3. Wang Y, Gao W, Kazumi S, et al. Direct and oriented conversion of CO</w:t>
      </w:r>
      <w:r>
        <w:rPr>
          <w:vertAlign w:val="subscript"/>
        </w:rPr>
        <w:t>2</w:t>
      </w:r>
      <w:r>
        <w:t xml:space="preserve"> into value-added aromatics. </w:t>
      </w:r>
      <w:r>
        <w:rPr>
          <w:lang w:val="fr-FR"/>
        </w:rPr>
        <w:t>Chemistry-A European Journal</w:t>
      </w:r>
      <w:r>
        <w:rPr>
          <w:rFonts w:hint="eastAsia"/>
          <w:lang w:val="fr-FR"/>
        </w:rPr>
        <w:t>,</w:t>
      </w:r>
      <w:r>
        <w:rPr>
          <w:lang w:val="fr-FR"/>
        </w:rPr>
        <w:t xml:space="preserve"> 2019, 25(20): 5149‒5153</w:t>
      </w:r>
    </w:p>
    <w:p w14:paraId="573FD133">
      <w:pPr>
        <w:pStyle w:val="16"/>
        <w:spacing w:line="360" w:lineRule="auto"/>
        <w:rPr>
          <w:lang w:val="fr-FR"/>
        </w:rPr>
      </w:pPr>
      <w:r>
        <w:rPr>
          <w:lang w:val="fr-FR"/>
        </w:rPr>
        <w:t xml:space="preserve">4. Ni Y M, Chen Z Y, Fu Y, et al. </w:t>
      </w:r>
      <w:r>
        <w:t>Selective conversion of CO</w:t>
      </w:r>
      <w:r>
        <w:rPr>
          <w:vertAlign w:val="subscript"/>
        </w:rPr>
        <w:t>2</w:t>
      </w:r>
      <w:r>
        <w:t xml:space="preserve"> and H</w:t>
      </w:r>
      <w:r>
        <w:rPr>
          <w:vertAlign w:val="subscript"/>
        </w:rPr>
        <w:t>2</w:t>
      </w:r>
      <w:r>
        <w:t xml:space="preserve"> into aromatics. </w:t>
      </w:r>
      <w:r>
        <w:rPr>
          <w:lang w:val="fr-FR"/>
        </w:rPr>
        <w:t>Nature Communications,</w:t>
      </w:r>
      <w:r>
        <w:rPr>
          <w:i/>
          <w:lang w:val="fr-FR"/>
        </w:rPr>
        <w:t xml:space="preserve"> </w:t>
      </w:r>
      <w:r>
        <w:rPr>
          <w:lang w:val="fr-FR"/>
        </w:rPr>
        <w:t>2018, 9: 3457</w:t>
      </w:r>
    </w:p>
    <w:p w14:paraId="175EE29D">
      <w:pPr>
        <w:pStyle w:val="16"/>
        <w:spacing w:line="360" w:lineRule="auto"/>
        <w:rPr>
          <w:lang w:val="fr-FR"/>
        </w:rPr>
      </w:pPr>
      <w:r>
        <w:rPr>
          <w:lang w:val="fr-FR"/>
        </w:rPr>
        <w:t xml:space="preserve">5. Zhou C, Shi J, Zhou W, et al. </w:t>
      </w:r>
      <w:r>
        <w:t>Highly active ZnO-ZrO</w:t>
      </w:r>
      <w:r>
        <w:rPr>
          <w:vertAlign w:val="subscript"/>
        </w:rPr>
        <w:t>2</w:t>
      </w:r>
      <w:r>
        <w:t xml:space="preserve"> aerogels integrated with H-ZSM-5 for aromatics synthesis from carbon dioxide. </w:t>
      </w:r>
      <w:r>
        <w:rPr>
          <w:lang w:val="fr-FR"/>
        </w:rPr>
        <w:t>ACS Catalysis,</w:t>
      </w:r>
      <w:r>
        <w:rPr>
          <w:i/>
          <w:lang w:val="fr-FR"/>
        </w:rPr>
        <w:t xml:space="preserve"> </w:t>
      </w:r>
      <w:r>
        <w:rPr>
          <w:lang w:val="fr-FR"/>
        </w:rPr>
        <w:t>2020, 10(1): 302‒310</w:t>
      </w:r>
    </w:p>
    <w:p w14:paraId="6063A78A">
      <w:pPr>
        <w:pStyle w:val="16"/>
        <w:spacing w:line="360" w:lineRule="auto"/>
      </w:pPr>
      <w:r>
        <w:rPr>
          <w:lang w:val="fr-FR"/>
        </w:rPr>
        <w:t xml:space="preserve">6. Gao W Z, Guo L S, Cui Y, et al. </w:t>
      </w:r>
      <w:r>
        <w:t>Selective conversion of CO</w:t>
      </w:r>
      <w:r>
        <w:rPr>
          <w:vertAlign w:val="subscript"/>
        </w:rPr>
        <w:t>2</w:t>
      </w:r>
      <w:r>
        <w:t xml:space="preserve"> into para-xylene over a ZnCr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4</w:t>
      </w:r>
      <w:r>
        <w:t>-ZSM-5 catalyst. ChemSusChem 2020, 13(24): 6541‒6545</w:t>
      </w:r>
    </w:p>
    <w:p w14:paraId="30F871CF">
      <w:pPr>
        <w:pStyle w:val="16"/>
        <w:spacing w:line="360" w:lineRule="auto"/>
      </w:pPr>
      <w:r>
        <w:t>7. Wang T, Yang C, Gao P, et al. ZnZrO</w:t>
      </w:r>
      <w:r>
        <w:rPr>
          <w:i/>
          <w:iCs/>
          <w:vertAlign w:val="subscript"/>
        </w:rPr>
        <w:t>x</w:t>
      </w:r>
      <w:r>
        <w:rPr>
          <w:i/>
          <w:iCs/>
        </w:rPr>
        <w:t xml:space="preserve"> </w:t>
      </w:r>
      <w:r>
        <w:t>integrated with chain-like nanocrystal HZSM-5 as efficient catalysts for aromatics synthesis from CO</w:t>
      </w:r>
      <w:r>
        <w:rPr>
          <w:vertAlign w:val="subscript"/>
        </w:rPr>
        <w:t>2</w:t>
      </w:r>
      <w:r>
        <w:t xml:space="preserve"> hydrogenation. Applied Catalysis B-Environment and Energy,</w:t>
      </w:r>
      <w:r>
        <w:rPr>
          <w:i/>
        </w:rPr>
        <w:t xml:space="preserve"> </w:t>
      </w:r>
      <w:r>
        <w:t>2021, 286: 119929</w:t>
      </w:r>
    </w:p>
    <w:p w14:paraId="036BC9C8">
      <w:pPr>
        <w:pStyle w:val="16"/>
        <w:spacing w:line="360" w:lineRule="auto"/>
      </w:pPr>
      <w:r>
        <w:t>8. Guo S, Fan S, Wang H, et al. Selective conversion of CO</w:t>
      </w:r>
      <w:r>
        <w:rPr>
          <w:vertAlign w:val="subscript"/>
        </w:rPr>
        <w:t>2</w:t>
      </w:r>
      <w:r>
        <w:t xml:space="preserve"> to trimethylbenzene and ethene by hydrogenation over a bifunctional ZnCrO</w:t>
      </w:r>
      <w:r>
        <w:rPr>
          <w:i/>
          <w:vertAlign w:val="subscript"/>
        </w:rPr>
        <w:t>x</w:t>
      </w:r>
      <w:r>
        <w:t>/H-ZSM-5 composite catalyst. ACS Catalysis,</w:t>
      </w:r>
      <w:r>
        <w:rPr>
          <w:i/>
        </w:rPr>
        <w:t xml:space="preserve"> </w:t>
      </w:r>
      <w:r>
        <w:t>2024, 14(1): 271‒282</w:t>
      </w:r>
    </w:p>
    <w:p w14:paraId="673198D5">
      <w:pPr>
        <w:pStyle w:val="16"/>
        <w:spacing w:line="360" w:lineRule="auto"/>
      </w:pPr>
      <w:r>
        <w:t>9. Nezam I, Zhou W, Shah D R, et al. Role of catalyst domain size in the hydrogenation of CO</w:t>
      </w:r>
      <w:r>
        <w:rPr>
          <w:vertAlign w:val="subscript"/>
        </w:rPr>
        <w:t>2</w:t>
      </w:r>
      <w:r>
        <w:t xml:space="preserve"> to aromatics over ZnZrO</w:t>
      </w:r>
      <w:r>
        <w:rPr>
          <w:i/>
          <w:vertAlign w:val="subscript"/>
        </w:rPr>
        <w:t>x</w:t>
      </w:r>
      <w:r>
        <w:t>/ZSM-5 catalysts. Journal of Physical Chemistry C,</w:t>
      </w:r>
      <w:r>
        <w:rPr>
          <w:i/>
        </w:rPr>
        <w:t xml:space="preserve"> </w:t>
      </w:r>
      <w:r>
        <w:t>2023, 127(13): 6356‒6370</w:t>
      </w:r>
    </w:p>
    <w:p w14:paraId="49A4B821">
      <w:pPr>
        <w:pStyle w:val="16"/>
        <w:spacing w:line="360" w:lineRule="auto"/>
      </w:pPr>
      <w:r>
        <w:t xml:space="preserve">10. Liu B, Wang Y, Xie Y, et al. </w:t>
      </w:r>
      <w:r>
        <w:rPr>
          <w:i/>
        </w:rPr>
        <w:t>y</w:t>
      </w:r>
      <w:r>
        <w:t>In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>-ZnZrO</w:t>
      </w:r>
      <w:r>
        <w:rPr>
          <w:i/>
        </w:rPr>
        <w:t>x</w:t>
      </w:r>
      <w:r>
        <w:t>/hierarchical ZSM-5 tandem catalysts for CO</w:t>
      </w:r>
      <w:r>
        <w:rPr>
          <w:vertAlign w:val="subscript"/>
        </w:rPr>
        <w:t>2</w:t>
      </w:r>
      <w:r>
        <w:t xml:space="preserve"> hydrogenation to aromatics rich in tetramethylbenzene. A</w:t>
      </w:r>
      <w:r>
        <w:rPr>
          <w:rFonts w:hint="eastAsia"/>
        </w:rPr>
        <w:t>CS</w:t>
      </w:r>
      <w:r>
        <w:t xml:space="preserve"> Sustainable Chemistry &amp; Engineering,</w:t>
      </w:r>
      <w:r>
        <w:rPr>
          <w:i/>
        </w:rPr>
        <w:t xml:space="preserve"> </w:t>
      </w:r>
      <w:r>
        <w:t>2023, 11(49): 17340‒17354</w:t>
      </w:r>
      <w:bookmarkStart w:id="22" w:name="_GoBack"/>
      <w:bookmarkEnd w:id="22"/>
    </w:p>
    <w:p w14:paraId="4C8CDB32">
      <w:pPr>
        <w:pStyle w:val="16"/>
        <w:spacing w:line="360" w:lineRule="auto"/>
      </w:pPr>
      <w:r>
        <w:t>11. Xin Q, Guo H, Wang Y, et al. Indium-promoted znZrO</w:t>
      </w:r>
      <w:r>
        <w:rPr>
          <w:i/>
        </w:rPr>
        <w:t>x</w:t>
      </w:r>
      <w:r>
        <w:t>/nano-ZSM-5 for efficient conversion of CO</w:t>
      </w:r>
      <w:r>
        <w:rPr>
          <w:vertAlign w:val="subscript"/>
        </w:rPr>
        <w:t>2</w:t>
      </w:r>
      <w:r>
        <w:t xml:space="preserve"> to aromatics with high selectivity. Journal of Environmental Chemical Engineering</w:t>
      </w:r>
      <w:r>
        <w:rPr>
          <w:rFonts w:hint="eastAsia"/>
        </w:rPr>
        <w:t>,</w:t>
      </w:r>
      <w:r>
        <w:t xml:space="preserve"> 2022, 10(3): 108032</w:t>
      </w:r>
    </w:p>
    <w:p w14:paraId="0FD4A88C">
      <w:pPr>
        <w:pStyle w:val="16"/>
        <w:spacing w:line="360" w:lineRule="auto"/>
      </w:pPr>
      <w:r>
        <w:t>12. Li Z, Qu Y, Wang J, et al. Highly selective conversion of carbon dioxide to aromatics over tandem catalysts. Joule,</w:t>
      </w:r>
      <w:r>
        <w:rPr>
          <w:i/>
        </w:rPr>
        <w:t xml:space="preserve"> </w:t>
      </w:r>
      <w:r>
        <w:t>2019, 3(2): 570‒583</w:t>
      </w:r>
    </w:p>
    <w:p w14:paraId="7C7275BA">
      <w:pPr>
        <w:pStyle w:val="16"/>
        <w:spacing w:line="360" w:lineRule="auto"/>
      </w:pPr>
      <w:r>
        <w:t>13. Zhang X, Zhang A, Jiang X, et al. Utilization of CO</w:t>
      </w:r>
      <w:r>
        <w:rPr>
          <w:vertAlign w:val="subscript"/>
        </w:rPr>
        <w:t>2</w:t>
      </w:r>
      <w:r>
        <w:t xml:space="preserve"> for aromatics production over ZnO/ZrO</w:t>
      </w:r>
      <w:r>
        <w:rPr>
          <w:vertAlign w:val="subscript"/>
        </w:rPr>
        <w:t>2</w:t>
      </w:r>
      <w:r>
        <w:t>-ZSM-5 tandem catalyst. Journal of CO2 Utilization,</w:t>
      </w:r>
      <w:r>
        <w:rPr>
          <w:i/>
        </w:rPr>
        <w:t xml:space="preserve"> </w:t>
      </w:r>
      <w:r>
        <w:t>2019, 29: 140‒145</w:t>
      </w:r>
    </w:p>
    <w:p w14:paraId="0BC0740E">
      <w:pPr>
        <w:spacing w:line="360" w:lineRule="auto"/>
        <w:rPr>
          <w:szCs w:val="24"/>
        </w:rPr>
      </w:pPr>
      <w:r>
        <w:fldChar w:fldCharType="end"/>
      </w:r>
    </w:p>
    <w:sectPr>
      <w:footerReference r:id="rId4" w:type="default"/>
      <w:pgSz w:w="11906" w:h="16838"/>
      <w:pgMar w:top="1134" w:right="1134" w:bottom="1134" w:left="1134" w:header="851" w:footer="992" w:gutter="0"/>
      <w:pgNumType w:start="1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89070349"/>
      <w:docPartObj>
        <w:docPartGallery w:val="autotext"/>
      </w:docPartObj>
    </w:sdtPr>
    <w:sdtContent>
      <w:p w14:paraId="30F6B843">
        <w:pPr>
          <w:pStyle w:val="4"/>
          <w:jc w:val="center"/>
        </w:pPr>
      </w:p>
    </w:sdtContent>
  </w:sdt>
  <w:p w14:paraId="0407A0C2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83785713"/>
      <w:docPartObj>
        <w:docPartGallery w:val="autotext"/>
      </w:docPartObj>
    </w:sdtPr>
    <w:sdtContent>
      <w:p w14:paraId="597BDF02">
        <w:pPr>
          <w:pStyle w:val="4"/>
          <w:jc w:val="center"/>
        </w:pPr>
        <w:r>
          <w:t>S</w:t>
        </w: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18</w:t>
        </w:r>
        <w:r>
          <w:fldChar w:fldCharType="end"/>
        </w:r>
      </w:p>
    </w:sdtContent>
  </w:sdt>
  <w:p w14:paraId="00272E4A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I1MjY5MzBhNTg1MTViOTJjZGNiNjI4ZTY5MDIwNjcifQ=="/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ENGINEERING Energ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59vppf0eva097e5rayvs5xpv9pvxt0tt9xs&quot;&gt;My EndNote Library&lt;record-ids&gt;&lt;item&gt;370&lt;/item&gt;&lt;item&gt;597&lt;/item&gt;&lt;item&gt;625&lt;/item&gt;&lt;item&gt;654&lt;/item&gt;&lt;item&gt;657&lt;/item&gt;&lt;item&gt;659&lt;/item&gt;&lt;item&gt;670&lt;/item&gt;&lt;item&gt;671&lt;/item&gt;&lt;item&gt;674&lt;/item&gt;&lt;item&gt;752&lt;/item&gt;&lt;item&gt;753&lt;/item&gt;&lt;item&gt;762&lt;/item&gt;&lt;item&gt;763&lt;/item&gt;&lt;/record-ids&gt;&lt;/item&gt;&lt;/Libraries&gt;"/>
  </w:docVars>
  <w:rsids>
    <w:rsidRoot w:val="00B1502D"/>
    <w:rsid w:val="00000005"/>
    <w:rsid w:val="000003E9"/>
    <w:rsid w:val="0000093A"/>
    <w:rsid w:val="000028FB"/>
    <w:rsid w:val="000036C8"/>
    <w:rsid w:val="000036E4"/>
    <w:rsid w:val="00003CEB"/>
    <w:rsid w:val="000050E0"/>
    <w:rsid w:val="0000528F"/>
    <w:rsid w:val="000054C3"/>
    <w:rsid w:val="000065E4"/>
    <w:rsid w:val="00007FA7"/>
    <w:rsid w:val="0001002A"/>
    <w:rsid w:val="00010870"/>
    <w:rsid w:val="000110E5"/>
    <w:rsid w:val="000119D4"/>
    <w:rsid w:val="000136EA"/>
    <w:rsid w:val="00015190"/>
    <w:rsid w:val="0001519F"/>
    <w:rsid w:val="000156C5"/>
    <w:rsid w:val="00015A7F"/>
    <w:rsid w:val="00016614"/>
    <w:rsid w:val="0001688B"/>
    <w:rsid w:val="00017481"/>
    <w:rsid w:val="000175ED"/>
    <w:rsid w:val="0002008E"/>
    <w:rsid w:val="0002012B"/>
    <w:rsid w:val="000204CC"/>
    <w:rsid w:val="00021221"/>
    <w:rsid w:val="000213D1"/>
    <w:rsid w:val="00023908"/>
    <w:rsid w:val="00023B87"/>
    <w:rsid w:val="0002456D"/>
    <w:rsid w:val="00024AD7"/>
    <w:rsid w:val="00024EA7"/>
    <w:rsid w:val="00025D88"/>
    <w:rsid w:val="00026027"/>
    <w:rsid w:val="00027294"/>
    <w:rsid w:val="00027749"/>
    <w:rsid w:val="00030132"/>
    <w:rsid w:val="00030B0B"/>
    <w:rsid w:val="00031A8F"/>
    <w:rsid w:val="00031EBA"/>
    <w:rsid w:val="0003377C"/>
    <w:rsid w:val="00034B74"/>
    <w:rsid w:val="00034E66"/>
    <w:rsid w:val="00035BAD"/>
    <w:rsid w:val="00036CB0"/>
    <w:rsid w:val="00037381"/>
    <w:rsid w:val="0003774B"/>
    <w:rsid w:val="000440D7"/>
    <w:rsid w:val="00044526"/>
    <w:rsid w:val="00044A20"/>
    <w:rsid w:val="0004500B"/>
    <w:rsid w:val="000453AC"/>
    <w:rsid w:val="0004563B"/>
    <w:rsid w:val="000463B4"/>
    <w:rsid w:val="00046A12"/>
    <w:rsid w:val="00046F9D"/>
    <w:rsid w:val="00050029"/>
    <w:rsid w:val="000517E3"/>
    <w:rsid w:val="00051A7F"/>
    <w:rsid w:val="00052144"/>
    <w:rsid w:val="0005297F"/>
    <w:rsid w:val="00052E54"/>
    <w:rsid w:val="00053705"/>
    <w:rsid w:val="00054C46"/>
    <w:rsid w:val="00055CDD"/>
    <w:rsid w:val="000566CF"/>
    <w:rsid w:val="0005680C"/>
    <w:rsid w:val="00056D16"/>
    <w:rsid w:val="000603A2"/>
    <w:rsid w:val="00061421"/>
    <w:rsid w:val="00062210"/>
    <w:rsid w:val="000622C3"/>
    <w:rsid w:val="000627CC"/>
    <w:rsid w:val="0006282C"/>
    <w:rsid w:val="000634BD"/>
    <w:rsid w:val="00065488"/>
    <w:rsid w:val="00065A03"/>
    <w:rsid w:val="00065C98"/>
    <w:rsid w:val="00065E85"/>
    <w:rsid w:val="00065FE0"/>
    <w:rsid w:val="00066442"/>
    <w:rsid w:val="000664E0"/>
    <w:rsid w:val="00066585"/>
    <w:rsid w:val="00066A28"/>
    <w:rsid w:val="00066C24"/>
    <w:rsid w:val="0006731B"/>
    <w:rsid w:val="0006765E"/>
    <w:rsid w:val="00070FEA"/>
    <w:rsid w:val="00071B91"/>
    <w:rsid w:val="000726C0"/>
    <w:rsid w:val="000726CC"/>
    <w:rsid w:val="00072C4C"/>
    <w:rsid w:val="00073C73"/>
    <w:rsid w:val="00076D1B"/>
    <w:rsid w:val="00076F2B"/>
    <w:rsid w:val="00081A78"/>
    <w:rsid w:val="00082FED"/>
    <w:rsid w:val="00083F51"/>
    <w:rsid w:val="00084093"/>
    <w:rsid w:val="0008485F"/>
    <w:rsid w:val="000854BC"/>
    <w:rsid w:val="00085EA1"/>
    <w:rsid w:val="000862E6"/>
    <w:rsid w:val="00086D1D"/>
    <w:rsid w:val="000876CE"/>
    <w:rsid w:val="00087F7C"/>
    <w:rsid w:val="00090972"/>
    <w:rsid w:val="00090E6F"/>
    <w:rsid w:val="00091684"/>
    <w:rsid w:val="00091B51"/>
    <w:rsid w:val="0009206E"/>
    <w:rsid w:val="000920C5"/>
    <w:rsid w:val="00093349"/>
    <w:rsid w:val="00094BB5"/>
    <w:rsid w:val="00094F82"/>
    <w:rsid w:val="00096521"/>
    <w:rsid w:val="00096A8D"/>
    <w:rsid w:val="000A06CD"/>
    <w:rsid w:val="000A0ED3"/>
    <w:rsid w:val="000A2083"/>
    <w:rsid w:val="000A24A9"/>
    <w:rsid w:val="000A25E5"/>
    <w:rsid w:val="000A38D8"/>
    <w:rsid w:val="000A4009"/>
    <w:rsid w:val="000A5528"/>
    <w:rsid w:val="000A5D99"/>
    <w:rsid w:val="000A6627"/>
    <w:rsid w:val="000A6790"/>
    <w:rsid w:val="000A6C97"/>
    <w:rsid w:val="000A798A"/>
    <w:rsid w:val="000B001D"/>
    <w:rsid w:val="000B0313"/>
    <w:rsid w:val="000B081A"/>
    <w:rsid w:val="000B2860"/>
    <w:rsid w:val="000B2AE5"/>
    <w:rsid w:val="000B392C"/>
    <w:rsid w:val="000B4C2B"/>
    <w:rsid w:val="000B4D9D"/>
    <w:rsid w:val="000B6351"/>
    <w:rsid w:val="000B65DF"/>
    <w:rsid w:val="000B6917"/>
    <w:rsid w:val="000B7A8E"/>
    <w:rsid w:val="000B7FE9"/>
    <w:rsid w:val="000C0644"/>
    <w:rsid w:val="000C070E"/>
    <w:rsid w:val="000C0A5E"/>
    <w:rsid w:val="000C0A7F"/>
    <w:rsid w:val="000C0CF3"/>
    <w:rsid w:val="000C127C"/>
    <w:rsid w:val="000C2238"/>
    <w:rsid w:val="000C2D7C"/>
    <w:rsid w:val="000C3BF0"/>
    <w:rsid w:val="000C536C"/>
    <w:rsid w:val="000C57F9"/>
    <w:rsid w:val="000D07FC"/>
    <w:rsid w:val="000D1007"/>
    <w:rsid w:val="000D145B"/>
    <w:rsid w:val="000D15AA"/>
    <w:rsid w:val="000D31CA"/>
    <w:rsid w:val="000D3A3E"/>
    <w:rsid w:val="000D3B74"/>
    <w:rsid w:val="000D45F7"/>
    <w:rsid w:val="000D5286"/>
    <w:rsid w:val="000D5B1C"/>
    <w:rsid w:val="000D67CE"/>
    <w:rsid w:val="000D6BBD"/>
    <w:rsid w:val="000D7099"/>
    <w:rsid w:val="000D7DF2"/>
    <w:rsid w:val="000E24C8"/>
    <w:rsid w:val="000E2947"/>
    <w:rsid w:val="000E3643"/>
    <w:rsid w:val="000E38EF"/>
    <w:rsid w:val="000E3F06"/>
    <w:rsid w:val="000E4469"/>
    <w:rsid w:val="000E4D9A"/>
    <w:rsid w:val="000E501F"/>
    <w:rsid w:val="000E51F4"/>
    <w:rsid w:val="000E5E85"/>
    <w:rsid w:val="000E5E98"/>
    <w:rsid w:val="000E637A"/>
    <w:rsid w:val="000F2F75"/>
    <w:rsid w:val="000F2F92"/>
    <w:rsid w:val="000F303F"/>
    <w:rsid w:val="000F391D"/>
    <w:rsid w:val="000F6046"/>
    <w:rsid w:val="000F6A90"/>
    <w:rsid w:val="000F741D"/>
    <w:rsid w:val="000F774D"/>
    <w:rsid w:val="000F7CBC"/>
    <w:rsid w:val="000F7DB4"/>
    <w:rsid w:val="0010016E"/>
    <w:rsid w:val="001007D6"/>
    <w:rsid w:val="00101E1D"/>
    <w:rsid w:val="00101F5E"/>
    <w:rsid w:val="00102BF6"/>
    <w:rsid w:val="00102D1C"/>
    <w:rsid w:val="001033AF"/>
    <w:rsid w:val="0010400E"/>
    <w:rsid w:val="00104C21"/>
    <w:rsid w:val="00105AA8"/>
    <w:rsid w:val="00105F31"/>
    <w:rsid w:val="00106047"/>
    <w:rsid w:val="0010611B"/>
    <w:rsid w:val="00106CB5"/>
    <w:rsid w:val="001100D1"/>
    <w:rsid w:val="001102CA"/>
    <w:rsid w:val="00110502"/>
    <w:rsid w:val="00110A6D"/>
    <w:rsid w:val="00110D42"/>
    <w:rsid w:val="00110E05"/>
    <w:rsid w:val="00110E70"/>
    <w:rsid w:val="00111C95"/>
    <w:rsid w:val="00114FA5"/>
    <w:rsid w:val="00116C94"/>
    <w:rsid w:val="0011798B"/>
    <w:rsid w:val="0012014C"/>
    <w:rsid w:val="00120284"/>
    <w:rsid w:val="00121480"/>
    <w:rsid w:val="00122C3F"/>
    <w:rsid w:val="00122D7B"/>
    <w:rsid w:val="001236C8"/>
    <w:rsid w:val="001237E0"/>
    <w:rsid w:val="0012490C"/>
    <w:rsid w:val="00124D11"/>
    <w:rsid w:val="00124FF4"/>
    <w:rsid w:val="001262B9"/>
    <w:rsid w:val="00126905"/>
    <w:rsid w:val="0012690F"/>
    <w:rsid w:val="0012798F"/>
    <w:rsid w:val="00130FD0"/>
    <w:rsid w:val="001310E5"/>
    <w:rsid w:val="001311C8"/>
    <w:rsid w:val="00131791"/>
    <w:rsid w:val="00131A81"/>
    <w:rsid w:val="00131F26"/>
    <w:rsid w:val="001323ED"/>
    <w:rsid w:val="00132631"/>
    <w:rsid w:val="001361F0"/>
    <w:rsid w:val="0013671E"/>
    <w:rsid w:val="00136CCC"/>
    <w:rsid w:val="001375E9"/>
    <w:rsid w:val="00137970"/>
    <w:rsid w:val="001415E9"/>
    <w:rsid w:val="00141DB7"/>
    <w:rsid w:val="00141FE0"/>
    <w:rsid w:val="00142685"/>
    <w:rsid w:val="00142D55"/>
    <w:rsid w:val="00142FFF"/>
    <w:rsid w:val="001435B2"/>
    <w:rsid w:val="0014363F"/>
    <w:rsid w:val="00143A3B"/>
    <w:rsid w:val="00143FA4"/>
    <w:rsid w:val="001445F8"/>
    <w:rsid w:val="00145243"/>
    <w:rsid w:val="00145BF3"/>
    <w:rsid w:val="00145E61"/>
    <w:rsid w:val="00146497"/>
    <w:rsid w:val="0014695A"/>
    <w:rsid w:val="00146D04"/>
    <w:rsid w:val="0015030D"/>
    <w:rsid w:val="00150BEB"/>
    <w:rsid w:val="00151665"/>
    <w:rsid w:val="00151BF5"/>
    <w:rsid w:val="00151E57"/>
    <w:rsid w:val="00153625"/>
    <w:rsid w:val="001536B4"/>
    <w:rsid w:val="00154A3D"/>
    <w:rsid w:val="00154BE5"/>
    <w:rsid w:val="00155013"/>
    <w:rsid w:val="00155A69"/>
    <w:rsid w:val="0015609A"/>
    <w:rsid w:val="001603F7"/>
    <w:rsid w:val="00161346"/>
    <w:rsid w:val="001623AC"/>
    <w:rsid w:val="00162BA0"/>
    <w:rsid w:val="001630B1"/>
    <w:rsid w:val="001635A6"/>
    <w:rsid w:val="00163EA6"/>
    <w:rsid w:val="00164ABE"/>
    <w:rsid w:val="0016522A"/>
    <w:rsid w:val="00165C37"/>
    <w:rsid w:val="00166327"/>
    <w:rsid w:val="00167840"/>
    <w:rsid w:val="00170102"/>
    <w:rsid w:val="00171A8E"/>
    <w:rsid w:val="00171CBF"/>
    <w:rsid w:val="00172192"/>
    <w:rsid w:val="00173613"/>
    <w:rsid w:val="001742C7"/>
    <w:rsid w:val="001755BA"/>
    <w:rsid w:val="00176407"/>
    <w:rsid w:val="00177364"/>
    <w:rsid w:val="00177C5B"/>
    <w:rsid w:val="00180858"/>
    <w:rsid w:val="00180980"/>
    <w:rsid w:val="00180C8A"/>
    <w:rsid w:val="00181997"/>
    <w:rsid w:val="0018251A"/>
    <w:rsid w:val="00182A5F"/>
    <w:rsid w:val="00182DC2"/>
    <w:rsid w:val="00183137"/>
    <w:rsid w:val="0018400C"/>
    <w:rsid w:val="001846EC"/>
    <w:rsid w:val="0018489D"/>
    <w:rsid w:val="0018660C"/>
    <w:rsid w:val="00191A8C"/>
    <w:rsid w:val="00191BC6"/>
    <w:rsid w:val="00192934"/>
    <w:rsid w:val="00193FB0"/>
    <w:rsid w:val="001941D8"/>
    <w:rsid w:val="00194B2A"/>
    <w:rsid w:val="00194D27"/>
    <w:rsid w:val="00195106"/>
    <w:rsid w:val="00197901"/>
    <w:rsid w:val="00197BC2"/>
    <w:rsid w:val="001A0DB1"/>
    <w:rsid w:val="001A1093"/>
    <w:rsid w:val="001A14D6"/>
    <w:rsid w:val="001A2434"/>
    <w:rsid w:val="001A2973"/>
    <w:rsid w:val="001A2A82"/>
    <w:rsid w:val="001A3E2C"/>
    <w:rsid w:val="001A40F2"/>
    <w:rsid w:val="001A557B"/>
    <w:rsid w:val="001A5A6F"/>
    <w:rsid w:val="001A5CC6"/>
    <w:rsid w:val="001A5F81"/>
    <w:rsid w:val="001A61B6"/>
    <w:rsid w:val="001B0A59"/>
    <w:rsid w:val="001B0BC7"/>
    <w:rsid w:val="001B24DB"/>
    <w:rsid w:val="001B354A"/>
    <w:rsid w:val="001B4C10"/>
    <w:rsid w:val="001B61DB"/>
    <w:rsid w:val="001B6C41"/>
    <w:rsid w:val="001B7076"/>
    <w:rsid w:val="001C1173"/>
    <w:rsid w:val="001C1A57"/>
    <w:rsid w:val="001C1D83"/>
    <w:rsid w:val="001C1E37"/>
    <w:rsid w:val="001C2786"/>
    <w:rsid w:val="001C27E0"/>
    <w:rsid w:val="001C2AC0"/>
    <w:rsid w:val="001C2B98"/>
    <w:rsid w:val="001C3E3A"/>
    <w:rsid w:val="001C5790"/>
    <w:rsid w:val="001C5FF3"/>
    <w:rsid w:val="001C7669"/>
    <w:rsid w:val="001C77B3"/>
    <w:rsid w:val="001D0E78"/>
    <w:rsid w:val="001D2E16"/>
    <w:rsid w:val="001D34D7"/>
    <w:rsid w:val="001D4F61"/>
    <w:rsid w:val="001D5E8A"/>
    <w:rsid w:val="001D5EF7"/>
    <w:rsid w:val="001E032C"/>
    <w:rsid w:val="001E0A7B"/>
    <w:rsid w:val="001E1DA4"/>
    <w:rsid w:val="001E5AA4"/>
    <w:rsid w:val="001E5F21"/>
    <w:rsid w:val="001E5F80"/>
    <w:rsid w:val="001E73EC"/>
    <w:rsid w:val="001E7E25"/>
    <w:rsid w:val="001F0B24"/>
    <w:rsid w:val="001F11B9"/>
    <w:rsid w:val="001F221E"/>
    <w:rsid w:val="001F289E"/>
    <w:rsid w:val="001F2D23"/>
    <w:rsid w:val="001F3B37"/>
    <w:rsid w:val="001F436B"/>
    <w:rsid w:val="001F4805"/>
    <w:rsid w:val="001F632B"/>
    <w:rsid w:val="002006C1"/>
    <w:rsid w:val="00203612"/>
    <w:rsid w:val="00203823"/>
    <w:rsid w:val="00204439"/>
    <w:rsid w:val="002047D5"/>
    <w:rsid w:val="0020590B"/>
    <w:rsid w:val="00206048"/>
    <w:rsid w:val="002060CA"/>
    <w:rsid w:val="0020701B"/>
    <w:rsid w:val="002072B9"/>
    <w:rsid w:val="00207BD6"/>
    <w:rsid w:val="00207D6A"/>
    <w:rsid w:val="00207DC0"/>
    <w:rsid w:val="0021347A"/>
    <w:rsid w:val="00213B59"/>
    <w:rsid w:val="002159D4"/>
    <w:rsid w:val="0021634D"/>
    <w:rsid w:val="00217201"/>
    <w:rsid w:val="00221A96"/>
    <w:rsid w:val="0022248C"/>
    <w:rsid w:val="00222DE8"/>
    <w:rsid w:val="00223938"/>
    <w:rsid w:val="00224298"/>
    <w:rsid w:val="00225867"/>
    <w:rsid w:val="00225E95"/>
    <w:rsid w:val="00225F0D"/>
    <w:rsid w:val="00226514"/>
    <w:rsid w:val="002268AD"/>
    <w:rsid w:val="00226CC5"/>
    <w:rsid w:val="00231FA5"/>
    <w:rsid w:val="00233C78"/>
    <w:rsid w:val="00234B1A"/>
    <w:rsid w:val="00235F74"/>
    <w:rsid w:val="00236671"/>
    <w:rsid w:val="00236731"/>
    <w:rsid w:val="002376C3"/>
    <w:rsid w:val="00240246"/>
    <w:rsid w:val="00240BA5"/>
    <w:rsid w:val="00241488"/>
    <w:rsid w:val="0024163B"/>
    <w:rsid w:val="00241714"/>
    <w:rsid w:val="00241F90"/>
    <w:rsid w:val="002428B3"/>
    <w:rsid w:val="00244531"/>
    <w:rsid w:val="0024631F"/>
    <w:rsid w:val="0024638B"/>
    <w:rsid w:val="00247838"/>
    <w:rsid w:val="002478B8"/>
    <w:rsid w:val="00250B35"/>
    <w:rsid w:val="00251364"/>
    <w:rsid w:val="00251545"/>
    <w:rsid w:val="002519DC"/>
    <w:rsid w:val="0025210A"/>
    <w:rsid w:val="0025309C"/>
    <w:rsid w:val="002538F0"/>
    <w:rsid w:val="00254070"/>
    <w:rsid w:val="0025415C"/>
    <w:rsid w:val="002555DA"/>
    <w:rsid w:val="00255B71"/>
    <w:rsid w:val="0025798C"/>
    <w:rsid w:val="00257D67"/>
    <w:rsid w:val="00260945"/>
    <w:rsid w:val="002627B4"/>
    <w:rsid w:val="002630BA"/>
    <w:rsid w:val="002638CD"/>
    <w:rsid w:val="00263D21"/>
    <w:rsid w:val="00264717"/>
    <w:rsid w:val="00265A11"/>
    <w:rsid w:val="00266350"/>
    <w:rsid w:val="00266717"/>
    <w:rsid w:val="00266D3D"/>
    <w:rsid w:val="002679E4"/>
    <w:rsid w:val="00271161"/>
    <w:rsid w:val="002715F7"/>
    <w:rsid w:val="00271781"/>
    <w:rsid w:val="00272B56"/>
    <w:rsid w:val="00272FF0"/>
    <w:rsid w:val="0027318F"/>
    <w:rsid w:val="00273422"/>
    <w:rsid w:val="00273DC4"/>
    <w:rsid w:val="0027404B"/>
    <w:rsid w:val="00274087"/>
    <w:rsid w:val="00274A8E"/>
    <w:rsid w:val="002752F5"/>
    <w:rsid w:val="00275E45"/>
    <w:rsid w:val="00276049"/>
    <w:rsid w:val="0027661B"/>
    <w:rsid w:val="00276DFF"/>
    <w:rsid w:val="00277CF0"/>
    <w:rsid w:val="00277EF5"/>
    <w:rsid w:val="0028023C"/>
    <w:rsid w:val="002803E9"/>
    <w:rsid w:val="00281A4D"/>
    <w:rsid w:val="002828E0"/>
    <w:rsid w:val="00283F3D"/>
    <w:rsid w:val="00285312"/>
    <w:rsid w:val="00285D80"/>
    <w:rsid w:val="00286D1D"/>
    <w:rsid w:val="00287FBB"/>
    <w:rsid w:val="0029008A"/>
    <w:rsid w:val="00290B0B"/>
    <w:rsid w:val="0029121A"/>
    <w:rsid w:val="00291BD9"/>
    <w:rsid w:val="00291CF3"/>
    <w:rsid w:val="00291EFA"/>
    <w:rsid w:val="00293A91"/>
    <w:rsid w:val="00294BC3"/>
    <w:rsid w:val="00294DED"/>
    <w:rsid w:val="002950DE"/>
    <w:rsid w:val="002963D4"/>
    <w:rsid w:val="00297720"/>
    <w:rsid w:val="002A0462"/>
    <w:rsid w:val="002A08F6"/>
    <w:rsid w:val="002A1CB1"/>
    <w:rsid w:val="002A1D1D"/>
    <w:rsid w:val="002A2385"/>
    <w:rsid w:val="002A3238"/>
    <w:rsid w:val="002A3281"/>
    <w:rsid w:val="002A381A"/>
    <w:rsid w:val="002A3F68"/>
    <w:rsid w:val="002A3FC0"/>
    <w:rsid w:val="002A4ECB"/>
    <w:rsid w:val="002A5415"/>
    <w:rsid w:val="002A566E"/>
    <w:rsid w:val="002A5BEA"/>
    <w:rsid w:val="002A625A"/>
    <w:rsid w:val="002A6433"/>
    <w:rsid w:val="002A6A41"/>
    <w:rsid w:val="002B0A38"/>
    <w:rsid w:val="002B2EF0"/>
    <w:rsid w:val="002B4596"/>
    <w:rsid w:val="002B49E0"/>
    <w:rsid w:val="002B6F86"/>
    <w:rsid w:val="002B7016"/>
    <w:rsid w:val="002B7A56"/>
    <w:rsid w:val="002C02AF"/>
    <w:rsid w:val="002C056F"/>
    <w:rsid w:val="002C13AE"/>
    <w:rsid w:val="002C15E8"/>
    <w:rsid w:val="002C1A68"/>
    <w:rsid w:val="002C1C2C"/>
    <w:rsid w:val="002C1E7B"/>
    <w:rsid w:val="002C1F7F"/>
    <w:rsid w:val="002C32E2"/>
    <w:rsid w:val="002C3C97"/>
    <w:rsid w:val="002C4D94"/>
    <w:rsid w:val="002C626E"/>
    <w:rsid w:val="002C7B4C"/>
    <w:rsid w:val="002C7D36"/>
    <w:rsid w:val="002D037B"/>
    <w:rsid w:val="002D0852"/>
    <w:rsid w:val="002D0E35"/>
    <w:rsid w:val="002D130D"/>
    <w:rsid w:val="002D1836"/>
    <w:rsid w:val="002D1CE1"/>
    <w:rsid w:val="002D1EB7"/>
    <w:rsid w:val="002D2EA7"/>
    <w:rsid w:val="002D2EF0"/>
    <w:rsid w:val="002D3D87"/>
    <w:rsid w:val="002D44BA"/>
    <w:rsid w:val="002D4771"/>
    <w:rsid w:val="002D4A38"/>
    <w:rsid w:val="002D5308"/>
    <w:rsid w:val="002D5BC4"/>
    <w:rsid w:val="002D5DFC"/>
    <w:rsid w:val="002D5F41"/>
    <w:rsid w:val="002D6502"/>
    <w:rsid w:val="002D6D36"/>
    <w:rsid w:val="002D6DA0"/>
    <w:rsid w:val="002D745C"/>
    <w:rsid w:val="002E0DB0"/>
    <w:rsid w:val="002E0F43"/>
    <w:rsid w:val="002E2119"/>
    <w:rsid w:val="002E42A2"/>
    <w:rsid w:val="002E430E"/>
    <w:rsid w:val="002E5A40"/>
    <w:rsid w:val="002E7307"/>
    <w:rsid w:val="002E7503"/>
    <w:rsid w:val="002F01E3"/>
    <w:rsid w:val="002F0BE4"/>
    <w:rsid w:val="002F1023"/>
    <w:rsid w:val="002F16CF"/>
    <w:rsid w:val="002F192A"/>
    <w:rsid w:val="002F29E8"/>
    <w:rsid w:val="002F4193"/>
    <w:rsid w:val="002F48F8"/>
    <w:rsid w:val="002F5056"/>
    <w:rsid w:val="002F5219"/>
    <w:rsid w:val="002F5434"/>
    <w:rsid w:val="002F56E9"/>
    <w:rsid w:val="002F57DD"/>
    <w:rsid w:val="002F5BD7"/>
    <w:rsid w:val="002F5CE6"/>
    <w:rsid w:val="002F67EC"/>
    <w:rsid w:val="002F6D9E"/>
    <w:rsid w:val="002F7838"/>
    <w:rsid w:val="002F7C63"/>
    <w:rsid w:val="002F7D11"/>
    <w:rsid w:val="00300A22"/>
    <w:rsid w:val="00300CD4"/>
    <w:rsid w:val="00300D3D"/>
    <w:rsid w:val="00301211"/>
    <w:rsid w:val="00301AE6"/>
    <w:rsid w:val="00301D76"/>
    <w:rsid w:val="0030297C"/>
    <w:rsid w:val="00302A6A"/>
    <w:rsid w:val="003040A8"/>
    <w:rsid w:val="00304369"/>
    <w:rsid w:val="0030542B"/>
    <w:rsid w:val="003066F6"/>
    <w:rsid w:val="00306E63"/>
    <w:rsid w:val="00307728"/>
    <w:rsid w:val="00307774"/>
    <w:rsid w:val="00307C5B"/>
    <w:rsid w:val="00307CCC"/>
    <w:rsid w:val="00310062"/>
    <w:rsid w:val="003106F8"/>
    <w:rsid w:val="003126D8"/>
    <w:rsid w:val="00312EB1"/>
    <w:rsid w:val="00313683"/>
    <w:rsid w:val="00315C60"/>
    <w:rsid w:val="00315F4B"/>
    <w:rsid w:val="00316E3E"/>
    <w:rsid w:val="00321509"/>
    <w:rsid w:val="003216A7"/>
    <w:rsid w:val="003222AB"/>
    <w:rsid w:val="0032327E"/>
    <w:rsid w:val="00323F9D"/>
    <w:rsid w:val="003246EF"/>
    <w:rsid w:val="0032548D"/>
    <w:rsid w:val="003256A4"/>
    <w:rsid w:val="00325D58"/>
    <w:rsid w:val="00326227"/>
    <w:rsid w:val="0032666B"/>
    <w:rsid w:val="003272BC"/>
    <w:rsid w:val="003279E7"/>
    <w:rsid w:val="00327CFB"/>
    <w:rsid w:val="00327D7D"/>
    <w:rsid w:val="0033000E"/>
    <w:rsid w:val="0033006E"/>
    <w:rsid w:val="0033046E"/>
    <w:rsid w:val="0033278E"/>
    <w:rsid w:val="00332A4C"/>
    <w:rsid w:val="003345C4"/>
    <w:rsid w:val="00340572"/>
    <w:rsid w:val="00340FB2"/>
    <w:rsid w:val="00340FCD"/>
    <w:rsid w:val="003415BD"/>
    <w:rsid w:val="00341D45"/>
    <w:rsid w:val="00343CF2"/>
    <w:rsid w:val="0034521A"/>
    <w:rsid w:val="00345813"/>
    <w:rsid w:val="00345C17"/>
    <w:rsid w:val="00346124"/>
    <w:rsid w:val="00347241"/>
    <w:rsid w:val="00350A97"/>
    <w:rsid w:val="00355352"/>
    <w:rsid w:val="00355639"/>
    <w:rsid w:val="00355AFB"/>
    <w:rsid w:val="00356E7C"/>
    <w:rsid w:val="003574B4"/>
    <w:rsid w:val="00357E04"/>
    <w:rsid w:val="00360734"/>
    <w:rsid w:val="003617B2"/>
    <w:rsid w:val="00361942"/>
    <w:rsid w:val="00361D8F"/>
    <w:rsid w:val="0036259A"/>
    <w:rsid w:val="00362CF8"/>
    <w:rsid w:val="00364375"/>
    <w:rsid w:val="00364AE9"/>
    <w:rsid w:val="00364C3C"/>
    <w:rsid w:val="00364DA8"/>
    <w:rsid w:val="00364FDE"/>
    <w:rsid w:val="00365080"/>
    <w:rsid w:val="003653AA"/>
    <w:rsid w:val="003658A7"/>
    <w:rsid w:val="0036685D"/>
    <w:rsid w:val="00366E72"/>
    <w:rsid w:val="00366F4B"/>
    <w:rsid w:val="003677A8"/>
    <w:rsid w:val="00367857"/>
    <w:rsid w:val="0037117D"/>
    <w:rsid w:val="003723A9"/>
    <w:rsid w:val="00372B56"/>
    <w:rsid w:val="00372D78"/>
    <w:rsid w:val="00373379"/>
    <w:rsid w:val="003740E6"/>
    <w:rsid w:val="003742A9"/>
    <w:rsid w:val="003747FA"/>
    <w:rsid w:val="00375430"/>
    <w:rsid w:val="003757A2"/>
    <w:rsid w:val="00376D81"/>
    <w:rsid w:val="00377AAC"/>
    <w:rsid w:val="00380D80"/>
    <w:rsid w:val="00382896"/>
    <w:rsid w:val="00382A7E"/>
    <w:rsid w:val="003843D7"/>
    <w:rsid w:val="0038553B"/>
    <w:rsid w:val="00385836"/>
    <w:rsid w:val="00385CE1"/>
    <w:rsid w:val="00386913"/>
    <w:rsid w:val="00393339"/>
    <w:rsid w:val="003943FF"/>
    <w:rsid w:val="00394DC5"/>
    <w:rsid w:val="003952BC"/>
    <w:rsid w:val="003965BF"/>
    <w:rsid w:val="00396664"/>
    <w:rsid w:val="003A0487"/>
    <w:rsid w:val="003A0C75"/>
    <w:rsid w:val="003A0E57"/>
    <w:rsid w:val="003A190C"/>
    <w:rsid w:val="003A2FC6"/>
    <w:rsid w:val="003A3323"/>
    <w:rsid w:val="003A56C2"/>
    <w:rsid w:val="003A68EB"/>
    <w:rsid w:val="003A6BD4"/>
    <w:rsid w:val="003A6DD1"/>
    <w:rsid w:val="003A7284"/>
    <w:rsid w:val="003A7434"/>
    <w:rsid w:val="003A7592"/>
    <w:rsid w:val="003B04B5"/>
    <w:rsid w:val="003B0814"/>
    <w:rsid w:val="003B1E37"/>
    <w:rsid w:val="003B2B50"/>
    <w:rsid w:val="003B308F"/>
    <w:rsid w:val="003B330D"/>
    <w:rsid w:val="003C0254"/>
    <w:rsid w:val="003C0D08"/>
    <w:rsid w:val="003C0E42"/>
    <w:rsid w:val="003C2D2E"/>
    <w:rsid w:val="003C32DF"/>
    <w:rsid w:val="003C3A68"/>
    <w:rsid w:val="003C42FB"/>
    <w:rsid w:val="003C4C33"/>
    <w:rsid w:val="003C4F35"/>
    <w:rsid w:val="003C553A"/>
    <w:rsid w:val="003C6EE7"/>
    <w:rsid w:val="003C7723"/>
    <w:rsid w:val="003C7F8D"/>
    <w:rsid w:val="003D0F4F"/>
    <w:rsid w:val="003D0F8C"/>
    <w:rsid w:val="003D1368"/>
    <w:rsid w:val="003D276A"/>
    <w:rsid w:val="003D307E"/>
    <w:rsid w:val="003D3355"/>
    <w:rsid w:val="003D351A"/>
    <w:rsid w:val="003D3A82"/>
    <w:rsid w:val="003D4874"/>
    <w:rsid w:val="003D582E"/>
    <w:rsid w:val="003D5E95"/>
    <w:rsid w:val="003D5F7D"/>
    <w:rsid w:val="003D77D0"/>
    <w:rsid w:val="003D7C52"/>
    <w:rsid w:val="003D7CF0"/>
    <w:rsid w:val="003D7E28"/>
    <w:rsid w:val="003E0CE0"/>
    <w:rsid w:val="003E5FA9"/>
    <w:rsid w:val="003E626F"/>
    <w:rsid w:val="003E64DC"/>
    <w:rsid w:val="003F02B0"/>
    <w:rsid w:val="003F0F06"/>
    <w:rsid w:val="003F1539"/>
    <w:rsid w:val="003F2093"/>
    <w:rsid w:val="003F27D4"/>
    <w:rsid w:val="003F2FF0"/>
    <w:rsid w:val="003F375C"/>
    <w:rsid w:val="003F38A6"/>
    <w:rsid w:val="003F4122"/>
    <w:rsid w:val="003F5579"/>
    <w:rsid w:val="003F708E"/>
    <w:rsid w:val="003F77BC"/>
    <w:rsid w:val="00400A28"/>
    <w:rsid w:val="0040116D"/>
    <w:rsid w:val="00401526"/>
    <w:rsid w:val="00403051"/>
    <w:rsid w:val="0040406A"/>
    <w:rsid w:val="004043F1"/>
    <w:rsid w:val="00404571"/>
    <w:rsid w:val="00405937"/>
    <w:rsid w:val="0040663E"/>
    <w:rsid w:val="00406BD8"/>
    <w:rsid w:val="0040726E"/>
    <w:rsid w:val="00407E4C"/>
    <w:rsid w:val="004124A7"/>
    <w:rsid w:val="00412B26"/>
    <w:rsid w:val="00413BDC"/>
    <w:rsid w:val="004141A4"/>
    <w:rsid w:val="00414714"/>
    <w:rsid w:val="004149B7"/>
    <w:rsid w:val="00414F23"/>
    <w:rsid w:val="00416236"/>
    <w:rsid w:val="00416516"/>
    <w:rsid w:val="004170F4"/>
    <w:rsid w:val="004174E5"/>
    <w:rsid w:val="004176DE"/>
    <w:rsid w:val="0041791F"/>
    <w:rsid w:val="0042059C"/>
    <w:rsid w:val="00420B93"/>
    <w:rsid w:val="00421C89"/>
    <w:rsid w:val="00423161"/>
    <w:rsid w:val="0042454F"/>
    <w:rsid w:val="00424705"/>
    <w:rsid w:val="00424AC3"/>
    <w:rsid w:val="00425278"/>
    <w:rsid w:val="00425639"/>
    <w:rsid w:val="004256AE"/>
    <w:rsid w:val="004258B2"/>
    <w:rsid w:val="00425CCB"/>
    <w:rsid w:val="00426655"/>
    <w:rsid w:val="00426F29"/>
    <w:rsid w:val="0042725D"/>
    <w:rsid w:val="00427444"/>
    <w:rsid w:val="00427AEA"/>
    <w:rsid w:val="0043343E"/>
    <w:rsid w:val="0043373D"/>
    <w:rsid w:val="00433B89"/>
    <w:rsid w:val="0043407F"/>
    <w:rsid w:val="00434351"/>
    <w:rsid w:val="0043512A"/>
    <w:rsid w:val="0043515C"/>
    <w:rsid w:val="00435351"/>
    <w:rsid w:val="0043565A"/>
    <w:rsid w:val="004356E8"/>
    <w:rsid w:val="00435CF3"/>
    <w:rsid w:val="00436D7E"/>
    <w:rsid w:val="00440CF7"/>
    <w:rsid w:val="004421BD"/>
    <w:rsid w:val="00443FA1"/>
    <w:rsid w:val="00444465"/>
    <w:rsid w:val="0044587D"/>
    <w:rsid w:val="004464B2"/>
    <w:rsid w:val="00447711"/>
    <w:rsid w:val="00450422"/>
    <w:rsid w:val="0045138A"/>
    <w:rsid w:val="004517FA"/>
    <w:rsid w:val="00451B0D"/>
    <w:rsid w:val="00451F57"/>
    <w:rsid w:val="00452D87"/>
    <w:rsid w:val="00453E65"/>
    <w:rsid w:val="00454836"/>
    <w:rsid w:val="00455064"/>
    <w:rsid w:val="004550D1"/>
    <w:rsid w:val="0045556F"/>
    <w:rsid w:val="00456B1C"/>
    <w:rsid w:val="004572D2"/>
    <w:rsid w:val="00457778"/>
    <w:rsid w:val="004600A8"/>
    <w:rsid w:val="00460B10"/>
    <w:rsid w:val="00461974"/>
    <w:rsid w:val="00462168"/>
    <w:rsid w:val="004621CA"/>
    <w:rsid w:val="004623AE"/>
    <w:rsid w:val="00462404"/>
    <w:rsid w:val="0046294F"/>
    <w:rsid w:val="00462C05"/>
    <w:rsid w:val="00464840"/>
    <w:rsid w:val="00464BA9"/>
    <w:rsid w:val="00465589"/>
    <w:rsid w:val="00465D3C"/>
    <w:rsid w:val="00465F59"/>
    <w:rsid w:val="00466468"/>
    <w:rsid w:val="00467B64"/>
    <w:rsid w:val="00467DE8"/>
    <w:rsid w:val="00467EC3"/>
    <w:rsid w:val="00467FF2"/>
    <w:rsid w:val="0047032F"/>
    <w:rsid w:val="00470FD7"/>
    <w:rsid w:val="0047172B"/>
    <w:rsid w:val="0047358A"/>
    <w:rsid w:val="0047360F"/>
    <w:rsid w:val="004737D5"/>
    <w:rsid w:val="00474020"/>
    <w:rsid w:val="004758E3"/>
    <w:rsid w:val="00477442"/>
    <w:rsid w:val="00477620"/>
    <w:rsid w:val="004809D8"/>
    <w:rsid w:val="004815AB"/>
    <w:rsid w:val="00481650"/>
    <w:rsid w:val="00482B1D"/>
    <w:rsid w:val="00482B95"/>
    <w:rsid w:val="00483405"/>
    <w:rsid w:val="0048374B"/>
    <w:rsid w:val="004842C9"/>
    <w:rsid w:val="00484463"/>
    <w:rsid w:val="004847E9"/>
    <w:rsid w:val="00485453"/>
    <w:rsid w:val="00485D50"/>
    <w:rsid w:val="00486591"/>
    <w:rsid w:val="004874D3"/>
    <w:rsid w:val="00490B4E"/>
    <w:rsid w:val="00490C76"/>
    <w:rsid w:val="00491082"/>
    <w:rsid w:val="00491A2B"/>
    <w:rsid w:val="004936CE"/>
    <w:rsid w:val="00493AC8"/>
    <w:rsid w:val="00493CA1"/>
    <w:rsid w:val="0049415D"/>
    <w:rsid w:val="00496639"/>
    <w:rsid w:val="004A0614"/>
    <w:rsid w:val="004A063C"/>
    <w:rsid w:val="004A1941"/>
    <w:rsid w:val="004A25C1"/>
    <w:rsid w:val="004A283E"/>
    <w:rsid w:val="004A2A16"/>
    <w:rsid w:val="004A3992"/>
    <w:rsid w:val="004A3DF6"/>
    <w:rsid w:val="004A5D2B"/>
    <w:rsid w:val="004A5DA6"/>
    <w:rsid w:val="004B0951"/>
    <w:rsid w:val="004B09F5"/>
    <w:rsid w:val="004B0AA9"/>
    <w:rsid w:val="004B1E50"/>
    <w:rsid w:val="004B2362"/>
    <w:rsid w:val="004B2E74"/>
    <w:rsid w:val="004B34EC"/>
    <w:rsid w:val="004B5301"/>
    <w:rsid w:val="004B5B20"/>
    <w:rsid w:val="004B6496"/>
    <w:rsid w:val="004B67E1"/>
    <w:rsid w:val="004B7FB2"/>
    <w:rsid w:val="004C130B"/>
    <w:rsid w:val="004C2C85"/>
    <w:rsid w:val="004C341E"/>
    <w:rsid w:val="004C4BA1"/>
    <w:rsid w:val="004C5057"/>
    <w:rsid w:val="004C5178"/>
    <w:rsid w:val="004C58C6"/>
    <w:rsid w:val="004C6DD8"/>
    <w:rsid w:val="004C758F"/>
    <w:rsid w:val="004C7A6C"/>
    <w:rsid w:val="004D014D"/>
    <w:rsid w:val="004D055F"/>
    <w:rsid w:val="004D0C46"/>
    <w:rsid w:val="004D10A6"/>
    <w:rsid w:val="004D1261"/>
    <w:rsid w:val="004D1634"/>
    <w:rsid w:val="004D17EE"/>
    <w:rsid w:val="004D1EB3"/>
    <w:rsid w:val="004D26D6"/>
    <w:rsid w:val="004D2C20"/>
    <w:rsid w:val="004D306D"/>
    <w:rsid w:val="004D35B0"/>
    <w:rsid w:val="004D37D7"/>
    <w:rsid w:val="004D44F0"/>
    <w:rsid w:val="004D4F7F"/>
    <w:rsid w:val="004D5307"/>
    <w:rsid w:val="004D5C23"/>
    <w:rsid w:val="004D6CD4"/>
    <w:rsid w:val="004D727D"/>
    <w:rsid w:val="004E082E"/>
    <w:rsid w:val="004E0E32"/>
    <w:rsid w:val="004E11A6"/>
    <w:rsid w:val="004E3C0F"/>
    <w:rsid w:val="004E49FF"/>
    <w:rsid w:val="004E4DFA"/>
    <w:rsid w:val="004E60A4"/>
    <w:rsid w:val="004E754F"/>
    <w:rsid w:val="004E76EB"/>
    <w:rsid w:val="004F0A16"/>
    <w:rsid w:val="004F0F3D"/>
    <w:rsid w:val="004F17EF"/>
    <w:rsid w:val="004F20B5"/>
    <w:rsid w:val="004F2E17"/>
    <w:rsid w:val="004F5240"/>
    <w:rsid w:val="004F56DC"/>
    <w:rsid w:val="004F63B2"/>
    <w:rsid w:val="004F6779"/>
    <w:rsid w:val="004F6E84"/>
    <w:rsid w:val="00500013"/>
    <w:rsid w:val="0050093F"/>
    <w:rsid w:val="00500B4D"/>
    <w:rsid w:val="00501532"/>
    <w:rsid w:val="00501987"/>
    <w:rsid w:val="00501FA8"/>
    <w:rsid w:val="00502107"/>
    <w:rsid w:val="00502351"/>
    <w:rsid w:val="005023E7"/>
    <w:rsid w:val="00503B15"/>
    <w:rsid w:val="005045C9"/>
    <w:rsid w:val="00504B40"/>
    <w:rsid w:val="00504D1B"/>
    <w:rsid w:val="005060F4"/>
    <w:rsid w:val="0050630F"/>
    <w:rsid w:val="00507872"/>
    <w:rsid w:val="00507E7D"/>
    <w:rsid w:val="00507F99"/>
    <w:rsid w:val="00510203"/>
    <w:rsid w:val="00511252"/>
    <w:rsid w:val="00511D11"/>
    <w:rsid w:val="00512442"/>
    <w:rsid w:val="0051367A"/>
    <w:rsid w:val="005136B0"/>
    <w:rsid w:val="0051376B"/>
    <w:rsid w:val="00514065"/>
    <w:rsid w:val="00514E07"/>
    <w:rsid w:val="00515D19"/>
    <w:rsid w:val="00517B73"/>
    <w:rsid w:val="00517BFA"/>
    <w:rsid w:val="00517E9C"/>
    <w:rsid w:val="00520ADC"/>
    <w:rsid w:val="00520B99"/>
    <w:rsid w:val="0052139C"/>
    <w:rsid w:val="0052200B"/>
    <w:rsid w:val="0052243B"/>
    <w:rsid w:val="00522573"/>
    <w:rsid w:val="00522593"/>
    <w:rsid w:val="005227D5"/>
    <w:rsid w:val="00522A96"/>
    <w:rsid w:val="00522DF6"/>
    <w:rsid w:val="0052387D"/>
    <w:rsid w:val="0052393D"/>
    <w:rsid w:val="00523AF1"/>
    <w:rsid w:val="00523DD7"/>
    <w:rsid w:val="0052401F"/>
    <w:rsid w:val="00524C9C"/>
    <w:rsid w:val="00524D6B"/>
    <w:rsid w:val="00525086"/>
    <w:rsid w:val="0052647C"/>
    <w:rsid w:val="00526BB8"/>
    <w:rsid w:val="00527751"/>
    <w:rsid w:val="00527971"/>
    <w:rsid w:val="00527DAC"/>
    <w:rsid w:val="00530948"/>
    <w:rsid w:val="00530A9C"/>
    <w:rsid w:val="00531636"/>
    <w:rsid w:val="005320D7"/>
    <w:rsid w:val="005336E3"/>
    <w:rsid w:val="005341A9"/>
    <w:rsid w:val="00536273"/>
    <w:rsid w:val="00536BF6"/>
    <w:rsid w:val="0053785F"/>
    <w:rsid w:val="00541025"/>
    <w:rsid w:val="0054130F"/>
    <w:rsid w:val="00541BF7"/>
    <w:rsid w:val="005424C5"/>
    <w:rsid w:val="00544EAF"/>
    <w:rsid w:val="00545A24"/>
    <w:rsid w:val="00545D5A"/>
    <w:rsid w:val="0054684B"/>
    <w:rsid w:val="00546B05"/>
    <w:rsid w:val="005471FE"/>
    <w:rsid w:val="005477A7"/>
    <w:rsid w:val="00547FFC"/>
    <w:rsid w:val="00550DB7"/>
    <w:rsid w:val="0055292A"/>
    <w:rsid w:val="00552B64"/>
    <w:rsid w:val="00552E10"/>
    <w:rsid w:val="00553283"/>
    <w:rsid w:val="0055372D"/>
    <w:rsid w:val="00553C33"/>
    <w:rsid w:val="005544BE"/>
    <w:rsid w:val="00554849"/>
    <w:rsid w:val="005548E7"/>
    <w:rsid w:val="00555002"/>
    <w:rsid w:val="005550FC"/>
    <w:rsid w:val="00556CDE"/>
    <w:rsid w:val="00557EC8"/>
    <w:rsid w:val="0056070F"/>
    <w:rsid w:val="00560748"/>
    <w:rsid w:val="00560D81"/>
    <w:rsid w:val="00562054"/>
    <w:rsid w:val="00562155"/>
    <w:rsid w:val="0056265E"/>
    <w:rsid w:val="00562FDE"/>
    <w:rsid w:val="00563B70"/>
    <w:rsid w:val="00563E13"/>
    <w:rsid w:val="005640AE"/>
    <w:rsid w:val="005641FB"/>
    <w:rsid w:val="0056581B"/>
    <w:rsid w:val="00565C27"/>
    <w:rsid w:val="00565FDF"/>
    <w:rsid w:val="005665B4"/>
    <w:rsid w:val="00566939"/>
    <w:rsid w:val="00566B26"/>
    <w:rsid w:val="00566FC3"/>
    <w:rsid w:val="00567B7D"/>
    <w:rsid w:val="00567D0E"/>
    <w:rsid w:val="00567F29"/>
    <w:rsid w:val="00570240"/>
    <w:rsid w:val="00570B53"/>
    <w:rsid w:val="00570F66"/>
    <w:rsid w:val="00571302"/>
    <w:rsid w:val="00571E3F"/>
    <w:rsid w:val="00572973"/>
    <w:rsid w:val="00572AF2"/>
    <w:rsid w:val="00573694"/>
    <w:rsid w:val="00573A63"/>
    <w:rsid w:val="00574B2B"/>
    <w:rsid w:val="00574CD4"/>
    <w:rsid w:val="00574EE4"/>
    <w:rsid w:val="00574F60"/>
    <w:rsid w:val="0057588D"/>
    <w:rsid w:val="00576BFC"/>
    <w:rsid w:val="005776E5"/>
    <w:rsid w:val="0058060A"/>
    <w:rsid w:val="00580B5A"/>
    <w:rsid w:val="00580DA6"/>
    <w:rsid w:val="00581025"/>
    <w:rsid w:val="00581AFE"/>
    <w:rsid w:val="00581C0B"/>
    <w:rsid w:val="00582A09"/>
    <w:rsid w:val="00582D4F"/>
    <w:rsid w:val="0058378D"/>
    <w:rsid w:val="00584911"/>
    <w:rsid w:val="00584B2E"/>
    <w:rsid w:val="00585035"/>
    <w:rsid w:val="005851E8"/>
    <w:rsid w:val="00585F14"/>
    <w:rsid w:val="005863D5"/>
    <w:rsid w:val="0058675F"/>
    <w:rsid w:val="00587D1F"/>
    <w:rsid w:val="00587DAF"/>
    <w:rsid w:val="00590232"/>
    <w:rsid w:val="00591395"/>
    <w:rsid w:val="00591F39"/>
    <w:rsid w:val="00592058"/>
    <w:rsid w:val="005929A3"/>
    <w:rsid w:val="00592EBB"/>
    <w:rsid w:val="00592F39"/>
    <w:rsid w:val="00593B86"/>
    <w:rsid w:val="005944C4"/>
    <w:rsid w:val="0059459A"/>
    <w:rsid w:val="00594BBF"/>
    <w:rsid w:val="005966AF"/>
    <w:rsid w:val="005967B7"/>
    <w:rsid w:val="005967D0"/>
    <w:rsid w:val="005968AB"/>
    <w:rsid w:val="00597B5C"/>
    <w:rsid w:val="005A08F6"/>
    <w:rsid w:val="005A0900"/>
    <w:rsid w:val="005A09EE"/>
    <w:rsid w:val="005A0C93"/>
    <w:rsid w:val="005A126D"/>
    <w:rsid w:val="005A1910"/>
    <w:rsid w:val="005A25A6"/>
    <w:rsid w:val="005A2D22"/>
    <w:rsid w:val="005A40EF"/>
    <w:rsid w:val="005A4311"/>
    <w:rsid w:val="005A4BCE"/>
    <w:rsid w:val="005A4E2B"/>
    <w:rsid w:val="005A4EBC"/>
    <w:rsid w:val="005A4F58"/>
    <w:rsid w:val="005A57DF"/>
    <w:rsid w:val="005A672E"/>
    <w:rsid w:val="005A67BE"/>
    <w:rsid w:val="005A7629"/>
    <w:rsid w:val="005B2EED"/>
    <w:rsid w:val="005B3042"/>
    <w:rsid w:val="005B375A"/>
    <w:rsid w:val="005B4E27"/>
    <w:rsid w:val="005B5CC1"/>
    <w:rsid w:val="005B5DD0"/>
    <w:rsid w:val="005B645B"/>
    <w:rsid w:val="005B6548"/>
    <w:rsid w:val="005B65B3"/>
    <w:rsid w:val="005B6713"/>
    <w:rsid w:val="005B7AA1"/>
    <w:rsid w:val="005C0002"/>
    <w:rsid w:val="005C0956"/>
    <w:rsid w:val="005C0CFF"/>
    <w:rsid w:val="005C15DC"/>
    <w:rsid w:val="005C2BE4"/>
    <w:rsid w:val="005C3D28"/>
    <w:rsid w:val="005C3ECC"/>
    <w:rsid w:val="005C47B7"/>
    <w:rsid w:val="005C62AA"/>
    <w:rsid w:val="005C7A30"/>
    <w:rsid w:val="005D00DA"/>
    <w:rsid w:val="005D04A0"/>
    <w:rsid w:val="005D0A5F"/>
    <w:rsid w:val="005D0E5D"/>
    <w:rsid w:val="005D1A55"/>
    <w:rsid w:val="005D20C7"/>
    <w:rsid w:val="005D2331"/>
    <w:rsid w:val="005D4CD1"/>
    <w:rsid w:val="005D4F7F"/>
    <w:rsid w:val="005D66FE"/>
    <w:rsid w:val="005D67F6"/>
    <w:rsid w:val="005D74F8"/>
    <w:rsid w:val="005E0182"/>
    <w:rsid w:val="005E097D"/>
    <w:rsid w:val="005E1432"/>
    <w:rsid w:val="005E2CFC"/>
    <w:rsid w:val="005E2DD8"/>
    <w:rsid w:val="005E4782"/>
    <w:rsid w:val="005E4FE2"/>
    <w:rsid w:val="005E5EE4"/>
    <w:rsid w:val="005E60D1"/>
    <w:rsid w:val="005E6AE0"/>
    <w:rsid w:val="005E716E"/>
    <w:rsid w:val="005E7237"/>
    <w:rsid w:val="005E7AB6"/>
    <w:rsid w:val="005F2E8F"/>
    <w:rsid w:val="005F4123"/>
    <w:rsid w:val="005F475A"/>
    <w:rsid w:val="005F507D"/>
    <w:rsid w:val="005F514A"/>
    <w:rsid w:val="005F5864"/>
    <w:rsid w:val="005F5B1D"/>
    <w:rsid w:val="005F5F45"/>
    <w:rsid w:val="005F6477"/>
    <w:rsid w:val="005F679A"/>
    <w:rsid w:val="00600D9F"/>
    <w:rsid w:val="0060183A"/>
    <w:rsid w:val="00601B3C"/>
    <w:rsid w:val="00601CCC"/>
    <w:rsid w:val="006021A8"/>
    <w:rsid w:val="00602E2E"/>
    <w:rsid w:val="0060320D"/>
    <w:rsid w:val="00603798"/>
    <w:rsid w:val="00604F14"/>
    <w:rsid w:val="00604F31"/>
    <w:rsid w:val="00607768"/>
    <w:rsid w:val="006112D6"/>
    <w:rsid w:val="00611EB3"/>
    <w:rsid w:val="00612B10"/>
    <w:rsid w:val="006148E2"/>
    <w:rsid w:val="00615084"/>
    <w:rsid w:val="0061549F"/>
    <w:rsid w:val="00616848"/>
    <w:rsid w:val="00617184"/>
    <w:rsid w:val="006208CA"/>
    <w:rsid w:val="00620BC2"/>
    <w:rsid w:val="00621675"/>
    <w:rsid w:val="00621A04"/>
    <w:rsid w:val="00622AD0"/>
    <w:rsid w:val="00622EB2"/>
    <w:rsid w:val="006243B5"/>
    <w:rsid w:val="00624562"/>
    <w:rsid w:val="00624F77"/>
    <w:rsid w:val="00626538"/>
    <w:rsid w:val="00626694"/>
    <w:rsid w:val="006277C6"/>
    <w:rsid w:val="00627C24"/>
    <w:rsid w:val="0063001F"/>
    <w:rsid w:val="00630269"/>
    <w:rsid w:val="00630CD3"/>
    <w:rsid w:val="00632363"/>
    <w:rsid w:val="00632B3C"/>
    <w:rsid w:val="00632E3E"/>
    <w:rsid w:val="00632F4B"/>
    <w:rsid w:val="00633F5F"/>
    <w:rsid w:val="00634A1D"/>
    <w:rsid w:val="00634BAB"/>
    <w:rsid w:val="00635411"/>
    <w:rsid w:val="00635709"/>
    <w:rsid w:val="0063753C"/>
    <w:rsid w:val="0063756C"/>
    <w:rsid w:val="00640704"/>
    <w:rsid w:val="00640929"/>
    <w:rsid w:val="00641049"/>
    <w:rsid w:val="00641064"/>
    <w:rsid w:val="006417DE"/>
    <w:rsid w:val="00641998"/>
    <w:rsid w:val="00641ACD"/>
    <w:rsid w:val="00642DF1"/>
    <w:rsid w:val="006436B3"/>
    <w:rsid w:val="0064398D"/>
    <w:rsid w:val="00643C4D"/>
    <w:rsid w:val="00644EF2"/>
    <w:rsid w:val="006459BF"/>
    <w:rsid w:val="00646F52"/>
    <w:rsid w:val="00647048"/>
    <w:rsid w:val="006472C3"/>
    <w:rsid w:val="006503DD"/>
    <w:rsid w:val="00650D46"/>
    <w:rsid w:val="00650FA6"/>
    <w:rsid w:val="006511A0"/>
    <w:rsid w:val="00651BE7"/>
    <w:rsid w:val="006528B6"/>
    <w:rsid w:val="00653440"/>
    <w:rsid w:val="006538DC"/>
    <w:rsid w:val="006556CD"/>
    <w:rsid w:val="00655990"/>
    <w:rsid w:val="00656585"/>
    <w:rsid w:val="00656632"/>
    <w:rsid w:val="00657B3D"/>
    <w:rsid w:val="006617EA"/>
    <w:rsid w:val="00662ACC"/>
    <w:rsid w:val="00664F24"/>
    <w:rsid w:val="00666EA6"/>
    <w:rsid w:val="00667F3E"/>
    <w:rsid w:val="0067062E"/>
    <w:rsid w:val="00672319"/>
    <w:rsid w:val="006726AD"/>
    <w:rsid w:val="00672716"/>
    <w:rsid w:val="00672A5C"/>
    <w:rsid w:val="00673732"/>
    <w:rsid w:val="00673AAE"/>
    <w:rsid w:val="006743AD"/>
    <w:rsid w:val="006744CC"/>
    <w:rsid w:val="0067450C"/>
    <w:rsid w:val="00675573"/>
    <w:rsid w:val="00675A09"/>
    <w:rsid w:val="00675A92"/>
    <w:rsid w:val="00675AC3"/>
    <w:rsid w:val="0067656E"/>
    <w:rsid w:val="00676655"/>
    <w:rsid w:val="00676CB4"/>
    <w:rsid w:val="00677A79"/>
    <w:rsid w:val="00681D6B"/>
    <w:rsid w:val="00682901"/>
    <w:rsid w:val="00683357"/>
    <w:rsid w:val="006833CD"/>
    <w:rsid w:val="0068352B"/>
    <w:rsid w:val="006836AC"/>
    <w:rsid w:val="00686184"/>
    <w:rsid w:val="0068797C"/>
    <w:rsid w:val="00687DBE"/>
    <w:rsid w:val="00690075"/>
    <w:rsid w:val="00690745"/>
    <w:rsid w:val="00691392"/>
    <w:rsid w:val="0069175D"/>
    <w:rsid w:val="00692F44"/>
    <w:rsid w:val="006931F4"/>
    <w:rsid w:val="00693302"/>
    <w:rsid w:val="0069336A"/>
    <w:rsid w:val="00693378"/>
    <w:rsid w:val="00694034"/>
    <w:rsid w:val="006953A4"/>
    <w:rsid w:val="00696049"/>
    <w:rsid w:val="0069612F"/>
    <w:rsid w:val="0069639A"/>
    <w:rsid w:val="00696974"/>
    <w:rsid w:val="0069732D"/>
    <w:rsid w:val="0069795C"/>
    <w:rsid w:val="00697D23"/>
    <w:rsid w:val="006A045F"/>
    <w:rsid w:val="006A0B73"/>
    <w:rsid w:val="006A14D8"/>
    <w:rsid w:val="006A17F8"/>
    <w:rsid w:val="006A1E0B"/>
    <w:rsid w:val="006A2AC9"/>
    <w:rsid w:val="006A2B7F"/>
    <w:rsid w:val="006A2C77"/>
    <w:rsid w:val="006A2CCB"/>
    <w:rsid w:val="006A4985"/>
    <w:rsid w:val="006A4E2A"/>
    <w:rsid w:val="006A6E45"/>
    <w:rsid w:val="006A6E5F"/>
    <w:rsid w:val="006A702F"/>
    <w:rsid w:val="006A724A"/>
    <w:rsid w:val="006A7C76"/>
    <w:rsid w:val="006B077C"/>
    <w:rsid w:val="006B0E4E"/>
    <w:rsid w:val="006B127D"/>
    <w:rsid w:val="006B1706"/>
    <w:rsid w:val="006B1A31"/>
    <w:rsid w:val="006B1C7E"/>
    <w:rsid w:val="006B31A7"/>
    <w:rsid w:val="006B452A"/>
    <w:rsid w:val="006B79CE"/>
    <w:rsid w:val="006C0D53"/>
    <w:rsid w:val="006C14FE"/>
    <w:rsid w:val="006C1F78"/>
    <w:rsid w:val="006C2034"/>
    <w:rsid w:val="006C21CF"/>
    <w:rsid w:val="006C22BA"/>
    <w:rsid w:val="006C25A4"/>
    <w:rsid w:val="006C268D"/>
    <w:rsid w:val="006C287E"/>
    <w:rsid w:val="006C2EEF"/>
    <w:rsid w:val="006C3875"/>
    <w:rsid w:val="006C392F"/>
    <w:rsid w:val="006C3979"/>
    <w:rsid w:val="006C4CEC"/>
    <w:rsid w:val="006C5D80"/>
    <w:rsid w:val="006C67B5"/>
    <w:rsid w:val="006C6E55"/>
    <w:rsid w:val="006C79B1"/>
    <w:rsid w:val="006D04AC"/>
    <w:rsid w:val="006D0533"/>
    <w:rsid w:val="006D1619"/>
    <w:rsid w:val="006D187B"/>
    <w:rsid w:val="006D1B8E"/>
    <w:rsid w:val="006D413C"/>
    <w:rsid w:val="006D455A"/>
    <w:rsid w:val="006D4660"/>
    <w:rsid w:val="006D5CF4"/>
    <w:rsid w:val="006D64BD"/>
    <w:rsid w:val="006D6B16"/>
    <w:rsid w:val="006D6C4B"/>
    <w:rsid w:val="006D73A7"/>
    <w:rsid w:val="006D752F"/>
    <w:rsid w:val="006D7691"/>
    <w:rsid w:val="006D7B48"/>
    <w:rsid w:val="006E0031"/>
    <w:rsid w:val="006E1E44"/>
    <w:rsid w:val="006E2305"/>
    <w:rsid w:val="006E2C35"/>
    <w:rsid w:val="006E2DCA"/>
    <w:rsid w:val="006E3001"/>
    <w:rsid w:val="006E3F86"/>
    <w:rsid w:val="006E414E"/>
    <w:rsid w:val="006E5449"/>
    <w:rsid w:val="006E5D8B"/>
    <w:rsid w:val="006E6449"/>
    <w:rsid w:val="006E6871"/>
    <w:rsid w:val="006E6F72"/>
    <w:rsid w:val="006E740C"/>
    <w:rsid w:val="006E7454"/>
    <w:rsid w:val="006E7D3B"/>
    <w:rsid w:val="006F01D1"/>
    <w:rsid w:val="006F0805"/>
    <w:rsid w:val="006F0D9E"/>
    <w:rsid w:val="006F2038"/>
    <w:rsid w:val="006F243A"/>
    <w:rsid w:val="006F2BAC"/>
    <w:rsid w:val="006F3357"/>
    <w:rsid w:val="006F4206"/>
    <w:rsid w:val="006F5922"/>
    <w:rsid w:val="006F6C59"/>
    <w:rsid w:val="006F742C"/>
    <w:rsid w:val="006F76B2"/>
    <w:rsid w:val="006F7D18"/>
    <w:rsid w:val="006F7EDB"/>
    <w:rsid w:val="00701FDE"/>
    <w:rsid w:val="0070315E"/>
    <w:rsid w:val="007035C5"/>
    <w:rsid w:val="00704A60"/>
    <w:rsid w:val="00706E30"/>
    <w:rsid w:val="0070718F"/>
    <w:rsid w:val="007078C1"/>
    <w:rsid w:val="007078C9"/>
    <w:rsid w:val="00711487"/>
    <w:rsid w:val="00711904"/>
    <w:rsid w:val="00711931"/>
    <w:rsid w:val="00711982"/>
    <w:rsid w:val="00712A3B"/>
    <w:rsid w:val="00713C03"/>
    <w:rsid w:val="00715BB3"/>
    <w:rsid w:val="00715E5A"/>
    <w:rsid w:val="00720109"/>
    <w:rsid w:val="007218D1"/>
    <w:rsid w:val="00721EBA"/>
    <w:rsid w:val="00721F73"/>
    <w:rsid w:val="00722B4F"/>
    <w:rsid w:val="00724491"/>
    <w:rsid w:val="00724E07"/>
    <w:rsid w:val="0072501C"/>
    <w:rsid w:val="00725337"/>
    <w:rsid w:val="00725C0C"/>
    <w:rsid w:val="00725CAA"/>
    <w:rsid w:val="00726180"/>
    <w:rsid w:val="007313B0"/>
    <w:rsid w:val="00732B4E"/>
    <w:rsid w:val="00733261"/>
    <w:rsid w:val="0073354C"/>
    <w:rsid w:val="0073354F"/>
    <w:rsid w:val="0073369D"/>
    <w:rsid w:val="00733EA4"/>
    <w:rsid w:val="00734BB1"/>
    <w:rsid w:val="0073517D"/>
    <w:rsid w:val="00737E50"/>
    <w:rsid w:val="00741725"/>
    <w:rsid w:val="00743D5A"/>
    <w:rsid w:val="00744F5B"/>
    <w:rsid w:val="0074522F"/>
    <w:rsid w:val="00746481"/>
    <w:rsid w:val="007467F1"/>
    <w:rsid w:val="00746ACD"/>
    <w:rsid w:val="007472CD"/>
    <w:rsid w:val="0075017E"/>
    <w:rsid w:val="007505ED"/>
    <w:rsid w:val="00750D50"/>
    <w:rsid w:val="007511AE"/>
    <w:rsid w:val="00751EDC"/>
    <w:rsid w:val="00751EEA"/>
    <w:rsid w:val="007529CF"/>
    <w:rsid w:val="00752A8F"/>
    <w:rsid w:val="00752B9E"/>
    <w:rsid w:val="007532E3"/>
    <w:rsid w:val="0075391B"/>
    <w:rsid w:val="00753B78"/>
    <w:rsid w:val="00753F3B"/>
    <w:rsid w:val="00755080"/>
    <w:rsid w:val="00755519"/>
    <w:rsid w:val="007566FF"/>
    <w:rsid w:val="007570F5"/>
    <w:rsid w:val="00757A47"/>
    <w:rsid w:val="00760089"/>
    <w:rsid w:val="0076022E"/>
    <w:rsid w:val="00761117"/>
    <w:rsid w:val="00762376"/>
    <w:rsid w:val="0076253F"/>
    <w:rsid w:val="00763640"/>
    <w:rsid w:val="007639AC"/>
    <w:rsid w:val="00764B06"/>
    <w:rsid w:val="007656CB"/>
    <w:rsid w:val="00766172"/>
    <w:rsid w:val="00766DAF"/>
    <w:rsid w:val="00767120"/>
    <w:rsid w:val="00767538"/>
    <w:rsid w:val="007676F6"/>
    <w:rsid w:val="00767F2F"/>
    <w:rsid w:val="00770818"/>
    <w:rsid w:val="00771586"/>
    <w:rsid w:val="00771D78"/>
    <w:rsid w:val="00771E53"/>
    <w:rsid w:val="007723F7"/>
    <w:rsid w:val="0077271F"/>
    <w:rsid w:val="0077342A"/>
    <w:rsid w:val="00774503"/>
    <w:rsid w:val="007762F5"/>
    <w:rsid w:val="007764B7"/>
    <w:rsid w:val="007768ED"/>
    <w:rsid w:val="007775E9"/>
    <w:rsid w:val="007804C9"/>
    <w:rsid w:val="00780C54"/>
    <w:rsid w:val="00780FAE"/>
    <w:rsid w:val="00784FA2"/>
    <w:rsid w:val="007851C8"/>
    <w:rsid w:val="007851FC"/>
    <w:rsid w:val="00785A8C"/>
    <w:rsid w:val="00786FBB"/>
    <w:rsid w:val="007875AB"/>
    <w:rsid w:val="00792BBB"/>
    <w:rsid w:val="007931CD"/>
    <w:rsid w:val="0079379D"/>
    <w:rsid w:val="00793E4A"/>
    <w:rsid w:val="007940D0"/>
    <w:rsid w:val="007944E7"/>
    <w:rsid w:val="007958F4"/>
    <w:rsid w:val="00795CE4"/>
    <w:rsid w:val="00795FAA"/>
    <w:rsid w:val="007960FA"/>
    <w:rsid w:val="00796306"/>
    <w:rsid w:val="00796663"/>
    <w:rsid w:val="007967ED"/>
    <w:rsid w:val="007972E4"/>
    <w:rsid w:val="00797BAC"/>
    <w:rsid w:val="007A0578"/>
    <w:rsid w:val="007A0AE0"/>
    <w:rsid w:val="007A1218"/>
    <w:rsid w:val="007A130A"/>
    <w:rsid w:val="007A2ABC"/>
    <w:rsid w:val="007A55EF"/>
    <w:rsid w:val="007A6193"/>
    <w:rsid w:val="007A64A6"/>
    <w:rsid w:val="007A7170"/>
    <w:rsid w:val="007A7DC7"/>
    <w:rsid w:val="007B095F"/>
    <w:rsid w:val="007B0BE0"/>
    <w:rsid w:val="007B104E"/>
    <w:rsid w:val="007B192F"/>
    <w:rsid w:val="007B19BB"/>
    <w:rsid w:val="007B278D"/>
    <w:rsid w:val="007B2911"/>
    <w:rsid w:val="007B2EEC"/>
    <w:rsid w:val="007B3F0A"/>
    <w:rsid w:val="007B4589"/>
    <w:rsid w:val="007B5A41"/>
    <w:rsid w:val="007B7391"/>
    <w:rsid w:val="007C0562"/>
    <w:rsid w:val="007C0B33"/>
    <w:rsid w:val="007C253D"/>
    <w:rsid w:val="007C28D8"/>
    <w:rsid w:val="007C2CE2"/>
    <w:rsid w:val="007C3E31"/>
    <w:rsid w:val="007C413B"/>
    <w:rsid w:val="007C5310"/>
    <w:rsid w:val="007D1756"/>
    <w:rsid w:val="007D1D11"/>
    <w:rsid w:val="007D2642"/>
    <w:rsid w:val="007D2892"/>
    <w:rsid w:val="007D32C7"/>
    <w:rsid w:val="007D3947"/>
    <w:rsid w:val="007D3BFA"/>
    <w:rsid w:val="007D43EB"/>
    <w:rsid w:val="007D62C1"/>
    <w:rsid w:val="007D686C"/>
    <w:rsid w:val="007E21DB"/>
    <w:rsid w:val="007E292E"/>
    <w:rsid w:val="007E29B2"/>
    <w:rsid w:val="007E3126"/>
    <w:rsid w:val="007E483E"/>
    <w:rsid w:val="007E4B82"/>
    <w:rsid w:val="007E4C7A"/>
    <w:rsid w:val="007E4CDB"/>
    <w:rsid w:val="007E4F51"/>
    <w:rsid w:val="007E5358"/>
    <w:rsid w:val="007E5D0A"/>
    <w:rsid w:val="007E62EE"/>
    <w:rsid w:val="007E6309"/>
    <w:rsid w:val="007E64EC"/>
    <w:rsid w:val="007E7843"/>
    <w:rsid w:val="007F0056"/>
    <w:rsid w:val="007F08B6"/>
    <w:rsid w:val="007F105F"/>
    <w:rsid w:val="007F1EC1"/>
    <w:rsid w:val="007F2318"/>
    <w:rsid w:val="007F275B"/>
    <w:rsid w:val="007F3550"/>
    <w:rsid w:val="007F35B7"/>
    <w:rsid w:val="007F367D"/>
    <w:rsid w:val="007F3944"/>
    <w:rsid w:val="007F58BE"/>
    <w:rsid w:val="008015A6"/>
    <w:rsid w:val="00801C1D"/>
    <w:rsid w:val="00801DA6"/>
    <w:rsid w:val="00803667"/>
    <w:rsid w:val="0080492B"/>
    <w:rsid w:val="00804CFF"/>
    <w:rsid w:val="00804D3B"/>
    <w:rsid w:val="0080528A"/>
    <w:rsid w:val="0080572A"/>
    <w:rsid w:val="00806A8D"/>
    <w:rsid w:val="008078B5"/>
    <w:rsid w:val="00807AED"/>
    <w:rsid w:val="00807DC5"/>
    <w:rsid w:val="008106E3"/>
    <w:rsid w:val="00810999"/>
    <w:rsid w:val="00810B9D"/>
    <w:rsid w:val="00811059"/>
    <w:rsid w:val="00811353"/>
    <w:rsid w:val="00811552"/>
    <w:rsid w:val="008138FA"/>
    <w:rsid w:val="00813963"/>
    <w:rsid w:val="00814394"/>
    <w:rsid w:val="00815513"/>
    <w:rsid w:val="0081554F"/>
    <w:rsid w:val="00816C78"/>
    <w:rsid w:val="00817DAD"/>
    <w:rsid w:val="00820FD2"/>
    <w:rsid w:val="00821243"/>
    <w:rsid w:val="0082190E"/>
    <w:rsid w:val="00821CBC"/>
    <w:rsid w:val="00822C82"/>
    <w:rsid w:val="00822FDA"/>
    <w:rsid w:val="008231B6"/>
    <w:rsid w:val="008238DF"/>
    <w:rsid w:val="00824094"/>
    <w:rsid w:val="00825943"/>
    <w:rsid w:val="008263A1"/>
    <w:rsid w:val="008263A2"/>
    <w:rsid w:val="008263B2"/>
    <w:rsid w:val="0082673E"/>
    <w:rsid w:val="0082756E"/>
    <w:rsid w:val="0083009C"/>
    <w:rsid w:val="00831272"/>
    <w:rsid w:val="0083158D"/>
    <w:rsid w:val="00831D7F"/>
    <w:rsid w:val="00832FA7"/>
    <w:rsid w:val="00833023"/>
    <w:rsid w:val="00833963"/>
    <w:rsid w:val="008344B7"/>
    <w:rsid w:val="00835170"/>
    <w:rsid w:val="008353DE"/>
    <w:rsid w:val="00835A86"/>
    <w:rsid w:val="0083655B"/>
    <w:rsid w:val="00837580"/>
    <w:rsid w:val="00837D10"/>
    <w:rsid w:val="0084038B"/>
    <w:rsid w:val="00840493"/>
    <w:rsid w:val="008408CE"/>
    <w:rsid w:val="00841806"/>
    <w:rsid w:val="0084237F"/>
    <w:rsid w:val="0084266B"/>
    <w:rsid w:val="00843675"/>
    <w:rsid w:val="00844F47"/>
    <w:rsid w:val="00845415"/>
    <w:rsid w:val="00845AC9"/>
    <w:rsid w:val="00846A2A"/>
    <w:rsid w:val="008477AB"/>
    <w:rsid w:val="00847A3A"/>
    <w:rsid w:val="00850601"/>
    <w:rsid w:val="00850CEB"/>
    <w:rsid w:val="008515B5"/>
    <w:rsid w:val="00851729"/>
    <w:rsid w:val="008518F2"/>
    <w:rsid w:val="00851C44"/>
    <w:rsid w:val="008520C3"/>
    <w:rsid w:val="00852491"/>
    <w:rsid w:val="00853307"/>
    <w:rsid w:val="00853453"/>
    <w:rsid w:val="00853FD2"/>
    <w:rsid w:val="00854407"/>
    <w:rsid w:val="00854E11"/>
    <w:rsid w:val="00854ED2"/>
    <w:rsid w:val="00855B8A"/>
    <w:rsid w:val="00856717"/>
    <w:rsid w:val="00856832"/>
    <w:rsid w:val="00857646"/>
    <w:rsid w:val="00857A4A"/>
    <w:rsid w:val="00857C59"/>
    <w:rsid w:val="00857CA9"/>
    <w:rsid w:val="00857D2A"/>
    <w:rsid w:val="00860371"/>
    <w:rsid w:val="00861094"/>
    <w:rsid w:val="00861F64"/>
    <w:rsid w:val="00862309"/>
    <w:rsid w:val="008641F8"/>
    <w:rsid w:val="00864427"/>
    <w:rsid w:val="0086480B"/>
    <w:rsid w:val="00865A60"/>
    <w:rsid w:val="00865C8A"/>
    <w:rsid w:val="00866138"/>
    <w:rsid w:val="00866CDD"/>
    <w:rsid w:val="00866D2E"/>
    <w:rsid w:val="00866EDA"/>
    <w:rsid w:val="008678F6"/>
    <w:rsid w:val="00867D59"/>
    <w:rsid w:val="0087085F"/>
    <w:rsid w:val="00870B45"/>
    <w:rsid w:val="00871F24"/>
    <w:rsid w:val="0087233F"/>
    <w:rsid w:val="00873353"/>
    <w:rsid w:val="00876721"/>
    <w:rsid w:val="00877FCE"/>
    <w:rsid w:val="008800B4"/>
    <w:rsid w:val="008801FD"/>
    <w:rsid w:val="008804D6"/>
    <w:rsid w:val="00880846"/>
    <w:rsid w:val="008809C1"/>
    <w:rsid w:val="00880BD4"/>
    <w:rsid w:val="008818A9"/>
    <w:rsid w:val="0088190D"/>
    <w:rsid w:val="008838D5"/>
    <w:rsid w:val="0088407A"/>
    <w:rsid w:val="0088409B"/>
    <w:rsid w:val="00884D46"/>
    <w:rsid w:val="00885706"/>
    <w:rsid w:val="00886BD1"/>
    <w:rsid w:val="008871E3"/>
    <w:rsid w:val="00890018"/>
    <w:rsid w:val="008900EB"/>
    <w:rsid w:val="00891FD9"/>
    <w:rsid w:val="0089273D"/>
    <w:rsid w:val="008946AA"/>
    <w:rsid w:val="00894B12"/>
    <w:rsid w:val="00894E3B"/>
    <w:rsid w:val="00896333"/>
    <w:rsid w:val="0089754C"/>
    <w:rsid w:val="00897818"/>
    <w:rsid w:val="00897A41"/>
    <w:rsid w:val="00897C29"/>
    <w:rsid w:val="008A10B8"/>
    <w:rsid w:val="008A127C"/>
    <w:rsid w:val="008A1FB4"/>
    <w:rsid w:val="008A296C"/>
    <w:rsid w:val="008A327A"/>
    <w:rsid w:val="008A3919"/>
    <w:rsid w:val="008A407F"/>
    <w:rsid w:val="008A5ED5"/>
    <w:rsid w:val="008A68E7"/>
    <w:rsid w:val="008A70E8"/>
    <w:rsid w:val="008A74C0"/>
    <w:rsid w:val="008A7D8E"/>
    <w:rsid w:val="008B0E3A"/>
    <w:rsid w:val="008B2437"/>
    <w:rsid w:val="008B3BAD"/>
    <w:rsid w:val="008B5611"/>
    <w:rsid w:val="008B5A7D"/>
    <w:rsid w:val="008B6B55"/>
    <w:rsid w:val="008B6C56"/>
    <w:rsid w:val="008B6C7F"/>
    <w:rsid w:val="008C0C80"/>
    <w:rsid w:val="008C0CC7"/>
    <w:rsid w:val="008C219D"/>
    <w:rsid w:val="008C3ADF"/>
    <w:rsid w:val="008C41D6"/>
    <w:rsid w:val="008C44B2"/>
    <w:rsid w:val="008C46AC"/>
    <w:rsid w:val="008C49B4"/>
    <w:rsid w:val="008C5F0F"/>
    <w:rsid w:val="008C5FED"/>
    <w:rsid w:val="008D0B0D"/>
    <w:rsid w:val="008D1394"/>
    <w:rsid w:val="008D1396"/>
    <w:rsid w:val="008D1AB1"/>
    <w:rsid w:val="008D1DD9"/>
    <w:rsid w:val="008D2721"/>
    <w:rsid w:val="008D2BCA"/>
    <w:rsid w:val="008D2BDC"/>
    <w:rsid w:val="008D4B07"/>
    <w:rsid w:val="008D4B7B"/>
    <w:rsid w:val="008D5A60"/>
    <w:rsid w:val="008D5E25"/>
    <w:rsid w:val="008D60EC"/>
    <w:rsid w:val="008D670D"/>
    <w:rsid w:val="008D685D"/>
    <w:rsid w:val="008D69E7"/>
    <w:rsid w:val="008E02FC"/>
    <w:rsid w:val="008E078D"/>
    <w:rsid w:val="008E0AD8"/>
    <w:rsid w:val="008E0DAE"/>
    <w:rsid w:val="008E1888"/>
    <w:rsid w:val="008E4525"/>
    <w:rsid w:val="008E4C62"/>
    <w:rsid w:val="008E5028"/>
    <w:rsid w:val="008E535F"/>
    <w:rsid w:val="008E5B1B"/>
    <w:rsid w:val="008E5B53"/>
    <w:rsid w:val="008E62A0"/>
    <w:rsid w:val="008E68CC"/>
    <w:rsid w:val="008E773F"/>
    <w:rsid w:val="008E7F0F"/>
    <w:rsid w:val="008F0E0E"/>
    <w:rsid w:val="008F21CE"/>
    <w:rsid w:val="008F231C"/>
    <w:rsid w:val="008F264B"/>
    <w:rsid w:val="008F2A18"/>
    <w:rsid w:val="008F2CAD"/>
    <w:rsid w:val="008F3B99"/>
    <w:rsid w:val="008F4150"/>
    <w:rsid w:val="008F4A1F"/>
    <w:rsid w:val="008F4A9D"/>
    <w:rsid w:val="008F4CE4"/>
    <w:rsid w:val="008F528B"/>
    <w:rsid w:val="008F608B"/>
    <w:rsid w:val="008F68DB"/>
    <w:rsid w:val="008F6CCB"/>
    <w:rsid w:val="008F6EF4"/>
    <w:rsid w:val="008F7CCE"/>
    <w:rsid w:val="0090082C"/>
    <w:rsid w:val="00902041"/>
    <w:rsid w:val="00902FFB"/>
    <w:rsid w:val="00903228"/>
    <w:rsid w:val="00904231"/>
    <w:rsid w:val="00904A55"/>
    <w:rsid w:val="009057FB"/>
    <w:rsid w:val="00906657"/>
    <w:rsid w:val="00912E14"/>
    <w:rsid w:val="00913225"/>
    <w:rsid w:val="00913766"/>
    <w:rsid w:val="009142E5"/>
    <w:rsid w:val="00914EC2"/>
    <w:rsid w:val="00914FFF"/>
    <w:rsid w:val="009168F3"/>
    <w:rsid w:val="00917EF4"/>
    <w:rsid w:val="009201B1"/>
    <w:rsid w:val="0092096E"/>
    <w:rsid w:val="00920B75"/>
    <w:rsid w:val="009214D4"/>
    <w:rsid w:val="009216AB"/>
    <w:rsid w:val="00921B7C"/>
    <w:rsid w:val="00921C75"/>
    <w:rsid w:val="00922289"/>
    <w:rsid w:val="009235EB"/>
    <w:rsid w:val="00923C4D"/>
    <w:rsid w:val="00924D5A"/>
    <w:rsid w:val="00925306"/>
    <w:rsid w:val="0092633F"/>
    <w:rsid w:val="00926570"/>
    <w:rsid w:val="009265E5"/>
    <w:rsid w:val="00926967"/>
    <w:rsid w:val="00927147"/>
    <w:rsid w:val="00927E41"/>
    <w:rsid w:val="00927F67"/>
    <w:rsid w:val="0093023C"/>
    <w:rsid w:val="009304FA"/>
    <w:rsid w:val="00930F77"/>
    <w:rsid w:val="00931032"/>
    <w:rsid w:val="0093160B"/>
    <w:rsid w:val="0093387D"/>
    <w:rsid w:val="00933B92"/>
    <w:rsid w:val="009345E7"/>
    <w:rsid w:val="00934AAE"/>
    <w:rsid w:val="009352FB"/>
    <w:rsid w:val="009377D7"/>
    <w:rsid w:val="009409EB"/>
    <w:rsid w:val="00941A96"/>
    <w:rsid w:val="00942246"/>
    <w:rsid w:val="00942A2E"/>
    <w:rsid w:val="009437D5"/>
    <w:rsid w:val="00943EC4"/>
    <w:rsid w:val="00946496"/>
    <w:rsid w:val="00946870"/>
    <w:rsid w:val="0095018E"/>
    <w:rsid w:val="00950BEA"/>
    <w:rsid w:val="009516ED"/>
    <w:rsid w:val="009516F4"/>
    <w:rsid w:val="00952628"/>
    <w:rsid w:val="00952E30"/>
    <w:rsid w:val="009544EA"/>
    <w:rsid w:val="009545F6"/>
    <w:rsid w:val="00955E07"/>
    <w:rsid w:val="00956119"/>
    <w:rsid w:val="00956624"/>
    <w:rsid w:val="009604C8"/>
    <w:rsid w:val="00962E31"/>
    <w:rsid w:val="00963B8A"/>
    <w:rsid w:val="009641A0"/>
    <w:rsid w:val="00964899"/>
    <w:rsid w:val="00965025"/>
    <w:rsid w:val="00966247"/>
    <w:rsid w:val="00966354"/>
    <w:rsid w:val="009667B8"/>
    <w:rsid w:val="0096680D"/>
    <w:rsid w:val="00966EBB"/>
    <w:rsid w:val="00967CCA"/>
    <w:rsid w:val="00967D54"/>
    <w:rsid w:val="00967DBB"/>
    <w:rsid w:val="00970348"/>
    <w:rsid w:val="00970CE5"/>
    <w:rsid w:val="0097113D"/>
    <w:rsid w:val="00972AC1"/>
    <w:rsid w:val="009744F7"/>
    <w:rsid w:val="0097466C"/>
    <w:rsid w:val="00974B90"/>
    <w:rsid w:val="00975AFC"/>
    <w:rsid w:val="00976CF4"/>
    <w:rsid w:val="00976EB6"/>
    <w:rsid w:val="00977954"/>
    <w:rsid w:val="009801A7"/>
    <w:rsid w:val="009813D9"/>
    <w:rsid w:val="00981D44"/>
    <w:rsid w:val="00981D66"/>
    <w:rsid w:val="00983DE3"/>
    <w:rsid w:val="009840F6"/>
    <w:rsid w:val="00985565"/>
    <w:rsid w:val="00985768"/>
    <w:rsid w:val="009871CF"/>
    <w:rsid w:val="009878AF"/>
    <w:rsid w:val="00987B45"/>
    <w:rsid w:val="00991EB2"/>
    <w:rsid w:val="00992125"/>
    <w:rsid w:val="00992439"/>
    <w:rsid w:val="00993C10"/>
    <w:rsid w:val="0099482B"/>
    <w:rsid w:val="00994AB0"/>
    <w:rsid w:val="00994E38"/>
    <w:rsid w:val="009953ED"/>
    <w:rsid w:val="009960E1"/>
    <w:rsid w:val="0099642E"/>
    <w:rsid w:val="009967C3"/>
    <w:rsid w:val="00996A40"/>
    <w:rsid w:val="009973AE"/>
    <w:rsid w:val="00997BCA"/>
    <w:rsid w:val="009A0CAC"/>
    <w:rsid w:val="009A0F3E"/>
    <w:rsid w:val="009A116F"/>
    <w:rsid w:val="009A1440"/>
    <w:rsid w:val="009A215B"/>
    <w:rsid w:val="009A2E1D"/>
    <w:rsid w:val="009A40C1"/>
    <w:rsid w:val="009A5CA3"/>
    <w:rsid w:val="009A6D08"/>
    <w:rsid w:val="009A777D"/>
    <w:rsid w:val="009A7783"/>
    <w:rsid w:val="009A7960"/>
    <w:rsid w:val="009A79B3"/>
    <w:rsid w:val="009A7A90"/>
    <w:rsid w:val="009B0677"/>
    <w:rsid w:val="009B0943"/>
    <w:rsid w:val="009B0A23"/>
    <w:rsid w:val="009B0B48"/>
    <w:rsid w:val="009B1246"/>
    <w:rsid w:val="009B18F6"/>
    <w:rsid w:val="009B232D"/>
    <w:rsid w:val="009B266D"/>
    <w:rsid w:val="009B3BA9"/>
    <w:rsid w:val="009B424E"/>
    <w:rsid w:val="009B42BB"/>
    <w:rsid w:val="009B46A4"/>
    <w:rsid w:val="009B5018"/>
    <w:rsid w:val="009B6396"/>
    <w:rsid w:val="009B6643"/>
    <w:rsid w:val="009B6A42"/>
    <w:rsid w:val="009B7CCA"/>
    <w:rsid w:val="009C192D"/>
    <w:rsid w:val="009C1EEA"/>
    <w:rsid w:val="009C3DE0"/>
    <w:rsid w:val="009C44AC"/>
    <w:rsid w:val="009C4A39"/>
    <w:rsid w:val="009C6A0A"/>
    <w:rsid w:val="009C75C5"/>
    <w:rsid w:val="009C792C"/>
    <w:rsid w:val="009D0266"/>
    <w:rsid w:val="009D0B31"/>
    <w:rsid w:val="009D1903"/>
    <w:rsid w:val="009D2406"/>
    <w:rsid w:val="009D2E33"/>
    <w:rsid w:val="009D2FA9"/>
    <w:rsid w:val="009D5879"/>
    <w:rsid w:val="009D6BFB"/>
    <w:rsid w:val="009D743B"/>
    <w:rsid w:val="009D77AC"/>
    <w:rsid w:val="009E12CA"/>
    <w:rsid w:val="009E153B"/>
    <w:rsid w:val="009E41A7"/>
    <w:rsid w:val="009E4370"/>
    <w:rsid w:val="009E47FD"/>
    <w:rsid w:val="009E4D13"/>
    <w:rsid w:val="009E53D6"/>
    <w:rsid w:val="009E568E"/>
    <w:rsid w:val="009E6AAF"/>
    <w:rsid w:val="009E7C0A"/>
    <w:rsid w:val="009F00EB"/>
    <w:rsid w:val="009F1394"/>
    <w:rsid w:val="009F1A35"/>
    <w:rsid w:val="009F406C"/>
    <w:rsid w:val="009F4225"/>
    <w:rsid w:val="009F42F5"/>
    <w:rsid w:val="009F6025"/>
    <w:rsid w:val="009F621F"/>
    <w:rsid w:val="009F714F"/>
    <w:rsid w:val="009F719D"/>
    <w:rsid w:val="00A002F1"/>
    <w:rsid w:val="00A00A6A"/>
    <w:rsid w:val="00A01967"/>
    <w:rsid w:val="00A02756"/>
    <w:rsid w:val="00A02D04"/>
    <w:rsid w:val="00A05625"/>
    <w:rsid w:val="00A0638F"/>
    <w:rsid w:val="00A066F7"/>
    <w:rsid w:val="00A06BB7"/>
    <w:rsid w:val="00A07A9B"/>
    <w:rsid w:val="00A07E0B"/>
    <w:rsid w:val="00A10A9A"/>
    <w:rsid w:val="00A111E4"/>
    <w:rsid w:val="00A114F8"/>
    <w:rsid w:val="00A116CE"/>
    <w:rsid w:val="00A1211D"/>
    <w:rsid w:val="00A121D8"/>
    <w:rsid w:val="00A122DB"/>
    <w:rsid w:val="00A1297D"/>
    <w:rsid w:val="00A13907"/>
    <w:rsid w:val="00A13EF2"/>
    <w:rsid w:val="00A15118"/>
    <w:rsid w:val="00A154A4"/>
    <w:rsid w:val="00A158F4"/>
    <w:rsid w:val="00A15F49"/>
    <w:rsid w:val="00A166F3"/>
    <w:rsid w:val="00A170C0"/>
    <w:rsid w:val="00A173D1"/>
    <w:rsid w:val="00A173FF"/>
    <w:rsid w:val="00A20000"/>
    <w:rsid w:val="00A20A28"/>
    <w:rsid w:val="00A21F9B"/>
    <w:rsid w:val="00A222D3"/>
    <w:rsid w:val="00A22468"/>
    <w:rsid w:val="00A23025"/>
    <w:rsid w:val="00A237C7"/>
    <w:rsid w:val="00A25567"/>
    <w:rsid w:val="00A25A18"/>
    <w:rsid w:val="00A26552"/>
    <w:rsid w:val="00A26E21"/>
    <w:rsid w:val="00A273DE"/>
    <w:rsid w:val="00A277E4"/>
    <w:rsid w:val="00A300DF"/>
    <w:rsid w:val="00A309AF"/>
    <w:rsid w:val="00A30DA8"/>
    <w:rsid w:val="00A32E82"/>
    <w:rsid w:val="00A33270"/>
    <w:rsid w:val="00A34471"/>
    <w:rsid w:val="00A34FF9"/>
    <w:rsid w:val="00A35099"/>
    <w:rsid w:val="00A37FB0"/>
    <w:rsid w:val="00A4061B"/>
    <w:rsid w:val="00A41CDC"/>
    <w:rsid w:val="00A42153"/>
    <w:rsid w:val="00A422F0"/>
    <w:rsid w:val="00A427A5"/>
    <w:rsid w:val="00A42EEB"/>
    <w:rsid w:val="00A43419"/>
    <w:rsid w:val="00A44C71"/>
    <w:rsid w:val="00A45881"/>
    <w:rsid w:val="00A46DE7"/>
    <w:rsid w:val="00A47682"/>
    <w:rsid w:val="00A4768B"/>
    <w:rsid w:val="00A50113"/>
    <w:rsid w:val="00A50E0D"/>
    <w:rsid w:val="00A50E5F"/>
    <w:rsid w:val="00A526B5"/>
    <w:rsid w:val="00A532CF"/>
    <w:rsid w:val="00A53BF2"/>
    <w:rsid w:val="00A5446D"/>
    <w:rsid w:val="00A5521C"/>
    <w:rsid w:val="00A55229"/>
    <w:rsid w:val="00A56D27"/>
    <w:rsid w:val="00A56F86"/>
    <w:rsid w:val="00A574D8"/>
    <w:rsid w:val="00A57661"/>
    <w:rsid w:val="00A602AB"/>
    <w:rsid w:val="00A61178"/>
    <w:rsid w:val="00A6170E"/>
    <w:rsid w:val="00A617A9"/>
    <w:rsid w:val="00A61828"/>
    <w:rsid w:val="00A626C5"/>
    <w:rsid w:val="00A63AA2"/>
    <w:rsid w:val="00A64628"/>
    <w:rsid w:val="00A651F7"/>
    <w:rsid w:val="00A654D0"/>
    <w:rsid w:val="00A65789"/>
    <w:rsid w:val="00A65A72"/>
    <w:rsid w:val="00A66666"/>
    <w:rsid w:val="00A66AE6"/>
    <w:rsid w:val="00A66C77"/>
    <w:rsid w:val="00A70604"/>
    <w:rsid w:val="00A73A02"/>
    <w:rsid w:val="00A73A40"/>
    <w:rsid w:val="00A7508B"/>
    <w:rsid w:val="00A751B2"/>
    <w:rsid w:val="00A754B3"/>
    <w:rsid w:val="00A75CFE"/>
    <w:rsid w:val="00A764BD"/>
    <w:rsid w:val="00A76A54"/>
    <w:rsid w:val="00A77818"/>
    <w:rsid w:val="00A8018A"/>
    <w:rsid w:val="00A801C8"/>
    <w:rsid w:val="00A806AE"/>
    <w:rsid w:val="00A80D09"/>
    <w:rsid w:val="00A81895"/>
    <w:rsid w:val="00A82532"/>
    <w:rsid w:val="00A82D31"/>
    <w:rsid w:val="00A836C4"/>
    <w:rsid w:val="00A8524F"/>
    <w:rsid w:val="00A85759"/>
    <w:rsid w:val="00A85D4F"/>
    <w:rsid w:val="00A85F31"/>
    <w:rsid w:val="00A8648B"/>
    <w:rsid w:val="00A86A40"/>
    <w:rsid w:val="00A86FB9"/>
    <w:rsid w:val="00A904F2"/>
    <w:rsid w:val="00A90588"/>
    <w:rsid w:val="00A909A0"/>
    <w:rsid w:val="00A911B0"/>
    <w:rsid w:val="00A91CAA"/>
    <w:rsid w:val="00A92445"/>
    <w:rsid w:val="00A93366"/>
    <w:rsid w:val="00A93C51"/>
    <w:rsid w:val="00A95ECF"/>
    <w:rsid w:val="00A95F62"/>
    <w:rsid w:val="00A960F8"/>
    <w:rsid w:val="00A96397"/>
    <w:rsid w:val="00A966C9"/>
    <w:rsid w:val="00A96AC1"/>
    <w:rsid w:val="00A96DF2"/>
    <w:rsid w:val="00A97D8C"/>
    <w:rsid w:val="00A97EFF"/>
    <w:rsid w:val="00AA0433"/>
    <w:rsid w:val="00AA0FB8"/>
    <w:rsid w:val="00AA1262"/>
    <w:rsid w:val="00AA1285"/>
    <w:rsid w:val="00AA1B78"/>
    <w:rsid w:val="00AA22CA"/>
    <w:rsid w:val="00AA3652"/>
    <w:rsid w:val="00AA3E4B"/>
    <w:rsid w:val="00AA4A43"/>
    <w:rsid w:val="00AA4D34"/>
    <w:rsid w:val="00AA5B5A"/>
    <w:rsid w:val="00AA6A12"/>
    <w:rsid w:val="00AA7421"/>
    <w:rsid w:val="00AB1282"/>
    <w:rsid w:val="00AB2938"/>
    <w:rsid w:val="00AB31BF"/>
    <w:rsid w:val="00AB3BC0"/>
    <w:rsid w:val="00AB3CA7"/>
    <w:rsid w:val="00AB4B29"/>
    <w:rsid w:val="00AB5A5D"/>
    <w:rsid w:val="00AB5B6F"/>
    <w:rsid w:val="00AB6B43"/>
    <w:rsid w:val="00AB7EBF"/>
    <w:rsid w:val="00AC264E"/>
    <w:rsid w:val="00AC2BB6"/>
    <w:rsid w:val="00AC2D92"/>
    <w:rsid w:val="00AC32C4"/>
    <w:rsid w:val="00AC46C4"/>
    <w:rsid w:val="00AC480D"/>
    <w:rsid w:val="00AC5A76"/>
    <w:rsid w:val="00AC5D9E"/>
    <w:rsid w:val="00AC6163"/>
    <w:rsid w:val="00AC6A05"/>
    <w:rsid w:val="00AC6C02"/>
    <w:rsid w:val="00AC716E"/>
    <w:rsid w:val="00AD0867"/>
    <w:rsid w:val="00AD0CAF"/>
    <w:rsid w:val="00AD0CCB"/>
    <w:rsid w:val="00AD13ED"/>
    <w:rsid w:val="00AD24F4"/>
    <w:rsid w:val="00AD360C"/>
    <w:rsid w:val="00AD3C4E"/>
    <w:rsid w:val="00AD3D41"/>
    <w:rsid w:val="00AD458E"/>
    <w:rsid w:val="00AD4DD7"/>
    <w:rsid w:val="00AD4F2C"/>
    <w:rsid w:val="00AD6003"/>
    <w:rsid w:val="00AD644C"/>
    <w:rsid w:val="00AD6830"/>
    <w:rsid w:val="00AE0434"/>
    <w:rsid w:val="00AE07C1"/>
    <w:rsid w:val="00AE2559"/>
    <w:rsid w:val="00AE3221"/>
    <w:rsid w:val="00AE3358"/>
    <w:rsid w:val="00AE4027"/>
    <w:rsid w:val="00AE48B6"/>
    <w:rsid w:val="00AE48DD"/>
    <w:rsid w:val="00AE4B24"/>
    <w:rsid w:val="00AE4FE2"/>
    <w:rsid w:val="00AE64BA"/>
    <w:rsid w:val="00AE78DC"/>
    <w:rsid w:val="00AF0146"/>
    <w:rsid w:val="00AF19BA"/>
    <w:rsid w:val="00AF2317"/>
    <w:rsid w:val="00AF2DC3"/>
    <w:rsid w:val="00AF2FC1"/>
    <w:rsid w:val="00AF359A"/>
    <w:rsid w:val="00AF7D7F"/>
    <w:rsid w:val="00B003E2"/>
    <w:rsid w:val="00B004DE"/>
    <w:rsid w:val="00B00973"/>
    <w:rsid w:val="00B00B0E"/>
    <w:rsid w:val="00B00C8A"/>
    <w:rsid w:val="00B01F6D"/>
    <w:rsid w:val="00B02BE9"/>
    <w:rsid w:val="00B037DA"/>
    <w:rsid w:val="00B03C1A"/>
    <w:rsid w:val="00B03D6F"/>
    <w:rsid w:val="00B04893"/>
    <w:rsid w:val="00B053D1"/>
    <w:rsid w:val="00B05CB9"/>
    <w:rsid w:val="00B05F76"/>
    <w:rsid w:val="00B06F66"/>
    <w:rsid w:val="00B10A99"/>
    <w:rsid w:val="00B11400"/>
    <w:rsid w:val="00B116D2"/>
    <w:rsid w:val="00B11768"/>
    <w:rsid w:val="00B11968"/>
    <w:rsid w:val="00B11E32"/>
    <w:rsid w:val="00B123C0"/>
    <w:rsid w:val="00B12555"/>
    <w:rsid w:val="00B133A0"/>
    <w:rsid w:val="00B142C1"/>
    <w:rsid w:val="00B14659"/>
    <w:rsid w:val="00B1502D"/>
    <w:rsid w:val="00B15B00"/>
    <w:rsid w:val="00B166A7"/>
    <w:rsid w:val="00B16B70"/>
    <w:rsid w:val="00B16CFE"/>
    <w:rsid w:val="00B17D47"/>
    <w:rsid w:val="00B20226"/>
    <w:rsid w:val="00B205E1"/>
    <w:rsid w:val="00B206BB"/>
    <w:rsid w:val="00B20902"/>
    <w:rsid w:val="00B212F5"/>
    <w:rsid w:val="00B21B63"/>
    <w:rsid w:val="00B21D39"/>
    <w:rsid w:val="00B227A8"/>
    <w:rsid w:val="00B240A5"/>
    <w:rsid w:val="00B26BCE"/>
    <w:rsid w:val="00B27640"/>
    <w:rsid w:val="00B27CAE"/>
    <w:rsid w:val="00B30778"/>
    <w:rsid w:val="00B30AC6"/>
    <w:rsid w:val="00B31C8D"/>
    <w:rsid w:val="00B32497"/>
    <w:rsid w:val="00B32872"/>
    <w:rsid w:val="00B32C9E"/>
    <w:rsid w:val="00B335E4"/>
    <w:rsid w:val="00B33999"/>
    <w:rsid w:val="00B33BEF"/>
    <w:rsid w:val="00B33D0D"/>
    <w:rsid w:val="00B34881"/>
    <w:rsid w:val="00B36EC5"/>
    <w:rsid w:val="00B3733D"/>
    <w:rsid w:val="00B4009F"/>
    <w:rsid w:val="00B40F22"/>
    <w:rsid w:val="00B42D43"/>
    <w:rsid w:val="00B4382B"/>
    <w:rsid w:val="00B45FDB"/>
    <w:rsid w:val="00B46CAA"/>
    <w:rsid w:val="00B46D95"/>
    <w:rsid w:val="00B51187"/>
    <w:rsid w:val="00B51E1F"/>
    <w:rsid w:val="00B5257B"/>
    <w:rsid w:val="00B52B1E"/>
    <w:rsid w:val="00B53449"/>
    <w:rsid w:val="00B535CE"/>
    <w:rsid w:val="00B5395A"/>
    <w:rsid w:val="00B53AEA"/>
    <w:rsid w:val="00B54125"/>
    <w:rsid w:val="00B547B0"/>
    <w:rsid w:val="00B54E2F"/>
    <w:rsid w:val="00B55A26"/>
    <w:rsid w:val="00B55C66"/>
    <w:rsid w:val="00B564EF"/>
    <w:rsid w:val="00B56519"/>
    <w:rsid w:val="00B56673"/>
    <w:rsid w:val="00B57DFB"/>
    <w:rsid w:val="00B608E8"/>
    <w:rsid w:val="00B62ADF"/>
    <w:rsid w:val="00B62F9F"/>
    <w:rsid w:val="00B63794"/>
    <w:rsid w:val="00B657B1"/>
    <w:rsid w:val="00B66BA9"/>
    <w:rsid w:val="00B67B1D"/>
    <w:rsid w:val="00B70D12"/>
    <w:rsid w:val="00B70D90"/>
    <w:rsid w:val="00B7189E"/>
    <w:rsid w:val="00B71FAB"/>
    <w:rsid w:val="00B72E64"/>
    <w:rsid w:val="00B740D6"/>
    <w:rsid w:val="00B74517"/>
    <w:rsid w:val="00B74527"/>
    <w:rsid w:val="00B74574"/>
    <w:rsid w:val="00B74E6D"/>
    <w:rsid w:val="00B75544"/>
    <w:rsid w:val="00B755AC"/>
    <w:rsid w:val="00B756BF"/>
    <w:rsid w:val="00B759EB"/>
    <w:rsid w:val="00B75DF0"/>
    <w:rsid w:val="00B762DA"/>
    <w:rsid w:val="00B76A49"/>
    <w:rsid w:val="00B77564"/>
    <w:rsid w:val="00B80711"/>
    <w:rsid w:val="00B81EA5"/>
    <w:rsid w:val="00B82208"/>
    <w:rsid w:val="00B82F74"/>
    <w:rsid w:val="00B83347"/>
    <w:rsid w:val="00B841E8"/>
    <w:rsid w:val="00B849CF"/>
    <w:rsid w:val="00B85639"/>
    <w:rsid w:val="00B859EF"/>
    <w:rsid w:val="00B85EA3"/>
    <w:rsid w:val="00B876BD"/>
    <w:rsid w:val="00B87A34"/>
    <w:rsid w:val="00B90B35"/>
    <w:rsid w:val="00B9124E"/>
    <w:rsid w:val="00B92170"/>
    <w:rsid w:val="00B9447B"/>
    <w:rsid w:val="00B9450E"/>
    <w:rsid w:val="00B94A83"/>
    <w:rsid w:val="00B94DD2"/>
    <w:rsid w:val="00B94F42"/>
    <w:rsid w:val="00B95B6A"/>
    <w:rsid w:val="00B96C2D"/>
    <w:rsid w:val="00B96F16"/>
    <w:rsid w:val="00B97190"/>
    <w:rsid w:val="00B97BE6"/>
    <w:rsid w:val="00BA04F3"/>
    <w:rsid w:val="00BA0F3E"/>
    <w:rsid w:val="00BA11A7"/>
    <w:rsid w:val="00BA150A"/>
    <w:rsid w:val="00BA1632"/>
    <w:rsid w:val="00BA2111"/>
    <w:rsid w:val="00BA2887"/>
    <w:rsid w:val="00BA519D"/>
    <w:rsid w:val="00BA7EDC"/>
    <w:rsid w:val="00BB0681"/>
    <w:rsid w:val="00BB0BBE"/>
    <w:rsid w:val="00BB11D2"/>
    <w:rsid w:val="00BB1250"/>
    <w:rsid w:val="00BB1D33"/>
    <w:rsid w:val="00BB2138"/>
    <w:rsid w:val="00BB3882"/>
    <w:rsid w:val="00BB428D"/>
    <w:rsid w:val="00BB5AA6"/>
    <w:rsid w:val="00BB6C0C"/>
    <w:rsid w:val="00BB6DD3"/>
    <w:rsid w:val="00BB7345"/>
    <w:rsid w:val="00BC1080"/>
    <w:rsid w:val="00BC145A"/>
    <w:rsid w:val="00BC1847"/>
    <w:rsid w:val="00BC1CCE"/>
    <w:rsid w:val="00BC1D2B"/>
    <w:rsid w:val="00BC3858"/>
    <w:rsid w:val="00BC3C62"/>
    <w:rsid w:val="00BC45D9"/>
    <w:rsid w:val="00BC576D"/>
    <w:rsid w:val="00BC666A"/>
    <w:rsid w:val="00BD0BEF"/>
    <w:rsid w:val="00BD1613"/>
    <w:rsid w:val="00BD1FC1"/>
    <w:rsid w:val="00BD339A"/>
    <w:rsid w:val="00BD378C"/>
    <w:rsid w:val="00BD3FFD"/>
    <w:rsid w:val="00BD508B"/>
    <w:rsid w:val="00BD5C44"/>
    <w:rsid w:val="00BD653C"/>
    <w:rsid w:val="00BD678E"/>
    <w:rsid w:val="00BD6939"/>
    <w:rsid w:val="00BD7B9C"/>
    <w:rsid w:val="00BE16C9"/>
    <w:rsid w:val="00BE1F78"/>
    <w:rsid w:val="00BE2928"/>
    <w:rsid w:val="00BE2AA4"/>
    <w:rsid w:val="00BE3C7A"/>
    <w:rsid w:val="00BE5B9F"/>
    <w:rsid w:val="00BE7D8D"/>
    <w:rsid w:val="00BF00F8"/>
    <w:rsid w:val="00BF03AC"/>
    <w:rsid w:val="00BF03E8"/>
    <w:rsid w:val="00BF2F15"/>
    <w:rsid w:val="00BF36B0"/>
    <w:rsid w:val="00BF59B4"/>
    <w:rsid w:val="00BF5CA8"/>
    <w:rsid w:val="00BF65D4"/>
    <w:rsid w:val="00BF7074"/>
    <w:rsid w:val="00BF715B"/>
    <w:rsid w:val="00C00490"/>
    <w:rsid w:val="00C0079A"/>
    <w:rsid w:val="00C01792"/>
    <w:rsid w:val="00C0224E"/>
    <w:rsid w:val="00C030FB"/>
    <w:rsid w:val="00C06BCA"/>
    <w:rsid w:val="00C06F37"/>
    <w:rsid w:val="00C0733A"/>
    <w:rsid w:val="00C075F7"/>
    <w:rsid w:val="00C101D7"/>
    <w:rsid w:val="00C10A9E"/>
    <w:rsid w:val="00C1203B"/>
    <w:rsid w:val="00C12380"/>
    <w:rsid w:val="00C1255F"/>
    <w:rsid w:val="00C132BA"/>
    <w:rsid w:val="00C1413C"/>
    <w:rsid w:val="00C142A3"/>
    <w:rsid w:val="00C14641"/>
    <w:rsid w:val="00C14C29"/>
    <w:rsid w:val="00C16EC8"/>
    <w:rsid w:val="00C17155"/>
    <w:rsid w:val="00C177D3"/>
    <w:rsid w:val="00C2041F"/>
    <w:rsid w:val="00C205CC"/>
    <w:rsid w:val="00C20784"/>
    <w:rsid w:val="00C2099F"/>
    <w:rsid w:val="00C2131F"/>
    <w:rsid w:val="00C21717"/>
    <w:rsid w:val="00C22E7B"/>
    <w:rsid w:val="00C22F44"/>
    <w:rsid w:val="00C2311B"/>
    <w:rsid w:val="00C23D74"/>
    <w:rsid w:val="00C23DA3"/>
    <w:rsid w:val="00C24C23"/>
    <w:rsid w:val="00C269A8"/>
    <w:rsid w:val="00C26E1E"/>
    <w:rsid w:val="00C27448"/>
    <w:rsid w:val="00C27510"/>
    <w:rsid w:val="00C27BCC"/>
    <w:rsid w:val="00C317D1"/>
    <w:rsid w:val="00C31E73"/>
    <w:rsid w:val="00C338D1"/>
    <w:rsid w:val="00C34335"/>
    <w:rsid w:val="00C36B68"/>
    <w:rsid w:val="00C372DA"/>
    <w:rsid w:val="00C374D0"/>
    <w:rsid w:val="00C400EE"/>
    <w:rsid w:val="00C4270A"/>
    <w:rsid w:val="00C427E8"/>
    <w:rsid w:val="00C435BD"/>
    <w:rsid w:val="00C50A4B"/>
    <w:rsid w:val="00C5105D"/>
    <w:rsid w:val="00C53E12"/>
    <w:rsid w:val="00C53E61"/>
    <w:rsid w:val="00C54634"/>
    <w:rsid w:val="00C54F0B"/>
    <w:rsid w:val="00C55770"/>
    <w:rsid w:val="00C55C80"/>
    <w:rsid w:val="00C5717B"/>
    <w:rsid w:val="00C605F7"/>
    <w:rsid w:val="00C609EF"/>
    <w:rsid w:val="00C6135B"/>
    <w:rsid w:val="00C6214B"/>
    <w:rsid w:val="00C62BE3"/>
    <w:rsid w:val="00C63578"/>
    <w:rsid w:val="00C63C1A"/>
    <w:rsid w:val="00C64108"/>
    <w:rsid w:val="00C644FA"/>
    <w:rsid w:val="00C646D8"/>
    <w:rsid w:val="00C64844"/>
    <w:rsid w:val="00C64B4C"/>
    <w:rsid w:val="00C651C3"/>
    <w:rsid w:val="00C65697"/>
    <w:rsid w:val="00C666C9"/>
    <w:rsid w:val="00C66860"/>
    <w:rsid w:val="00C66923"/>
    <w:rsid w:val="00C67A79"/>
    <w:rsid w:val="00C70336"/>
    <w:rsid w:val="00C713D8"/>
    <w:rsid w:val="00C715C3"/>
    <w:rsid w:val="00C716A5"/>
    <w:rsid w:val="00C71CA0"/>
    <w:rsid w:val="00C728CE"/>
    <w:rsid w:val="00C73F59"/>
    <w:rsid w:val="00C749D9"/>
    <w:rsid w:val="00C75865"/>
    <w:rsid w:val="00C771AA"/>
    <w:rsid w:val="00C77592"/>
    <w:rsid w:val="00C777DA"/>
    <w:rsid w:val="00C80215"/>
    <w:rsid w:val="00C812E6"/>
    <w:rsid w:val="00C824F1"/>
    <w:rsid w:val="00C8379C"/>
    <w:rsid w:val="00C84229"/>
    <w:rsid w:val="00C858A3"/>
    <w:rsid w:val="00C85DEC"/>
    <w:rsid w:val="00C869CC"/>
    <w:rsid w:val="00C870E4"/>
    <w:rsid w:val="00C91E7F"/>
    <w:rsid w:val="00C92BF5"/>
    <w:rsid w:val="00C92F91"/>
    <w:rsid w:val="00C932D7"/>
    <w:rsid w:val="00C93CC9"/>
    <w:rsid w:val="00C945F9"/>
    <w:rsid w:val="00C953FA"/>
    <w:rsid w:val="00C95CCB"/>
    <w:rsid w:val="00C963FB"/>
    <w:rsid w:val="00C967FF"/>
    <w:rsid w:val="00CA1C8A"/>
    <w:rsid w:val="00CA235E"/>
    <w:rsid w:val="00CA262D"/>
    <w:rsid w:val="00CA2AAF"/>
    <w:rsid w:val="00CA2C3F"/>
    <w:rsid w:val="00CA30E2"/>
    <w:rsid w:val="00CA38F2"/>
    <w:rsid w:val="00CA3A62"/>
    <w:rsid w:val="00CA3DED"/>
    <w:rsid w:val="00CA5272"/>
    <w:rsid w:val="00CA5925"/>
    <w:rsid w:val="00CA60FF"/>
    <w:rsid w:val="00CA646F"/>
    <w:rsid w:val="00CA77D9"/>
    <w:rsid w:val="00CA79DC"/>
    <w:rsid w:val="00CB0917"/>
    <w:rsid w:val="00CB0CBC"/>
    <w:rsid w:val="00CB0D02"/>
    <w:rsid w:val="00CB0D43"/>
    <w:rsid w:val="00CB0EA1"/>
    <w:rsid w:val="00CB3D7F"/>
    <w:rsid w:val="00CB44ED"/>
    <w:rsid w:val="00CB4D2E"/>
    <w:rsid w:val="00CB515E"/>
    <w:rsid w:val="00CB623D"/>
    <w:rsid w:val="00CB6508"/>
    <w:rsid w:val="00CB68ED"/>
    <w:rsid w:val="00CB7561"/>
    <w:rsid w:val="00CB7999"/>
    <w:rsid w:val="00CC0152"/>
    <w:rsid w:val="00CC0324"/>
    <w:rsid w:val="00CC1D82"/>
    <w:rsid w:val="00CC1D89"/>
    <w:rsid w:val="00CC203A"/>
    <w:rsid w:val="00CC223E"/>
    <w:rsid w:val="00CC2B5A"/>
    <w:rsid w:val="00CC3212"/>
    <w:rsid w:val="00CC3A07"/>
    <w:rsid w:val="00CC40F2"/>
    <w:rsid w:val="00CC5735"/>
    <w:rsid w:val="00CC5E15"/>
    <w:rsid w:val="00CC68AD"/>
    <w:rsid w:val="00CC7965"/>
    <w:rsid w:val="00CC7E29"/>
    <w:rsid w:val="00CC7F80"/>
    <w:rsid w:val="00CD0927"/>
    <w:rsid w:val="00CD09F0"/>
    <w:rsid w:val="00CD37AA"/>
    <w:rsid w:val="00CD3CC7"/>
    <w:rsid w:val="00CD4A45"/>
    <w:rsid w:val="00CD6D1C"/>
    <w:rsid w:val="00CD6D76"/>
    <w:rsid w:val="00CD7152"/>
    <w:rsid w:val="00CE06E4"/>
    <w:rsid w:val="00CE1670"/>
    <w:rsid w:val="00CE20F0"/>
    <w:rsid w:val="00CE23F9"/>
    <w:rsid w:val="00CE4451"/>
    <w:rsid w:val="00CE482A"/>
    <w:rsid w:val="00CE6EFC"/>
    <w:rsid w:val="00CE76DE"/>
    <w:rsid w:val="00CE79EC"/>
    <w:rsid w:val="00CF12FA"/>
    <w:rsid w:val="00CF1497"/>
    <w:rsid w:val="00CF1D08"/>
    <w:rsid w:val="00CF256D"/>
    <w:rsid w:val="00CF26CA"/>
    <w:rsid w:val="00CF2DA5"/>
    <w:rsid w:val="00CF3962"/>
    <w:rsid w:val="00CF427C"/>
    <w:rsid w:val="00CF4866"/>
    <w:rsid w:val="00CF5677"/>
    <w:rsid w:val="00CF6ECB"/>
    <w:rsid w:val="00CF7143"/>
    <w:rsid w:val="00CF7A3F"/>
    <w:rsid w:val="00D006D4"/>
    <w:rsid w:val="00D0087E"/>
    <w:rsid w:val="00D00D64"/>
    <w:rsid w:val="00D00D73"/>
    <w:rsid w:val="00D00F85"/>
    <w:rsid w:val="00D01165"/>
    <w:rsid w:val="00D01651"/>
    <w:rsid w:val="00D01EFE"/>
    <w:rsid w:val="00D0200E"/>
    <w:rsid w:val="00D02087"/>
    <w:rsid w:val="00D02941"/>
    <w:rsid w:val="00D031EA"/>
    <w:rsid w:val="00D049AF"/>
    <w:rsid w:val="00D0693F"/>
    <w:rsid w:val="00D071D4"/>
    <w:rsid w:val="00D0762F"/>
    <w:rsid w:val="00D11C82"/>
    <w:rsid w:val="00D1261B"/>
    <w:rsid w:val="00D12F08"/>
    <w:rsid w:val="00D12FA3"/>
    <w:rsid w:val="00D13DAD"/>
    <w:rsid w:val="00D145BA"/>
    <w:rsid w:val="00D15368"/>
    <w:rsid w:val="00D1569E"/>
    <w:rsid w:val="00D16799"/>
    <w:rsid w:val="00D17162"/>
    <w:rsid w:val="00D174CD"/>
    <w:rsid w:val="00D214D9"/>
    <w:rsid w:val="00D21D1B"/>
    <w:rsid w:val="00D230C3"/>
    <w:rsid w:val="00D230CE"/>
    <w:rsid w:val="00D2433C"/>
    <w:rsid w:val="00D24BF2"/>
    <w:rsid w:val="00D2637E"/>
    <w:rsid w:val="00D26692"/>
    <w:rsid w:val="00D26C4B"/>
    <w:rsid w:val="00D27557"/>
    <w:rsid w:val="00D310D7"/>
    <w:rsid w:val="00D312AC"/>
    <w:rsid w:val="00D31680"/>
    <w:rsid w:val="00D31CC7"/>
    <w:rsid w:val="00D326DB"/>
    <w:rsid w:val="00D32EE5"/>
    <w:rsid w:val="00D34DD4"/>
    <w:rsid w:val="00D34E9A"/>
    <w:rsid w:val="00D34F58"/>
    <w:rsid w:val="00D3520F"/>
    <w:rsid w:val="00D35B05"/>
    <w:rsid w:val="00D36ACA"/>
    <w:rsid w:val="00D3767D"/>
    <w:rsid w:val="00D37738"/>
    <w:rsid w:val="00D37A1E"/>
    <w:rsid w:val="00D40EA2"/>
    <w:rsid w:val="00D410AF"/>
    <w:rsid w:val="00D416E5"/>
    <w:rsid w:val="00D417C5"/>
    <w:rsid w:val="00D43137"/>
    <w:rsid w:val="00D434A9"/>
    <w:rsid w:val="00D439D8"/>
    <w:rsid w:val="00D443FD"/>
    <w:rsid w:val="00D455DC"/>
    <w:rsid w:val="00D45ADA"/>
    <w:rsid w:val="00D45C0E"/>
    <w:rsid w:val="00D475ED"/>
    <w:rsid w:val="00D47EA8"/>
    <w:rsid w:val="00D52404"/>
    <w:rsid w:val="00D54784"/>
    <w:rsid w:val="00D54CC7"/>
    <w:rsid w:val="00D561F0"/>
    <w:rsid w:val="00D569AE"/>
    <w:rsid w:val="00D569E5"/>
    <w:rsid w:val="00D57396"/>
    <w:rsid w:val="00D57DAA"/>
    <w:rsid w:val="00D57E5B"/>
    <w:rsid w:val="00D6017D"/>
    <w:rsid w:val="00D60401"/>
    <w:rsid w:val="00D610E4"/>
    <w:rsid w:val="00D62376"/>
    <w:rsid w:val="00D639AB"/>
    <w:rsid w:val="00D63ADD"/>
    <w:rsid w:val="00D63CFF"/>
    <w:rsid w:val="00D65AED"/>
    <w:rsid w:val="00D65BE4"/>
    <w:rsid w:val="00D65E56"/>
    <w:rsid w:val="00D665B3"/>
    <w:rsid w:val="00D70374"/>
    <w:rsid w:val="00D710BD"/>
    <w:rsid w:val="00D7132B"/>
    <w:rsid w:val="00D71817"/>
    <w:rsid w:val="00D71F93"/>
    <w:rsid w:val="00D73ECF"/>
    <w:rsid w:val="00D745B4"/>
    <w:rsid w:val="00D745D3"/>
    <w:rsid w:val="00D7646A"/>
    <w:rsid w:val="00D76D90"/>
    <w:rsid w:val="00D771B0"/>
    <w:rsid w:val="00D77629"/>
    <w:rsid w:val="00D80652"/>
    <w:rsid w:val="00D80DDD"/>
    <w:rsid w:val="00D82054"/>
    <w:rsid w:val="00D82C4F"/>
    <w:rsid w:val="00D83C90"/>
    <w:rsid w:val="00D83D00"/>
    <w:rsid w:val="00D843ED"/>
    <w:rsid w:val="00D857F3"/>
    <w:rsid w:val="00D85DCE"/>
    <w:rsid w:val="00D87EAA"/>
    <w:rsid w:val="00D9031D"/>
    <w:rsid w:val="00D90E93"/>
    <w:rsid w:val="00D91150"/>
    <w:rsid w:val="00D917AC"/>
    <w:rsid w:val="00D920C4"/>
    <w:rsid w:val="00D92462"/>
    <w:rsid w:val="00D92543"/>
    <w:rsid w:val="00D92D27"/>
    <w:rsid w:val="00D94261"/>
    <w:rsid w:val="00D952C9"/>
    <w:rsid w:val="00D9588F"/>
    <w:rsid w:val="00D96AF5"/>
    <w:rsid w:val="00D96EC8"/>
    <w:rsid w:val="00D97580"/>
    <w:rsid w:val="00D9783E"/>
    <w:rsid w:val="00DA07AC"/>
    <w:rsid w:val="00DA1C48"/>
    <w:rsid w:val="00DA27E1"/>
    <w:rsid w:val="00DA3123"/>
    <w:rsid w:val="00DA34A9"/>
    <w:rsid w:val="00DA38AB"/>
    <w:rsid w:val="00DA3A82"/>
    <w:rsid w:val="00DA3AA0"/>
    <w:rsid w:val="00DA5992"/>
    <w:rsid w:val="00DA61CA"/>
    <w:rsid w:val="00DA6E78"/>
    <w:rsid w:val="00DA76DA"/>
    <w:rsid w:val="00DA7CD0"/>
    <w:rsid w:val="00DB0131"/>
    <w:rsid w:val="00DB05FD"/>
    <w:rsid w:val="00DB1589"/>
    <w:rsid w:val="00DB1F9A"/>
    <w:rsid w:val="00DB30AC"/>
    <w:rsid w:val="00DB4232"/>
    <w:rsid w:val="00DB4633"/>
    <w:rsid w:val="00DB5138"/>
    <w:rsid w:val="00DB664B"/>
    <w:rsid w:val="00DB7351"/>
    <w:rsid w:val="00DB7A1D"/>
    <w:rsid w:val="00DB7AF3"/>
    <w:rsid w:val="00DB7C6E"/>
    <w:rsid w:val="00DB7ECA"/>
    <w:rsid w:val="00DC015B"/>
    <w:rsid w:val="00DC08F8"/>
    <w:rsid w:val="00DC3ABE"/>
    <w:rsid w:val="00DC4707"/>
    <w:rsid w:val="00DC4E57"/>
    <w:rsid w:val="00DC5147"/>
    <w:rsid w:val="00DC55AD"/>
    <w:rsid w:val="00DC55EE"/>
    <w:rsid w:val="00DC6611"/>
    <w:rsid w:val="00DC6EE4"/>
    <w:rsid w:val="00DD1BA6"/>
    <w:rsid w:val="00DD1F17"/>
    <w:rsid w:val="00DD3BE2"/>
    <w:rsid w:val="00DD4FB9"/>
    <w:rsid w:val="00DD552D"/>
    <w:rsid w:val="00DD58A1"/>
    <w:rsid w:val="00DD7484"/>
    <w:rsid w:val="00DD75D4"/>
    <w:rsid w:val="00DE1D02"/>
    <w:rsid w:val="00DE4165"/>
    <w:rsid w:val="00DE4277"/>
    <w:rsid w:val="00DE465F"/>
    <w:rsid w:val="00DE53A0"/>
    <w:rsid w:val="00DE558D"/>
    <w:rsid w:val="00DE55B5"/>
    <w:rsid w:val="00DE6BEE"/>
    <w:rsid w:val="00DE6CE6"/>
    <w:rsid w:val="00DF07D9"/>
    <w:rsid w:val="00DF0EB4"/>
    <w:rsid w:val="00DF1007"/>
    <w:rsid w:val="00DF1180"/>
    <w:rsid w:val="00DF1A58"/>
    <w:rsid w:val="00DF2B97"/>
    <w:rsid w:val="00DF3F13"/>
    <w:rsid w:val="00DF49D4"/>
    <w:rsid w:val="00DF4B87"/>
    <w:rsid w:val="00DF5565"/>
    <w:rsid w:val="00DF598F"/>
    <w:rsid w:val="00DF62F5"/>
    <w:rsid w:val="00DF6356"/>
    <w:rsid w:val="00DF7B62"/>
    <w:rsid w:val="00DF7CEE"/>
    <w:rsid w:val="00E000C1"/>
    <w:rsid w:val="00E0030A"/>
    <w:rsid w:val="00E00A7A"/>
    <w:rsid w:val="00E00B73"/>
    <w:rsid w:val="00E0102A"/>
    <w:rsid w:val="00E027D4"/>
    <w:rsid w:val="00E02A8B"/>
    <w:rsid w:val="00E0476B"/>
    <w:rsid w:val="00E04A4A"/>
    <w:rsid w:val="00E062F4"/>
    <w:rsid w:val="00E068F3"/>
    <w:rsid w:val="00E06CFD"/>
    <w:rsid w:val="00E07959"/>
    <w:rsid w:val="00E07A35"/>
    <w:rsid w:val="00E07D19"/>
    <w:rsid w:val="00E1153E"/>
    <w:rsid w:val="00E1155D"/>
    <w:rsid w:val="00E1177C"/>
    <w:rsid w:val="00E11B23"/>
    <w:rsid w:val="00E12393"/>
    <w:rsid w:val="00E126C3"/>
    <w:rsid w:val="00E12F2C"/>
    <w:rsid w:val="00E13688"/>
    <w:rsid w:val="00E139FD"/>
    <w:rsid w:val="00E1537A"/>
    <w:rsid w:val="00E16F60"/>
    <w:rsid w:val="00E1746C"/>
    <w:rsid w:val="00E20DC6"/>
    <w:rsid w:val="00E20FE1"/>
    <w:rsid w:val="00E21090"/>
    <w:rsid w:val="00E21A76"/>
    <w:rsid w:val="00E22CCB"/>
    <w:rsid w:val="00E23A32"/>
    <w:rsid w:val="00E2434F"/>
    <w:rsid w:val="00E252F0"/>
    <w:rsid w:val="00E262B5"/>
    <w:rsid w:val="00E26368"/>
    <w:rsid w:val="00E26BF6"/>
    <w:rsid w:val="00E26DCD"/>
    <w:rsid w:val="00E27408"/>
    <w:rsid w:val="00E277CF"/>
    <w:rsid w:val="00E301E9"/>
    <w:rsid w:val="00E30C6B"/>
    <w:rsid w:val="00E32591"/>
    <w:rsid w:val="00E325AE"/>
    <w:rsid w:val="00E33718"/>
    <w:rsid w:val="00E3402A"/>
    <w:rsid w:val="00E35180"/>
    <w:rsid w:val="00E3520F"/>
    <w:rsid w:val="00E35808"/>
    <w:rsid w:val="00E36658"/>
    <w:rsid w:val="00E36E2D"/>
    <w:rsid w:val="00E40491"/>
    <w:rsid w:val="00E40866"/>
    <w:rsid w:val="00E416E8"/>
    <w:rsid w:val="00E42478"/>
    <w:rsid w:val="00E42D2A"/>
    <w:rsid w:val="00E44891"/>
    <w:rsid w:val="00E44960"/>
    <w:rsid w:val="00E458B7"/>
    <w:rsid w:val="00E46FCE"/>
    <w:rsid w:val="00E47311"/>
    <w:rsid w:val="00E47FA3"/>
    <w:rsid w:val="00E51760"/>
    <w:rsid w:val="00E51876"/>
    <w:rsid w:val="00E5217D"/>
    <w:rsid w:val="00E526F4"/>
    <w:rsid w:val="00E52BA9"/>
    <w:rsid w:val="00E52ECA"/>
    <w:rsid w:val="00E544D9"/>
    <w:rsid w:val="00E546CD"/>
    <w:rsid w:val="00E5489F"/>
    <w:rsid w:val="00E571C8"/>
    <w:rsid w:val="00E574D3"/>
    <w:rsid w:val="00E576F1"/>
    <w:rsid w:val="00E577FC"/>
    <w:rsid w:val="00E57A62"/>
    <w:rsid w:val="00E57DDF"/>
    <w:rsid w:val="00E60453"/>
    <w:rsid w:val="00E604EA"/>
    <w:rsid w:val="00E61352"/>
    <w:rsid w:val="00E61BC3"/>
    <w:rsid w:val="00E61D20"/>
    <w:rsid w:val="00E62072"/>
    <w:rsid w:val="00E62709"/>
    <w:rsid w:val="00E64BA0"/>
    <w:rsid w:val="00E6671D"/>
    <w:rsid w:val="00E66CB0"/>
    <w:rsid w:val="00E7040C"/>
    <w:rsid w:val="00E70FCC"/>
    <w:rsid w:val="00E71361"/>
    <w:rsid w:val="00E71E98"/>
    <w:rsid w:val="00E72431"/>
    <w:rsid w:val="00E73C70"/>
    <w:rsid w:val="00E7427E"/>
    <w:rsid w:val="00E747A9"/>
    <w:rsid w:val="00E75241"/>
    <w:rsid w:val="00E752F2"/>
    <w:rsid w:val="00E767B5"/>
    <w:rsid w:val="00E7687D"/>
    <w:rsid w:val="00E773E8"/>
    <w:rsid w:val="00E80752"/>
    <w:rsid w:val="00E810E7"/>
    <w:rsid w:val="00E81441"/>
    <w:rsid w:val="00E81944"/>
    <w:rsid w:val="00E81B4C"/>
    <w:rsid w:val="00E825E6"/>
    <w:rsid w:val="00E82865"/>
    <w:rsid w:val="00E83F69"/>
    <w:rsid w:val="00E84354"/>
    <w:rsid w:val="00E848EA"/>
    <w:rsid w:val="00E85D57"/>
    <w:rsid w:val="00E87D4A"/>
    <w:rsid w:val="00E90101"/>
    <w:rsid w:val="00E912D5"/>
    <w:rsid w:val="00E915AC"/>
    <w:rsid w:val="00E9237A"/>
    <w:rsid w:val="00E9376C"/>
    <w:rsid w:val="00E940EA"/>
    <w:rsid w:val="00E94CD7"/>
    <w:rsid w:val="00E968D4"/>
    <w:rsid w:val="00E96FEF"/>
    <w:rsid w:val="00E9717B"/>
    <w:rsid w:val="00E97473"/>
    <w:rsid w:val="00EA01AA"/>
    <w:rsid w:val="00EA114D"/>
    <w:rsid w:val="00EA1480"/>
    <w:rsid w:val="00EA163B"/>
    <w:rsid w:val="00EA3049"/>
    <w:rsid w:val="00EA3636"/>
    <w:rsid w:val="00EA3D4B"/>
    <w:rsid w:val="00EA487A"/>
    <w:rsid w:val="00EA4C31"/>
    <w:rsid w:val="00EA55C6"/>
    <w:rsid w:val="00EA56C8"/>
    <w:rsid w:val="00EA70A6"/>
    <w:rsid w:val="00EB051C"/>
    <w:rsid w:val="00EB0A87"/>
    <w:rsid w:val="00EB0BA6"/>
    <w:rsid w:val="00EB1327"/>
    <w:rsid w:val="00EB1AB8"/>
    <w:rsid w:val="00EB1CA9"/>
    <w:rsid w:val="00EB1ED9"/>
    <w:rsid w:val="00EB1FE0"/>
    <w:rsid w:val="00EB2884"/>
    <w:rsid w:val="00EB2906"/>
    <w:rsid w:val="00EB2EB8"/>
    <w:rsid w:val="00EB7167"/>
    <w:rsid w:val="00EB7F82"/>
    <w:rsid w:val="00EC03DF"/>
    <w:rsid w:val="00EC112A"/>
    <w:rsid w:val="00EC3991"/>
    <w:rsid w:val="00EC433C"/>
    <w:rsid w:val="00EC4931"/>
    <w:rsid w:val="00EC4CDC"/>
    <w:rsid w:val="00EC50EC"/>
    <w:rsid w:val="00EC580D"/>
    <w:rsid w:val="00EC7476"/>
    <w:rsid w:val="00EC759F"/>
    <w:rsid w:val="00ED0060"/>
    <w:rsid w:val="00ED0746"/>
    <w:rsid w:val="00ED0B27"/>
    <w:rsid w:val="00ED0F7F"/>
    <w:rsid w:val="00ED214C"/>
    <w:rsid w:val="00ED38F6"/>
    <w:rsid w:val="00ED3BD4"/>
    <w:rsid w:val="00ED3F6D"/>
    <w:rsid w:val="00ED46A6"/>
    <w:rsid w:val="00ED56C8"/>
    <w:rsid w:val="00ED7540"/>
    <w:rsid w:val="00ED7C54"/>
    <w:rsid w:val="00ED7D06"/>
    <w:rsid w:val="00EE0432"/>
    <w:rsid w:val="00EE0750"/>
    <w:rsid w:val="00EE2BE2"/>
    <w:rsid w:val="00EE2D43"/>
    <w:rsid w:val="00EE3B4E"/>
    <w:rsid w:val="00EE4EF7"/>
    <w:rsid w:val="00EE6149"/>
    <w:rsid w:val="00EE66B0"/>
    <w:rsid w:val="00EE6D08"/>
    <w:rsid w:val="00EE71AE"/>
    <w:rsid w:val="00EF0675"/>
    <w:rsid w:val="00EF22F4"/>
    <w:rsid w:val="00EF2795"/>
    <w:rsid w:val="00EF2CE9"/>
    <w:rsid w:val="00EF3AAA"/>
    <w:rsid w:val="00EF3E6C"/>
    <w:rsid w:val="00EF4257"/>
    <w:rsid w:val="00EF4CB7"/>
    <w:rsid w:val="00EF59B4"/>
    <w:rsid w:val="00EF5BF7"/>
    <w:rsid w:val="00EF5FE5"/>
    <w:rsid w:val="00EF654A"/>
    <w:rsid w:val="00EF68FC"/>
    <w:rsid w:val="00F00288"/>
    <w:rsid w:val="00F00371"/>
    <w:rsid w:val="00F01000"/>
    <w:rsid w:val="00F01361"/>
    <w:rsid w:val="00F01A47"/>
    <w:rsid w:val="00F01F16"/>
    <w:rsid w:val="00F024A2"/>
    <w:rsid w:val="00F03E12"/>
    <w:rsid w:val="00F0425C"/>
    <w:rsid w:val="00F048DA"/>
    <w:rsid w:val="00F066F5"/>
    <w:rsid w:val="00F0683B"/>
    <w:rsid w:val="00F06E61"/>
    <w:rsid w:val="00F0717A"/>
    <w:rsid w:val="00F0779A"/>
    <w:rsid w:val="00F07891"/>
    <w:rsid w:val="00F07E89"/>
    <w:rsid w:val="00F10F2D"/>
    <w:rsid w:val="00F1107F"/>
    <w:rsid w:val="00F11391"/>
    <w:rsid w:val="00F11A4F"/>
    <w:rsid w:val="00F12A38"/>
    <w:rsid w:val="00F14CB6"/>
    <w:rsid w:val="00F17ED1"/>
    <w:rsid w:val="00F207B4"/>
    <w:rsid w:val="00F21264"/>
    <w:rsid w:val="00F215BD"/>
    <w:rsid w:val="00F21EDA"/>
    <w:rsid w:val="00F22131"/>
    <w:rsid w:val="00F22318"/>
    <w:rsid w:val="00F240BA"/>
    <w:rsid w:val="00F24DB9"/>
    <w:rsid w:val="00F257B3"/>
    <w:rsid w:val="00F2583C"/>
    <w:rsid w:val="00F25F84"/>
    <w:rsid w:val="00F2653B"/>
    <w:rsid w:val="00F268C3"/>
    <w:rsid w:val="00F26BE2"/>
    <w:rsid w:val="00F2713D"/>
    <w:rsid w:val="00F2768F"/>
    <w:rsid w:val="00F27CF0"/>
    <w:rsid w:val="00F302AA"/>
    <w:rsid w:val="00F30A4C"/>
    <w:rsid w:val="00F32244"/>
    <w:rsid w:val="00F3295B"/>
    <w:rsid w:val="00F34D9B"/>
    <w:rsid w:val="00F34E31"/>
    <w:rsid w:val="00F34F8B"/>
    <w:rsid w:val="00F3557F"/>
    <w:rsid w:val="00F3561E"/>
    <w:rsid w:val="00F359FB"/>
    <w:rsid w:val="00F36952"/>
    <w:rsid w:val="00F36F0D"/>
    <w:rsid w:val="00F37126"/>
    <w:rsid w:val="00F37D30"/>
    <w:rsid w:val="00F40274"/>
    <w:rsid w:val="00F4094E"/>
    <w:rsid w:val="00F40A75"/>
    <w:rsid w:val="00F41703"/>
    <w:rsid w:val="00F41B55"/>
    <w:rsid w:val="00F41FC3"/>
    <w:rsid w:val="00F43641"/>
    <w:rsid w:val="00F44C0F"/>
    <w:rsid w:val="00F44C98"/>
    <w:rsid w:val="00F4580F"/>
    <w:rsid w:val="00F46C09"/>
    <w:rsid w:val="00F47319"/>
    <w:rsid w:val="00F47966"/>
    <w:rsid w:val="00F479A8"/>
    <w:rsid w:val="00F51822"/>
    <w:rsid w:val="00F52407"/>
    <w:rsid w:val="00F530B8"/>
    <w:rsid w:val="00F539F8"/>
    <w:rsid w:val="00F54095"/>
    <w:rsid w:val="00F55853"/>
    <w:rsid w:val="00F55996"/>
    <w:rsid w:val="00F561EB"/>
    <w:rsid w:val="00F569FD"/>
    <w:rsid w:val="00F56C12"/>
    <w:rsid w:val="00F56FEE"/>
    <w:rsid w:val="00F57414"/>
    <w:rsid w:val="00F57706"/>
    <w:rsid w:val="00F57C73"/>
    <w:rsid w:val="00F620E5"/>
    <w:rsid w:val="00F63005"/>
    <w:rsid w:val="00F63618"/>
    <w:rsid w:val="00F63A5C"/>
    <w:rsid w:val="00F63BFD"/>
    <w:rsid w:val="00F64224"/>
    <w:rsid w:val="00F64302"/>
    <w:rsid w:val="00F64737"/>
    <w:rsid w:val="00F64F32"/>
    <w:rsid w:val="00F650E6"/>
    <w:rsid w:val="00F65996"/>
    <w:rsid w:val="00F66091"/>
    <w:rsid w:val="00F66116"/>
    <w:rsid w:val="00F664F2"/>
    <w:rsid w:val="00F669B8"/>
    <w:rsid w:val="00F67AC4"/>
    <w:rsid w:val="00F67D61"/>
    <w:rsid w:val="00F67E85"/>
    <w:rsid w:val="00F70013"/>
    <w:rsid w:val="00F70820"/>
    <w:rsid w:val="00F709BD"/>
    <w:rsid w:val="00F721AF"/>
    <w:rsid w:val="00F724EC"/>
    <w:rsid w:val="00F7395B"/>
    <w:rsid w:val="00F744DE"/>
    <w:rsid w:val="00F74801"/>
    <w:rsid w:val="00F753B0"/>
    <w:rsid w:val="00F75468"/>
    <w:rsid w:val="00F76048"/>
    <w:rsid w:val="00F76162"/>
    <w:rsid w:val="00F768B7"/>
    <w:rsid w:val="00F770F1"/>
    <w:rsid w:val="00F7749E"/>
    <w:rsid w:val="00F80E28"/>
    <w:rsid w:val="00F81402"/>
    <w:rsid w:val="00F818F9"/>
    <w:rsid w:val="00F824B2"/>
    <w:rsid w:val="00F829BA"/>
    <w:rsid w:val="00F84358"/>
    <w:rsid w:val="00F86D5B"/>
    <w:rsid w:val="00F87644"/>
    <w:rsid w:val="00F877FB"/>
    <w:rsid w:val="00F90174"/>
    <w:rsid w:val="00F90F7E"/>
    <w:rsid w:val="00F915B8"/>
    <w:rsid w:val="00F91D4B"/>
    <w:rsid w:val="00F923A2"/>
    <w:rsid w:val="00F92853"/>
    <w:rsid w:val="00F928E6"/>
    <w:rsid w:val="00F92F16"/>
    <w:rsid w:val="00F9349A"/>
    <w:rsid w:val="00F937DE"/>
    <w:rsid w:val="00F9381B"/>
    <w:rsid w:val="00F952CA"/>
    <w:rsid w:val="00F95FF1"/>
    <w:rsid w:val="00F974FB"/>
    <w:rsid w:val="00F97A4B"/>
    <w:rsid w:val="00F97F3B"/>
    <w:rsid w:val="00FA02CA"/>
    <w:rsid w:val="00FA02E4"/>
    <w:rsid w:val="00FA03BA"/>
    <w:rsid w:val="00FA0470"/>
    <w:rsid w:val="00FA0849"/>
    <w:rsid w:val="00FA0E48"/>
    <w:rsid w:val="00FA1112"/>
    <w:rsid w:val="00FA13E2"/>
    <w:rsid w:val="00FA18D4"/>
    <w:rsid w:val="00FA1B98"/>
    <w:rsid w:val="00FA27BE"/>
    <w:rsid w:val="00FA2C2E"/>
    <w:rsid w:val="00FA2CA0"/>
    <w:rsid w:val="00FA32BC"/>
    <w:rsid w:val="00FA4D15"/>
    <w:rsid w:val="00FA4FA6"/>
    <w:rsid w:val="00FA575B"/>
    <w:rsid w:val="00FA6E01"/>
    <w:rsid w:val="00FA6F2D"/>
    <w:rsid w:val="00FA6F39"/>
    <w:rsid w:val="00FB0775"/>
    <w:rsid w:val="00FB0839"/>
    <w:rsid w:val="00FB1BD4"/>
    <w:rsid w:val="00FB1E01"/>
    <w:rsid w:val="00FB2586"/>
    <w:rsid w:val="00FB2F01"/>
    <w:rsid w:val="00FB3933"/>
    <w:rsid w:val="00FB42CF"/>
    <w:rsid w:val="00FB450E"/>
    <w:rsid w:val="00FB4614"/>
    <w:rsid w:val="00FB4993"/>
    <w:rsid w:val="00FB4E0A"/>
    <w:rsid w:val="00FB4E3E"/>
    <w:rsid w:val="00FB57CD"/>
    <w:rsid w:val="00FB657D"/>
    <w:rsid w:val="00FB7D60"/>
    <w:rsid w:val="00FB7FDB"/>
    <w:rsid w:val="00FC1174"/>
    <w:rsid w:val="00FC1576"/>
    <w:rsid w:val="00FC2A2F"/>
    <w:rsid w:val="00FC2F63"/>
    <w:rsid w:val="00FC33CA"/>
    <w:rsid w:val="00FC47F0"/>
    <w:rsid w:val="00FC4B05"/>
    <w:rsid w:val="00FC531A"/>
    <w:rsid w:val="00FC583E"/>
    <w:rsid w:val="00FC6145"/>
    <w:rsid w:val="00FC6358"/>
    <w:rsid w:val="00FC7FE3"/>
    <w:rsid w:val="00FD04BA"/>
    <w:rsid w:val="00FD0E4F"/>
    <w:rsid w:val="00FD12B7"/>
    <w:rsid w:val="00FD2A7B"/>
    <w:rsid w:val="00FD2D3C"/>
    <w:rsid w:val="00FD2DDE"/>
    <w:rsid w:val="00FD3184"/>
    <w:rsid w:val="00FD3744"/>
    <w:rsid w:val="00FD3BC5"/>
    <w:rsid w:val="00FD3CF7"/>
    <w:rsid w:val="00FD4358"/>
    <w:rsid w:val="00FD448C"/>
    <w:rsid w:val="00FD49A3"/>
    <w:rsid w:val="00FD643B"/>
    <w:rsid w:val="00FD7099"/>
    <w:rsid w:val="00FD7356"/>
    <w:rsid w:val="00FE0414"/>
    <w:rsid w:val="00FE090E"/>
    <w:rsid w:val="00FE19C0"/>
    <w:rsid w:val="00FE29FC"/>
    <w:rsid w:val="00FE2C93"/>
    <w:rsid w:val="00FE3696"/>
    <w:rsid w:val="00FE3DAA"/>
    <w:rsid w:val="00FE40F0"/>
    <w:rsid w:val="00FE4A67"/>
    <w:rsid w:val="00FE5364"/>
    <w:rsid w:val="00FE53ED"/>
    <w:rsid w:val="00FE5404"/>
    <w:rsid w:val="00FE6589"/>
    <w:rsid w:val="00FE6965"/>
    <w:rsid w:val="00FE730B"/>
    <w:rsid w:val="00FE760E"/>
    <w:rsid w:val="00FF2685"/>
    <w:rsid w:val="00FF3217"/>
    <w:rsid w:val="00FF3DFB"/>
    <w:rsid w:val="00FF53DD"/>
    <w:rsid w:val="00FF585D"/>
    <w:rsid w:val="00FF622A"/>
    <w:rsid w:val="00FF66CC"/>
    <w:rsid w:val="00FF6BB1"/>
    <w:rsid w:val="00FF7420"/>
    <w:rsid w:val="00FF762B"/>
    <w:rsid w:val="00FF776E"/>
    <w:rsid w:val="0FA51744"/>
    <w:rsid w:val="1EC221DA"/>
    <w:rsid w:val="3CC2593E"/>
    <w:rsid w:val="5D383825"/>
    <w:rsid w:val="64AC2EF4"/>
    <w:rsid w:val="728D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4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35"/>
    <w:rPr>
      <w:rFonts w:eastAsia="黑体" w:asciiTheme="majorHAnsi" w:hAnsiTheme="majorHAnsi" w:cstheme="majorBidi"/>
      <w:sz w:val="20"/>
      <w:szCs w:val="20"/>
    </w:rPr>
  </w:style>
  <w:style w:type="paragraph" w:styleId="3">
    <w:name w:val="Body Text"/>
    <w:basedOn w:val="1"/>
    <w:link w:val="25"/>
    <w:semiHidden/>
    <w:unhideWhenUsed/>
    <w:qFormat/>
    <w:uiPriority w:val="99"/>
    <w:pPr>
      <w:spacing w:after="120"/>
    </w:pPr>
  </w:style>
  <w:style w:type="paragraph" w:styleId="4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styleId="8">
    <w:name w:val="Table Grid"/>
    <w:basedOn w:val="7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autoRedefine/>
    <w:unhideWhenUsed/>
    <w:qFormat/>
    <w:uiPriority w:val="99"/>
    <w:rPr>
      <w:color w:val="0000FF"/>
      <w:u w:val="single"/>
    </w:rPr>
  </w:style>
  <w:style w:type="character" w:customStyle="1" w:styleId="11">
    <w:name w:val="页眉 字符"/>
    <w:basedOn w:val="9"/>
    <w:link w:val="5"/>
    <w:autoRedefine/>
    <w:qFormat/>
    <w:uiPriority w:val="99"/>
    <w:rPr>
      <w:rFonts w:ascii="Times New Roman" w:hAnsi="Times New Roman" w:eastAsia="宋体"/>
      <w:sz w:val="18"/>
      <w:szCs w:val="18"/>
    </w:rPr>
  </w:style>
  <w:style w:type="character" w:customStyle="1" w:styleId="12">
    <w:name w:val="页脚 字符"/>
    <w:basedOn w:val="9"/>
    <w:link w:val="4"/>
    <w:autoRedefine/>
    <w:qFormat/>
    <w:uiPriority w:val="99"/>
    <w:rPr>
      <w:rFonts w:ascii="Times New Roman" w:hAnsi="Times New Roman" w:eastAsia="宋体"/>
      <w:sz w:val="18"/>
      <w:szCs w:val="18"/>
    </w:rPr>
  </w:style>
  <w:style w:type="table" w:customStyle="1" w:styleId="13">
    <w:name w:val="网格型16"/>
    <w:basedOn w:val="7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EndNote Bibliography Title"/>
    <w:basedOn w:val="1"/>
    <w:link w:val="15"/>
    <w:autoRedefine/>
    <w:qFormat/>
    <w:uiPriority w:val="0"/>
    <w:pPr>
      <w:jc w:val="center"/>
    </w:pPr>
    <w:rPr>
      <w:rFonts w:cs="Times New Roman"/>
    </w:rPr>
  </w:style>
  <w:style w:type="character" w:customStyle="1" w:styleId="15">
    <w:name w:val="EndNote Bibliography Title 字符"/>
    <w:basedOn w:val="9"/>
    <w:link w:val="14"/>
    <w:autoRedefine/>
    <w:qFormat/>
    <w:uiPriority w:val="0"/>
    <w:rPr>
      <w:rFonts w:ascii="Times New Roman" w:hAnsi="Times New Roman" w:eastAsia="宋体" w:cs="Times New Roman"/>
      <w:kern w:val="2"/>
      <w:sz w:val="24"/>
      <w:szCs w:val="22"/>
    </w:rPr>
  </w:style>
  <w:style w:type="paragraph" w:customStyle="1" w:styleId="16">
    <w:name w:val="EndNote Bibliography"/>
    <w:basedOn w:val="1"/>
    <w:link w:val="17"/>
    <w:autoRedefine/>
    <w:qFormat/>
    <w:uiPriority w:val="0"/>
    <w:rPr>
      <w:rFonts w:cs="Times New Roman"/>
    </w:rPr>
  </w:style>
  <w:style w:type="character" w:customStyle="1" w:styleId="17">
    <w:name w:val="EndNote Bibliography 字符"/>
    <w:basedOn w:val="9"/>
    <w:link w:val="16"/>
    <w:autoRedefine/>
    <w:qFormat/>
    <w:uiPriority w:val="0"/>
    <w:rPr>
      <w:rFonts w:ascii="Times New Roman" w:hAnsi="Times New Roman" w:eastAsia="宋体" w:cs="Times New Roman"/>
      <w:kern w:val="2"/>
      <w:sz w:val="24"/>
      <w:szCs w:val="22"/>
    </w:rPr>
  </w:style>
  <w:style w:type="paragraph" w:customStyle="1" w:styleId="18">
    <w:name w:val="修订1"/>
    <w:autoRedefine/>
    <w:hidden/>
    <w:semiHidden/>
    <w:qFormat/>
    <w:uiPriority w:val="99"/>
    <w:rPr>
      <w:rFonts w:ascii="Times New Roman" w:hAnsi="Times New Roman" w:eastAsia="宋体" w:cstheme="minorBidi"/>
      <w:kern w:val="2"/>
      <w:sz w:val="24"/>
      <w:szCs w:val="22"/>
      <w:lang w:val="en-US" w:eastAsia="zh-CN" w:bidi="ar-SA"/>
    </w:rPr>
  </w:style>
  <w:style w:type="character" w:customStyle="1" w:styleId="19">
    <w:name w:val="未处理的提及1"/>
    <w:basedOn w:val="9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0">
    <w:name w:val="Revision"/>
    <w:hidden/>
    <w:unhideWhenUsed/>
    <w:qFormat/>
    <w:uiPriority w:val="99"/>
    <w:rPr>
      <w:rFonts w:ascii="Times New Roman" w:hAnsi="Times New Roman" w:eastAsia="宋体" w:cstheme="minorBidi"/>
      <w:kern w:val="2"/>
      <w:sz w:val="24"/>
      <w:szCs w:val="22"/>
      <w:lang w:val="en-US" w:eastAsia="zh-CN" w:bidi="ar-SA"/>
    </w:rPr>
  </w:style>
  <w:style w:type="paragraph" w:customStyle="1" w:styleId="21">
    <w:name w:val="1论文正文"/>
    <w:basedOn w:val="1"/>
    <w:qFormat/>
    <w:uiPriority w:val="0"/>
    <w:pPr>
      <w:spacing w:line="360" w:lineRule="auto"/>
      <w:ind w:firstLine="723" w:firstLineChars="200"/>
    </w:pPr>
    <w:rPr>
      <w:rFonts w:cs="Times New Roman"/>
      <w:color w:val="000000"/>
      <w:szCs w:val="24"/>
    </w:rPr>
  </w:style>
  <w:style w:type="paragraph" w:customStyle="1" w:styleId="22">
    <w:name w:val="表标"/>
    <w:basedOn w:val="2"/>
    <w:next w:val="1"/>
    <w:qFormat/>
    <w:uiPriority w:val="0"/>
    <w:pPr>
      <w:spacing w:before="120" w:after="120" w:line="360" w:lineRule="auto"/>
      <w:jc w:val="center"/>
    </w:pPr>
    <w:rPr>
      <w:rFonts w:ascii="Times New Roman" w:hAnsi="Times New Roman" w:eastAsia="宋体"/>
      <w:sz w:val="21"/>
      <w:szCs w:val="21"/>
    </w:rPr>
  </w:style>
  <w:style w:type="paragraph" w:customStyle="1" w:styleId="23">
    <w:name w:val="表内字体"/>
    <w:basedOn w:val="3"/>
    <w:next w:val="3"/>
    <w:link w:val="24"/>
    <w:qFormat/>
    <w:uiPriority w:val="0"/>
    <w:pPr>
      <w:spacing w:after="0"/>
      <w:jc w:val="center"/>
    </w:pPr>
    <w:rPr>
      <w:sz w:val="21"/>
      <w:szCs w:val="21"/>
    </w:rPr>
  </w:style>
  <w:style w:type="character" w:customStyle="1" w:styleId="24">
    <w:name w:val="表内字体 字符"/>
    <w:basedOn w:val="9"/>
    <w:link w:val="23"/>
    <w:qFormat/>
    <w:uiPriority w:val="0"/>
    <w:rPr>
      <w:rFonts w:ascii="Times New Roman" w:hAnsi="Times New Roman" w:eastAsia="宋体"/>
      <w:kern w:val="2"/>
      <w:sz w:val="21"/>
      <w:szCs w:val="21"/>
    </w:rPr>
  </w:style>
  <w:style w:type="character" w:customStyle="1" w:styleId="25">
    <w:name w:val="正文文本 字符"/>
    <w:basedOn w:val="9"/>
    <w:link w:val="3"/>
    <w:semiHidden/>
    <w:qFormat/>
    <w:uiPriority w:val="99"/>
    <w:rPr>
      <w:rFonts w:ascii="Times New Roman" w:hAnsi="Times New Roman" w:eastAsia="宋体"/>
      <w:kern w:val="2"/>
      <w:sz w:val="24"/>
      <w:szCs w:val="22"/>
    </w:rPr>
  </w:style>
  <w:style w:type="character" w:customStyle="1" w:styleId="26">
    <w:name w:val="未处理的提及2"/>
    <w:basedOn w:val="9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7">
    <w:name w:val="P1_with_Indendation"/>
    <w:basedOn w:val="1"/>
    <w:link w:val="28"/>
    <w:qFormat/>
    <w:uiPriority w:val="0"/>
    <w:pPr>
      <w:widowControl/>
      <w:spacing w:line="230" w:lineRule="exact"/>
      <w:ind w:firstLine="284"/>
    </w:pPr>
    <w:rPr>
      <w:rFonts w:cs="Times New Roman"/>
      <w:kern w:val="0"/>
      <w:sz w:val="18"/>
      <w:szCs w:val="24"/>
      <w:lang w:val="en-GB" w:eastAsia="ja-JP"/>
    </w:rPr>
  </w:style>
  <w:style w:type="character" w:customStyle="1" w:styleId="28">
    <w:name w:val="P1_with_Indendation 字符"/>
    <w:link w:val="27"/>
    <w:qFormat/>
    <w:uiPriority w:val="0"/>
    <w:rPr>
      <w:rFonts w:ascii="Times New Roman" w:hAnsi="Times New Roman" w:eastAsia="宋体" w:cs="Times New Roman"/>
      <w:sz w:val="18"/>
      <w:szCs w:val="24"/>
      <w:lang w:val="en-GB" w:eastAsia="ja-JP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wmf"/><Relationship Id="rId8" Type="http://schemas.openxmlformats.org/officeDocument/2006/relationships/oleObject" Target="embeddings/oleObject2.bin"/><Relationship Id="rId7" Type="http://schemas.openxmlformats.org/officeDocument/2006/relationships/image" Target="media/image1.w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1" Type="http://schemas.openxmlformats.org/officeDocument/2006/relationships/fontTable" Target="fontTable.xml"/><Relationship Id="rId30" Type="http://schemas.openxmlformats.org/officeDocument/2006/relationships/customXml" Target="../customXml/item1.xml"/><Relationship Id="rId3" Type="http://schemas.openxmlformats.org/officeDocument/2006/relationships/footer" Target="footer1.xml"/><Relationship Id="rId29" Type="http://schemas.openxmlformats.org/officeDocument/2006/relationships/image" Target="media/image19.png"/><Relationship Id="rId28" Type="http://schemas.openxmlformats.org/officeDocument/2006/relationships/image" Target="media/image18.pn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png"/><Relationship Id="rId24" Type="http://schemas.openxmlformats.org/officeDocument/2006/relationships/image" Target="media/image14.png"/><Relationship Id="rId23" Type="http://schemas.openxmlformats.org/officeDocument/2006/relationships/image" Target="media/image13.emf"/><Relationship Id="rId22" Type="http://schemas.openxmlformats.org/officeDocument/2006/relationships/image" Target="media/image12.png"/><Relationship Id="rId21" Type="http://schemas.openxmlformats.org/officeDocument/2006/relationships/image" Target="media/image11.emf"/><Relationship Id="rId20" Type="http://schemas.openxmlformats.org/officeDocument/2006/relationships/image" Target="media/image10.emf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emf"/><Relationship Id="rId16" Type="http://schemas.openxmlformats.org/officeDocument/2006/relationships/image" Target="media/image6.png"/><Relationship Id="rId15" Type="http://schemas.openxmlformats.org/officeDocument/2006/relationships/image" Target="media/image5.wmf"/><Relationship Id="rId14" Type="http://schemas.openxmlformats.org/officeDocument/2006/relationships/oleObject" Target="embeddings/oleObject5.bin"/><Relationship Id="rId13" Type="http://schemas.openxmlformats.org/officeDocument/2006/relationships/image" Target="media/image4.wmf"/><Relationship Id="rId12" Type="http://schemas.openxmlformats.org/officeDocument/2006/relationships/oleObject" Target="embeddings/oleObject4.bin"/><Relationship Id="rId11" Type="http://schemas.openxmlformats.org/officeDocument/2006/relationships/image" Target="media/image3.wmf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DEB39-C4A4-491F-8C32-F2FDDE97F6B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34</Pages>
  <Words>615</Words>
  <Characters>3143</Characters>
  <Lines>3033</Lines>
  <Paragraphs>2624</Paragraphs>
  <TotalTime>17</TotalTime>
  <ScaleCrop>false</ScaleCrop>
  <LinksUpToDate>false</LinksUpToDate>
  <CharactersWithSpaces>3745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2026-07-24T01:37:00Z</dcterms:created>
  <dc:creator>Administrator</dc:creator>
  <cp:lastModifiedBy>乔晓艳</cp:lastModifiedBy>
  <dcterms:modified xsi:type="dcterms:W3CDTF">2026-08-31T07:36:09Z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5788ec3e056ea3305b99bb3a05849fae5f02ac48e6cfbd6080c3e7d79be6d43e</vt:lpwstr>
  </property>
  <property fmtid="{D5CDD505-2E9C-101B-9397-08002B2CF9AE}" pid="3" name="KSOProductBuildVer">
    <vt:lpwstr>2052-12.1.0.28043</vt:lpwstr>
  </property>
  <property fmtid="{D5CDD505-2E9C-101B-9397-08002B2CF9AE}" pid="4" name="ICV">
    <vt:lpwstr>FACCE391FB1F4382B476769563FB1014_12</vt:lpwstr>
  </property>
  <property fmtid="{D5CDD505-2E9C-101B-9397-08002B2CF9AE}" pid="5" name="KSOTemplateDocerSaveRecord">
    <vt:lpwstr>eyJoZGlkIjoiMzEwNTM5NzYwMDRjMzkwZTVkZjY2ODkwMGIxNGU0OTUiLCJ1c2VySWQiOiIxNzcxMzU1Mzk4In0=</vt:lpwstr>
  </property>
</Properties>
</file>