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416BE" w14:textId="3ABCCF6A" w:rsidR="00536E8D" w:rsidRDefault="00B21C59">
      <w:pPr>
        <w:pStyle w:val="a3"/>
        <w:spacing w:line="360" w:lineRule="auto"/>
        <w:jc w:val="both"/>
        <w:rPr>
          <w:rFonts w:ascii="Times New Roman" w:hAnsi="Times New Roman" w:cs="Times New Roman"/>
          <w:szCs w:val="21"/>
          <w:highlight w:val="yellow"/>
        </w:rPr>
      </w:pPr>
      <w:r>
        <w:rPr>
          <w:rFonts w:ascii="Times New Roman" w:hAnsi="Times New Roman" w:cs="Times New Roman"/>
          <w:b/>
          <w:bCs/>
          <w:sz w:val="24"/>
          <w:szCs w:val="24"/>
        </w:rPr>
        <w:t>Table S</w:t>
      </w:r>
      <w:r>
        <w:rPr>
          <w:rFonts w:ascii="Times New Roman" w:hAnsi="Times New Roman" w:cs="Times New Roman" w:hint="eastAsia"/>
          <w:b/>
          <w:bCs/>
          <w:sz w:val="24"/>
          <w:szCs w:val="24"/>
          <w:lang w:val="en-US" w:eastAsia="zh-CN"/>
        </w:rPr>
        <w:t>1</w:t>
      </w:r>
      <w:r>
        <w:rPr>
          <w:rFonts w:ascii="Times New Roman" w:hAnsi="Times New Roman" w:cs="Times New Roman"/>
          <w:b/>
          <w:bCs/>
          <w:sz w:val="24"/>
          <w:szCs w:val="24"/>
        </w:rPr>
        <w:t xml:space="preserve">. The comparison of the </w:t>
      </w:r>
      <w:r>
        <w:rPr>
          <w:rFonts w:ascii="Times New Roman" w:hAnsi="Times New Roman" w:cs="Times New Roman" w:hint="eastAsia"/>
          <w:b/>
          <w:bCs/>
          <w:sz w:val="24"/>
          <w:szCs w:val="24"/>
        </w:rPr>
        <w:t xml:space="preserve">cycle </w:t>
      </w:r>
      <w:r>
        <w:rPr>
          <w:rFonts w:ascii="Times New Roman" w:hAnsi="Times New Roman" w:cs="Times New Roman"/>
          <w:b/>
          <w:bCs/>
          <w:sz w:val="24"/>
          <w:szCs w:val="24"/>
        </w:rPr>
        <w:t>performance under the different stabilization strategies</w:t>
      </w:r>
    </w:p>
    <w:tbl>
      <w:tblPr>
        <w:tblStyle w:val="a9"/>
        <w:tblW w:w="5000" w:type="pct"/>
        <w:jc w:val="center"/>
        <w:tblLook w:val="04A0" w:firstRow="1" w:lastRow="0" w:firstColumn="1" w:lastColumn="0" w:noHBand="0" w:noVBand="1"/>
      </w:tblPr>
      <w:tblGrid>
        <w:gridCol w:w="1872"/>
        <w:gridCol w:w="1541"/>
        <w:gridCol w:w="1008"/>
        <w:gridCol w:w="986"/>
        <w:gridCol w:w="2302"/>
        <w:gridCol w:w="597"/>
      </w:tblGrid>
      <w:tr w:rsidR="00536E8D" w14:paraId="718F458A" w14:textId="77777777" w:rsidTr="00D02DF7">
        <w:trPr>
          <w:trHeight w:val="1438"/>
          <w:jc w:val="center"/>
        </w:trPr>
        <w:tc>
          <w:tcPr>
            <w:tcW w:w="1131" w:type="pct"/>
            <w:tcBorders>
              <w:top w:val="single" w:sz="12" w:space="0" w:color="000000"/>
              <w:left w:val="nil"/>
              <w:bottom w:val="single" w:sz="4" w:space="0" w:color="000000"/>
              <w:right w:val="nil"/>
              <w:tl2br w:val="nil"/>
            </w:tcBorders>
            <w:shd w:val="clear" w:color="auto" w:fill="FFFFFF"/>
            <w:vAlign w:val="center"/>
          </w:tcPr>
          <w:p w14:paraId="7DB9726D"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hint="eastAsia"/>
                <w:color w:val="000000"/>
                <w:kern w:val="0"/>
                <w:szCs w:val="21"/>
                <w:lang w:bidi="ar"/>
              </w:rPr>
              <w:t>S</w:t>
            </w:r>
            <w:r>
              <w:rPr>
                <w:rFonts w:ascii="Times New Roman" w:eastAsia="等线" w:hAnsi="Times New Roman" w:cs="Times New Roman"/>
                <w:color w:val="000000"/>
                <w:kern w:val="0"/>
                <w:szCs w:val="21"/>
                <w:lang w:bidi="ar"/>
              </w:rPr>
              <w:t>tabilization strategies</w:t>
            </w:r>
          </w:p>
        </w:tc>
        <w:tc>
          <w:tcPr>
            <w:tcW w:w="932" w:type="pct"/>
            <w:tcBorders>
              <w:top w:val="single" w:sz="12" w:space="0" w:color="000000"/>
              <w:left w:val="nil"/>
              <w:bottom w:val="single" w:sz="4" w:space="0" w:color="000000"/>
              <w:right w:val="nil"/>
            </w:tcBorders>
            <w:shd w:val="clear" w:color="auto" w:fill="FFFFFF"/>
            <w:vAlign w:val="center"/>
          </w:tcPr>
          <w:p w14:paraId="4E67C605"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Materials</w:t>
            </w:r>
          </w:p>
        </w:tc>
        <w:tc>
          <w:tcPr>
            <w:tcW w:w="611" w:type="pct"/>
            <w:tcBorders>
              <w:top w:val="single" w:sz="12" w:space="0" w:color="000000"/>
              <w:left w:val="nil"/>
              <w:bottom w:val="single" w:sz="4" w:space="0" w:color="000000"/>
              <w:right w:val="nil"/>
            </w:tcBorders>
            <w:shd w:val="clear" w:color="auto" w:fill="FFFFFF"/>
            <w:vAlign w:val="center"/>
          </w:tcPr>
          <w:p w14:paraId="7E24828F"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Current density</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(mA cm</w:t>
            </w:r>
            <w:r>
              <w:rPr>
                <w:rFonts w:ascii="Times New Roman" w:eastAsia="等线" w:hAnsi="Times New Roman" w:cs="Times New Roman"/>
                <w:color w:val="000000"/>
                <w:kern w:val="0"/>
                <w:szCs w:val="21"/>
                <w:vertAlign w:val="superscript"/>
                <w:lang w:bidi="ar"/>
              </w:rPr>
              <w:t>-2</w:t>
            </w:r>
            <w:r>
              <w:rPr>
                <w:rFonts w:ascii="Times New Roman" w:eastAsia="等线" w:hAnsi="Times New Roman" w:cs="Times New Roman"/>
                <w:color w:val="000000"/>
                <w:kern w:val="0"/>
                <w:szCs w:val="21"/>
                <w:lang w:bidi="ar"/>
              </w:rPr>
              <w:t>)</w:t>
            </w:r>
          </w:p>
        </w:tc>
        <w:tc>
          <w:tcPr>
            <w:tcW w:w="573" w:type="pct"/>
            <w:tcBorders>
              <w:top w:val="single" w:sz="12" w:space="0" w:color="000000"/>
              <w:left w:val="nil"/>
              <w:bottom w:val="single" w:sz="4" w:space="0" w:color="000000"/>
              <w:right w:val="nil"/>
            </w:tcBorders>
            <w:shd w:val="clear" w:color="auto" w:fill="FFFFFF"/>
            <w:vAlign w:val="center"/>
          </w:tcPr>
          <w:p w14:paraId="59B1927F"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Lifespan</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(h)</w:t>
            </w:r>
          </w:p>
        </w:tc>
        <w:tc>
          <w:tcPr>
            <w:tcW w:w="1390" w:type="pct"/>
            <w:tcBorders>
              <w:top w:val="single" w:sz="12" w:space="0" w:color="000000"/>
              <w:left w:val="nil"/>
              <w:bottom w:val="single" w:sz="4" w:space="0" w:color="000000"/>
              <w:right w:val="nil"/>
            </w:tcBorders>
            <w:shd w:val="clear" w:color="auto" w:fill="FFFFFF"/>
            <w:vAlign w:val="center"/>
          </w:tcPr>
          <w:p w14:paraId="0C4DF75E"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Journal, Year</w:t>
            </w:r>
          </w:p>
        </w:tc>
        <w:tc>
          <w:tcPr>
            <w:tcW w:w="364" w:type="pct"/>
            <w:tcBorders>
              <w:top w:val="single" w:sz="12" w:space="0" w:color="000000"/>
              <w:left w:val="nil"/>
              <w:bottom w:val="single" w:sz="4" w:space="0" w:color="000000"/>
              <w:right w:val="nil"/>
            </w:tcBorders>
            <w:shd w:val="clear" w:color="auto" w:fill="FFFFFF"/>
            <w:vAlign w:val="center"/>
          </w:tcPr>
          <w:p w14:paraId="261793D6"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Ref</w:t>
            </w:r>
          </w:p>
        </w:tc>
      </w:tr>
      <w:tr w:rsidR="00536E8D" w14:paraId="788446CF" w14:textId="77777777" w:rsidTr="00D02DF7">
        <w:trPr>
          <w:trHeight w:val="514"/>
          <w:jc w:val="center"/>
        </w:trPr>
        <w:tc>
          <w:tcPr>
            <w:tcW w:w="1131" w:type="pct"/>
            <w:vMerge w:val="restart"/>
            <w:tcBorders>
              <w:top w:val="single" w:sz="4" w:space="0" w:color="000000"/>
              <w:left w:val="nil"/>
              <w:bottom w:val="nil"/>
              <w:right w:val="nil"/>
            </w:tcBorders>
            <w:shd w:val="clear" w:color="auto" w:fill="FFFFFF"/>
            <w:vAlign w:val="center"/>
          </w:tcPr>
          <w:p w14:paraId="206BC64E" w14:textId="77777777" w:rsidR="00536E8D" w:rsidRDefault="00536E8D">
            <w:pPr>
              <w:jc w:val="center"/>
              <w:rPr>
                <w:rFonts w:ascii="Times New Roman" w:hAnsi="Times New Roman" w:cs="Times New Roman"/>
                <w:color w:val="000000"/>
                <w:szCs w:val="21"/>
              </w:rPr>
            </w:pPr>
          </w:p>
          <w:p w14:paraId="61A36BE3"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00"/>
                <w:szCs w:val="21"/>
              </w:rPr>
              <w:t>Artificial SEI layer</w:t>
            </w:r>
          </w:p>
        </w:tc>
        <w:tc>
          <w:tcPr>
            <w:tcW w:w="932" w:type="pct"/>
            <w:tcBorders>
              <w:top w:val="single" w:sz="4" w:space="0" w:color="000000"/>
              <w:left w:val="nil"/>
              <w:bottom w:val="nil"/>
              <w:right w:val="nil"/>
            </w:tcBorders>
            <w:shd w:val="clear" w:color="auto" w:fill="FFFFFF"/>
            <w:vAlign w:val="center"/>
          </w:tcPr>
          <w:p w14:paraId="556EBD3A"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DCZ-gel</w:t>
            </w:r>
          </w:p>
        </w:tc>
        <w:tc>
          <w:tcPr>
            <w:tcW w:w="611" w:type="pct"/>
            <w:tcBorders>
              <w:top w:val="single" w:sz="4" w:space="0" w:color="000000"/>
              <w:left w:val="nil"/>
              <w:bottom w:val="nil"/>
              <w:right w:val="nil"/>
            </w:tcBorders>
            <w:shd w:val="clear" w:color="auto" w:fill="FFFFFF"/>
            <w:vAlign w:val="center"/>
          </w:tcPr>
          <w:p w14:paraId="145E4B2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single" w:sz="4" w:space="0" w:color="000000"/>
              <w:left w:val="nil"/>
              <w:bottom w:val="nil"/>
              <w:right w:val="nil"/>
            </w:tcBorders>
            <w:shd w:val="clear" w:color="auto" w:fill="FFFFFF"/>
            <w:vAlign w:val="center"/>
          </w:tcPr>
          <w:p w14:paraId="00755B3B"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2500</w:t>
            </w:r>
          </w:p>
        </w:tc>
        <w:tc>
          <w:tcPr>
            <w:tcW w:w="1390" w:type="pct"/>
            <w:tcBorders>
              <w:top w:val="single" w:sz="4" w:space="0" w:color="000000"/>
              <w:left w:val="nil"/>
              <w:bottom w:val="nil"/>
              <w:right w:val="nil"/>
            </w:tcBorders>
            <w:shd w:val="clear" w:color="auto" w:fill="FFFFFF"/>
            <w:vAlign w:val="center"/>
          </w:tcPr>
          <w:p w14:paraId="31398DE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Nano</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Micro Lett</w:t>
            </w:r>
            <w:r>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2024</w:t>
            </w:r>
          </w:p>
        </w:tc>
        <w:tc>
          <w:tcPr>
            <w:tcW w:w="364" w:type="pct"/>
            <w:tcBorders>
              <w:top w:val="single" w:sz="4" w:space="0" w:color="000000"/>
              <w:left w:val="nil"/>
              <w:bottom w:val="nil"/>
              <w:right w:val="nil"/>
            </w:tcBorders>
            <w:shd w:val="clear" w:color="auto" w:fill="FFFFFF"/>
            <w:vAlign w:val="center"/>
          </w:tcPr>
          <w:p w14:paraId="08066603"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&lt;EndNote&gt;&lt;Cite&gt;&lt;Author&gt;Zhang&lt;/Author&gt;&lt;Year&gt;2024&lt;/Year&gt;&lt;RecNum&gt;2&lt;/RecNum&gt;&lt;DisplayText&gt;&lt;style face="superscript"&gt;[1]&lt;/style&gt;&lt;/DisplayText&gt;&lt;record&gt;&lt;rec-number&gt;2&lt;/rec-number&gt;&lt;foreign-keys&gt;&lt;key app="EN" db-id="rzr9af2pcv5e5fevvff5pwf0pa2aa90rt5w9" timestamp="1750760857"&gt;2&lt;/key&gt;&lt;/foreign-keys&gt;&lt;ref-type name="Journal Article"&gt;17&lt;/ref-type&gt;&lt;contributors&gt;&lt;authors&gt;&lt;author&gt;Zhang, Haodong&lt;/author&gt;&lt;author&gt;Gan, Xiaotang&lt;/author&gt;&lt;author&gt;Yan, Yuyang&lt;/author&gt;&lt;author&gt;Zhou, Jinping&lt;/author&gt;&lt;/authors&gt;&lt;/contributors&gt;&lt;titles&gt;&lt;title&gt;A Sustainable Dual Cross-Linked Cellulose Hydrogel Electrolyte for High-Performance Zinc-Metal Batteries&lt;/title&gt;&lt;secondary-title&gt;Nano-Micro Letters&lt;/secondary-title&gt;&lt;/titles&gt;&lt;periodical&gt;&lt;full-title&gt;Nano-Micro Letters&lt;/full-title&gt;&lt;/periodical&gt;&lt;pages&gt;106&lt;/pages&gt;&lt;volume&gt;16&lt;/volume&gt;&lt;number&gt;1&lt;/number&gt;&lt;dates&gt;&lt;year&gt;2024&lt;/year&gt;&lt;pub-dates&gt;&lt;date&gt;2024/02/02&lt;/date&gt;&lt;/pub-dates&gt;&lt;/dates&gt;&lt;isbn&gt;2150-5551&lt;/isbn&gt;&lt;urls&gt;&lt;related-urls&gt;&lt;url&gt;https://doi.org/10.1007/s40820-024-01329-0&lt;/url&gt;&lt;/related-urls&gt;&lt;/urls&gt;&lt;electronic-resource-num&gt;10.1007/s40820-024-01329-0&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w:t>
            </w:r>
            <w:r>
              <w:rPr>
                <w:rFonts w:ascii="Times New Roman" w:hAnsi="Times New Roman" w:cs="Times New Roman"/>
                <w:color w:val="0000FF"/>
                <w:szCs w:val="21"/>
              </w:rPr>
              <w:fldChar w:fldCharType="end"/>
            </w:r>
          </w:p>
        </w:tc>
      </w:tr>
      <w:tr w:rsidR="00536E8D" w14:paraId="18BF7596" w14:textId="77777777" w:rsidTr="00D02DF7">
        <w:trPr>
          <w:trHeight w:val="673"/>
          <w:jc w:val="center"/>
        </w:trPr>
        <w:tc>
          <w:tcPr>
            <w:tcW w:w="1131" w:type="pct"/>
            <w:vMerge/>
            <w:tcBorders>
              <w:top w:val="nil"/>
              <w:left w:val="nil"/>
              <w:bottom w:val="nil"/>
              <w:right w:val="nil"/>
            </w:tcBorders>
            <w:shd w:val="clear" w:color="auto" w:fill="FFFFFF"/>
            <w:vAlign w:val="center"/>
          </w:tcPr>
          <w:p w14:paraId="059D60DC"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0199982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Oriented-Protection</w:t>
            </w:r>
          </w:p>
        </w:tc>
        <w:tc>
          <w:tcPr>
            <w:tcW w:w="611" w:type="pct"/>
            <w:tcBorders>
              <w:top w:val="nil"/>
              <w:left w:val="nil"/>
              <w:bottom w:val="nil"/>
              <w:right w:val="nil"/>
            </w:tcBorders>
            <w:shd w:val="clear" w:color="auto" w:fill="FFFFFF"/>
            <w:vAlign w:val="center"/>
          </w:tcPr>
          <w:p w14:paraId="7C6E43B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2D299F60"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2000</w:t>
            </w:r>
          </w:p>
        </w:tc>
        <w:tc>
          <w:tcPr>
            <w:tcW w:w="1390" w:type="pct"/>
            <w:tcBorders>
              <w:top w:val="nil"/>
              <w:left w:val="nil"/>
              <w:bottom w:val="nil"/>
              <w:right w:val="nil"/>
            </w:tcBorders>
            <w:shd w:val="clear" w:color="auto" w:fill="FFFFFF"/>
            <w:vAlign w:val="center"/>
          </w:tcPr>
          <w:p w14:paraId="30D3F2AE" w14:textId="77777777"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hint="eastAsia"/>
                <w:color w:val="000000"/>
                <w:kern w:val="0"/>
                <w:szCs w:val="21"/>
                <w:lang w:bidi="ar"/>
              </w:rPr>
              <w:t>Nat.Commun</w:t>
            </w:r>
            <w:proofErr w:type="spellEnd"/>
            <w:r>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2020</w:t>
            </w:r>
          </w:p>
        </w:tc>
        <w:tc>
          <w:tcPr>
            <w:tcW w:w="364" w:type="pct"/>
            <w:tcBorders>
              <w:top w:val="nil"/>
              <w:left w:val="nil"/>
              <w:bottom w:val="nil"/>
              <w:right w:val="nil"/>
            </w:tcBorders>
            <w:shd w:val="clear" w:color="auto" w:fill="FFFFFF"/>
            <w:vAlign w:val="center"/>
          </w:tcPr>
          <w:p w14:paraId="4E11B7A8"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&lt;EndNote&gt;&lt;Cite&gt;&lt;Author&gt;Zhang&lt;/Author&gt;&lt;Year&gt;2020&lt;/Year&gt;&lt;RecNum&gt;9&lt;/RecNum&gt;&lt;DisplayText&gt;&lt;style face="superscript"&gt;[2]&lt;/style&gt;&lt;/DisplayText&gt;&lt;record&gt;&lt;rec-number&gt;9&lt;/rec-number&gt;&lt;foreign-keys&gt;&lt;key app="EN" db-id="9rsfdxzandzf9le2rs7pswdy5t2xa9x2eadd" timestamp="1750760532"&gt;9&lt;/key&gt;&lt;/foreign-keys&gt;&lt;ref-type name="Journal Article"&gt;17&lt;/ref-type&gt;&lt;contributors&gt;&lt;authors&gt;&lt;author&gt;Zhang, Qi&lt;/author&gt;&lt;author&gt;Luan, Jingyi&lt;/author&gt;&lt;author&gt;Huang, Xiaobing&lt;/author&gt;&lt;author&gt;Wang, Qi&lt;/author&gt;&lt;author&gt;Sun, Dan&lt;/author&gt;&lt;author&gt;Tang, Yougen&lt;/author&gt;&lt;author&gt;Ji, Xiaobo&lt;/author&gt;&lt;author&gt;Wang, Haiyan&lt;/author&gt;&lt;/authors&gt;&lt;/contributors&gt;&lt;titles&gt;&lt;title&gt;Revealing the role of crystal orientation of protective layers for stable zinc anode&lt;/title&gt;&lt;secondary-title&gt;Nature Communications&lt;/secondary-title&gt;&lt;/titles&gt;&lt;periodical&gt;&lt;full-title&gt;Nature Communications&lt;/full-title&gt;&lt;/periodical&gt;&lt;pages&gt;3961&lt;/pages&gt;&lt;volume&gt;11&lt;/volume&gt;&lt;number&gt;1&lt;/number&gt;&lt;dates&gt;&lt;year&gt;2020&lt;/year&gt;&lt;pub-dates&gt;&lt;date&gt;2020/08/07&lt;/date&gt;&lt;/pub-dates&gt;&lt;/dates&gt;&lt;isbn&gt;2041-1723&lt;/isbn&gt;&lt;urls&gt;&lt;related-urls&gt;&lt;url&gt;https://doi.org/10.1038/s41467-020-17752-x&lt;/url&gt;&lt;/related-urls&gt;&lt;/urls&gt;&lt;electronic-resource-num&gt;10.1038/s41467-020-17752-x&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w:t>
            </w:r>
            <w:r>
              <w:rPr>
                <w:rFonts w:ascii="Times New Roman" w:hAnsi="Times New Roman" w:cs="Times New Roman"/>
                <w:color w:val="0000FF"/>
                <w:szCs w:val="21"/>
              </w:rPr>
              <w:fldChar w:fldCharType="end"/>
            </w:r>
          </w:p>
        </w:tc>
      </w:tr>
      <w:tr w:rsidR="00536E8D" w14:paraId="0B2EDE63" w14:textId="77777777" w:rsidTr="00D02DF7">
        <w:trPr>
          <w:trHeight w:val="673"/>
          <w:jc w:val="center"/>
        </w:trPr>
        <w:tc>
          <w:tcPr>
            <w:tcW w:w="1131" w:type="pct"/>
            <w:vMerge/>
            <w:tcBorders>
              <w:top w:val="nil"/>
              <w:left w:val="nil"/>
              <w:bottom w:val="nil"/>
              <w:right w:val="nil"/>
            </w:tcBorders>
            <w:shd w:val="clear" w:color="auto" w:fill="FFFFFF"/>
            <w:vAlign w:val="center"/>
          </w:tcPr>
          <w:p w14:paraId="040EAEE6"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425851E5"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Brightener-Zn</w:t>
            </w:r>
          </w:p>
        </w:tc>
        <w:tc>
          <w:tcPr>
            <w:tcW w:w="611" w:type="pct"/>
            <w:tcBorders>
              <w:top w:val="nil"/>
              <w:left w:val="nil"/>
              <w:bottom w:val="nil"/>
              <w:right w:val="nil"/>
            </w:tcBorders>
            <w:shd w:val="clear" w:color="auto" w:fill="FFFFFF"/>
            <w:vAlign w:val="center"/>
          </w:tcPr>
          <w:p w14:paraId="514A9BB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3644163E"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3600</w:t>
            </w:r>
          </w:p>
        </w:tc>
        <w:tc>
          <w:tcPr>
            <w:tcW w:w="1390" w:type="pct"/>
            <w:tcBorders>
              <w:top w:val="nil"/>
              <w:left w:val="nil"/>
              <w:bottom w:val="nil"/>
              <w:right w:val="nil"/>
            </w:tcBorders>
            <w:shd w:val="clear" w:color="auto" w:fill="FFFFFF"/>
            <w:vAlign w:val="center"/>
          </w:tcPr>
          <w:p w14:paraId="6D1617C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hint="eastAsia"/>
                <w:color w:val="000000"/>
                <w:kern w:val="0"/>
                <w:szCs w:val="21"/>
                <w:lang w:bidi="ar"/>
              </w:rPr>
              <w:t>Energy Environ. Sci.</w:t>
            </w:r>
            <w:r>
              <w:rPr>
                <w:rFonts w:ascii="Times New Roman" w:eastAsia="等线" w:hAnsi="Times New Roman" w:cs="Times New Roman"/>
                <w:color w:val="000000"/>
                <w:kern w:val="0"/>
                <w:szCs w:val="21"/>
                <w:lang w:bidi="ar"/>
              </w:rPr>
              <w:t>, 2019</w:t>
            </w:r>
          </w:p>
        </w:tc>
        <w:tc>
          <w:tcPr>
            <w:tcW w:w="364" w:type="pct"/>
            <w:tcBorders>
              <w:top w:val="nil"/>
              <w:left w:val="nil"/>
              <w:bottom w:val="nil"/>
              <w:right w:val="nil"/>
            </w:tcBorders>
            <w:shd w:val="clear" w:color="auto" w:fill="FFFFFF"/>
            <w:vAlign w:val="center"/>
          </w:tcPr>
          <w:p w14:paraId="039BCDB2"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&lt;EndNote&gt;&lt;Cite&gt;&lt;Author&gt;Zhao&lt;/Author&gt;&lt;Year&gt;2019&lt;/Year&gt;&lt;RecNum&gt;3&lt;/RecNum&gt;&lt;DisplayText&gt;&lt;style face="superscript"&gt;[3]&lt;/style&gt;&lt;/DisplayText&gt;&lt;record&gt;&lt;rec-number&gt;3&lt;/rec-number&gt;&lt;foreign-keys&gt;&lt;key app="EN" db-id="d9vt00wrq2fazneaxvmp500zv9wrw22vpfef" timestamp="1750756980"&gt;3&lt;/key&gt;&lt;/foreign-keys&gt;&lt;ref-type name="Journal Article"&gt;17&lt;/ref-type&gt;&lt;contributors&gt;&lt;authors&gt;&lt;author&gt;Zhao, Zhiming&lt;/author&gt;&lt;author&gt;Zhao, Jingwen&lt;/author&gt;&lt;author&gt;Hu, Zhenglin&lt;/author&gt;&lt;author&gt;Li, Jiedong&lt;/author&gt;&lt;author&gt;Li, Jiajia&lt;/author&gt;&lt;author&gt;Zhang, Yaojian&lt;/author&gt;&lt;author&gt;Wang, Cheng&lt;/author&gt;&lt;author&gt;Cui, Guanglei&lt;/author&gt;&lt;/authors&gt;&lt;/contributors&gt;&lt;titles&gt;&lt;title&gt;Long-life and deeply rechargeable aqueous Zn anodes enabled by a multifunctional brightener-inspired interphase</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&lt;/title&gt;&lt;secondary-title&gt;Energy &amp;amp; Environmental Science&lt;/secondary-title&gt;&lt;/titles&gt;&lt;periodical&gt;&lt;full-title&gt;Energy &amp;amp; Environmental Science&lt;/full-title&gt;&lt;/periodical&gt;&lt;pages&gt;1938-1949&lt;/pages&gt;&lt;volume&gt;12&lt;/volume&gt;&lt;number&gt;1&lt;/number&gt;&lt;dates&gt;&lt;year&gt;2019&lt;/year&gt;&lt;pub-dates&gt;&lt;date&gt;2019/04/24&lt;/date&gt;&lt;/pub-dates&gt;&lt;/dates&gt;&lt;urls&gt;&lt;related-urls&gt;&lt;url&gt;http://dx.doi.org/10.1039/c9ee00596j&lt;/url&gt;&lt;/related-urls&gt;&lt;/urls&gt;&lt;electronic-resource-num&gt;10.1039/c9ee00596j&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w:t>
            </w:r>
            <w:r>
              <w:rPr>
                <w:rFonts w:ascii="Times New Roman" w:hAnsi="Times New Roman" w:cs="Times New Roman"/>
                <w:color w:val="0000FF"/>
                <w:szCs w:val="21"/>
              </w:rPr>
              <w:fldChar w:fldCharType="end"/>
            </w:r>
          </w:p>
        </w:tc>
      </w:tr>
      <w:tr w:rsidR="00536E8D" w14:paraId="16136D7B" w14:textId="77777777" w:rsidTr="00D02DF7">
        <w:trPr>
          <w:trHeight w:val="673"/>
          <w:jc w:val="center"/>
        </w:trPr>
        <w:tc>
          <w:tcPr>
            <w:tcW w:w="1131" w:type="pct"/>
            <w:vMerge/>
            <w:tcBorders>
              <w:top w:val="nil"/>
              <w:left w:val="nil"/>
              <w:bottom w:val="nil"/>
              <w:right w:val="nil"/>
            </w:tcBorders>
            <w:shd w:val="clear" w:color="auto" w:fill="FFFFFF"/>
            <w:vAlign w:val="center"/>
          </w:tcPr>
          <w:p w14:paraId="201642B3"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1109927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PG-SEI</w:t>
            </w:r>
          </w:p>
        </w:tc>
        <w:tc>
          <w:tcPr>
            <w:tcW w:w="611" w:type="pct"/>
            <w:tcBorders>
              <w:top w:val="nil"/>
              <w:left w:val="nil"/>
              <w:bottom w:val="nil"/>
              <w:right w:val="nil"/>
            </w:tcBorders>
            <w:shd w:val="clear" w:color="auto" w:fill="FFFFFF"/>
            <w:vAlign w:val="center"/>
          </w:tcPr>
          <w:p w14:paraId="3745877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016BF4E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1000</w:t>
            </w:r>
          </w:p>
        </w:tc>
        <w:tc>
          <w:tcPr>
            <w:tcW w:w="1390" w:type="pct"/>
            <w:tcBorders>
              <w:top w:val="nil"/>
              <w:left w:val="nil"/>
              <w:bottom w:val="nil"/>
              <w:right w:val="nil"/>
            </w:tcBorders>
            <w:shd w:val="clear" w:color="auto" w:fill="FFFFFF"/>
            <w:vAlign w:val="center"/>
          </w:tcPr>
          <w:p w14:paraId="259FB6C9"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hint="eastAsia"/>
                <w:color w:val="000000"/>
                <w:kern w:val="0"/>
                <w:szCs w:val="21"/>
                <w:lang w:bidi="ar"/>
              </w:rPr>
              <w:t>J. Energy Chem.</w:t>
            </w:r>
            <w:r>
              <w:rPr>
                <w:rFonts w:ascii="Times New Roman" w:eastAsia="等线" w:hAnsi="Times New Roman" w:cs="Times New Roman"/>
                <w:color w:val="000000"/>
                <w:kern w:val="0"/>
                <w:szCs w:val="21"/>
                <w:lang w:bidi="ar"/>
              </w:rPr>
              <w:t>, 2023</w:t>
            </w:r>
          </w:p>
        </w:tc>
        <w:tc>
          <w:tcPr>
            <w:tcW w:w="364" w:type="pct"/>
            <w:tcBorders>
              <w:top w:val="nil"/>
              <w:left w:val="nil"/>
              <w:bottom w:val="nil"/>
              <w:right w:val="nil"/>
            </w:tcBorders>
            <w:shd w:val="clear" w:color="auto" w:fill="FFFFFF"/>
            <w:vAlign w:val="center"/>
          </w:tcPr>
          <w:p w14:paraId="7B340792"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&lt;EndNote&gt;&lt;Cite&gt;&lt;Author&gt;Wang&lt;/Author&gt;&lt;Year&gt;2023&lt;/Year&gt;&lt;RecNum&gt;4&lt;/RecNum&gt;&lt;DisplayText&gt;&lt;style face="superscript"&gt;[4]&lt;/style&gt;&lt;/DisplayText&gt;&lt;record&gt;&lt;rec-number&gt;4&lt;/rec-number&gt;&lt;foreign-keys&gt;&lt;key app="EN" db-id="d9vt00wrq2fazneaxvmp500zv9wrw22vpfef" timestamp="1750757232"&gt;4&lt;/key&gt;&lt;/foreign-keys&gt;&lt;ref-type name="Journal Article"&gt;17&lt;/ref-type&gt;&lt;contributors&gt;&lt;authors&gt;&lt;author&gt;Wang, Huanwen&lt;/author&gt;&lt;author&gt;Luo, Can&lt;/author&gt;&lt;author&gt;Qian, Yinyin&lt;/author&gt;&lt;author&gt;Yang, Caihong&lt;/author&gt;&lt;author&gt;Shi, Xiaojun&lt;/author&gt;&lt;author&gt;Gong, Yansheng&lt;/author&gt;&lt;author&gt;Wang, Rui&lt;/author&gt;&lt;author&gt;He, Beibei&lt;/author&gt;&lt;author&gt;Jin, Jun&lt;/author&gt;&lt;author&gt;Tang, Aidong&lt;/author&gt;&lt;author&gt;Huixiang Ang, Edison&lt;/author&gt;&lt;author&gt;Yang, Huaming&lt;/author&gt;&lt;/authors&gt;&lt;/contributors&gt;&lt;titles&gt;&lt;title&gt;Upcycling of phosphogypsum waste for efficient zinc-ion batteries&lt;/title&gt;&lt;secondary-title&gt;Journal of Energy Chemistry&lt;/secondary-title&gt;&lt;/titles&gt;&lt;periodical&gt;&lt;full-title&gt;Journal of Energy Chemistry&lt;/full-title&gt;&lt;/periodical&gt;&lt;pages&gt;157-166&lt;/pages&gt;&lt;volume&gt;81&lt;/volume&gt;&lt;keywords&gt;&lt;keyword&gt;Upcycling&lt;/keyword&gt;&lt;keyword&gt;Phosphogypsum waste&lt;/keyword&gt;&lt;keyword&gt;Zinc-ion battery&lt;/keyword&gt;&lt;keyword&gt;Solid-electrolyte-interface&lt;/keyword&gt;&lt;keyword&gt;Protection layer&lt;/keyword&gt;&lt;/keywords&gt;&lt;dates&gt;&lt;year&gt;2023&lt;/year&gt;&lt;pub-dates&gt;&lt;date&gt;2023/06/01/&lt;/date&gt;&lt;/pub-dates&gt;&lt;/dates&gt;&lt;isbn&gt;2095-4956&lt;/isbn&gt;&lt;urls&gt;&lt;related-urls&gt;&lt;url&gt;https://www.sciencedirect.com/science/article/pii/S2095495623001377&lt;/url&gt;&lt;/related-urls&gt;&lt;/urls&gt;&lt;electronic-resource-num&gt;https://doi.org/10.1016/j.jechem.2023.02.037&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[4]</w:t>
            </w:r>
            <w:r>
              <w:rPr>
                <w:rFonts w:ascii="Times New Roman" w:hAnsi="Times New Roman" w:cs="Times New Roman"/>
                <w:color w:val="0000FF"/>
                <w:szCs w:val="21"/>
              </w:rPr>
              <w:fldChar w:fldCharType="end"/>
            </w:r>
          </w:p>
        </w:tc>
      </w:tr>
      <w:tr w:rsidR="00536E8D" w14:paraId="7D80640C" w14:textId="77777777" w:rsidTr="00D02DF7">
        <w:trPr>
          <w:trHeight w:val="673"/>
          <w:jc w:val="center"/>
        </w:trPr>
        <w:tc>
          <w:tcPr>
            <w:tcW w:w="1131" w:type="pct"/>
            <w:vMerge/>
            <w:tcBorders>
              <w:top w:val="nil"/>
              <w:left w:val="nil"/>
              <w:bottom w:val="nil"/>
              <w:right w:val="nil"/>
            </w:tcBorders>
            <w:shd w:val="clear" w:color="auto" w:fill="FFFFFF"/>
            <w:vAlign w:val="center"/>
          </w:tcPr>
          <w:p w14:paraId="025BC61A"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15CB92B0" w14:textId="77777777"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Cefe-MOF@Zn</w:t>
            </w:r>
            <w:proofErr w:type="spellEnd"/>
          </w:p>
        </w:tc>
        <w:tc>
          <w:tcPr>
            <w:tcW w:w="611" w:type="pct"/>
            <w:tcBorders>
              <w:top w:val="nil"/>
              <w:left w:val="nil"/>
              <w:bottom w:val="nil"/>
              <w:right w:val="nil"/>
            </w:tcBorders>
            <w:shd w:val="clear" w:color="auto" w:fill="FFFFFF"/>
            <w:vAlign w:val="center"/>
          </w:tcPr>
          <w:p w14:paraId="3DC7291B"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1C80C003"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4300</w:t>
            </w:r>
          </w:p>
        </w:tc>
        <w:tc>
          <w:tcPr>
            <w:tcW w:w="1390" w:type="pct"/>
            <w:tcBorders>
              <w:top w:val="nil"/>
              <w:left w:val="nil"/>
              <w:bottom w:val="nil"/>
              <w:right w:val="nil"/>
            </w:tcBorders>
            <w:shd w:val="clear" w:color="auto" w:fill="FFFFFF"/>
            <w:vAlign w:val="center"/>
          </w:tcPr>
          <w:p w14:paraId="1252E658"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hint="eastAsia"/>
                <w:color w:val="000000"/>
                <w:kern w:val="0"/>
                <w:szCs w:val="21"/>
                <w:lang w:bidi="ar"/>
              </w:rPr>
              <w:t>Energy Environ. Sci.</w:t>
            </w:r>
            <w:r>
              <w:rPr>
                <w:rFonts w:ascii="Times New Roman" w:eastAsia="等线" w:hAnsi="Times New Roman" w:cs="Times New Roman"/>
                <w:color w:val="000000"/>
                <w:kern w:val="0"/>
                <w:szCs w:val="21"/>
                <w:lang w:bidi="ar"/>
              </w:rPr>
              <w:t>, 2025</w:t>
            </w:r>
          </w:p>
        </w:tc>
        <w:tc>
          <w:tcPr>
            <w:tcW w:w="364" w:type="pct"/>
            <w:tcBorders>
              <w:top w:val="nil"/>
              <w:left w:val="nil"/>
              <w:bottom w:val="nil"/>
              <w:right w:val="nil"/>
            </w:tcBorders>
            <w:shd w:val="clear" w:color="auto" w:fill="FFFFFF"/>
            <w:vAlign w:val="center"/>
          </w:tcPr>
          <w:p w14:paraId="115B7ABD"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&lt;EndNote&gt;&lt;Cite&gt;&lt;Author&gt;Jianbo&lt;/Author&gt;&lt;Year&gt;2025&lt;/Year&gt;&lt;RecNum&gt;5&lt;/RecNum&gt;&lt;DisplayText&gt;&lt;style face="superscript"&gt;[5]&lt;/style&gt;&lt;/DisplayText&gt;&lt;record&gt;&lt;rec-number&gt;5&lt;/rec-number&gt;&lt;foreign-keys&gt;&lt;key app="EN" db-id="d9vt00wrq2fazneaxvmp500zv9wrw22vpfef" timestamp="1750757328"&gt;5&lt;/key&gt;&lt;/foreign-keys&gt;&lt;ref-type name="Journal Article"&gt;17&lt;/ref-type&gt;&lt;contributors&gt;&lt;authors&gt;&lt;author&gt;Jianbo, Dong&lt;/author&gt;&lt;author&gt;Guolang, Zhou&lt;/author&gt;&lt;author&gt;Wenhao, Ding&lt;/author&gt;&lt;author&gt;Jiayi, Ji&lt;/author&gt;&lt;author&gt;Qing, Wang&lt;/author&gt;&lt;author&gt;Tianshi, Wang&lt;/author&gt;&lt;author&gt;Lili, Zhang&lt;/author&gt;&lt;author&gt;Xiuyang, Zou&lt;/author&gt;&lt;author&gt;Jingzhou, Yin&lt;/author&gt;&lt;author&gt;Edison Huixiang, Ang&lt;/author&gt;&lt;/authors&gt;&lt;/contributors&gt;&lt;titles&gt;&lt;title&gt;Machine learning-assisted benign transformation of three zinc states in zinc ion batteries&lt;/title&gt;&lt;secondary-title&gt;Energy &amp;amp; Environmental Science&lt;/secondary-title&gt;&lt;/titles&gt;&lt;periodical&gt;&lt;full-title&gt;Energy &amp;amp; Environmental Science&lt;/full-title&gt;&lt;/periodical&gt;&lt;pages&gt;4872-4882&lt;/pages&gt;&lt;volume&gt;18&lt;/volume&gt;&lt;dates&gt;&lt;year&gt;2025&lt;/year&gt;&lt;pub-dates&gt;&lt;date&gt;2025/04/22&lt;/date&gt;&lt;/pub-dates&gt;&lt;/dates&gt;&lt;urls&gt;&lt;related-urls&gt;&lt;url&gt;http://dx.doi.org/10.1039/d5ee00650c&lt;/url&gt;&lt;/related-urls&gt;&lt;/urls&gt;&lt;electronic-resource-num&gt;10.1039/d5ee00650c&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[5]</w:t>
            </w:r>
            <w:r>
              <w:rPr>
                <w:rFonts w:ascii="Times New Roman" w:hAnsi="Times New Roman" w:cs="Times New Roman"/>
                <w:color w:val="0000FF"/>
                <w:szCs w:val="21"/>
              </w:rPr>
              <w:fldChar w:fldCharType="end"/>
            </w:r>
          </w:p>
        </w:tc>
      </w:tr>
      <w:tr w:rsidR="00536E8D" w14:paraId="544CDEF5" w14:textId="77777777" w:rsidTr="00D02DF7">
        <w:trPr>
          <w:trHeight w:val="445"/>
          <w:jc w:val="center"/>
        </w:trPr>
        <w:tc>
          <w:tcPr>
            <w:tcW w:w="1131" w:type="pct"/>
            <w:vMerge/>
            <w:tcBorders>
              <w:top w:val="nil"/>
              <w:left w:val="nil"/>
              <w:bottom w:val="nil"/>
              <w:right w:val="nil"/>
            </w:tcBorders>
            <w:shd w:val="clear" w:color="auto" w:fill="FFFFFF"/>
            <w:vAlign w:val="center"/>
          </w:tcPr>
          <w:p w14:paraId="418B13D3"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0F845C0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DCL-Cellulose</w:t>
            </w:r>
          </w:p>
        </w:tc>
        <w:tc>
          <w:tcPr>
            <w:tcW w:w="611" w:type="pct"/>
            <w:tcBorders>
              <w:top w:val="nil"/>
              <w:left w:val="nil"/>
              <w:bottom w:val="nil"/>
              <w:right w:val="nil"/>
            </w:tcBorders>
            <w:shd w:val="clear" w:color="auto" w:fill="FFFFFF"/>
            <w:vAlign w:val="center"/>
          </w:tcPr>
          <w:p w14:paraId="63CBFC6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239E85D6"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2500</w:t>
            </w:r>
          </w:p>
        </w:tc>
        <w:tc>
          <w:tcPr>
            <w:tcW w:w="1390" w:type="pct"/>
            <w:tcBorders>
              <w:top w:val="nil"/>
              <w:left w:val="nil"/>
              <w:bottom w:val="nil"/>
              <w:right w:val="nil"/>
            </w:tcBorders>
            <w:shd w:val="clear" w:color="auto" w:fill="FFFFFF"/>
            <w:vAlign w:val="center"/>
          </w:tcPr>
          <w:p w14:paraId="13811FB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Nano</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Micro Lett</w:t>
            </w:r>
            <w:r>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2024</w:t>
            </w:r>
          </w:p>
        </w:tc>
        <w:tc>
          <w:tcPr>
            <w:tcW w:w="364" w:type="pct"/>
            <w:tcBorders>
              <w:top w:val="nil"/>
              <w:left w:val="nil"/>
              <w:bottom w:val="nil"/>
              <w:right w:val="nil"/>
            </w:tcBorders>
            <w:shd w:val="clear" w:color="auto" w:fill="FFFFFF"/>
            <w:vAlign w:val="center"/>
          </w:tcPr>
          <w:p w14:paraId="5BAB4397"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&lt;EndNote&gt;&lt;Cite&gt;&lt;Author&gt;Zhang&lt;/Author&gt;&lt;Year&gt;2024&lt;/Year&gt;&lt;RecNum&gt;2&lt;/RecNum&gt;&lt;DisplayText&gt;&lt;style face="superscript"&gt;[1]&lt;/style&gt;&lt;/DisplayText&gt;&lt;record&gt;&lt;rec-number&gt;2&lt;/rec-number&gt;&lt;foreign-keys&gt;&lt;key app="EN" db-id="rzr9af2pcv5e5fevvff5pwf0pa2aa90rt5w9" timestamp="1750760857"&gt;2&lt;/key&gt;&lt;/foreign-keys&gt;&lt;ref-type name="Journal Article"&gt;17&lt;/ref-type&gt;&lt;contributors&gt;&lt;authors&gt;&lt;author&gt;Zhang, Haodong&lt;/author&gt;&lt;author&gt;Gan, Xiaotang&lt;/author&gt;&lt;author&gt;Yan, Yuyang&lt;/author&gt;&lt;author&gt;Zhou, Jinping&lt;/author&gt;&lt;/authors&gt;&lt;/contributors&gt;&lt;titles&gt;&lt;title&gt;A Sustainable Dual Cross-Linked Cellulose Hydrogel Electrolyte for High-Performance Zinc-Metal Batteries&lt;/title&gt;&lt;secondary-title&gt;Nano-Micro Letters&lt;/secondary-title&gt;&lt;/titles&gt;&lt;periodical&gt;&lt;full-title&gt;Nano-Micro Letters&lt;/full-title&gt;&lt;/periodical&gt;&lt;pages&gt;106&lt;/pages&gt;&lt;volume&gt;16&lt;/volume&gt;&lt;number&gt;1&lt;/number&gt;&lt;dates&gt;&lt;year&gt;2024&lt;/year&gt;&lt;pub-dates&gt;&lt;date&gt;2024/02/02&lt;/date&gt;&lt;/pub-dates&gt;&lt;/dates&gt;&lt;isbn&gt;2150-5551&lt;/isbn&gt;&lt;urls&gt;&lt;related-urls&gt;&lt;url&gt;https://doi.org/10.1007/s40820-024-01329-0&lt;/url&gt;&lt;/related-urls&gt;&lt;/urls&gt;&lt;electronic-resource-num&gt;10.1007/s40820-024-01329-0&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w:t>
            </w:r>
            <w:r>
              <w:rPr>
                <w:rFonts w:ascii="Times New Roman" w:hAnsi="Times New Roman" w:cs="Times New Roman"/>
                <w:color w:val="0000FF"/>
                <w:szCs w:val="21"/>
              </w:rPr>
              <w:fldChar w:fldCharType="end"/>
            </w:r>
          </w:p>
        </w:tc>
      </w:tr>
      <w:tr w:rsidR="00536E8D" w14:paraId="39C9DE66" w14:textId="77777777" w:rsidTr="00D02DF7">
        <w:trPr>
          <w:trHeight w:val="673"/>
          <w:jc w:val="center"/>
        </w:trPr>
        <w:tc>
          <w:tcPr>
            <w:tcW w:w="1131" w:type="pct"/>
            <w:vMerge/>
            <w:tcBorders>
              <w:top w:val="nil"/>
              <w:left w:val="nil"/>
              <w:bottom w:val="nil"/>
              <w:right w:val="nil"/>
            </w:tcBorders>
            <w:shd w:val="clear" w:color="auto" w:fill="FFFFFF"/>
            <w:vAlign w:val="center"/>
          </w:tcPr>
          <w:p w14:paraId="24123472"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6972D247"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Zn-Nucleation</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Sites</w:t>
            </w:r>
          </w:p>
        </w:tc>
        <w:tc>
          <w:tcPr>
            <w:tcW w:w="611" w:type="pct"/>
            <w:tcBorders>
              <w:top w:val="nil"/>
              <w:left w:val="nil"/>
              <w:bottom w:val="nil"/>
              <w:right w:val="nil"/>
            </w:tcBorders>
            <w:shd w:val="clear" w:color="auto" w:fill="FFFFFF"/>
            <w:vAlign w:val="center"/>
          </w:tcPr>
          <w:p w14:paraId="74F9D7F7"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2FDF0755"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2500</w:t>
            </w:r>
          </w:p>
        </w:tc>
        <w:tc>
          <w:tcPr>
            <w:tcW w:w="1390" w:type="pct"/>
            <w:tcBorders>
              <w:top w:val="nil"/>
              <w:left w:val="nil"/>
              <w:bottom w:val="nil"/>
              <w:right w:val="nil"/>
            </w:tcBorders>
            <w:shd w:val="clear" w:color="auto" w:fill="FFFFFF"/>
            <w:vAlign w:val="center"/>
          </w:tcPr>
          <w:p w14:paraId="1A29113D" w14:textId="45DB32C2" w:rsidR="00536E8D" w:rsidRDefault="00B21C59">
            <w:pPr>
              <w:widowControl/>
              <w:jc w:val="center"/>
              <w:textAlignment w:val="bottom"/>
              <w:rPr>
                <w:rFonts w:ascii="Times New Roman" w:hAnsi="Times New Roman" w:cs="Times New Roman"/>
                <w:color w:val="000000"/>
                <w:szCs w:val="21"/>
              </w:rPr>
            </w:pPr>
            <w:r w:rsidRPr="00292B58">
              <w:rPr>
                <w:rFonts w:ascii="Times New Roman" w:eastAsia="等线" w:hAnsi="Times New Roman" w:cs="Times New Roman"/>
                <w:color w:val="000000"/>
                <w:kern w:val="0"/>
                <w:szCs w:val="21"/>
                <w:lang w:bidi="ar"/>
              </w:rPr>
              <w:t xml:space="preserve">Adv. </w:t>
            </w:r>
            <w:proofErr w:type="spellStart"/>
            <w:r w:rsidRPr="00292B58">
              <w:rPr>
                <w:rFonts w:ascii="Times New Roman" w:eastAsia="等线" w:hAnsi="Times New Roman" w:cs="Times New Roman"/>
                <w:color w:val="000000"/>
                <w:kern w:val="0"/>
                <w:szCs w:val="21"/>
                <w:lang w:bidi="ar"/>
              </w:rPr>
              <w:t>Funct</w:t>
            </w:r>
            <w:proofErr w:type="spellEnd"/>
            <w:r w:rsidRPr="00292B58">
              <w:rPr>
                <w:rFonts w:ascii="Times New Roman" w:eastAsia="等线" w:hAnsi="Times New Roman" w:cs="Times New Roman"/>
                <w:color w:val="000000"/>
                <w:kern w:val="0"/>
                <w:szCs w:val="21"/>
                <w:lang w:bidi="ar"/>
              </w:rPr>
              <w:t>. Mater.</w:t>
            </w:r>
            <w:r w:rsidR="00043801">
              <w:rPr>
                <w:rFonts w:ascii="Times New Roman" w:eastAsia="等线" w:hAnsi="Times New Roman" w:cs="Times New Roman" w:hint="eastAsia"/>
                <w:color w:val="000000"/>
                <w:kern w:val="0"/>
                <w:szCs w:val="21"/>
                <w:lang w:bidi="ar"/>
              </w:rPr>
              <w:t>,</w:t>
            </w:r>
            <w:r w:rsidRPr="00292B58">
              <w:rPr>
                <w:rFonts w:ascii="Times New Roman" w:eastAsia="等线" w:hAnsi="Times New Roman" w:cs="Times New Roman"/>
                <w:color w:val="000000"/>
                <w:kern w:val="0"/>
                <w:szCs w:val="21"/>
                <w:lang w:bidi="ar"/>
              </w:rPr>
              <w:t xml:space="preserve"> 2020</w:t>
            </w:r>
          </w:p>
        </w:tc>
        <w:tc>
          <w:tcPr>
            <w:tcW w:w="364" w:type="pct"/>
            <w:tcBorders>
              <w:top w:val="nil"/>
              <w:left w:val="nil"/>
              <w:bottom w:val="nil"/>
              <w:right w:val="nil"/>
            </w:tcBorders>
            <w:shd w:val="clear" w:color="auto" w:fill="FFFFFF"/>
            <w:vAlign w:val="center"/>
          </w:tcPr>
          <w:p w14:paraId="3486FDF8"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&lt;EndNote&gt;&lt;Cite&gt;&lt;Author&gt;Liang&lt;/Author&gt;&lt;Year&gt;2020&lt;/Year&gt;&lt;RecNum&gt;8&lt;/RecNum&gt;&lt;DisplayText&gt;&lt;style face="superscript"&gt;[6]&lt;/style&gt;&lt;/DisplayText&gt;&lt;record&gt;&lt;rec-number&gt;8&lt;/rec-number&gt;&lt;foreign-keys&gt;&lt;key app="EN" db-id="d9vt00wrq2fazneaxvmp500zv9wrw22vpfef" timestamp="1750757613"&gt;8&lt;/key&gt;&lt;/foreign-keys&gt;&lt;ref-type name="Journal Article"&gt;17&lt;/ref-type&gt;&lt;contributors&gt;&lt;authors&gt;&lt;author&gt;Liang, Pengcheng&lt;/author&gt;&lt;author&gt;Yi, Jin&lt;/author&gt;&lt;author&gt;Liu, Xiaoyu&lt;/author&gt;&lt;author&gt;Wu, Kai&lt;/author&gt;&lt;author&gt;Wang, Zhuo&lt;/author&gt;&lt;author&gt;Cui, Jin&lt;/author&gt;&lt;author&gt;Liu, Yuyu&lt;/author&gt;&lt;author&gt;Wang, Yonggang&lt;/author&gt;&lt;author&gt;Xia, Yongyao&lt;/author&gt;&lt;author&gt;Zhang, Jiujun&lt;/author&gt;&lt;/authors&gt;&lt;/contributors&gt;&lt;titles&gt;&lt;title&gt;Highly Reversible Zn Anode Enabled by Controllable Formation of Nucleation Sites for Zn-Based Batteries&lt;/title&gt;&lt;secondary-title&gt;Advanced Functional Materials&lt;/secondary-title&gt;&lt;/titles&gt;&lt;periodical&gt;&lt;full-title&gt;Advanced Functional Materials&lt;/full-title&gt;&lt;/periodical&gt;&lt;pages&gt;1908528&lt;/pages&gt;&lt;volume&gt;30&lt;/volume&gt;&lt;number&gt;13&lt;/number&gt;&lt;dates&gt;&lt;year&gt;2020&lt;/year&gt;&lt;/dates&gt;&lt;isbn&gt;1616-301X&lt;/isbn&gt;&lt;urls&gt;&lt;related-urls&gt;&lt;url&gt;https://advanced.onlinelibrary.wiley.com/doi/abs/10.1002/adfm.201908528&lt;/url&gt;&lt;/related-urls&gt;&lt;/urls&gt;&lt;electronic-resource-num&gt;https://doi.org/10.1002/adfm.201908528&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[6]</w:t>
            </w:r>
            <w:r>
              <w:rPr>
                <w:rFonts w:ascii="Times New Roman" w:hAnsi="Times New Roman" w:cs="Times New Roman"/>
                <w:color w:val="0000FF"/>
                <w:szCs w:val="21"/>
              </w:rPr>
              <w:fldChar w:fldCharType="end"/>
            </w:r>
          </w:p>
        </w:tc>
      </w:tr>
      <w:tr w:rsidR="00536E8D" w14:paraId="443D52EF" w14:textId="77777777" w:rsidTr="00D02DF7">
        <w:trPr>
          <w:trHeight w:val="673"/>
          <w:jc w:val="center"/>
        </w:trPr>
        <w:tc>
          <w:tcPr>
            <w:tcW w:w="1131" w:type="pct"/>
            <w:vMerge/>
            <w:tcBorders>
              <w:top w:val="nil"/>
              <w:left w:val="nil"/>
              <w:bottom w:val="nil"/>
              <w:right w:val="nil"/>
            </w:tcBorders>
            <w:shd w:val="clear" w:color="auto" w:fill="FFFFFF"/>
            <w:vAlign w:val="center"/>
          </w:tcPr>
          <w:p w14:paraId="1065B797"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2940C8B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PVA@SR-ZnMoO</w:t>
            </w:r>
            <w:r>
              <w:rPr>
                <w:rFonts w:ascii="Times New Roman" w:eastAsia="等线" w:hAnsi="Times New Roman" w:cs="Times New Roman"/>
                <w:color w:val="000000"/>
                <w:kern w:val="0"/>
                <w:szCs w:val="21"/>
                <w:vertAlign w:val="subscript"/>
                <w:lang w:bidi="ar"/>
              </w:rPr>
              <w:t>4</w:t>
            </w:r>
          </w:p>
        </w:tc>
        <w:tc>
          <w:tcPr>
            <w:tcW w:w="611" w:type="pct"/>
            <w:tcBorders>
              <w:top w:val="nil"/>
              <w:left w:val="nil"/>
              <w:bottom w:val="nil"/>
              <w:right w:val="nil"/>
            </w:tcBorders>
            <w:shd w:val="clear" w:color="auto" w:fill="FFFFFF"/>
            <w:vAlign w:val="center"/>
          </w:tcPr>
          <w:p w14:paraId="3561CCE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03FFB13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4300</w:t>
            </w:r>
          </w:p>
        </w:tc>
        <w:tc>
          <w:tcPr>
            <w:tcW w:w="1390" w:type="pct"/>
            <w:tcBorders>
              <w:top w:val="nil"/>
              <w:left w:val="nil"/>
              <w:bottom w:val="nil"/>
              <w:right w:val="nil"/>
            </w:tcBorders>
            <w:shd w:val="clear" w:color="auto" w:fill="FFFFFF"/>
            <w:vAlign w:val="center"/>
          </w:tcPr>
          <w:p w14:paraId="033F1E6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hint="eastAsia"/>
                <w:color w:val="000000"/>
                <w:kern w:val="0"/>
                <w:szCs w:val="21"/>
                <w:lang w:bidi="ar"/>
              </w:rPr>
              <w:t>Energy Environ. Sci.</w:t>
            </w:r>
            <w:r>
              <w:rPr>
                <w:rFonts w:ascii="Times New Roman" w:eastAsia="等线" w:hAnsi="Times New Roman" w:cs="Times New Roman"/>
                <w:color w:val="000000"/>
                <w:kern w:val="0"/>
                <w:szCs w:val="21"/>
                <w:lang w:bidi="ar"/>
              </w:rPr>
              <w:t>, 2025</w:t>
            </w:r>
          </w:p>
        </w:tc>
        <w:tc>
          <w:tcPr>
            <w:tcW w:w="364" w:type="pct"/>
            <w:tcBorders>
              <w:top w:val="nil"/>
              <w:left w:val="nil"/>
              <w:bottom w:val="nil"/>
              <w:right w:val="nil"/>
            </w:tcBorders>
            <w:shd w:val="clear" w:color="auto" w:fill="FFFFFF"/>
            <w:vAlign w:val="center"/>
          </w:tcPr>
          <w:p w14:paraId="277EBD9F"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&lt;EndNote&gt;&lt;Cite&gt;&lt;Author&gt;Jianbo&lt;/Author&gt;&lt;Year&gt;2025&lt;/Year&gt;&lt;RecNum&gt;5&lt;/RecNum&gt;&lt;DisplayText&gt;&lt;style face="superscript"&gt;[5]&lt;/style&gt;&lt;/DisplayText&gt;&lt;record&gt;&lt;rec-number&gt;5&lt;/rec-number&gt;&lt;foreign-keys&gt;&lt;key app="EN" db-id="d9vt00wrq2fazneaxvmp500zv9wrw22vpfef" timestamp="1750757328"&gt;5&lt;/key&gt;&lt;/foreign-keys&gt;&lt;ref-type name="Journal Article"&gt;17&lt;/ref-type&gt;&lt;contributors&gt;&lt;authors&gt;&lt;author&gt;Jianbo, Dong&lt;/author&gt;&lt;author&gt;Guolang, Zhou&lt;/author&gt;&lt;author&gt;Wenhao, Ding&lt;/author&gt;&lt;author&gt;Jiayi, Ji&lt;/author&gt;&lt;author&gt;Qing, Wang&lt;/author&gt;&lt;author&gt;Tianshi, Wang&lt;/author&gt;&lt;author&gt;Lili, Zhang&lt;/author&gt;&lt;author&gt;Xiuyang, Zou&lt;/author&gt;&lt;author&gt;Jingzhou, Yin&lt;/author&gt;&lt;author&gt;Edison Huixiang, Ang&lt;/author&gt;&lt;/authors&gt;&lt;/contributors&gt;&lt;titles&gt;&lt;title&gt;Machine learning-assisted benign transformation of three zinc states in zinc ion batteries&lt;/title&gt;&lt;secondary-title&gt;Energy &amp;amp; Environmental Science&lt;/secondary-title&gt;&lt;/titles&gt;&lt;periodical&gt;&lt;full-title&gt;Energy &amp;amp; Environmental Science&lt;/full-title&gt;&lt;/periodical&gt;&lt;pages&gt;4872-4882&lt;/pages&gt;&lt;volume&gt;18&lt;/volume&gt;&lt;dates&gt;&lt;year&gt;2025&lt;/year&gt;&lt;pub-dates&gt;&lt;date&gt;2025/04/22&lt;/date&gt;&lt;/pub-dates&gt;&lt;/dates&gt;&lt;urls&gt;&lt;related-urls&gt;&lt;url&gt;http://dx.doi.org/10.1039/d5ee00650c&lt;/url&gt;&lt;/related-urls&gt;&lt;/urls&gt;&lt;electronic-resource-num&gt;10.1039/d5ee00650c&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[5]</w:t>
            </w:r>
            <w:r>
              <w:rPr>
                <w:rFonts w:ascii="Times New Roman" w:hAnsi="Times New Roman" w:cs="Times New Roman"/>
                <w:color w:val="0000FF"/>
                <w:szCs w:val="21"/>
              </w:rPr>
              <w:fldChar w:fldCharType="end"/>
            </w:r>
          </w:p>
        </w:tc>
      </w:tr>
      <w:tr w:rsidR="00536E8D" w14:paraId="1A34FB99" w14:textId="77777777" w:rsidTr="00D02DF7">
        <w:trPr>
          <w:trHeight w:val="673"/>
          <w:jc w:val="center"/>
        </w:trPr>
        <w:tc>
          <w:tcPr>
            <w:tcW w:w="1131" w:type="pct"/>
            <w:vMerge/>
            <w:tcBorders>
              <w:top w:val="nil"/>
              <w:left w:val="nil"/>
              <w:bottom w:val="nil"/>
              <w:right w:val="nil"/>
            </w:tcBorders>
            <w:shd w:val="clear" w:color="auto" w:fill="FFFFFF"/>
            <w:vAlign w:val="center"/>
          </w:tcPr>
          <w:p w14:paraId="7FA360F4"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39CB7171"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β-PVDF-Zn</w:t>
            </w:r>
          </w:p>
        </w:tc>
        <w:tc>
          <w:tcPr>
            <w:tcW w:w="611" w:type="pct"/>
            <w:tcBorders>
              <w:top w:val="nil"/>
              <w:left w:val="nil"/>
              <w:bottom w:val="nil"/>
              <w:right w:val="nil"/>
            </w:tcBorders>
            <w:shd w:val="clear" w:color="auto" w:fill="FFFFFF"/>
            <w:vAlign w:val="center"/>
          </w:tcPr>
          <w:p w14:paraId="4CCBDF2E"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w:t>
            </w:r>
          </w:p>
        </w:tc>
        <w:tc>
          <w:tcPr>
            <w:tcW w:w="573" w:type="pct"/>
            <w:tcBorders>
              <w:top w:val="nil"/>
              <w:left w:val="nil"/>
              <w:bottom w:val="nil"/>
              <w:right w:val="nil"/>
            </w:tcBorders>
            <w:shd w:val="clear" w:color="auto" w:fill="FFFFFF"/>
            <w:vAlign w:val="center"/>
          </w:tcPr>
          <w:p w14:paraId="443DCD77"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1000</w:t>
            </w:r>
          </w:p>
        </w:tc>
        <w:tc>
          <w:tcPr>
            <w:tcW w:w="1390" w:type="pct"/>
            <w:tcBorders>
              <w:top w:val="nil"/>
              <w:left w:val="nil"/>
              <w:bottom w:val="nil"/>
              <w:right w:val="nil"/>
            </w:tcBorders>
            <w:shd w:val="clear" w:color="auto" w:fill="FFFFFF"/>
            <w:vAlign w:val="center"/>
          </w:tcPr>
          <w:p w14:paraId="12001B56" w14:textId="11F6D878"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hint="eastAsia"/>
                <w:color w:val="000000"/>
                <w:kern w:val="0"/>
                <w:szCs w:val="21"/>
                <w:lang w:bidi="ar"/>
              </w:rPr>
              <w:t>Chem. Eng. J.</w:t>
            </w:r>
            <w:r w:rsidR="00043801">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2021</w:t>
            </w:r>
          </w:p>
        </w:tc>
        <w:tc>
          <w:tcPr>
            <w:tcW w:w="364" w:type="pct"/>
            <w:tcBorders>
              <w:top w:val="nil"/>
              <w:left w:val="nil"/>
              <w:bottom w:val="nil"/>
              <w:right w:val="nil"/>
            </w:tcBorders>
            <w:shd w:val="clear" w:color="auto" w:fill="FFFFFF"/>
            <w:vAlign w:val="center"/>
          </w:tcPr>
          <w:p w14:paraId="29256233"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&lt;EndNote&gt;&lt;Cite&gt;&lt;Author&gt;Hieu&lt;/Author&gt;&lt;Year&gt;2021&lt;/Year&gt;&lt;RecNum&gt;10&lt;/RecNum&gt;&lt;DisplayText&gt;&lt;style face="superscript"&gt;[7]&lt;/style&gt;&lt;/DisplayText&gt;&lt;record&gt;&lt;rec-number&gt;10&lt;/rec-number&gt;&lt;foreign-keys&gt;&lt;key app="EN" db-id="d9vt00wrq2fazneaxvmp500zv9wrw22vpfef" timestamp="1750757807"&gt;10&lt;/key&gt;&lt;/foreign-keys&gt;&lt;ref-type name="Journal Article"&gt;17&lt;/ref-type&gt;&lt;contributors&gt;&lt;authors&gt;&lt;author&gt;Hieu, Luong Trung&lt;/author&gt;&lt;author&gt;So, Seongjoon&lt;/author&gt;&lt;author&gt;Kim, Il Tae&lt;/author&gt;&lt;author&gt;Hur, Jaehyun&lt;/author&gt;&lt;/authors&gt;&lt;/contributors&gt;&lt;titles&gt;&lt;title&gt;Zn anode with flexible </w:instrText>
            </w:r>
            <w:r>
              <w:rPr>
                <w:rFonts w:ascii="Times New Roman" w:hAnsi="Times New Roman" w:cs="Times New Roman" w:hint="eastAsia"/>
                <w:color w:val="0000FF"/>
                <w:szCs w:val="21"/>
              </w:rPr>
              <w:instrText>β</w:instrText>
            </w:r>
            <w:r>
              <w:rPr>
                <w:rFonts w:ascii="Times New Roman" w:hAnsi="Times New Roman" w:cs="Times New Roman" w:hint="eastAsia"/>
                <w:color w:val="0000FF"/>
                <w:szCs w:val="21"/>
              </w:rPr>
              <w:instrText>-PVDF coating for aqueous Zn-ion batteries with long cycle life&lt;/title&gt;&lt;secondary-title&gt;Chemical Engineering Journal&lt;/secondary-title&gt;&lt;/titles&gt;&lt;periodical&gt;&lt;full-title&gt;Chemical Engineering Journal&lt;/full-title&gt;&lt;/periodical&gt;&lt;pages&gt;128584&lt;/pages&gt;&lt;volume&gt;411&lt;/volume&gt;&lt;keywords&gt;&lt;keyword&gt;</w:instrText>
            </w:r>
            <w:r>
              <w:rPr>
                <w:rFonts w:ascii="Times New Roman" w:hAnsi="Times New Roman" w:cs="Times New Roman" w:hint="eastAsia"/>
                <w:color w:val="0000FF"/>
                <w:szCs w:val="21"/>
              </w:rPr>
              <w:instrText>β</w:instrText>
            </w:r>
            <w:r>
              <w:rPr>
                <w:rFonts w:ascii="Times New Roman" w:hAnsi="Times New Roman" w:cs="Times New Roman" w:hint="eastAsia"/>
                <w:color w:val="0000FF"/>
                <w:szCs w:val="21"/>
              </w:rPr>
              <w:instrText>-PVDF&lt;/keyword&gt;&lt;keyword&gt;Zinc battery&lt;/keyword&gt;&lt;keyword&gt;Aqueous electrolyte&lt;/keyword&gt;&lt;keyword&gt;Spin-coating&lt;/keyword&gt;&lt;/keywords&gt;&lt;dates&gt;&lt;year&gt;2021&lt;/year&gt;&lt;pub-dates&gt;&lt;date&gt;2021/05/01/&lt;/date&gt;&lt;/pub-dates&gt;&lt;/dates&gt;&lt;isbn&gt;1385-8947&lt;/isbn&gt;&lt;urls&gt;&lt;related-urls&gt;&lt;url&gt;https://www.sciencedirect.com/science/article/pii/S1385894721001832&lt;/url&gt;&lt;/related-urls&gt;&lt;/urls&gt;&lt;electronic-resource-num&gt;https://doi.org/10.1016/j.cej.2021.128584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[7]</w:t>
            </w:r>
            <w:r>
              <w:rPr>
                <w:rFonts w:ascii="Times New Roman" w:hAnsi="Times New Roman" w:cs="Times New Roman"/>
                <w:color w:val="0000FF"/>
                <w:szCs w:val="21"/>
              </w:rPr>
              <w:fldChar w:fldCharType="end"/>
            </w:r>
          </w:p>
        </w:tc>
      </w:tr>
      <w:tr w:rsidR="00536E8D" w14:paraId="0EF083E3" w14:textId="77777777" w:rsidTr="00D02DF7">
        <w:trPr>
          <w:trHeight w:val="337"/>
          <w:jc w:val="center"/>
        </w:trPr>
        <w:tc>
          <w:tcPr>
            <w:tcW w:w="1131" w:type="pct"/>
            <w:tcBorders>
              <w:top w:val="nil"/>
              <w:left w:val="nil"/>
              <w:bottom w:val="nil"/>
              <w:right w:val="nil"/>
            </w:tcBorders>
            <w:shd w:val="clear" w:color="auto" w:fill="FFFFFF"/>
            <w:vAlign w:val="center"/>
          </w:tcPr>
          <w:p w14:paraId="7DA4D17A"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37053EAA" w14:textId="77777777" w:rsidR="00536E8D" w:rsidRDefault="00536E8D">
            <w:pPr>
              <w:jc w:val="center"/>
              <w:rPr>
                <w:rFonts w:ascii="Times New Roman" w:hAnsi="Times New Roman" w:cs="Times New Roman"/>
                <w:color w:val="000000"/>
                <w:szCs w:val="21"/>
              </w:rPr>
            </w:pPr>
          </w:p>
        </w:tc>
        <w:tc>
          <w:tcPr>
            <w:tcW w:w="611" w:type="pct"/>
            <w:tcBorders>
              <w:top w:val="nil"/>
              <w:left w:val="nil"/>
              <w:bottom w:val="nil"/>
              <w:right w:val="nil"/>
            </w:tcBorders>
            <w:shd w:val="clear" w:color="auto" w:fill="FFFFFF"/>
            <w:vAlign w:val="center"/>
          </w:tcPr>
          <w:p w14:paraId="5F41D7A6" w14:textId="77777777" w:rsidR="00536E8D" w:rsidRDefault="00536E8D">
            <w:pPr>
              <w:jc w:val="center"/>
              <w:rPr>
                <w:rFonts w:ascii="Times New Roman" w:hAnsi="Times New Roman" w:cs="Times New Roman"/>
                <w:color w:val="000000"/>
                <w:szCs w:val="21"/>
              </w:rPr>
            </w:pPr>
          </w:p>
        </w:tc>
        <w:tc>
          <w:tcPr>
            <w:tcW w:w="573" w:type="pct"/>
            <w:tcBorders>
              <w:top w:val="nil"/>
              <w:left w:val="nil"/>
              <w:bottom w:val="nil"/>
              <w:right w:val="nil"/>
            </w:tcBorders>
            <w:shd w:val="clear" w:color="auto" w:fill="FFFFFF"/>
            <w:vAlign w:val="center"/>
          </w:tcPr>
          <w:p w14:paraId="7BFAD79D" w14:textId="77777777" w:rsidR="00536E8D" w:rsidRDefault="00536E8D">
            <w:pPr>
              <w:jc w:val="center"/>
              <w:rPr>
                <w:rFonts w:ascii="Times New Roman" w:hAnsi="Times New Roman" w:cs="Times New Roman"/>
                <w:color w:val="000000"/>
                <w:szCs w:val="21"/>
              </w:rPr>
            </w:pPr>
          </w:p>
        </w:tc>
        <w:tc>
          <w:tcPr>
            <w:tcW w:w="1390" w:type="pct"/>
            <w:tcBorders>
              <w:top w:val="nil"/>
              <w:left w:val="nil"/>
              <w:bottom w:val="nil"/>
              <w:right w:val="nil"/>
            </w:tcBorders>
            <w:shd w:val="clear" w:color="auto" w:fill="FFFFFF"/>
            <w:vAlign w:val="center"/>
          </w:tcPr>
          <w:p w14:paraId="612E99D8" w14:textId="77777777" w:rsidR="00536E8D" w:rsidRDefault="00536E8D">
            <w:pPr>
              <w:jc w:val="center"/>
              <w:rPr>
                <w:rFonts w:ascii="Times New Roman" w:hAnsi="Times New Roman" w:cs="Times New Roman"/>
                <w:color w:val="000000"/>
                <w:szCs w:val="21"/>
              </w:rPr>
            </w:pPr>
          </w:p>
        </w:tc>
        <w:tc>
          <w:tcPr>
            <w:tcW w:w="364" w:type="pct"/>
            <w:tcBorders>
              <w:top w:val="nil"/>
              <w:left w:val="nil"/>
              <w:bottom w:val="nil"/>
              <w:right w:val="nil"/>
            </w:tcBorders>
            <w:shd w:val="clear" w:color="auto" w:fill="FFFFFF"/>
            <w:vAlign w:val="center"/>
          </w:tcPr>
          <w:p w14:paraId="53D0DE64" w14:textId="77777777" w:rsidR="00536E8D" w:rsidRDefault="00536E8D">
            <w:pPr>
              <w:jc w:val="center"/>
              <w:rPr>
                <w:rFonts w:ascii="Times New Roman" w:hAnsi="Times New Roman" w:cs="Times New Roman"/>
                <w:color w:val="0000FF"/>
                <w:szCs w:val="21"/>
              </w:rPr>
            </w:pPr>
          </w:p>
        </w:tc>
      </w:tr>
      <w:tr w:rsidR="00536E8D" w14:paraId="79168536" w14:textId="77777777" w:rsidTr="00D02DF7">
        <w:trPr>
          <w:trHeight w:val="673"/>
          <w:jc w:val="center"/>
        </w:trPr>
        <w:tc>
          <w:tcPr>
            <w:tcW w:w="1131" w:type="pct"/>
            <w:vMerge w:val="restart"/>
            <w:tcBorders>
              <w:top w:val="nil"/>
              <w:left w:val="nil"/>
              <w:bottom w:val="nil"/>
              <w:right w:val="nil"/>
            </w:tcBorders>
            <w:shd w:val="clear" w:color="auto" w:fill="FFFFFF"/>
            <w:vAlign w:val="center"/>
          </w:tcPr>
          <w:p w14:paraId="3C0061F9"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00"/>
                <w:szCs w:val="21"/>
              </w:rPr>
              <w:t>Electrolyte modification</w:t>
            </w:r>
          </w:p>
        </w:tc>
        <w:tc>
          <w:tcPr>
            <w:tcW w:w="932" w:type="pct"/>
            <w:tcBorders>
              <w:top w:val="nil"/>
              <w:left w:val="nil"/>
              <w:bottom w:val="nil"/>
              <w:right w:val="nil"/>
            </w:tcBorders>
            <w:shd w:val="clear" w:color="auto" w:fill="FFFFFF"/>
            <w:vAlign w:val="center"/>
          </w:tcPr>
          <w:p w14:paraId="75BB645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Lean-water hydrogel</w:t>
            </w:r>
          </w:p>
        </w:tc>
        <w:tc>
          <w:tcPr>
            <w:tcW w:w="611" w:type="pct"/>
            <w:tcBorders>
              <w:top w:val="nil"/>
              <w:left w:val="nil"/>
              <w:bottom w:val="nil"/>
              <w:right w:val="nil"/>
            </w:tcBorders>
            <w:shd w:val="clear" w:color="auto" w:fill="FFFFFF"/>
            <w:vAlign w:val="center"/>
          </w:tcPr>
          <w:p w14:paraId="31068553"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6235A1E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3000</w:t>
            </w:r>
          </w:p>
        </w:tc>
        <w:tc>
          <w:tcPr>
            <w:tcW w:w="1390" w:type="pct"/>
            <w:tcBorders>
              <w:top w:val="nil"/>
              <w:left w:val="nil"/>
              <w:bottom w:val="nil"/>
              <w:right w:val="nil"/>
            </w:tcBorders>
            <w:shd w:val="clear" w:color="auto" w:fill="FFFFFF"/>
            <w:vAlign w:val="center"/>
          </w:tcPr>
          <w:p w14:paraId="3E90480C" w14:textId="34A50133"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 xml:space="preserve">Nat. </w:t>
            </w:r>
            <w:proofErr w:type="spellStart"/>
            <w:r>
              <w:rPr>
                <w:rFonts w:ascii="Times New Roman" w:eastAsia="等线" w:hAnsi="Times New Roman" w:cs="Times New Roman"/>
                <w:color w:val="000000"/>
                <w:kern w:val="0"/>
                <w:szCs w:val="21"/>
                <w:lang w:bidi="ar"/>
              </w:rPr>
              <w:t>Commun</w:t>
            </w:r>
            <w:proofErr w:type="spellEnd"/>
            <w:r>
              <w:rPr>
                <w:rFonts w:ascii="Times New Roman" w:eastAsia="等线" w:hAnsi="Times New Roman" w:cs="Times New Roman"/>
                <w:color w:val="000000"/>
                <w:kern w:val="0"/>
                <w:szCs w:val="21"/>
                <w:lang w:bidi="ar"/>
              </w:rPr>
              <w:t>.</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2023</w:t>
            </w:r>
          </w:p>
        </w:tc>
        <w:tc>
          <w:tcPr>
            <w:tcW w:w="364" w:type="pct"/>
            <w:tcBorders>
              <w:top w:val="nil"/>
              <w:left w:val="nil"/>
              <w:bottom w:val="nil"/>
              <w:right w:val="nil"/>
            </w:tcBorders>
            <w:shd w:val="clear" w:color="auto" w:fill="FFFFFF"/>
            <w:vAlign w:val="center"/>
          </w:tcPr>
          <w:p w14:paraId="4028D23F"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&lt;EndNote&gt;&lt;Cite&gt;&lt;Author&gt;Wang&lt;/Author&gt;&lt;Year&gt;2023&lt;/Year&gt;&lt;RecNum&gt;1&lt;/RecNum&gt;&lt;DisplayText&gt;&lt;style face="superscript"&gt;[8]&lt;/style&gt;&lt;/DisplayText&gt;&lt;record&gt;&lt;rec-number&gt;1&lt;/rec-number&gt;&lt;foreign-keys&gt;&lt;key app="EN" db-id="rv0af5f27ft598evr2jv0p98razt50wxawar" timestamp="1750757907"&gt;1&lt;/key&gt;&lt;/foreign-keys&gt;&lt;ref-type name="Journal Article"&gt;17&lt;/ref-type&gt;&lt;contributors&gt;&lt;authors&gt;&lt;author&gt;Wang, Yanbo&lt;/author&gt;&lt;author&gt;Li, Qing&lt;/author&gt;&lt;author&gt;Hong, Hu&lt;/author&gt;&lt;author&gt;Yang, Shuo&lt;/author&gt;&lt;author&gt;Zhang, Rong&lt;/author&gt;&lt;author&gt;Wang, Xiaoqi&lt;/author&gt;&lt;author&gt;Jin, Xu&lt;/author&gt;&lt;author&gt;Xiong, Bo&lt;/author&gt;&lt;author&gt;Bai, Shengchi&lt;/author&gt;&lt;author&gt;Zhi, Chunyi&lt;/author&gt;&lt;/authors&gt;&lt;/contributors&gt;&lt;titles&gt;&lt;title&gt;Lean-water hydrogel electrolyte for zinc ion batteries&lt;/title&gt;&lt;secondary-title&gt;Nature Communications&lt;/secondary-title&gt;&lt;/titles&gt;&lt;periodical&gt;&lt;full-title&gt;Nature Communications&lt;/full-title&gt;&lt;/periodical&gt;&lt;pages&gt;3890&lt;/pages&gt;&lt;volume&gt;14&lt;/volume&gt;&lt;number&gt;1&lt;/number&gt;&lt;dates&gt;&lt;year&gt;2023&lt;/year&gt;&lt;pub-dates&gt;&lt;date&gt;2023/07/01&lt;/date&gt;&lt;/pub-dates&gt;&lt;/dates&gt;&lt;isbn&gt;2041-1723&lt;/isbn&gt;&lt;urls&gt;&lt;related-urls&gt;&lt;url&gt;https://doi.org/10.1038/s41467-023-39634-8&lt;/url&gt;&lt;/related-urls&gt;&lt;/urls&gt;&lt;electronic-resource-num&gt;10.1038/s41467-023-39634-8&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[8]</w:t>
            </w:r>
            <w:r>
              <w:rPr>
                <w:rFonts w:ascii="Times New Roman" w:hAnsi="Times New Roman" w:cs="Times New Roman"/>
                <w:color w:val="0000FF"/>
                <w:szCs w:val="21"/>
              </w:rPr>
              <w:fldChar w:fldCharType="end"/>
            </w:r>
          </w:p>
        </w:tc>
      </w:tr>
      <w:tr w:rsidR="00536E8D" w14:paraId="31C1742F" w14:textId="77777777" w:rsidTr="00D02DF7">
        <w:trPr>
          <w:trHeight w:val="673"/>
          <w:jc w:val="center"/>
        </w:trPr>
        <w:tc>
          <w:tcPr>
            <w:tcW w:w="1131" w:type="pct"/>
            <w:vMerge/>
            <w:tcBorders>
              <w:top w:val="nil"/>
              <w:left w:val="nil"/>
              <w:bottom w:val="nil"/>
              <w:right w:val="nil"/>
            </w:tcBorders>
            <w:shd w:val="clear" w:color="auto" w:fill="FFFFFF"/>
            <w:vAlign w:val="center"/>
          </w:tcPr>
          <w:p w14:paraId="70017003"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023305A0"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Dual-Complex-</w:t>
            </w:r>
            <w:proofErr w:type="spellStart"/>
            <w:r>
              <w:rPr>
                <w:rFonts w:ascii="Times New Roman" w:eastAsia="等线" w:hAnsi="Times New Roman" w:cs="Times New Roman"/>
                <w:color w:val="000000"/>
                <w:kern w:val="0"/>
                <w:szCs w:val="21"/>
                <w:lang w:bidi="ar"/>
              </w:rPr>
              <w:t>ZnMn</w:t>
            </w:r>
            <w:proofErr w:type="spellEnd"/>
          </w:p>
        </w:tc>
        <w:tc>
          <w:tcPr>
            <w:tcW w:w="611" w:type="pct"/>
            <w:tcBorders>
              <w:top w:val="nil"/>
              <w:left w:val="nil"/>
              <w:bottom w:val="nil"/>
              <w:right w:val="nil"/>
            </w:tcBorders>
            <w:shd w:val="clear" w:color="auto" w:fill="FFFFFF"/>
            <w:vAlign w:val="center"/>
          </w:tcPr>
          <w:p w14:paraId="7A6B793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0815B4E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2000</w:t>
            </w:r>
          </w:p>
        </w:tc>
        <w:tc>
          <w:tcPr>
            <w:tcW w:w="1390" w:type="pct"/>
            <w:tcBorders>
              <w:top w:val="nil"/>
              <w:left w:val="nil"/>
              <w:bottom w:val="nil"/>
              <w:right w:val="nil"/>
            </w:tcBorders>
            <w:shd w:val="clear" w:color="auto" w:fill="FFFFFF"/>
            <w:vAlign w:val="center"/>
          </w:tcPr>
          <w:p w14:paraId="43CAF4BD" w14:textId="162C1818"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Chem. Eng. J.</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2022</w:t>
            </w:r>
          </w:p>
        </w:tc>
        <w:tc>
          <w:tcPr>
            <w:tcW w:w="364" w:type="pct"/>
            <w:tcBorders>
              <w:top w:val="nil"/>
              <w:left w:val="nil"/>
              <w:bottom w:val="nil"/>
              <w:right w:val="nil"/>
            </w:tcBorders>
            <w:shd w:val="clear" w:color="auto" w:fill="FFFFFF"/>
            <w:vAlign w:val="center"/>
          </w:tcPr>
          <w:p w14:paraId="5C1BCE2D"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&lt;EndNote&gt;&lt;Cite&gt;&lt;Author&gt;Huang&lt;/Author&gt;&lt;Year&gt;2022&lt;/Year&gt;&lt;RecNum&gt;2&lt;/RecNum&gt;&lt;DisplayText&gt;&lt;style face="superscript"&gt;[9]&lt;/style&gt;&lt;/DisplayText&gt;&lt;record&gt;&lt;rec-number&gt;2&lt;/rec-number&gt;&lt;foreign-keys&gt;&lt;key app="EN" db-id="rv0af5f27ft598evr2jv0p98razt50wxawar" timestamp="1750757961"&gt;2&lt;/key&gt;&lt;/foreign-keys&gt;&lt;ref-type name="Journal Article"&gt;17&lt;/ref-type&gt;&lt;contributors&gt;&lt;authors&gt;&lt;author&gt;Huang, Jiaqi&lt;/author&gt;&lt;author&gt;Chi, Xiaowei&lt;/author&gt;&lt;author&gt;Wu, Jing&lt;/author&gt;&lt;author&gt;Liu, Jianjun&lt;/author&gt;&lt;author&gt;Liu, Yu&lt;/author&gt;&lt;/authors&gt;&lt;/contributors&gt;&lt;titles&gt;&lt;title&gt;High-concentration dual-complex electrolyte enabled a neutral aqueous zinc-manganese electrolytic battery with superior stability&lt;/title&gt;&lt;secondary-title&gt;Chemical Engineering Journal&lt;/secondary-title&gt;&lt;/titles&gt;&lt;periodical&gt;&lt;full-title&gt;Chemical Engineering Journal&lt;/full-title&gt;&lt;/periodical&gt;&lt;pages&gt;133058&lt;/pages&gt;&lt;volume&gt;430&lt;/volume&gt;&lt;keywords&gt;&lt;keyword&gt;Aqueous battery&lt;/keyword&gt;&lt;keyword&gt;Electrolysis&lt;/keyword&gt;&lt;keyword&gt;Zn anode&lt;/keyword&gt;&lt;keyword&gt;MnO&lt;/keyword&gt;&lt;keyword&gt;High-concentration electrolyte&lt;/keyword&gt;&lt;keyword&gt;Transition metal ammonia complex&lt;/keyword&gt;&lt;/keywords&gt;&lt;dates&gt;&lt;year&gt;2022&lt;/year&gt;&lt;pub-dates&gt;&lt;date&gt;2022/02/15/&lt;/date&gt;&lt;/pub-dates&gt;&lt;/dates&gt;&lt;isbn&gt;1385-8947&lt;/isbn&gt;&lt;urls&gt;&lt;related-urls&gt;&lt;url&gt;https://www.sciencedirect.com/science/article/pii/S1385894721046349&lt;/url&gt;&lt;/related-urls&gt;&lt;/urls&gt;&lt;electronic-resource-num&gt;https://doi.org/10.1016/j.cej.2021.133058&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[9]</w:t>
            </w:r>
            <w:r>
              <w:rPr>
                <w:rFonts w:ascii="Times New Roman" w:hAnsi="Times New Roman" w:cs="Times New Roman"/>
                <w:color w:val="0000FF"/>
                <w:szCs w:val="21"/>
              </w:rPr>
              <w:fldChar w:fldCharType="end"/>
            </w:r>
          </w:p>
        </w:tc>
      </w:tr>
      <w:tr w:rsidR="00536E8D" w14:paraId="5CB52831" w14:textId="77777777" w:rsidTr="00D02DF7">
        <w:trPr>
          <w:trHeight w:val="528"/>
          <w:jc w:val="center"/>
        </w:trPr>
        <w:tc>
          <w:tcPr>
            <w:tcW w:w="1131" w:type="pct"/>
            <w:vMerge/>
            <w:tcBorders>
              <w:top w:val="nil"/>
              <w:left w:val="nil"/>
              <w:bottom w:val="nil"/>
              <w:right w:val="nil"/>
            </w:tcBorders>
            <w:shd w:val="clear" w:color="auto" w:fill="FFFFFF"/>
            <w:vAlign w:val="center"/>
          </w:tcPr>
          <w:p w14:paraId="6592EEC3"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50DE97D0"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CESE-Interface</w:t>
            </w:r>
          </w:p>
        </w:tc>
        <w:tc>
          <w:tcPr>
            <w:tcW w:w="611" w:type="pct"/>
            <w:tcBorders>
              <w:top w:val="nil"/>
              <w:left w:val="nil"/>
              <w:bottom w:val="nil"/>
              <w:right w:val="nil"/>
            </w:tcBorders>
            <w:shd w:val="clear" w:color="auto" w:fill="FFFFFF"/>
            <w:vAlign w:val="center"/>
          </w:tcPr>
          <w:p w14:paraId="0672F2C3"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02D7E169"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1800</w:t>
            </w:r>
          </w:p>
        </w:tc>
        <w:tc>
          <w:tcPr>
            <w:tcW w:w="1390" w:type="pct"/>
            <w:tcBorders>
              <w:top w:val="nil"/>
              <w:left w:val="nil"/>
              <w:bottom w:val="nil"/>
              <w:right w:val="nil"/>
            </w:tcBorders>
            <w:shd w:val="clear" w:color="auto" w:fill="FFFFFF"/>
            <w:vAlign w:val="center"/>
          </w:tcPr>
          <w:p w14:paraId="2EEF1FF5" w14:textId="77DDE1CB"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J. Alloy. Compd.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26A9D74B"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&lt;EndNote&gt;&lt;Cite&gt;&lt;Author&gt;Liang&lt;/Author&gt;&lt;Year&gt;2024&lt;/Year&gt;&lt;RecNum&gt;3&lt;/RecNum&gt;&lt;DisplayText&gt;&lt;style face="superscript"&gt;[10]&lt;/style&gt;&lt;/DisplayText&gt;&lt;record&gt;&lt;rec-number&gt;3&lt;/rec-number&gt;&lt;foreign-keys&gt;&lt;key app="EN" db-id="rv0af5f27ft598evr2jv0p98razt50wxawar" timestamp="1750758002"&gt;3&lt;/key&gt;&lt;/foreign-keys&gt;&lt;ref-type name="Journal Article"&gt;17&lt;/ref-type&gt;&lt;contributors&gt;&lt;authors&gt;&lt;author&gt;Liang, Yuexin&lt;/author&gt;&lt;author&gt;Xie, Liheng&lt;/author&gt;&lt;author&gt;Zhang, Wentao&lt;/author&gt;&lt;author&gt;Guo, Fengjiao&lt;/author&gt;&lt;author&gt;Mi, Hongyu&lt;/author&gt;&lt;author&gt;Qiu, Jieshan&lt;/author&gt;&lt;/authors&gt;&lt;/contributors&gt;&lt;titles&gt;&lt;title&gt;Interfacial modulation via cationic electrostatic shielding effect for reversible and durable Zn anodes in hydrogel electrolytes&lt;/title&gt;&lt;secondary-title&gt;Journal of Alloys and Compounds&lt;/secondary-title&gt;&lt;/titles&gt;&lt;periodical&gt;&lt;full-title&gt;Journal of Alloys and Compounds&lt;/full-title&gt;&lt;/periodical&gt;&lt;pages&gt;173118&lt;/pages&gt;&lt;volume&gt;976&lt;/volume&gt;&lt;keywords&gt;&lt;keyword&gt;Zn anode issues&lt;/keyword&gt;&lt;keyword&gt;Hydrogel electrolytes&lt;/keyword&gt;&lt;keyword&gt;Electrode-electrolyte interface&lt;/keyword&gt;&lt;keyword&gt;Electrostatic shielding effect&lt;/keyword&gt;&lt;/keywords&gt;&lt;dates&gt;&lt;year&gt;2024&lt;/year&gt;&lt;pub-dates&gt;&lt;date&gt;2024/03/05/&lt;/date&gt;&lt;/pub-dates&gt;&lt;/dates&gt;&lt;isbn&gt;0925-8388&lt;/isbn&gt;&lt;urls&gt;&lt;related-urls&gt;&lt;url&gt;https://www.sciencedirect.com/science/article/pii/S0925838823044213&lt;/url&gt;&lt;/related-urls&gt;&lt;/urls&gt;&lt;electronic-resource-num&gt;https://doi.org/10.1016/j.jallcom.2023.173118&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[10]</w:t>
            </w:r>
            <w:r>
              <w:rPr>
                <w:rFonts w:ascii="Times New Roman" w:hAnsi="Times New Roman" w:cs="Times New Roman"/>
                <w:color w:val="0000FF"/>
                <w:szCs w:val="21"/>
              </w:rPr>
              <w:fldChar w:fldCharType="end"/>
            </w:r>
          </w:p>
        </w:tc>
      </w:tr>
      <w:tr w:rsidR="00536E8D" w14:paraId="3C2CE95D" w14:textId="77777777" w:rsidTr="00D02DF7">
        <w:trPr>
          <w:trHeight w:val="667"/>
          <w:jc w:val="center"/>
        </w:trPr>
        <w:tc>
          <w:tcPr>
            <w:tcW w:w="1131" w:type="pct"/>
            <w:vMerge/>
            <w:tcBorders>
              <w:top w:val="nil"/>
              <w:left w:val="nil"/>
              <w:bottom w:val="nil"/>
              <w:right w:val="nil"/>
            </w:tcBorders>
            <w:shd w:val="clear" w:color="auto" w:fill="FFFFFF"/>
            <w:vAlign w:val="center"/>
          </w:tcPr>
          <w:p w14:paraId="2CD3D8BD"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562E849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CESE-PA-Interface</w:t>
            </w:r>
          </w:p>
        </w:tc>
        <w:tc>
          <w:tcPr>
            <w:tcW w:w="611" w:type="pct"/>
            <w:tcBorders>
              <w:top w:val="nil"/>
              <w:left w:val="nil"/>
              <w:bottom w:val="nil"/>
              <w:right w:val="nil"/>
            </w:tcBorders>
            <w:shd w:val="clear" w:color="auto" w:fill="FFFFFF"/>
            <w:vAlign w:val="center"/>
          </w:tcPr>
          <w:p w14:paraId="51A10B4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2A39FFF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4000</w:t>
            </w:r>
          </w:p>
        </w:tc>
        <w:tc>
          <w:tcPr>
            <w:tcW w:w="1390" w:type="pct"/>
            <w:tcBorders>
              <w:top w:val="nil"/>
              <w:left w:val="nil"/>
              <w:bottom w:val="nil"/>
              <w:right w:val="nil"/>
            </w:tcBorders>
            <w:shd w:val="clear" w:color="auto" w:fill="FFFFFF"/>
            <w:vAlign w:val="center"/>
          </w:tcPr>
          <w:p w14:paraId="0E1CFBBA" w14:textId="463EF22F"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 xml:space="preserve">Adv. </w:t>
            </w:r>
            <w:proofErr w:type="spellStart"/>
            <w:r>
              <w:rPr>
                <w:rFonts w:ascii="Times New Roman" w:eastAsia="等线" w:hAnsi="Times New Roman" w:cs="Times New Roman"/>
                <w:color w:val="000000"/>
                <w:kern w:val="0"/>
                <w:szCs w:val="21"/>
                <w:lang w:bidi="ar"/>
              </w:rPr>
              <w:t>Funct</w:t>
            </w:r>
            <w:proofErr w:type="spellEnd"/>
            <w:r>
              <w:rPr>
                <w:rFonts w:ascii="Times New Roman" w:eastAsia="等线" w:hAnsi="Times New Roman" w:cs="Times New Roman"/>
                <w:color w:val="000000"/>
                <w:kern w:val="0"/>
                <w:szCs w:val="21"/>
                <w:lang w:bidi="ar"/>
              </w:rPr>
              <w:t>. Mater.</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08F1B802"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&lt;EndNote&gt;&lt;Cite&gt;&lt;Author&gt;Tang&lt;/Author&gt;&lt;Year&gt;2024&lt;/Year&gt;&lt;RecNum&gt;4&lt;/RecNum&gt;&lt;DisplayText&gt;&lt;style face="superscript"&gt;[11]&lt;/style&gt;&lt;/DisplayText&gt;&lt;record&gt;&lt;rec-number&gt;4&lt;/rec-number&gt;&lt;foreign-keys&gt;&lt;key app="EN" db-id="rv0af5f27ft598evr2jv0p98razt50wxawar" timestamp="1750758051"&gt;4&lt;/key&gt;&lt;/foreign-keys&gt;&lt;ref-type name="Journal Article"&gt;17&lt;/ref-type&gt;&lt;contributors&gt;&lt;authors&gt;&lt;author&gt;Tang, Huan&lt;/author&gt;&lt;author&gt;Hu, Nan&lt;/author&gt;&lt;author&gt;Ma, Linxiang&lt;/author&gt;&lt;author&gt;Weng, Haofan&lt;/author&gt;&lt;author&gt;Huang, Dan&lt;/author&gt;&lt;author&gt;Zhu, Jinliang&lt;/author&gt;&lt;author&gt;Yang, Hao&lt;/author&gt;&lt;author&gt;Chen, Zhengjun&lt;/author&gt;&lt;author&gt;Yin, Xucai&lt;/author&gt;&lt;author&gt;Xu, Jing&lt;/author&gt;&lt;author&gt;He, Huibing&lt;/author&gt;&lt;/authors&gt;&lt;/contributors&gt;&lt;titles&gt;&lt;title&gt;Interfacial Dual-Modulation via Cationic Electrostatic Shielding and Anionic Preferential Adsorption toward Planar and Reversible Zinc Electrodeposition&lt;/title&gt;&lt;secondary-title&gt;Advanced Functional Materials&lt;/secondary-title&gt;&lt;/titles&gt;&lt;periodical&gt;&lt;full-title&gt;Advanced Functional Materials&lt;/full-title&gt;&lt;/periodical&gt;&lt;pages&gt;2402484&lt;/pages&gt;&lt;volume&gt;34&lt;/volume&gt;&lt;number&gt;38&lt;/number&gt;&lt;dates&gt;&lt;year&gt;2024&lt;/year&gt;&lt;/dates&gt;&lt;isbn&gt;1616-301X&lt;/isbn&gt;&lt;urls&gt;&lt;related-urls&gt;&lt;url&gt;https://advanced.onlinelibrary.wiley.com/doi/abs/10.1002/adfm.202402484&lt;/url&gt;&lt;/related-urls&gt;&lt;/urls&gt;&lt;electronic-resource-num&gt;https://doi.org/10.1002/adfm.202402484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[11]</w:t>
            </w:r>
            <w:r>
              <w:rPr>
                <w:rFonts w:ascii="Times New Roman" w:hAnsi="Times New Roman" w:cs="Times New Roman"/>
                <w:color w:val="0000FF"/>
                <w:szCs w:val="21"/>
              </w:rPr>
              <w:fldChar w:fldCharType="end"/>
            </w:r>
          </w:p>
        </w:tc>
      </w:tr>
      <w:tr w:rsidR="00536E8D" w14:paraId="335BA537" w14:textId="77777777" w:rsidTr="00D02DF7">
        <w:trPr>
          <w:trHeight w:val="528"/>
          <w:jc w:val="center"/>
        </w:trPr>
        <w:tc>
          <w:tcPr>
            <w:tcW w:w="1131" w:type="pct"/>
            <w:vMerge/>
            <w:tcBorders>
              <w:top w:val="nil"/>
              <w:left w:val="nil"/>
              <w:bottom w:val="nil"/>
              <w:right w:val="nil"/>
            </w:tcBorders>
            <w:shd w:val="clear" w:color="auto" w:fill="FFFFFF"/>
            <w:vAlign w:val="center"/>
          </w:tcPr>
          <w:p w14:paraId="220156F3"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28716AAA"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CES-Zn</w:t>
            </w:r>
          </w:p>
        </w:tc>
        <w:tc>
          <w:tcPr>
            <w:tcW w:w="611" w:type="pct"/>
            <w:tcBorders>
              <w:top w:val="nil"/>
              <w:left w:val="nil"/>
              <w:bottom w:val="nil"/>
              <w:right w:val="nil"/>
            </w:tcBorders>
            <w:shd w:val="clear" w:color="auto" w:fill="FFFFFF"/>
            <w:vAlign w:val="center"/>
          </w:tcPr>
          <w:p w14:paraId="2215D30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3A4E64A7"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2000</w:t>
            </w:r>
          </w:p>
        </w:tc>
        <w:tc>
          <w:tcPr>
            <w:tcW w:w="1390" w:type="pct"/>
            <w:tcBorders>
              <w:top w:val="nil"/>
              <w:left w:val="nil"/>
              <w:bottom w:val="nil"/>
              <w:right w:val="nil"/>
            </w:tcBorders>
            <w:shd w:val="clear" w:color="auto" w:fill="FFFFFF"/>
            <w:vAlign w:val="center"/>
          </w:tcPr>
          <w:p w14:paraId="6C7826B8" w14:textId="19720538"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J. Alloy. Compd.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587248B1"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&lt;EndNote&gt;&lt;Cite&gt;&lt;Author&gt;Liang&lt;/Author&gt;&lt;Year&gt;2024&lt;/Year&gt;&lt;RecNum&gt;5&lt;/RecNum&gt;&lt;DisplayText&gt;&lt;style face="superscript"&gt;[10]&lt;/style&gt;&lt;/DisplayText&gt;&lt;record&gt;&lt;rec-number&gt;5&lt;/rec-number&gt;&lt;foreign-keys&gt;&lt;key app="EN" db-id="rv0af5f27ft598evr2jv0p98razt50wxawar" timestamp="1750758093"&gt;5&lt;/key&gt;&lt;/foreign-keys&gt;&lt;ref-type name="Journal Article"&gt;17&lt;/ref-type&gt;&lt;contributors&gt;&lt;authors&gt;&lt;author&gt;Liang, Yuexin&lt;/author&gt;&lt;author&gt;Xie, Liheng&lt;/author&gt;&lt;author&gt;Zhang, Wentao&lt;/author&gt;&lt;author&gt;Guo, Fengjiao&lt;/author&gt;&lt;author&gt;Mi, Hongyu&lt;/author&gt;&lt;author&gt;Qiu, Jieshan&lt;/author&gt;&lt;/authors&gt;&lt;/contributors&gt;&lt;titles&gt;&lt;title&gt;Interfacial modulation via cationic electrostatic shielding effect for reversible and durable Zn anodes in hydrogel electrolytes&lt;/title&gt;&lt;secondary-title&gt;Journal of Alloys and Compounds&lt;/secondary-title&gt;&lt;/titles&gt;&lt;periodical&gt;&lt;full-title&gt;Journal of Alloys and Compounds&lt;/full-title&gt;&lt;/periodical&gt;&lt;pages&gt;173118&lt;/pages&gt;&lt;volume&gt;976&lt;/volume&gt;&lt;keywords&gt;&lt;keyword&gt;Zn anode issues&lt;/keyword&gt;&lt;keyword&gt;Hydrogel electrolytes&lt;/keyword&gt;&lt;keyword&gt;Electrode-electrolyte interface&lt;/keyword&gt;&lt;keyword&gt;Electrostatic shielding effect&lt;/keyword&gt;&lt;/keywords&gt;&lt;dates&gt;&lt;year&gt;2024&lt;/year&gt;&lt;pub-dates&gt;&lt;date&gt;2024/03/05/&lt;/date&gt;&lt;/pub-dates&gt;&lt;/dates&gt;&lt;isbn&gt;0925-8388&lt;/isbn&gt;&lt;urls&gt;&lt;related-urls&gt;&lt;url&gt;https://www.sciencedirect.com/science/article/pii/S0925838823044213&lt;/url&gt;&lt;/related-urls&gt;&lt;/urls&gt;&lt;electronic-resource-num&gt;https://doi.org/10.1016/j.jallcom.2023.173118&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[10]</w:t>
            </w:r>
            <w:r>
              <w:rPr>
                <w:rFonts w:ascii="Times New Roman" w:hAnsi="Times New Roman" w:cs="Times New Roman"/>
                <w:color w:val="0000FF"/>
                <w:szCs w:val="21"/>
              </w:rPr>
              <w:fldChar w:fldCharType="end"/>
            </w:r>
          </w:p>
        </w:tc>
      </w:tr>
      <w:tr w:rsidR="00536E8D" w14:paraId="69378A85" w14:textId="77777777" w:rsidTr="00D02DF7">
        <w:trPr>
          <w:trHeight w:val="667"/>
          <w:jc w:val="center"/>
        </w:trPr>
        <w:tc>
          <w:tcPr>
            <w:tcW w:w="1131" w:type="pct"/>
            <w:vMerge/>
            <w:tcBorders>
              <w:top w:val="nil"/>
              <w:left w:val="nil"/>
              <w:bottom w:val="nil"/>
              <w:right w:val="nil"/>
            </w:tcBorders>
            <w:shd w:val="clear" w:color="auto" w:fill="FFFFFF"/>
            <w:vAlign w:val="center"/>
          </w:tcPr>
          <w:p w14:paraId="5DDDEC92"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25C982B8"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Aqueous-Zn</w:t>
            </w:r>
          </w:p>
        </w:tc>
        <w:tc>
          <w:tcPr>
            <w:tcW w:w="611" w:type="pct"/>
            <w:tcBorders>
              <w:top w:val="nil"/>
              <w:left w:val="nil"/>
              <w:bottom w:val="nil"/>
              <w:right w:val="nil"/>
            </w:tcBorders>
            <w:shd w:val="clear" w:color="auto" w:fill="FFFFFF"/>
            <w:vAlign w:val="center"/>
          </w:tcPr>
          <w:p w14:paraId="3EA892FA"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641B5B4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2500</w:t>
            </w:r>
          </w:p>
        </w:tc>
        <w:tc>
          <w:tcPr>
            <w:tcW w:w="1390" w:type="pct"/>
            <w:tcBorders>
              <w:top w:val="nil"/>
              <w:left w:val="nil"/>
              <w:bottom w:val="nil"/>
              <w:right w:val="nil"/>
            </w:tcBorders>
            <w:shd w:val="clear" w:color="auto" w:fill="FFFFFF"/>
            <w:vAlign w:val="center"/>
          </w:tcPr>
          <w:p w14:paraId="0888D609" w14:textId="30FA9D51"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Chem. Electro. Chem.</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2023</w:t>
            </w:r>
          </w:p>
        </w:tc>
        <w:tc>
          <w:tcPr>
            <w:tcW w:w="364" w:type="pct"/>
            <w:tcBorders>
              <w:top w:val="nil"/>
              <w:left w:val="nil"/>
              <w:bottom w:val="nil"/>
              <w:right w:val="nil"/>
            </w:tcBorders>
            <w:shd w:val="clear" w:color="auto" w:fill="FFFFFF"/>
            <w:vAlign w:val="center"/>
          </w:tcPr>
          <w:p w14:paraId="0487CFB2"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&lt;EndNote&gt;&lt;Cite&gt;&lt;Author&gt;Gao&lt;/Author&gt;&lt;Year&gt;2023&lt;/Year&gt;&lt;RecNum&gt;6&lt;/RecNum&gt;&lt;DisplayText&gt;&lt;style face="superscript"&gt;[12]&lt;/style&gt;&lt;/DisplayText&gt;&lt;record&gt;&lt;rec-number&gt;6&lt;/rec-number&gt;&lt;foreign-keys&gt;&lt;key app="EN" db-id="rv0af5f27ft598evr2jv0p98razt50wxawar" timestamp="1750758253"&gt;6&lt;/key&gt;&lt;/foreign-keys&gt;&lt;ref-type name="Journal Article"&gt;17&lt;/ref-type&gt;&lt;contributors&gt;&lt;authors&gt;&lt;author&gt;Gao, Xuan&lt;/author&gt;&lt;author&gt;Dong, Haobo&lt;/author&gt;&lt;author&gt;Carmalt, Claire J.&lt;/author&gt;&lt;author&gt;He, Guanjie&lt;/author&gt;&lt;/authors&gt;&lt;/contributors&gt;&lt;titles&gt;&lt;title&gt;Recent Advances of Aqueous Electrolytes for Zinc-Ion Batteries to Mitigate Side Reactions: A Review&lt;/title&gt;&lt;secondary-title&gt;ChemElectroChem&lt;/secondary-title&gt;&lt;/titles&gt;&lt;periodical&gt;&lt;full-title&gt;ChemElectroChem&lt;/full-title&gt;&lt;/periodical&gt;&lt;pages&gt;e202300200&lt;/pages&gt;&lt;volume&gt;10&lt;/volume&gt;&lt;number&gt;19&lt;/number&gt;&lt;dates&gt;&lt;year&gt;2023&lt;/year&gt;&lt;/dates&gt;&lt;isbn&gt;2196-0216&lt;/isbn&gt;&lt;urls&gt;&lt;related-urls&gt;&lt;url&gt;https://chemistry-europe.onlinelibrary.wiley.com/doi/abs/10.1002/celc.202300200&lt;/url&gt;&lt;/related-urls&gt;&lt;/urls&gt;&lt;electronic-resource-num&gt;https://doi.org/10.1002/celc.202300200&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[12]</w:t>
            </w:r>
            <w:r>
              <w:rPr>
                <w:rFonts w:ascii="Times New Roman" w:hAnsi="Times New Roman" w:cs="Times New Roman"/>
                <w:color w:val="0000FF"/>
                <w:szCs w:val="21"/>
              </w:rPr>
              <w:fldChar w:fldCharType="end"/>
            </w:r>
          </w:p>
        </w:tc>
      </w:tr>
      <w:tr w:rsidR="00536E8D" w14:paraId="4328FD68" w14:textId="77777777" w:rsidTr="00D02DF7">
        <w:trPr>
          <w:trHeight w:val="667"/>
          <w:jc w:val="center"/>
        </w:trPr>
        <w:tc>
          <w:tcPr>
            <w:tcW w:w="1131" w:type="pct"/>
            <w:vMerge/>
            <w:tcBorders>
              <w:top w:val="nil"/>
              <w:left w:val="nil"/>
              <w:bottom w:val="nil"/>
              <w:right w:val="nil"/>
            </w:tcBorders>
            <w:shd w:val="clear" w:color="auto" w:fill="FFFFFF"/>
            <w:vAlign w:val="center"/>
          </w:tcPr>
          <w:p w14:paraId="12CA0CA0"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6C5316B6"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pH-Buffer-ZnI</w:t>
            </w:r>
            <w:r>
              <w:rPr>
                <w:rFonts w:ascii="Times New Roman" w:eastAsia="等线" w:hAnsi="Times New Roman" w:cs="Times New Roman"/>
                <w:color w:val="000000"/>
                <w:kern w:val="0"/>
                <w:szCs w:val="21"/>
                <w:vertAlign w:val="subscript"/>
                <w:lang w:bidi="ar"/>
              </w:rPr>
              <w:t>2</w:t>
            </w:r>
          </w:p>
        </w:tc>
        <w:tc>
          <w:tcPr>
            <w:tcW w:w="611" w:type="pct"/>
            <w:tcBorders>
              <w:top w:val="nil"/>
              <w:left w:val="nil"/>
              <w:bottom w:val="nil"/>
              <w:right w:val="nil"/>
            </w:tcBorders>
            <w:shd w:val="clear" w:color="auto" w:fill="FFFFFF"/>
            <w:vAlign w:val="center"/>
          </w:tcPr>
          <w:p w14:paraId="4A9B33F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3F262BBB"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2000</w:t>
            </w:r>
          </w:p>
        </w:tc>
        <w:tc>
          <w:tcPr>
            <w:tcW w:w="1390" w:type="pct"/>
            <w:tcBorders>
              <w:top w:val="nil"/>
              <w:left w:val="nil"/>
              <w:bottom w:val="nil"/>
              <w:right w:val="nil"/>
            </w:tcBorders>
            <w:shd w:val="clear" w:color="auto" w:fill="FFFFFF"/>
            <w:vAlign w:val="center"/>
          </w:tcPr>
          <w:p w14:paraId="36686EF7" w14:textId="2716CE71"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Angew</w:t>
            </w:r>
            <w:proofErr w:type="spellEnd"/>
            <w:r>
              <w:rPr>
                <w:rFonts w:ascii="Times New Roman" w:eastAsia="等线" w:hAnsi="Times New Roman" w:cs="Times New Roman"/>
                <w:color w:val="000000"/>
                <w:kern w:val="0"/>
                <w:szCs w:val="21"/>
                <w:lang w:bidi="ar"/>
              </w:rPr>
              <w:t>. Chem. Int. Ed.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2023</w:t>
            </w:r>
          </w:p>
        </w:tc>
        <w:tc>
          <w:tcPr>
            <w:tcW w:w="364" w:type="pct"/>
            <w:tcBorders>
              <w:top w:val="nil"/>
              <w:left w:val="nil"/>
              <w:bottom w:val="nil"/>
              <w:right w:val="nil"/>
            </w:tcBorders>
            <w:shd w:val="clear" w:color="auto" w:fill="FFFFFF"/>
            <w:vAlign w:val="center"/>
          </w:tcPr>
          <w:p w14:paraId="5F75BEE3"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&lt;EndNote&gt;&lt;Cite&gt;&lt;Author&gt;Lyu&lt;/Author&gt;&lt;Year&gt;2023&lt;/Year&gt;&lt;RecNum&gt;7&lt;/RecNum&gt;&lt;DisplayText&gt;&lt;style face="superscript"&gt;[13]&lt;/style&gt;&lt;/DisplayText&gt;&lt;record&gt;&lt;rec-number&gt;7&lt;/rec-number&gt;&lt;foreign-keys&gt;&lt;key app="EN" db-id="rv0af5f27ft598evr2jv0p98razt50wxawar" timestamp="1750758299"&gt;7&lt;/key&gt;&lt;/foreign-keys&gt;&lt;ref-type name="Journal Article"&gt;17&lt;/ref-type&gt;&lt;contributors&gt;&lt;authors&gt;&lt;author&gt;Lyu, Yanqiu&lt;/author&gt;&lt;author&gt;Yuwono, Jodie A.&lt;/author&gt;&lt;author&gt;Wang, Pengtang&lt;/author&gt;&lt;author&gt;Wang, Yanyan&lt;/author&gt;&lt;author&gt;Yang, Fuhua&lt;/author&gt;&lt;author&gt;Liu, Sailin&lt;/author&gt;&lt;author&gt;Zhang, Shilin&lt;/author&gt;&lt;author&gt;Wang, Baofeng&lt;/author&gt;&lt;author&gt;Davey, Kenneth&lt;/author&gt;&lt;author&gt;Mao, Jianfeng&lt;/author&gt;&lt;author&gt;Guo, Zaiping&lt;/author&gt;&lt;/authors&gt;&lt;/contributors&gt;&lt;titles&gt;&lt;title&gt;Organic pH Buffer for Dendrite-Free and Shuttle-Free Zn-I2 Batteries&lt;/title&gt;&lt;secondary-title&gt;Angewandte Chemie International Edition&lt;/secondary-title&gt;&lt;/titles&gt;&lt;periodical&gt;&lt;full-title&gt;Angewandte Chemie International Edition&lt;/full-title&gt;&lt;/periodical&gt;&lt;pages&gt;e202303011&lt;/pages&gt;&lt;volume&gt;62&lt;/volume&gt;&lt;number&gt;21&lt;/number&gt;&lt;dates&gt;&lt;year&gt;2023&lt;/year&gt;&lt;/dates&gt;&lt;isbn&gt;1433-7851&lt;/isbn&gt;&lt;urls&gt;&lt;related-urls&gt;&lt;url&gt;https://onlinelibrary.wiley.com/doi/abs/10.1002/anie.202303011&lt;/url&gt;&lt;/related-urls&gt;&lt;/urls&gt;&lt;electronic-resource-num&gt;https://doi.org/10.1002/anie.202303011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[13]</w:t>
            </w:r>
            <w:r>
              <w:rPr>
                <w:rFonts w:ascii="Times New Roman" w:hAnsi="Times New Roman" w:cs="Times New Roman"/>
                <w:color w:val="0000FF"/>
                <w:szCs w:val="21"/>
              </w:rPr>
              <w:fldChar w:fldCharType="end"/>
            </w:r>
          </w:p>
        </w:tc>
      </w:tr>
      <w:tr w:rsidR="00536E8D" w14:paraId="5C8E933F" w14:textId="77777777" w:rsidTr="00D02DF7">
        <w:trPr>
          <w:trHeight w:val="673"/>
          <w:jc w:val="center"/>
        </w:trPr>
        <w:tc>
          <w:tcPr>
            <w:tcW w:w="1131" w:type="pct"/>
            <w:vMerge/>
            <w:tcBorders>
              <w:top w:val="nil"/>
              <w:left w:val="nil"/>
              <w:bottom w:val="nil"/>
              <w:right w:val="nil"/>
            </w:tcBorders>
            <w:shd w:val="clear" w:color="auto" w:fill="FFFFFF"/>
            <w:vAlign w:val="center"/>
          </w:tcPr>
          <w:p w14:paraId="168E4AB0"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6BD3F57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Dual-Modulation-Zn</w:t>
            </w:r>
          </w:p>
        </w:tc>
        <w:tc>
          <w:tcPr>
            <w:tcW w:w="611" w:type="pct"/>
            <w:tcBorders>
              <w:top w:val="nil"/>
              <w:left w:val="nil"/>
              <w:bottom w:val="nil"/>
              <w:right w:val="nil"/>
            </w:tcBorders>
            <w:shd w:val="clear" w:color="auto" w:fill="FFFFFF"/>
            <w:vAlign w:val="center"/>
          </w:tcPr>
          <w:p w14:paraId="3D7D950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w:t>
            </w:r>
          </w:p>
        </w:tc>
        <w:tc>
          <w:tcPr>
            <w:tcW w:w="573" w:type="pct"/>
            <w:tcBorders>
              <w:top w:val="nil"/>
              <w:left w:val="nil"/>
              <w:bottom w:val="nil"/>
              <w:right w:val="nil"/>
            </w:tcBorders>
            <w:shd w:val="clear" w:color="auto" w:fill="FFFFFF"/>
            <w:vAlign w:val="center"/>
          </w:tcPr>
          <w:p w14:paraId="15CBE91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1400</w:t>
            </w:r>
          </w:p>
        </w:tc>
        <w:tc>
          <w:tcPr>
            <w:tcW w:w="1390" w:type="pct"/>
            <w:tcBorders>
              <w:top w:val="nil"/>
              <w:left w:val="nil"/>
              <w:bottom w:val="nil"/>
              <w:right w:val="nil"/>
            </w:tcBorders>
            <w:shd w:val="clear" w:color="auto" w:fill="FFFFFF"/>
            <w:vAlign w:val="center"/>
          </w:tcPr>
          <w:p w14:paraId="4AB906BE" w14:textId="1D74DB89"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 xml:space="preserve">Adv. </w:t>
            </w:r>
            <w:proofErr w:type="spellStart"/>
            <w:r>
              <w:rPr>
                <w:rFonts w:ascii="Times New Roman" w:eastAsia="等线" w:hAnsi="Times New Roman" w:cs="Times New Roman"/>
                <w:color w:val="000000"/>
                <w:kern w:val="0"/>
                <w:szCs w:val="21"/>
                <w:lang w:bidi="ar"/>
              </w:rPr>
              <w:t>Funct</w:t>
            </w:r>
            <w:proofErr w:type="spellEnd"/>
            <w:r>
              <w:rPr>
                <w:rFonts w:ascii="Times New Roman" w:eastAsia="等线" w:hAnsi="Times New Roman" w:cs="Times New Roman"/>
                <w:color w:val="000000"/>
                <w:kern w:val="0"/>
                <w:szCs w:val="21"/>
                <w:lang w:bidi="ar"/>
              </w:rPr>
              <w:t>. Mater.</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3744917F"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&lt;EndNote&gt;&lt;Cite&gt;&lt;Author&gt;Tang&lt;/Author&gt;&lt;Year&gt;2024&lt;/Year&gt;&lt;RecNum&gt;4&lt;/RecNum&gt;&lt;DisplayText&gt;&lt;style face="superscript"&gt;[11]&lt;/style&gt;&lt;/DisplayText&gt;&lt;record&gt;&lt;rec-number&gt;4&lt;/rec-number&gt;&lt;foreign-keys&gt;&lt;key app="EN" db-id="rv0af5f27ft598evr2jv0p98razt50wxawar" timestamp="1750758051"&gt;4&lt;/key&gt;&lt;/foreign-keys&gt;&lt;ref-type name="Journal Article"&gt;17&lt;/ref-type&gt;&lt;contributors&gt;&lt;authors&gt;&lt;author&gt;Tang, Huan&lt;/author&gt;&lt;author&gt;Hu, Nan&lt;/author&gt;&lt;author&gt;Ma, Linxiang&lt;/author&gt;&lt;author&gt;Weng, Haofan&lt;/author&gt;&lt;author&gt;Huang, Dan&lt;/author&gt;&lt;author&gt;Zhu, Jinliang&lt;/author&gt;&lt;author&gt;Yang, Hao&lt;/author&gt;&lt;author&gt;Chen, Zhengjun&lt;/author&gt;&lt;author&gt;Yin, Xucai&lt;/author&gt;&lt;author&gt;Xu, Jing&lt;/author&gt;&lt;author&gt;He, Huibing&lt;/author&gt;&lt;/authors&gt;&lt;/contributors&gt;&lt;titles&gt;&lt;title&gt;Interfacial Dual-Modulation via Cationic Electrostatic Shielding and Anionic Preferential Adsorption toward Planar and Reversible Zinc Electrodeposition&lt;/title&gt;&lt;secondary-title&gt;Advanced Functional Materials&lt;/secondary-title&gt;&lt;/titles&gt;&lt;periodical&gt;&lt;full-title&gt;Advanced Functional Materials&lt;/full-title&gt;&lt;/periodical&gt;&lt;pages&gt;2402484&lt;/pages&gt;&lt;volume&gt;34&lt;/volume&gt;&lt;number&gt;38&lt;/number&gt;&lt;dates&gt;&lt;year&gt;2024&lt;/year&gt;&lt;/dates&gt;&lt;isbn&gt;1616-301X&lt;/isbn&gt;&lt;urls&gt;&lt;related-urls&gt;&lt;url&gt;https://advanced.onlinelibrary.wiley.com/doi/abs/10.1002/adfm.202402484&lt;/url&gt;&lt;/related-urls&gt;&lt;/urls&gt;&lt;electronic-resource-num&gt;https://doi.org/10.1002/adfm.202402484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[11]</w:t>
            </w:r>
            <w:r>
              <w:rPr>
                <w:rFonts w:ascii="Times New Roman" w:hAnsi="Times New Roman" w:cs="Times New Roman"/>
                <w:color w:val="0000FF"/>
                <w:szCs w:val="21"/>
              </w:rPr>
              <w:fldChar w:fldCharType="end"/>
            </w:r>
          </w:p>
        </w:tc>
      </w:tr>
      <w:tr w:rsidR="00536E8D" w14:paraId="7CCE6771" w14:textId="77777777" w:rsidTr="00D02DF7">
        <w:trPr>
          <w:trHeight w:val="580"/>
          <w:jc w:val="center"/>
        </w:trPr>
        <w:tc>
          <w:tcPr>
            <w:tcW w:w="1131" w:type="pct"/>
            <w:vMerge w:val="restart"/>
            <w:tcBorders>
              <w:top w:val="nil"/>
              <w:left w:val="nil"/>
              <w:bottom w:val="nil"/>
              <w:right w:val="nil"/>
            </w:tcBorders>
            <w:shd w:val="clear" w:color="auto" w:fill="FFFFFF"/>
            <w:vAlign w:val="center"/>
          </w:tcPr>
          <w:p w14:paraId="64B3B71E" w14:textId="77777777" w:rsidR="00536E8D" w:rsidRDefault="00536E8D">
            <w:pPr>
              <w:jc w:val="center"/>
              <w:rPr>
                <w:rFonts w:ascii="Times New Roman" w:hAnsi="Times New Roman" w:cs="Times New Roman"/>
                <w:color w:val="000000"/>
                <w:szCs w:val="21"/>
              </w:rPr>
            </w:pPr>
          </w:p>
          <w:p w14:paraId="5D84F4EE" w14:textId="77777777" w:rsidR="00536E8D" w:rsidRDefault="00536E8D">
            <w:pPr>
              <w:jc w:val="center"/>
              <w:rPr>
                <w:rFonts w:ascii="Times New Roman" w:hAnsi="Times New Roman" w:cs="Times New Roman"/>
                <w:color w:val="000000"/>
                <w:szCs w:val="21"/>
              </w:rPr>
            </w:pPr>
          </w:p>
          <w:p w14:paraId="50B5320A" w14:textId="77777777" w:rsidR="00536E8D" w:rsidRDefault="00536E8D">
            <w:pPr>
              <w:jc w:val="center"/>
              <w:rPr>
                <w:rFonts w:ascii="Times New Roman" w:hAnsi="Times New Roman" w:cs="Times New Roman"/>
                <w:color w:val="000000"/>
                <w:szCs w:val="21"/>
              </w:rPr>
            </w:pPr>
          </w:p>
          <w:p w14:paraId="524D92D5" w14:textId="77777777" w:rsidR="00536E8D" w:rsidRDefault="00536E8D">
            <w:pPr>
              <w:jc w:val="center"/>
              <w:rPr>
                <w:rFonts w:ascii="Times New Roman" w:hAnsi="Times New Roman" w:cs="Times New Roman"/>
                <w:color w:val="000000"/>
                <w:szCs w:val="21"/>
              </w:rPr>
            </w:pPr>
          </w:p>
          <w:p w14:paraId="0506D01F" w14:textId="77777777" w:rsidR="00536E8D" w:rsidRDefault="00536E8D">
            <w:pPr>
              <w:jc w:val="center"/>
              <w:rPr>
                <w:rFonts w:ascii="Times New Roman" w:hAnsi="Times New Roman" w:cs="Times New Roman"/>
                <w:color w:val="000000"/>
                <w:szCs w:val="21"/>
              </w:rPr>
            </w:pPr>
          </w:p>
          <w:p w14:paraId="716AE776" w14:textId="77777777" w:rsidR="00536E8D" w:rsidRDefault="00B21C59">
            <w:pPr>
              <w:jc w:val="center"/>
              <w:rPr>
                <w:rFonts w:ascii="Times New Roman" w:hAnsi="Times New Roman" w:cs="Times New Roman"/>
                <w:szCs w:val="21"/>
              </w:rPr>
            </w:pPr>
            <w:r>
              <w:rPr>
                <w:rFonts w:ascii="Times New Roman" w:hAnsi="Times New Roman" w:cs="Times New Roman"/>
                <w:color w:val="000000"/>
                <w:szCs w:val="21"/>
              </w:rPr>
              <w:t>Bionic</w:t>
            </w:r>
          </w:p>
        </w:tc>
        <w:tc>
          <w:tcPr>
            <w:tcW w:w="932" w:type="pct"/>
            <w:tcBorders>
              <w:top w:val="nil"/>
              <w:left w:val="nil"/>
              <w:bottom w:val="nil"/>
              <w:right w:val="nil"/>
            </w:tcBorders>
            <w:shd w:val="clear" w:color="auto" w:fill="FFFFFF"/>
            <w:vAlign w:val="center"/>
          </w:tcPr>
          <w:p w14:paraId="2D3E8E88"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SA-Electrolyte</w:t>
            </w:r>
          </w:p>
        </w:tc>
        <w:tc>
          <w:tcPr>
            <w:tcW w:w="611" w:type="pct"/>
            <w:tcBorders>
              <w:top w:val="nil"/>
              <w:left w:val="nil"/>
              <w:bottom w:val="nil"/>
              <w:right w:val="nil"/>
            </w:tcBorders>
            <w:shd w:val="clear" w:color="auto" w:fill="FFFFFF"/>
            <w:vAlign w:val="center"/>
          </w:tcPr>
          <w:p w14:paraId="53EECA33"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w:t>
            </w:r>
          </w:p>
        </w:tc>
        <w:tc>
          <w:tcPr>
            <w:tcW w:w="573" w:type="pct"/>
            <w:tcBorders>
              <w:top w:val="nil"/>
              <w:left w:val="nil"/>
              <w:bottom w:val="nil"/>
              <w:right w:val="nil"/>
            </w:tcBorders>
            <w:shd w:val="clear" w:color="auto" w:fill="FFFFFF"/>
            <w:vAlign w:val="center"/>
          </w:tcPr>
          <w:p w14:paraId="0ACFFBB8"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3000</w:t>
            </w:r>
          </w:p>
        </w:tc>
        <w:tc>
          <w:tcPr>
            <w:tcW w:w="1390" w:type="pct"/>
            <w:tcBorders>
              <w:top w:val="nil"/>
              <w:left w:val="nil"/>
              <w:bottom w:val="nil"/>
              <w:right w:val="nil"/>
            </w:tcBorders>
            <w:shd w:val="clear" w:color="auto" w:fill="FFFFFF"/>
            <w:vAlign w:val="center"/>
          </w:tcPr>
          <w:p w14:paraId="67F8789D" w14:textId="0344AEAD"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Angew</w:t>
            </w:r>
            <w:proofErr w:type="spellEnd"/>
            <w:r>
              <w:rPr>
                <w:rFonts w:ascii="Times New Roman" w:eastAsia="等线" w:hAnsi="Times New Roman" w:cs="Times New Roman"/>
                <w:color w:val="000000"/>
                <w:kern w:val="0"/>
                <w:szCs w:val="21"/>
                <w:lang w:bidi="ar"/>
              </w:rPr>
              <w:t>. Chem. Int. Ed.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2023</w:t>
            </w:r>
          </w:p>
        </w:tc>
        <w:tc>
          <w:tcPr>
            <w:tcW w:w="364" w:type="pct"/>
            <w:tcBorders>
              <w:top w:val="nil"/>
              <w:left w:val="nil"/>
              <w:bottom w:val="nil"/>
              <w:right w:val="nil"/>
            </w:tcBorders>
            <w:shd w:val="clear" w:color="auto" w:fill="FFFFFF"/>
            <w:vAlign w:val="center"/>
          </w:tcPr>
          <w:p w14:paraId="423816C5"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&lt;EndNote&gt;&lt;Cite&gt;&lt;Author&gt;Dong&lt;/Author&gt;&lt;Year&gt;2023&lt;/Year&gt;&lt;RecNum&gt;8&lt;/RecNum&gt;&lt;DisplayText&gt;&lt;style face="superscript"&gt;[14]&lt;/style&gt;&lt;/DisplayText&gt;&lt;record&gt;&lt;rec-number&gt;8&lt;/rec-number&gt;&lt;foreign-keys&gt;&lt;key app="EN" db-id="rv0af5f27ft598evr2jv0p98razt50wxawar" timestamp="1750758396"&gt;8&lt;/key&gt;&lt;/foreign-keys&gt;&lt;ref-type name="Journal Article"&gt;17&lt;/ref-type&gt;&lt;contributors&gt;&lt;authors&gt;&lt;author&gt;Dong, Haobo&lt;/author&gt;&lt;author&gt;Hu, Xueying&lt;/author&gt;&lt;author&gt;Liu, Ruirui&lt;/author&gt;&lt;author&gt;Ouyang, Mengzheng&lt;/author&gt;&lt;author&gt;He, Hongzhen&lt;/author&gt;&lt;author&gt;Wang, Tianlei&lt;/author&gt;&lt;author&gt;Gao, Xuan&lt;/author&gt;&lt;author&gt;Dai, Yuhang&lt;/author&gt;&lt;author&gt;Zhang, Wei&lt;/author&gt;&lt;author&gt;Liu, Yiyang&lt;/author&gt;&lt;author&gt;Zhou, Yongquan&lt;/author&gt;&lt;author&gt;Brett, Dan J. L.&lt;/author&gt;&lt;author&gt;Parkin, Ivan P.&lt;/author&gt;&lt;author&gt;Shearing, Paul R.&lt;/author&gt;&lt;author&gt;He, Guanjie&lt;/author&gt;&lt;/authors&gt;&lt;/contributors&gt;&lt;titles&gt;&lt;title&gt;Bio-Inspired Polyanionic Electrolytes for Highly Stable Zinc-Ion Batteries&lt;/title&gt;&lt;secondary-title&gt;Angewandte Chemie International Edition&lt;/secondary-title&gt;&lt;/titles&gt;&lt;periodical&gt;&lt;full-title&gt;Angewandte Chemie International Edition&lt;/full-title&gt;&lt;/periodical&gt;&lt;pages&gt;e202311268&lt;/pages&gt;&lt;volume&gt;62&lt;/volume&gt;&lt;number&gt;41&lt;/number&gt;&lt;dates&gt;&lt;year&gt;2023&lt;/year&gt;&lt;/dates&gt;&lt;isbn&gt;1433-7851&lt;/isbn&gt;&lt;urls&gt;&lt;related-urls&gt;&lt;url&gt;https://onlinelibrary.wiley.com/doi/abs/10.1002/anie.202311268&lt;/url&gt;&lt;/related-urls&gt;&lt;/urls&gt;&lt;electronic-resource-num&gt;https://doi.org/10.1002/anie.202311268&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[14]</w:t>
            </w:r>
            <w:r>
              <w:rPr>
                <w:rFonts w:ascii="Times New Roman" w:hAnsi="Times New Roman" w:cs="Times New Roman"/>
                <w:color w:val="0000FF"/>
                <w:szCs w:val="21"/>
              </w:rPr>
              <w:fldChar w:fldCharType="end"/>
            </w:r>
          </w:p>
        </w:tc>
      </w:tr>
      <w:tr w:rsidR="00536E8D" w14:paraId="6BE572A1" w14:textId="77777777" w:rsidTr="00D02DF7">
        <w:trPr>
          <w:trHeight w:val="528"/>
          <w:jc w:val="center"/>
        </w:trPr>
        <w:tc>
          <w:tcPr>
            <w:tcW w:w="1131" w:type="pct"/>
            <w:vMerge/>
            <w:tcBorders>
              <w:top w:val="nil"/>
              <w:left w:val="nil"/>
              <w:bottom w:val="nil"/>
              <w:right w:val="nil"/>
            </w:tcBorders>
            <w:shd w:val="clear" w:color="auto" w:fill="FFFFFF"/>
            <w:vAlign w:val="center"/>
          </w:tcPr>
          <w:p w14:paraId="15635F20"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204518E2" w14:textId="77777777"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ZnAsp</w:t>
            </w:r>
            <w:proofErr w:type="spellEnd"/>
            <w:r>
              <w:rPr>
                <w:rFonts w:ascii="Times New Roman" w:eastAsia="等线" w:hAnsi="Times New Roman" w:cs="Times New Roman"/>
                <w:color w:val="000000"/>
                <w:kern w:val="0"/>
                <w:szCs w:val="21"/>
                <w:lang w:bidi="ar"/>
              </w:rPr>
              <w:t>-Additive</w:t>
            </w:r>
          </w:p>
        </w:tc>
        <w:tc>
          <w:tcPr>
            <w:tcW w:w="611" w:type="pct"/>
            <w:tcBorders>
              <w:top w:val="nil"/>
              <w:left w:val="nil"/>
              <w:bottom w:val="nil"/>
              <w:right w:val="nil"/>
            </w:tcBorders>
            <w:shd w:val="clear" w:color="auto" w:fill="FFFFFF"/>
            <w:vAlign w:val="center"/>
          </w:tcPr>
          <w:p w14:paraId="15D849CE"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2594240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1800</w:t>
            </w:r>
          </w:p>
        </w:tc>
        <w:tc>
          <w:tcPr>
            <w:tcW w:w="1390" w:type="pct"/>
            <w:tcBorders>
              <w:top w:val="nil"/>
              <w:left w:val="nil"/>
              <w:bottom w:val="nil"/>
              <w:right w:val="nil"/>
            </w:tcBorders>
            <w:shd w:val="clear" w:color="auto" w:fill="FFFFFF"/>
            <w:vAlign w:val="center"/>
          </w:tcPr>
          <w:p w14:paraId="3F37D3C0" w14:textId="2098B56D"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Small</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5BC33C19"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&lt;EndNote&gt;&lt;Cite&gt;&lt;Author&gt;Huang&lt;/Author&gt;&lt;Year&gt;2024&lt;/Year&gt;&lt;RecNum&gt;9&lt;/RecNum&gt;&lt;DisplayText&gt;&lt;style face="superscript"&gt;[15]&lt;/style&gt;&lt;/DisplayText&gt;&lt;record&gt;&lt;rec-number&gt;9&lt;/rec-number&gt;&lt;foreign-keys&gt;&lt;key app="EN" db-id="rv0af5f27ft598evr2jv0p98razt50wxawar" timestamp="1750758452"&gt;9&lt;/key&gt;&lt;/foreign-keys&gt;&lt;ref-type name="Journal Article"&gt;17&lt;/ref-type&gt;&lt;contributors&gt;&lt;authors&gt;&lt;author&gt;Huang, Yang&lt;/author&gt;&lt;author&gt;Zhuang, Yuexin&lt;/author&gt;&lt;author&gt;Guo, Li&lt;/author&gt;&lt;author&gt;Lei, Chongjia&lt;/author&gt;&lt;author&gt;Jiang, Yue&lt;/author&gt;&lt;author&gt;Liu, Zhenjie&lt;/author&gt;&lt;author&gt;Zhao, Yuzhen&lt;/author&gt;&lt;author&gt;Xing, Kangqian&lt;/author&gt;&lt;author&gt;Wu, Xiangrong&lt;/author&gt;&lt;author&gt;Luo, Shaojuan&lt;/author&gt;&lt;author&gt;Chen, Guangming&lt;/author&gt;&lt;author&gt;Liu, Zhuoxin&lt;/author&gt;&lt;author&gt;Hu, Zhe&lt;/author&gt;&lt;/authors&gt;&lt;/contributors&gt;&lt;titles&gt;&lt;title&gt;Stabilizing Anode-Electrolyte Interface for Dendrite-Free Zn-Ion Batteries Through Orientational Plating with Zinc Aspartate Additive&lt;/title&gt;&lt;secondary-title&gt;Small&lt;/secondary-title&gt;&lt;/titles&gt;&lt;periodical&gt;&lt;full-title&gt;Small&lt;/full-title&gt;&lt;/periodical&gt;&lt;pages&gt;2306211&lt;/pages&gt;&lt;volume&gt;20&lt;/volume&gt;&lt;number&gt;10&lt;/number&gt;&lt;dates&gt;&lt;year&gt;2024&lt;/year&gt;&lt;/dates&gt;&lt;isbn&gt;1613-6810&lt;/isbn&gt;&lt;urls&gt;&lt;related-urls&gt;&lt;url&gt;https://onlinelibrary.wiley.com/doi/abs/10.1002/smll.202306211&lt;/url&gt;&lt;/related-urls&gt;&lt;/urls&gt;&lt;electronic-resource-num&gt;https://doi.org/10.1002/smll.202306211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[15]</w:t>
            </w:r>
            <w:r>
              <w:rPr>
                <w:rFonts w:ascii="Times New Roman" w:hAnsi="Times New Roman" w:cs="Times New Roman"/>
                <w:color w:val="0000FF"/>
                <w:szCs w:val="21"/>
              </w:rPr>
              <w:fldChar w:fldCharType="end"/>
            </w:r>
          </w:p>
        </w:tc>
      </w:tr>
      <w:tr w:rsidR="00536E8D" w14:paraId="308128AD" w14:textId="77777777" w:rsidTr="00D02DF7">
        <w:trPr>
          <w:trHeight w:val="528"/>
          <w:jc w:val="center"/>
        </w:trPr>
        <w:tc>
          <w:tcPr>
            <w:tcW w:w="1131" w:type="pct"/>
            <w:vMerge/>
            <w:tcBorders>
              <w:top w:val="nil"/>
              <w:left w:val="nil"/>
              <w:bottom w:val="nil"/>
              <w:right w:val="nil"/>
            </w:tcBorders>
            <w:shd w:val="clear" w:color="auto" w:fill="FFFFFF"/>
            <w:vAlign w:val="center"/>
          </w:tcPr>
          <w:p w14:paraId="5C6B8BBD"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24DCB83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Hydroxyl-Additive</w:t>
            </w:r>
          </w:p>
        </w:tc>
        <w:tc>
          <w:tcPr>
            <w:tcW w:w="611" w:type="pct"/>
            <w:tcBorders>
              <w:top w:val="nil"/>
              <w:left w:val="nil"/>
              <w:bottom w:val="nil"/>
              <w:right w:val="nil"/>
            </w:tcBorders>
            <w:shd w:val="clear" w:color="auto" w:fill="FFFFFF"/>
            <w:vAlign w:val="center"/>
          </w:tcPr>
          <w:p w14:paraId="4294C930"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60F705C9"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1500</w:t>
            </w:r>
          </w:p>
        </w:tc>
        <w:tc>
          <w:tcPr>
            <w:tcW w:w="1390" w:type="pct"/>
            <w:tcBorders>
              <w:top w:val="nil"/>
              <w:left w:val="nil"/>
              <w:bottom w:val="nil"/>
              <w:right w:val="nil"/>
            </w:tcBorders>
            <w:shd w:val="clear" w:color="auto" w:fill="FFFFFF"/>
            <w:vAlign w:val="center"/>
          </w:tcPr>
          <w:p w14:paraId="7FA5D791" w14:textId="5265A5DB" w:rsidR="00536E8D" w:rsidRDefault="00043801">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Angew</w:t>
            </w:r>
            <w:proofErr w:type="spellEnd"/>
            <w:r>
              <w:rPr>
                <w:rFonts w:ascii="Times New Roman" w:eastAsia="等线" w:hAnsi="Times New Roman" w:cs="Times New Roman"/>
                <w:color w:val="000000"/>
                <w:kern w:val="0"/>
                <w:szCs w:val="21"/>
                <w:lang w:bidi="ar"/>
              </w:rPr>
              <w:t>. Chem. Int. Ed.</w:t>
            </w:r>
            <w:r>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184BD6EE"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&lt;EndNote&gt;&lt;Cite&gt;&lt;Author&gt;Bu&lt;/Author&gt;&lt;Year&gt;2024&lt;/Year&gt;&lt;RecNum&gt;10&lt;/RecNum&gt;&lt;DisplayText&gt;&lt;style face="superscript"&gt;[16]&lt;/style&gt;&lt;/DisplayText&gt;&lt;record&gt;&lt;rec-number&gt;10&lt;/rec-number&gt;&lt;foreign-keys&gt;&lt;key app="EN" db-id="rv0af5f27ft598evr2jv0p98razt50wxawar" timestamp="1750758500"&gt;10&lt;/key&gt;&lt;/foreign-keys&gt;&lt;ref-type name="Journal Article"&gt;17&lt;/ref-type&gt;&lt;contributors&gt;&lt;authors&gt;&lt;author&gt;Bu, Fan&lt;/author&gt;&lt;author&gt;Gao, Yong&lt;/author&gt;&lt;author&gt;Zhao, Wenbo&lt;/author&gt;&lt;author&gt;Cao, Qinghe&lt;/author&gt;&lt;author&gt;Deng, Yifan&lt;/author&gt;&lt;author&gt;Chen, Jipeng&lt;/author&gt;&lt;author&gt;Pu, Jie&lt;/author&gt;&lt;author&gt;Yang, Jiayu&lt;/author&gt;&lt;author&gt;Wang, Yuxuan&lt;/author&gt;&lt;author&gt;Yang, Nute&lt;/author&gt;&lt;author&gt;Meng, Ting&lt;/author&gt;&lt;author&gt;Liu, Xiangye&lt;/author&gt;&lt;author&gt;Guan, Cao&lt;/author&gt;&lt;/authors&gt;&lt;/contributors&gt;&lt;titles&gt;&lt;title&gt;Bio-Inspired Trace Hydroxyl-Rich Electrolyte Additives for High-Rate and Stable Zn-Ion Batteries at Low Temperatures&lt;/title&gt;&lt;secondary-title&gt;Angewandte Chemie International Edition&lt;/secondary-title&gt;&lt;/titles&gt;&lt;periodical&gt;&lt;full-title&gt;Angewandte Chemie International Edition&lt;/full-title&gt;&lt;/periodical&gt;&lt;pages&gt;e202318496&lt;/pages&gt;&lt;volume&gt;63&lt;/volume&gt;&lt;number&gt;9&lt;/number&gt;&lt;dates&gt;&lt;year&gt;2024&lt;/year&gt;&lt;/dates&gt;&lt;isbn&gt;1433-7851&lt;/isbn&gt;&lt;urls&gt;&lt;related-urls&gt;&lt;url&gt;https://onlinelibrary.wiley.com/doi/abs/10.1002/anie.202318496&lt;/url&gt;&lt;/related-urls&gt;&lt;/urls&gt;&lt;electronic-resource-num&gt;https://doi.org/10.1002/anie.202318496&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[16]</w:t>
            </w:r>
            <w:r>
              <w:rPr>
                <w:rFonts w:ascii="Times New Roman" w:hAnsi="Times New Roman" w:cs="Times New Roman"/>
                <w:color w:val="0000FF"/>
                <w:szCs w:val="21"/>
              </w:rPr>
              <w:fldChar w:fldCharType="end"/>
            </w:r>
          </w:p>
        </w:tc>
      </w:tr>
      <w:tr w:rsidR="00536E8D" w14:paraId="7327FD6C" w14:textId="77777777" w:rsidTr="00D02DF7">
        <w:trPr>
          <w:trHeight w:val="528"/>
          <w:jc w:val="center"/>
        </w:trPr>
        <w:tc>
          <w:tcPr>
            <w:tcW w:w="1131" w:type="pct"/>
            <w:vMerge/>
            <w:tcBorders>
              <w:top w:val="nil"/>
              <w:left w:val="nil"/>
              <w:bottom w:val="nil"/>
              <w:right w:val="nil"/>
            </w:tcBorders>
            <w:shd w:val="clear" w:color="auto" w:fill="FFFFFF"/>
            <w:vAlign w:val="center"/>
          </w:tcPr>
          <w:p w14:paraId="660241DF"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7FA5FDB8" w14:textId="77777777"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ZnAsp</w:t>
            </w:r>
            <w:proofErr w:type="spellEnd"/>
            <w:r>
              <w:rPr>
                <w:rFonts w:ascii="Times New Roman" w:eastAsia="等线" w:hAnsi="Times New Roman" w:cs="Times New Roman"/>
                <w:color w:val="000000"/>
                <w:kern w:val="0"/>
                <w:szCs w:val="21"/>
                <w:lang w:bidi="ar"/>
              </w:rPr>
              <w:t>-Additive</w:t>
            </w:r>
          </w:p>
        </w:tc>
        <w:tc>
          <w:tcPr>
            <w:tcW w:w="611" w:type="pct"/>
            <w:tcBorders>
              <w:top w:val="nil"/>
              <w:left w:val="nil"/>
              <w:bottom w:val="nil"/>
              <w:right w:val="nil"/>
            </w:tcBorders>
            <w:shd w:val="clear" w:color="auto" w:fill="FFFFFF"/>
            <w:vAlign w:val="center"/>
          </w:tcPr>
          <w:p w14:paraId="1E0389C3"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08C8B285"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1800</w:t>
            </w:r>
          </w:p>
        </w:tc>
        <w:tc>
          <w:tcPr>
            <w:tcW w:w="1390" w:type="pct"/>
            <w:tcBorders>
              <w:top w:val="nil"/>
              <w:left w:val="nil"/>
              <w:bottom w:val="nil"/>
              <w:right w:val="nil"/>
            </w:tcBorders>
            <w:shd w:val="clear" w:color="auto" w:fill="FFFFFF"/>
            <w:vAlign w:val="center"/>
          </w:tcPr>
          <w:p w14:paraId="16754008" w14:textId="62C34B9B"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Small</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2B2630B9"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&lt;EndNote&gt;&lt;Cite&gt;&lt;Author&gt;Huang&lt;/Author&gt;&lt;Year&gt;2024&lt;/Year&gt;&lt;RecNum&gt;9&lt;/RecNum&gt;&lt;DisplayText&gt;&lt;style face="superscript"&gt;[15]&lt;/style&gt;&lt;/DisplayText&gt;&lt;record&gt;&lt;rec-number&gt;9&lt;/rec-number&gt;&lt;foreign-keys&gt;&lt;key app="EN" db-id="rv0af5f27ft598evr2jv0p98razt50wxawar" timestamp="1750758452"&gt;9&lt;/key&gt;&lt;/foreign-keys&gt;&lt;ref-type name="Journal Article"&gt;17&lt;/ref-type&gt;&lt;contributors&gt;&lt;authors&gt;&lt;author&gt;Huang, Yang&lt;/author&gt;&lt;author&gt;Zhuang, Yuexin&lt;/author&gt;&lt;author&gt;Guo, Li&lt;/author&gt;&lt;author&gt;Lei, Chongjia&lt;/author&gt;&lt;author&gt;Jiang, Yue&lt;/author&gt;&lt;author&gt;Liu, Zhenjie&lt;/author&gt;&lt;author&gt;Zhao, Yuzhen&lt;/author&gt;&lt;author&gt;Xing, Kangqian&lt;/author&gt;&lt;author&gt;Wu, Xiangrong&lt;/author&gt;&lt;author&gt;Luo, Shaojuan&lt;/author&gt;&lt;author&gt;Chen, Guangming&lt;/author&gt;&lt;author&gt;Liu, Zhuoxin&lt;/author&gt;&lt;author&gt;Hu, Zhe&lt;/author&gt;&lt;/authors&gt;&lt;/contributors&gt;&lt;titles&gt;&lt;title&gt;Stabilizing Anode-Electrolyte Interface for Dendrite-Free Zn-Ion Batteries Through Orientational Plating with Zinc Aspartate Additive&lt;/title&gt;&lt;secondary-title&gt;Small&lt;/secondary-title&gt;&lt;/titles&gt;&lt;periodical&gt;&lt;full-title&gt;Small&lt;/full-title&gt;&lt;/periodical&gt;&lt;pages&gt;2306211&lt;/pages&gt;&lt;volume&gt;20&lt;/volume&gt;&lt;number&gt;10&lt;/number&gt;&lt;dates&gt;&lt;year&gt;2024&lt;/year&gt;&lt;/dates&gt;&lt;isbn&gt;1613-6810&lt;/isbn&gt;&lt;urls&gt;&lt;related-urls&gt;&lt;url&gt;https://onlinelibrary.wiley.com/doi/abs/10.1002/smll.202306211&lt;/url&gt;&lt;/related-urls&gt;&lt;/urls&gt;&lt;electronic-resource-num&gt;https://doi.org/10.1002/smll.202306211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[15]</w:t>
            </w:r>
            <w:r>
              <w:rPr>
                <w:rFonts w:ascii="Times New Roman" w:hAnsi="Times New Roman" w:cs="Times New Roman"/>
                <w:color w:val="0000FF"/>
                <w:szCs w:val="21"/>
              </w:rPr>
              <w:fldChar w:fldCharType="end"/>
            </w:r>
          </w:p>
        </w:tc>
      </w:tr>
      <w:tr w:rsidR="00536E8D" w14:paraId="56D6C55C" w14:textId="77777777" w:rsidTr="00D02DF7">
        <w:trPr>
          <w:trHeight w:val="667"/>
          <w:jc w:val="center"/>
        </w:trPr>
        <w:tc>
          <w:tcPr>
            <w:tcW w:w="1131" w:type="pct"/>
            <w:vMerge/>
            <w:tcBorders>
              <w:top w:val="nil"/>
              <w:left w:val="nil"/>
              <w:bottom w:val="nil"/>
              <w:right w:val="nil"/>
            </w:tcBorders>
            <w:shd w:val="clear" w:color="auto" w:fill="FFFFFF"/>
            <w:vAlign w:val="center"/>
          </w:tcPr>
          <w:p w14:paraId="60321EBB"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7DD1C791" w14:textId="77777777"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PolyAnion</w:t>
            </w:r>
            <w:proofErr w:type="spellEnd"/>
            <w:r>
              <w:rPr>
                <w:rFonts w:ascii="Times New Roman" w:eastAsia="等线" w:hAnsi="Times New Roman" w:cs="Times New Roman"/>
                <w:color w:val="000000"/>
                <w:kern w:val="0"/>
                <w:szCs w:val="21"/>
                <w:lang w:bidi="ar"/>
              </w:rPr>
              <w:t>-Zn</w:t>
            </w:r>
          </w:p>
        </w:tc>
        <w:tc>
          <w:tcPr>
            <w:tcW w:w="611" w:type="pct"/>
            <w:tcBorders>
              <w:top w:val="nil"/>
              <w:left w:val="nil"/>
              <w:bottom w:val="nil"/>
              <w:right w:val="nil"/>
            </w:tcBorders>
            <w:shd w:val="clear" w:color="auto" w:fill="FFFFFF"/>
            <w:vAlign w:val="center"/>
          </w:tcPr>
          <w:p w14:paraId="73E20B7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w:t>
            </w:r>
          </w:p>
        </w:tc>
        <w:tc>
          <w:tcPr>
            <w:tcW w:w="573" w:type="pct"/>
            <w:tcBorders>
              <w:top w:val="nil"/>
              <w:left w:val="nil"/>
              <w:bottom w:val="nil"/>
              <w:right w:val="nil"/>
            </w:tcBorders>
            <w:shd w:val="clear" w:color="auto" w:fill="FFFFFF"/>
            <w:vAlign w:val="center"/>
          </w:tcPr>
          <w:p w14:paraId="41DFF0D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2500</w:t>
            </w:r>
          </w:p>
        </w:tc>
        <w:tc>
          <w:tcPr>
            <w:tcW w:w="1390" w:type="pct"/>
            <w:tcBorders>
              <w:top w:val="nil"/>
              <w:left w:val="nil"/>
              <w:bottom w:val="nil"/>
              <w:right w:val="nil"/>
            </w:tcBorders>
            <w:shd w:val="clear" w:color="auto" w:fill="FFFFFF"/>
            <w:vAlign w:val="center"/>
          </w:tcPr>
          <w:p w14:paraId="47280D26" w14:textId="2C2A0309"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Angew</w:t>
            </w:r>
            <w:proofErr w:type="spellEnd"/>
            <w:r>
              <w:rPr>
                <w:rFonts w:ascii="Times New Roman" w:eastAsia="等线" w:hAnsi="Times New Roman" w:cs="Times New Roman"/>
                <w:color w:val="000000"/>
                <w:kern w:val="0"/>
                <w:szCs w:val="21"/>
                <w:lang w:bidi="ar"/>
              </w:rPr>
              <w:t>. Chem. Int. Ed.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668D53DA"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&lt;EndNote&gt;&lt;Cite&gt;&lt;Author&gt;He&lt;/Author&gt;&lt;Year&gt;2024&lt;/Year&gt;&lt;RecNum&gt;1&lt;/RecNum&gt;&lt;DisplayText&gt;&lt;style face="superscript"&gt;[17]&lt;/style&gt;&lt;/DisplayText&gt;&lt;record&gt;&lt;rec-number&gt;1&lt;/rec-number&gt;&lt;foreign-keys&gt;&lt;key app="EN" db-id="9rsfdxzandzf9le2rs7pswdy5t2xa9x2eadd" timestamp="1750759354"&gt;1&lt;/key&gt;&lt;/foreign-keys&gt;&lt;ref-type name="Journal Article"&gt;17&lt;/ref-type&gt;&lt;contributors&gt;&lt;authors&gt;&lt;author&gt;He, Wenxiu&lt;/author&gt;&lt;author&gt;Li, Xiangyu&lt;/author&gt;&lt;author&gt;Dai, Xueya&lt;/author&gt;&lt;author&gt;Shao, Lei&lt;/author&gt;&lt;author&gt;Fu, Yu&lt;/author&gt;&lt;author&gt;Xu, Dake&lt;/author&gt;&lt;author&gt;Qi, Wei&lt;/author&gt;&lt;/authors&gt;&lt;/contributors&gt;&lt;titles&gt;&lt;title&gt;Redox Concomitant Formation Method for Fabrication of Cu(I)</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MOF/Polymer Composites with Antifouling Properties&lt;/title&gt;&lt;secondary-title&gt;Angewandte Chemie International Edition&lt;/secondary-title&gt;&lt;/titles&gt;&lt;periodical&gt;&lt;full-title&gt;Angewandte Chemie International Edition&lt;/full-title&gt;&lt;/periodical&gt;&lt;pages&gt;e202411539&lt;/pages&gt;&lt;volume&gt;63&lt;/volume&gt;&lt;number&gt;44&lt;/number&gt;&lt;dates&gt;&lt;year&gt;2024&lt;/year&gt;&lt;/dates&gt;&lt;isbn&gt;1433-7851&lt;/isbn&gt;&lt;urls&gt;&lt;related-urls&gt;&lt;url&gt;https://onlinelibrary.wiley.com/doi/abs/10.1002/anie.202411539&lt;/url&gt;&lt;/related-urls&gt;&lt;/urls&gt;&lt;electronic-resource-num&gt;https://doi.org/10.1002/anie.202411539&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[17]</w:t>
            </w:r>
            <w:r>
              <w:rPr>
                <w:rFonts w:ascii="Times New Roman" w:hAnsi="Times New Roman" w:cs="Times New Roman"/>
                <w:color w:val="0000FF"/>
                <w:szCs w:val="21"/>
              </w:rPr>
              <w:fldChar w:fldCharType="end"/>
            </w:r>
          </w:p>
        </w:tc>
      </w:tr>
      <w:tr w:rsidR="00536E8D" w14:paraId="48D57828" w14:textId="77777777" w:rsidTr="00D02DF7">
        <w:trPr>
          <w:trHeight w:val="528"/>
          <w:jc w:val="center"/>
        </w:trPr>
        <w:tc>
          <w:tcPr>
            <w:tcW w:w="1131" w:type="pct"/>
            <w:vMerge/>
            <w:tcBorders>
              <w:top w:val="nil"/>
              <w:left w:val="nil"/>
              <w:bottom w:val="nil"/>
              <w:right w:val="nil"/>
            </w:tcBorders>
            <w:shd w:val="clear" w:color="auto" w:fill="FFFFFF"/>
            <w:vAlign w:val="center"/>
          </w:tcPr>
          <w:p w14:paraId="085E3B3C"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221313F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Silk-Peptide</w:t>
            </w:r>
          </w:p>
        </w:tc>
        <w:tc>
          <w:tcPr>
            <w:tcW w:w="611" w:type="pct"/>
            <w:tcBorders>
              <w:top w:val="nil"/>
              <w:left w:val="nil"/>
              <w:bottom w:val="nil"/>
              <w:right w:val="nil"/>
            </w:tcBorders>
            <w:shd w:val="clear" w:color="auto" w:fill="FFFFFF"/>
            <w:vAlign w:val="center"/>
          </w:tcPr>
          <w:p w14:paraId="50F2844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02CABBC5"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1200</w:t>
            </w:r>
          </w:p>
        </w:tc>
        <w:tc>
          <w:tcPr>
            <w:tcW w:w="1390" w:type="pct"/>
            <w:tcBorders>
              <w:top w:val="nil"/>
              <w:left w:val="nil"/>
              <w:bottom w:val="nil"/>
              <w:right w:val="nil"/>
            </w:tcBorders>
            <w:shd w:val="clear" w:color="auto" w:fill="FFFFFF"/>
            <w:vAlign w:val="center"/>
          </w:tcPr>
          <w:p w14:paraId="36922BB7" w14:textId="308CFF4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 xml:space="preserve">Adv. </w:t>
            </w:r>
            <w:proofErr w:type="spellStart"/>
            <w:r>
              <w:rPr>
                <w:rFonts w:ascii="Times New Roman" w:eastAsia="等线" w:hAnsi="Times New Roman" w:cs="Times New Roman"/>
                <w:color w:val="000000"/>
                <w:kern w:val="0"/>
                <w:szCs w:val="21"/>
                <w:lang w:bidi="ar"/>
              </w:rPr>
              <w:t>Funct</w:t>
            </w:r>
            <w:proofErr w:type="spellEnd"/>
            <w:r>
              <w:rPr>
                <w:rFonts w:ascii="Times New Roman" w:eastAsia="等线" w:hAnsi="Times New Roman" w:cs="Times New Roman"/>
                <w:color w:val="000000"/>
                <w:kern w:val="0"/>
                <w:szCs w:val="21"/>
                <w:lang w:bidi="ar"/>
              </w:rPr>
              <w:t>. Mater.</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2022</w:t>
            </w:r>
          </w:p>
        </w:tc>
        <w:tc>
          <w:tcPr>
            <w:tcW w:w="364" w:type="pct"/>
            <w:tcBorders>
              <w:top w:val="nil"/>
              <w:left w:val="nil"/>
              <w:bottom w:val="nil"/>
              <w:right w:val="nil"/>
            </w:tcBorders>
            <w:shd w:val="clear" w:color="auto" w:fill="FFFFFF"/>
            <w:vAlign w:val="center"/>
          </w:tcPr>
          <w:p w14:paraId="20A3D956" w14:textId="77777777" w:rsidR="00536E8D" w:rsidRDefault="00B21C59">
            <w:pPr>
              <w:jc w:val="center"/>
              <w:rPr>
                <w:rFonts w:ascii="Times New Roman" w:hAnsi="Times New Roman" w:cs="Times New Roman"/>
                <w:color w:val="0000FF"/>
                <w:szCs w:val="21"/>
              </w:rPr>
            </w:pPr>
            <w:r>
              <w:rPr>
                <w:rFonts w:ascii="Times New Roman" w:hAnsi="Times New Roman" w:cs="Times New Roman" w:hint="eastAsia"/>
                <w:color w:val="0000FF"/>
                <w:szCs w:val="21"/>
              </w:rPr>
              <w:fldChar w:fldCharType="begin"/>
            </w:r>
            <w:r>
              <w:rPr>
                <w:rFonts w:ascii="Times New Roman" w:hAnsi="Times New Roman" w:cs="Times New Roman" w:hint="eastAsia"/>
                <w:color w:val="0000FF"/>
                <w:szCs w:val="21"/>
              </w:rPr>
              <w:instrText xml:space="preserve"> ADDIN EN.CITE &lt;EndNote&gt;&lt;Cite&gt;&lt;Author&gt;Wang&lt;/Author&gt;&lt;Year&gt;2022&lt;/Year&gt;&lt;RecNum&gt;2&lt;/RecNum&gt;&lt;DisplayText&gt;&lt;style face="superscript"&gt;[18]&lt;/style&gt;&lt;/DisplayText&gt;&lt;record&gt;&lt;rec-number&gt;2&lt;/rec-number&gt;&lt;foreign-keys&gt;&lt;key app="EN" db-id="9rsfdxzandzf9le2rs7pswdy5t2xa9x2eadd" timestamp="1750759486"&gt;2&lt;/key&gt;&lt;/foreign-keys&gt;&lt;ref-type name="Journal Article"&gt;17&lt;/ref-type&gt;&lt;contributors&gt;&lt;authors&gt;&lt;author&gt;Wang, Baojun&lt;/author&gt;&lt;author&gt;Zheng, Rong&lt;/author&gt;&lt;author&gt;Yang, Wei&lt;/author&gt;&lt;author&gt;Han, Xin&lt;/author&gt;&lt;author&gt;Hou, Chengyi&lt;/author&gt;&lt;author&gt;Zhang, Qinghong&lt;/author&gt;&lt;author&gt;Li, Yaogang&lt;/author&gt;&lt;author&gt;Li, Kerui&lt;/author&gt;&lt;author&gt;Wang, Hongzhi&lt;/author&gt;&lt;/authors&gt;&lt;/contributors&gt;&lt;titles&gt;&lt;title&gt;Synergistic Solvation and Interface Regulations of Eco-Friendly Silk Peptide Additive Enabling Stable Aqueous Zinc-Ion Batteries&lt;/title&gt;&lt;secondary-title&gt;Advanced Functional Materials&lt;/secondary-title&gt;&lt;/titles&gt;&lt;periodical&gt;&lt;full-title&gt;Advanced Functional Materials&lt;/full-title&gt;&lt;/periodical&gt;&lt;pages&gt;2112693&lt;/pages&gt;&lt;volume&gt;32&lt;/volume&gt;&lt;number&gt;23&lt;/number&gt;&lt;dates&gt;&lt;year&gt;2022&lt;/year&gt;&lt;/dates&gt;&lt;isbn&gt;1616-301X&lt;/isbn&gt;&lt;urls&gt;&lt;related-urls&gt;&lt;url&gt;https://advanced.onlinelibrary.wiley.com/doi/abs/10.1002/adfm.202112693&lt;/url&gt;&lt;/related-urls&gt;&lt;/urls&gt;&lt;electronic-resource-num&gt;https://doi.org/10.1002/adfm.202112693&lt;/electronic-resource-num&gt;&lt;/record&gt;&lt;/Cite&gt;&lt;/EndNote&gt;</w:instrText>
            </w:r>
            <w:r>
              <w:rPr>
                <w:rFonts w:ascii="Times New Roman" w:hAnsi="Times New Roman" w:cs="Times New Roman" w:hint="eastAsia"/>
                <w:color w:val="0000FF"/>
                <w:szCs w:val="21"/>
              </w:rPr>
              <w:fldChar w:fldCharType="separate"/>
            </w:r>
            <w:r>
              <w:rPr>
                <w:rFonts w:ascii="Times New Roman" w:hAnsi="Times New Roman" w:cs="Times New Roman" w:hint="eastAsia"/>
                <w:color w:val="0000FF"/>
                <w:szCs w:val="21"/>
              </w:rPr>
              <w:t>[18]</w:t>
            </w:r>
            <w:r>
              <w:rPr>
                <w:rFonts w:ascii="Times New Roman" w:hAnsi="Times New Roman" w:cs="Times New Roman" w:hint="eastAsia"/>
                <w:color w:val="0000FF"/>
                <w:szCs w:val="21"/>
              </w:rPr>
              <w:fldChar w:fldCharType="end"/>
            </w:r>
          </w:p>
        </w:tc>
      </w:tr>
      <w:tr w:rsidR="00536E8D" w14:paraId="2FD9ECBC" w14:textId="77777777" w:rsidTr="00D02DF7">
        <w:trPr>
          <w:trHeight w:val="528"/>
          <w:jc w:val="center"/>
        </w:trPr>
        <w:tc>
          <w:tcPr>
            <w:tcW w:w="1131" w:type="pct"/>
            <w:vMerge/>
            <w:tcBorders>
              <w:top w:val="nil"/>
              <w:left w:val="nil"/>
              <w:bottom w:val="nil"/>
              <w:right w:val="nil"/>
            </w:tcBorders>
            <w:shd w:val="clear" w:color="auto" w:fill="FFFFFF"/>
            <w:vAlign w:val="center"/>
          </w:tcPr>
          <w:p w14:paraId="406F6E0C"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0DDDA23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Zn-Ce/Yb</w:t>
            </w:r>
          </w:p>
        </w:tc>
        <w:tc>
          <w:tcPr>
            <w:tcW w:w="611" w:type="pct"/>
            <w:tcBorders>
              <w:top w:val="nil"/>
              <w:left w:val="nil"/>
              <w:bottom w:val="nil"/>
              <w:right w:val="nil"/>
            </w:tcBorders>
            <w:shd w:val="clear" w:color="auto" w:fill="FFFFFF"/>
            <w:vAlign w:val="center"/>
          </w:tcPr>
          <w:p w14:paraId="0AA417DB"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5433EF2B"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200times</w:t>
            </w:r>
          </w:p>
        </w:tc>
        <w:tc>
          <w:tcPr>
            <w:tcW w:w="1390" w:type="pct"/>
            <w:tcBorders>
              <w:top w:val="nil"/>
              <w:left w:val="nil"/>
              <w:bottom w:val="nil"/>
              <w:right w:val="nil"/>
            </w:tcBorders>
            <w:shd w:val="clear" w:color="auto" w:fill="FFFFFF"/>
            <w:vAlign w:val="center"/>
          </w:tcPr>
          <w:p w14:paraId="676B30D1" w14:textId="228A5935"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J. Alloy. Compd.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163CA6DB"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&lt;EndNote&gt;&lt;Cite&gt;&lt;Author&gt;Yuan&lt;/Author&gt;&lt;Year&gt;2024&lt;/Year&gt;&lt;RecNum&gt;3&lt;/RecNum&gt;&lt;DisplayText&gt;&lt;style face="superscript"&gt;[19]&lt;/style&gt;&lt;/DisplayText&gt;&lt;record&gt;&lt;rec-number&gt;3&lt;/rec-number&gt;&lt;foreign-keys&gt;&lt;key app="EN" db-id="9rsfdxzandzf9le2rs7pswdy5t2xa9x2eadd" timestamp="1750759531"&gt;3&lt;/key&gt;&lt;/foreign-keys&gt;&lt;ref-type name="Journal Article"&gt;17&lt;/ref-type&gt;&lt;contributors&gt;&lt;authors&gt;&lt;author&gt;Yuan, Xingping&lt;/author&gt;&lt;author&gt;He, Cuiping&lt;/author&gt;&lt;author&gt;Wang, Jianguo&lt;/author&gt;&lt;author&gt;You, Xiang&lt;/author&gt;&lt;author&gt;Chen, Yuanliang&lt;/author&gt;&lt;author&gt;Gou, Qingyi&lt;/author&gt;&lt;author&gt;Yang, Ni&lt;/author&gt;&lt;author&gt;Xie, Gang&lt;/author&gt;&lt;author&gt;Hou, Yanqing&lt;/author&gt;&lt;/authors&gt;&lt;/contributors&gt;&lt;titles&gt;&lt;title&gt;Inhibition of zinc dendrite growth in zinc-air batteries by alloying the anode with Ce and Yb&lt;/title&gt;&lt;secondary-title&gt;Journal of Alloys and Compounds&lt;/secondary-title&gt;&lt;/titles&gt;&lt;periodical&gt;&lt;full-title&gt;Journal of Alloys and Compounds&lt;/full-title&gt;&lt;/periodical&gt;&lt;pages&gt;172523&lt;/pages&gt;&lt;volume&gt;970&lt;/volume&gt;&lt;keywords&gt;&lt;keyword&gt;Zinc-air batteries&lt;/keyword&gt;&lt;keyword&gt;Zinc anode&lt;/keyword&gt;&lt;keyword&gt;Dendrite growth&lt;/keyword&gt;&lt;keyword&gt;Phase-field model&lt;/keyword&gt;&lt;keyword&gt;Dendrite suppression&lt;/keyword&gt;&lt;keyword&gt;Alloying&lt;/keyword&gt;&lt;/keywords&gt;&lt;dates&gt;&lt;year&gt;2024&lt;/year&gt;&lt;pub-dates&gt;&lt;date&gt;2024/01/05/&lt;/date&gt;&lt;/pub-dates&gt;&lt;/dates&gt;&lt;isbn&gt;0925-8388&lt;/isbn&gt;&lt;urls&gt;&lt;related-urls&gt;&lt;url&gt;https://www.sciencedirect.com/science/article/pii/S0925838823038264&lt;/url&gt;&lt;/related-urls&gt;&lt;/urls&gt;&lt;electronic-resource-num&gt;https://doi.org/10.1016/j.jallcom.2023.172523&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[19]</w:t>
            </w:r>
            <w:r>
              <w:rPr>
                <w:rFonts w:ascii="Times New Roman" w:hAnsi="Times New Roman" w:cs="Times New Roman"/>
                <w:color w:val="0000FF"/>
                <w:szCs w:val="21"/>
              </w:rPr>
              <w:fldChar w:fldCharType="end"/>
            </w:r>
          </w:p>
        </w:tc>
      </w:tr>
      <w:tr w:rsidR="00536E8D" w14:paraId="0671D4A5" w14:textId="77777777" w:rsidTr="00D02DF7">
        <w:trPr>
          <w:trHeight w:val="528"/>
          <w:jc w:val="center"/>
        </w:trPr>
        <w:tc>
          <w:tcPr>
            <w:tcW w:w="1131" w:type="pct"/>
            <w:vMerge/>
            <w:tcBorders>
              <w:top w:val="nil"/>
              <w:left w:val="nil"/>
              <w:bottom w:val="nil"/>
              <w:right w:val="nil"/>
            </w:tcBorders>
            <w:shd w:val="clear" w:color="auto" w:fill="FFFFFF"/>
            <w:vAlign w:val="center"/>
          </w:tcPr>
          <w:p w14:paraId="565BC595"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19B7C471"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Zn-Complexity</w:t>
            </w:r>
          </w:p>
        </w:tc>
        <w:tc>
          <w:tcPr>
            <w:tcW w:w="611" w:type="pct"/>
            <w:tcBorders>
              <w:top w:val="nil"/>
              <w:left w:val="nil"/>
              <w:bottom w:val="nil"/>
              <w:right w:val="nil"/>
            </w:tcBorders>
            <w:shd w:val="clear" w:color="auto" w:fill="FFFFFF"/>
            <w:vAlign w:val="center"/>
          </w:tcPr>
          <w:p w14:paraId="39F7D853"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7432C79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1200</w:t>
            </w:r>
          </w:p>
        </w:tc>
        <w:tc>
          <w:tcPr>
            <w:tcW w:w="1390" w:type="pct"/>
            <w:tcBorders>
              <w:top w:val="nil"/>
              <w:left w:val="nil"/>
              <w:bottom w:val="nil"/>
              <w:right w:val="nil"/>
            </w:tcBorders>
            <w:shd w:val="clear" w:color="auto" w:fill="FFFFFF"/>
            <w:vAlign w:val="center"/>
          </w:tcPr>
          <w:p w14:paraId="5B20953F" w14:textId="69F6222F"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Adv. Energy Mater.</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2022</w:t>
            </w:r>
          </w:p>
        </w:tc>
        <w:tc>
          <w:tcPr>
            <w:tcW w:w="364" w:type="pct"/>
            <w:tcBorders>
              <w:top w:val="nil"/>
              <w:left w:val="nil"/>
              <w:bottom w:val="nil"/>
              <w:right w:val="nil"/>
            </w:tcBorders>
            <w:shd w:val="clear" w:color="auto" w:fill="FFFFFF"/>
            <w:vAlign w:val="center"/>
          </w:tcPr>
          <w:p w14:paraId="0C0A692F" w14:textId="77777777" w:rsidR="00536E8D" w:rsidRDefault="00B21C59">
            <w:pPr>
              <w:jc w:val="center"/>
              <w:rPr>
                <w:rFonts w:ascii="Times New Roman" w:hAnsi="Times New Roman" w:cs="Times New Roman"/>
                <w:color w:val="0000FF"/>
                <w:szCs w:val="21"/>
              </w:rPr>
            </w:pPr>
            <w:r>
              <w:rPr>
                <w:rFonts w:ascii="Times New Roman" w:hAnsi="Times New Roman" w:cs="Times New Roman" w:hint="eastAsia"/>
                <w:color w:val="0000FF"/>
                <w:szCs w:val="21"/>
              </w:rPr>
              <w:fldChar w:fldCharType="begin"/>
            </w:r>
            <w:r>
              <w:rPr>
                <w:rFonts w:ascii="Times New Roman" w:hAnsi="Times New Roman" w:cs="Times New Roman" w:hint="eastAsia"/>
                <w:color w:val="0000FF"/>
                <w:szCs w:val="21"/>
              </w:rPr>
              <w:instrText xml:space="preserve"> ADDIN EN.CITE &lt;EndNote&gt;&lt;Cite&gt;&lt;Author&gt;Wang&lt;/Author&gt;&lt;Year&gt;2022&lt;/Year&gt;&lt;RecNum&gt;2&lt;/RecNum&gt;&lt;DisplayText&gt;&lt;style face="superscript"&gt;[18]&lt;/style&gt;&lt;/DisplayText&gt;&lt;record&gt;&lt;rec-number&gt;2&lt;/rec-number&gt;&lt;foreign-keys&gt;&lt;key app="EN" db-id="9rsfdxzandzf9le2rs7pswdy5t2xa9x2eadd" timestamp="1750759486"&gt;2&lt;/key&gt;&lt;/foreign-keys&gt;&lt;ref-type name="Journal Article"&gt;17&lt;/ref-type&gt;&lt;contributors&gt;&lt;authors&gt;&lt;author&gt;Wang, Baojun&lt;/author&gt;&lt;author&gt;Zheng, Rong&lt;/author&gt;&lt;author&gt;Yang, Wei&lt;/author&gt;&lt;author&gt;Han, Xin&lt;/author&gt;&lt;author&gt;Hou, Chengyi&lt;/author&gt;&lt;author&gt;Zhang, Qinghong&lt;/author&gt;&lt;author&gt;Li, Yaogang&lt;/author&gt;&lt;author&gt;Li, Kerui&lt;/author&gt;&lt;author&gt;Wang, Hongzhi&lt;/author&gt;&lt;/authors&gt;&lt;/contributors&gt;&lt;titles&gt;&lt;title&gt;Synergistic Solvation and Interface Regulations of Eco-Friendly Silk Peptide Additive Enabling Stable Aqueous Zinc-Ion Batteries&lt;/title&gt;&lt;secondary-title&gt;Advanced Functional Materials&lt;/secondary-title&gt;&lt;/titles&gt;&lt;periodical&gt;&lt;full-title&gt;Advanced Functional Materials&lt;/full-title&gt;&lt;/periodical&gt;&lt;pages&gt;2112693&lt;/pages&gt;&lt;volume&gt;32&lt;/volume&gt;&lt;number&gt;23&lt;/number&gt;&lt;dates&gt;&lt;year&gt;2022&lt;/year&gt;&lt;/dates&gt;&lt;isbn&gt;1616-301X&lt;/isbn&gt;&lt;urls&gt;&lt;related-urls&gt;&lt;url&gt;https://advanced.onlinelibrary.wiley.com/doi/abs/10.1002/adfm.202112693&lt;/url&gt;&lt;/related-urls&gt;&lt;/urls&gt;&lt;electronic-resource-num&gt;https://doi.org/10.1002/adfm.202112693&lt;/electronic-resource-num&gt;&lt;/record&gt;&lt;/Cite&gt;&lt;/EndNote&gt;</w:instrText>
            </w:r>
            <w:r>
              <w:rPr>
                <w:rFonts w:ascii="Times New Roman" w:hAnsi="Times New Roman" w:cs="Times New Roman" w:hint="eastAsia"/>
                <w:color w:val="0000FF"/>
                <w:szCs w:val="21"/>
              </w:rPr>
              <w:fldChar w:fldCharType="separate"/>
            </w:r>
            <w:r>
              <w:rPr>
                <w:rFonts w:ascii="Times New Roman" w:hAnsi="Times New Roman" w:cs="Times New Roman" w:hint="eastAsia"/>
                <w:color w:val="0000FF"/>
                <w:szCs w:val="21"/>
              </w:rPr>
              <w:t>[18]</w:t>
            </w:r>
            <w:r>
              <w:rPr>
                <w:rFonts w:ascii="Times New Roman" w:hAnsi="Times New Roman" w:cs="Times New Roman" w:hint="eastAsia"/>
                <w:color w:val="0000FF"/>
                <w:szCs w:val="21"/>
              </w:rPr>
              <w:fldChar w:fldCharType="end"/>
            </w:r>
          </w:p>
        </w:tc>
      </w:tr>
      <w:tr w:rsidR="00536E8D" w14:paraId="08D3CF26" w14:textId="77777777" w:rsidTr="00D02DF7">
        <w:trPr>
          <w:trHeight w:val="786"/>
          <w:jc w:val="center"/>
        </w:trPr>
        <w:tc>
          <w:tcPr>
            <w:tcW w:w="1131" w:type="pct"/>
            <w:vMerge/>
            <w:tcBorders>
              <w:top w:val="nil"/>
              <w:left w:val="nil"/>
              <w:bottom w:val="nil"/>
              <w:right w:val="nil"/>
            </w:tcBorders>
            <w:shd w:val="clear" w:color="auto" w:fill="FFFFFF"/>
            <w:vAlign w:val="center"/>
          </w:tcPr>
          <w:p w14:paraId="57F763A1"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48B5FF57"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Cu(I)-MOF/Polymer</w:t>
            </w:r>
          </w:p>
        </w:tc>
        <w:tc>
          <w:tcPr>
            <w:tcW w:w="611" w:type="pct"/>
            <w:tcBorders>
              <w:top w:val="nil"/>
              <w:left w:val="nil"/>
              <w:bottom w:val="nil"/>
              <w:right w:val="nil"/>
            </w:tcBorders>
            <w:shd w:val="clear" w:color="auto" w:fill="FFFFFF"/>
            <w:vAlign w:val="center"/>
          </w:tcPr>
          <w:p w14:paraId="09117D0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w:t>
            </w:r>
          </w:p>
        </w:tc>
        <w:tc>
          <w:tcPr>
            <w:tcW w:w="573" w:type="pct"/>
            <w:tcBorders>
              <w:top w:val="nil"/>
              <w:left w:val="nil"/>
              <w:bottom w:val="nil"/>
              <w:right w:val="nil"/>
            </w:tcBorders>
            <w:shd w:val="clear" w:color="auto" w:fill="FFFFFF"/>
            <w:vAlign w:val="center"/>
          </w:tcPr>
          <w:p w14:paraId="7EF56561"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2500</w:t>
            </w:r>
          </w:p>
        </w:tc>
        <w:tc>
          <w:tcPr>
            <w:tcW w:w="1390" w:type="pct"/>
            <w:tcBorders>
              <w:top w:val="nil"/>
              <w:left w:val="nil"/>
              <w:bottom w:val="nil"/>
              <w:right w:val="nil"/>
            </w:tcBorders>
            <w:shd w:val="clear" w:color="auto" w:fill="FFFFFF"/>
            <w:vAlign w:val="center"/>
          </w:tcPr>
          <w:p w14:paraId="273F2829" w14:textId="01ED5D41"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Angew</w:t>
            </w:r>
            <w:proofErr w:type="spellEnd"/>
            <w:r>
              <w:rPr>
                <w:rFonts w:ascii="Times New Roman" w:eastAsia="等线" w:hAnsi="Times New Roman" w:cs="Times New Roman"/>
                <w:color w:val="000000"/>
                <w:kern w:val="0"/>
                <w:szCs w:val="21"/>
                <w:lang w:bidi="ar"/>
              </w:rPr>
              <w:t>. Chem. Int. Ed.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3CF4725B"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&lt;EndNote&gt;&lt;Cite&gt;&lt;Author&gt;He&lt;/Author&gt;&lt;Year&gt;2024&lt;/Year&gt;&lt;RecNum&gt;1&lt;/RecNum&gt;&lt;DisplayText&gt;&lt;style face="superscript"&gt;[17]&lt;/style&gt;&lt;/DisplayText&gt;&lt;record&gt;&lt;rec-number&gt;1&lt;/rec-number&gt;&lt;foreign-keys&gt;&lt;key app="EN" db-id="9rsfdxzandzf9le2rs7pswdy5t2xa9x2eadd" timestamp="1750759354"&gt;1&lt;/key&gt;&lt;/foreign-keys&gt;&lt;ref-type name="Journal Article"&gt;17&lt;/ref-type&gt;&lt;contributors&gt;&lt;authors&gt;&lt;author&gt;He, Wenxiu&lt;/author&gt;&lt;author&gt;Li, Xiangyu&lt;/author&gt;&lt;author&gt;Dai, Xueya&lt;/author&gt;&lt;author&gt;Shao, Lei&lt;/author&gt;&lt;author&gt;Fu, Yu&lt;/author&gt;&lt;author&gt;Xu, Dake&lt;/author&gt;&lt;author&gt;Qi, Wei&lt;/author&gt;&lt;/authors&gt;&lt;/contributors&gt;&lt;titles&gt;&lt;title&gt;Redox Concomitant Formation Method for Fabrication of Cu(I)</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MOF/Polymer Composites with Antifouling Properties&lt;/title&gt;&lt;secondary-title&gt;Angewandte Chemie International Edition&lt;/secondary-title&gt;&lt;/titles&gt;&lt;periodical&gt;&lt;full-title&gt;Angewandte Chemie International Edition&lt;/full-title&gt;&lt;/periodical&gt;&lt;pages&gt;e202411539&lt;/pages&gt;&lt;volume&gt;63&lt;/volume&gt;&lt;number&gt;44&lt;/number&gt;&lt;dates&gt;&lt;year&gt;2024&lt;/year&gt;&lt;/dates&gt;&lt;isbn&gt;1433-7851&lt;/isbn&gt;&lt;urls&gt;&lt;related-urls&gt;&lt;url&gt;https://onlinelibrary.wiley.com/doi/abs/10.1002/anie.202411539&lt;/url&gt;&lt;/related-urls&gt;&lt;/urls&gt;&lt;electronic-resource-num&gt;https://doi.org/10.1002/anie.202411539&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[17]</w:t>
            </w:r>
            <w:r>
              <w:rPr>
                <w:rFonts w:ascii="Times New Roman" w:hAnsi="Times New Roman" w:cs="Times New Roman"/>
                <w:color w:val="0000FF"/>
                <w:szCs w:val="21"/>
              </w:rPr>
              <w:fldChar w:fldCharType="end"/>
            </w:r>
          </w:p>
        </w:tc>
      </w:tr>
      <w:tr w:rsidR="00536E8D" w14:paraId="517647DA" w14:textId="77777777" w:rsidTr="00D02DF7">
        <w:trPr>
          <w:trHeight w:val="337"/>
          <w:jc w:val="center"/>
        </w:trPr>
        <w:tc>
          <w:tcPr>
            <w:tcW w:w="1131" w:type="pct"/>
            <w:tcBorders>
              <w:top w:val="nil"/>
              <w:left w:val="nil"/>
              <w:bottom w:val="nil"/>
              <w:right w:val="nil"/>
            </w:tcBorders>
            <w:shd w:val="clear" w:color="auto" w:fill="FFFFFF"/>
            <w:vAlign w:val="center"/>
          </w:tcPr>
          <w:p w14:paraId="40BEA039"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6C15861E" w14:textId="77777777" w:rsidR="00536E8D" w:rsidRDefault="00536E8D">
            <w:pPr>
              <w:jc w:val="center"/>
              <w:rPr>
                <w:rFonts w:ascii="Times New Roman" w:hAnsi="Times New Roman" w:cs="Times New Roman"/>
                <w:color w:val="000000"/>
                <w:szCs w:val="21"/>
              </w:rPr>
            </w:pPr>
          </w:p>
        </w:tc>
        <w:tc>
          <w:tcPr>
            <w:tcW w:w="611" w:type="pct"/>
            <w:tcBorders>
              <w:top w:val="nil"/>
              <w:left w:val="nil"/>
              <w:bottom w:val="nil"/>
              <w:right w:val="nil"/>
            </w:tcBorders>
            <w:shd w:val="clear" w:color="auto" w:fill="FFFFFF"/>
            <w:vAlign w:val="center"/>
          </w:tcPr>
          <w:p w14:paraId="10C71DD2" w14:textId="77777777" w:rsidR="00536E8D" w:rsidRDefault="00536E8D">
            <w:pPr>
              <w:jc w:val="center"/>
              <w:rPr>
                <w:rFonts w:ascii="Times New Roman" w:hAnsi="Times New Roman" w:cs="Times New Roman"/>
                <w:color w:val="000000"/>
                <w:szCs w:val="21"/>
              </w:rPr>
            </w:pPr>
          </w:p>
        </w:tc>
        <w:tc>
          <w:tcPr>
            <w:tcW w:w="573" w:type="pct"/>
            <w:tcBorders>
              <w:top w:val="nil"/>
              <w:left w:val="nil"/>
              <w:bottom w:val="nil"/>
              <w:right w:val="nil"/>
            </w:tcBorders>
            <w:shd w:val="clear" w:color="auto" w:fill="FFFFFF"/>
            <w:vAlign w:val="center"/>
          </w:tcPr>
          <w:p w14:paraId="41CFAA93" w14:textId="77777777" w:rsidR="00536E8D" w:rsidRDefault="00536E8D">
            <w:pPr>
              <w:jc w:val="center"/>
              <w:rPr>
                <w:rFonts w:ascii="Times New Roman" w:hAnsi="Times New Roman" w:cs="Times New Roman"/>
                <w:color w:val="000000"/>
                <w:szCs w:val="21"/>
              </w:rPr>
            </w:pPr>
          </w:p>
        </w:tc>
        <w:tc>
          <w:tcPr>
            <w:tcW w:w="1390" w:type="pct"/>
            <w:tcBorders>
              <w:top w:val="nil"/>
              <w:left w:val="nil"/>
              <w:bottom w:val="nil"/>
              <w:right w:val="nil"/>
            </w:tcBorders>
            <w:shd w:val="clear" w:color="auto" w:fill="FFFFFF"/>
            <w:vAlign w:val="center"/>
          </w:tcPr>
          <w:p w14:paraId="56CFA676" w14:textId="77777777" w:rsidR="00536E8D" w:rsidRDefault="00536E8D">
            <w:pPr>
              <w:jc w:val="center"/>
              <w:rPr>
                <w:rFonts w:ascii="Times New Roman" w:hAnsi="Times New Roman" w:cs="Times New Roman"/>
                <w:color w:val="000000"/>
                <w:szCs w:val="21"/>
              </w:rPr>
            </w:pPr>
          </w:p>
        </w:tc>
        <w:tc>
          <w:tcPr>
            <w:tcW w:w="364" w:type="pct"/>
            <w:tcBorders>
              <w:top w:val="nil"/>
              <w:left w:val="nil"/>
              <w:bottom w:val="nil"/>
              <w:right w:val="nil"/>
            </w:tcBorders>
            <w:shd w:val="clear" w:color="auto" w:fill="FFFFFF"/>
            <w:vAlign w:val="center"/>
          </w:tcPr>
          <w:p w14:paraId="7731EDA2" w14:textId="77777777" w:rsidR="00536E8D" w:rsidRDefault="00536E8D">
            <w:pPr>
              <w:jc w:val="center"/>
              <w:rPr>
                <w:rFonts w:ascii="Times New Roman" w:hAnsi="Times New Roman" w:cs="Times New Roman"/>
                <w:color w:val="0000FF"/>
                <w:szCs w:val="21"/>
              </w:rPr>
            </w:pPr>
          </w:p>
        </w:tc>
      </w:tr>
      <w:tr w:rsidR="00536E8D" w14:paraId="6AD1E3E6" w14:textId="77777777" w:rsidTr="00D02DF7">
        <w:trPr>
          <w:trHeight w:val="528"/>
          <w:jc w:val="center"/>
        </w:trPr>
        <w:tc>
          <w:tcPr>
            <w:tcW w:w="1131" w:type="pct"/>
            <w:vMerge w:val="restart"/>
            <w:tcBorders>
              <w:top w:val="nil"/>
              <w:left w:val="nil"/>
              <w:bottom w:val="nil"/>
              <w:right w:val="nil"/>
            </w:tcBorders>
            <w:shd w:val="clear" w:color="auto" w:fill="FFFFFF"/>
            <w:vAlign w:val="center"/>
          </w:tcPr>
          <w:p w14:paraId="41AF5488"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00"/>
                <w:szCs w:val="21"/>
              </w:rPr>
              <w:t>Structural</w:t>
            </w:r>
          </w:p>
          <w:p w14:paraId="7E4AB32E"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00"/>
                <w:szCs w:val="21"/>
              </w:rPr>
              <w:t xml:space="preserve"> optimization</w:t>
            </w:r>
          </w:p>
        </w:tc>
        <w:tc>
          <w:tcPr>
            <w:tcW w:w="932" w:type="pct"/>
            <w:tcBorders>
              <w:top w:val="nil"/>
              <w:left w:val="nil"/>
              <w:bottom w:val="nil"/>
              <w:right w:val="nil"/>
            </w:tcBorders>
            <w:shd w:val="clear" w:color="auto" w:fill="FFFFFF"/>
            <w:vAlign w:val="center"/>
          </w:tcPr>
          <w:p w14:paraId="12C8DA6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3D-Graphene/Zn</w:t>
            </w:r>
          </w:p>
        </w:tc>
        <w:tc>
          <w:tcPr>
            <w:tcW w:w="611" w:type="pct"/>
            <w:tcBorders>
              <w:top w:val="nil"/>
              <w:left w:val="nil"/>
              <w:bottom w:val="nil"/>
              <w:right w:val="nil"/>
            </w:tcBorders>
            <w:shd w:val="clear" w:color="auto" w:fill="FFFFFF"/>
            <w:vAlign w:val="center"/>
          </w:tcPr>
          <w:p w14:paraId="3E6EA004"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34FD9F0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2500</w:t>
            </w:r>
          </w:p>
        </w:tc>
        <w:tc>
          <w:tcPr>
            <w:tcW w:w="1390" w:type="pct"/>
            <w:tcBorders>
              <w:top w:val="nil"/>
              <w:left w:val="nil"/>
              <w:bottom w:val="nil"/>
              <w:right w:val="nil"/>
            </w:tcBorders>
            <w:shd w:val="clear" w:color="auto" w:fill="FFFFFF"/>
            <w:vAlign w:val="center"/>
          </w:tcPr>
          <w:p w14:paraId="00CBC19E" w14:textId="0A1F330D"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 xml:space="preserve">Nat. </w:t>
            </w:r>
            <w:proofErr w:type="spellStart"/>
            <w:r>
              <w:rPr>
                <w:rFonts w:ascii="Times New Roman" w:eastAsia="等线" w:hAnsi="Times New Roman" w:cs="Times New Roman"/>
                <w:color w:val="000000"/>
                <w:kern w:val="0"/>
                <w:szCs w:val="21"/>
                <w:lang w:bidi="ar"/>
              </w:rPr>
              <w:t>Commun</w:t>
            </w:r>
            <w:proofErr w:type="spellEnd"/>
            <w:r>
              <w:rPr>
                <w:rFonts w:ascii="Times New Roman" w:eastAsia="等线" w:hAnsi="Times New Roman" w:cs="Times New Roman"/>
                <w:color w:val="000000"/>
                <w:kern w:val="0"/>
                <w:szCs w:val="21"/>
                <w:lang w:bidi="ar"/>
              </w:rPr>
              <w:t>.</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2023</w:t>
            </w:r>
          </w:p>
        </w:tc>
        <w:tc>
          <w:tcPr>
            <w:tcW w:w="364" w:type="pct"/>
            <w:tcBorders>
              <w:top w:val="nil"/>
              <w:left w:val="nil"/>
              <w:bottom w:val="nil"/>
              <w:right w:val="nil"/>
            </w:tcBorders>
            <w:shd w:val="clear" w:color="auto" w:fill="FFFFFF"/>
            <w:vAlign w:val="center"/>
          </w:tcPr>
          <w:p w14:paraId="23CF8299"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&lt;EndNote&gt;&lt;Cite&gt;&lt;Author&gt;Mu&lt;/Author&gt;&lt;Year&gt;2023&lt;/Year&gt;&lt;RecNum&gt;4&lt;/RecNum&gt;&lt;DisplayText&gt;&lt;style face="superscript"&gt;[20]&lt;/style&gt;&lt;/DisplayText&gt;&lt;record&gt;&lt;rec-number&gt;4&lt;/rec-number&gt;&lt;foreign-keys&gt;&lt;key app="EN" db-id="9rsfdxzandzf9le2rs7pswdy5t2xa9x2eadd" timestamp="1750759627"&gt;4&lt;/key&gt;&lt;/foreign-keys&gt;&lt;ref-type name="Journal Article"&gt;17&lt;/ref-type&gt;&lt;contributors&gt;&lt;authors&gt;&lt;author&gt;Mu, Yongbiao&lt;/author&gt;&lt;author&gt;Li, Zheng&lt;/author&gt;&lt;author&gt;Wu, Bu-ke&lt;/author&gt;&lt;author&gt;Huang, Haodong&lt;/author&gt;&lt;author&gt;Wu, Fuhai&lt;/author&gt;&lt;author&gt;Chu, Youqi&lt;/author&gt;&lt;author&gt;Zou, Lingfeng&lt;/author&gt;&lt;author&gt;Yang, Ming&lt;/author&gt;&lt;author&gt;He, Jiafeng&lt;/author&gt;&lt;author&gt;Ye, Ling&lt;/author&gt;&lt;author&gt;Han, Meisheng&lt;/author&gt;&lt;author&gt;Zhao, Tianshou&lt;/author&gt;&lt;author&gt;Zeng, Lin&lt;/author&gt;&lt;/authors&gt;&lt;/contributors&gt;&lt;titles&gt;&lt;title&gt;3D hierarchical graphene matrices enable stable Zn anodes for aqueous Zn batteries&lt;/title&gt;&lt;secondary-title&gt;Nature Communications&lt;/secondary-title&gt;&lt;/titles&gt;&lt;periodical&gt;&lt;full-title&gt;Nature Communications&lt;/full-title&gt;&lt;/periodical&gt;&lt;pages&gt;4205&lt;/pages&gt;&lt;volume&gt;14&lt;/volume&gt;&lt;number&gt;1&lt;/number&gt;&lt;dates&gt;&lt;year&gt;2023&lt;/year&gt;&lt;pub-dates&gt;&lt;date&gt;2023/07/14&lt;/date&gt;&lt;/pub-dates&gt;&lt;/dates&gt;&lt;isbn&gt;2041-1723&lt;/isbn&gt;&lt;urls&gt;&lt;related-urls&gt;&lt;url&gt;https://doi.org/10.1038/s41467-023-39947-8&lt;/url&gt;&lt;/related-urls&gt;&lt;/urls&gt;&lt;electronic-resource-num&gt;10.1038/s41467-023-39947-8&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[20]</w:t>
            </w:r>
            <w:r>
              <w:rPr>
                <w:rFonts w:ascii="Times New Roman" w:hAnsi="Times New Roman" w:cs="Times New Roman"/>
                <w:color w:val="0000FF"/>
                <w:szCs w:val="21"/>
              </w:rPr>
              <w:fldChar w:fldCharType="end"/>
            </w:r>
          </w:p>
        </w:tc>
      </w:tr>
      <w:tr w:rsidR="00536E8D" w14:paraId="589ED4B9" w14:textId="77777777" w:rsidTr="00D02DF7">
        <w:trPr>
          <w:trHeight w:val="673"/>
          <w:jc w:val="center"/>
        </w:trPr>
        <w:tc>
          <w:tcPr>
            <w:tcW w:w="1131" w:type="pct"/>
            <w:vMerge/>
            <w:tcBorders>
              <w:top w:val="nil"/>
              <w:left w:val="nil"/>
              <w:bottom w:val="nil"/>
              <w:right w:val="nil"/>
            </w:tcBorders>
            <w:shd w:val="clear" w:color="auto" w:fill="FFFFFF"/>
            <w:vAlign w:val="center"/>
          </w:tcPr>
          <w:p w14:paraId="1120DC5E"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34B2A9F0"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Zn-Structural</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Design</w:t>
            </w:r>
          </w:p>
        </w:tc>
        <w:tc>
          <w:tcPr>
            <w:tcW w:w="611" w:type="pct"/>
            <w:tcBorders>
              <w:top w:val="nil"/>
              <w:left w:val="nil"/>
              <w:bottom w:val="nil"/>
              <w:right w:val="nil"/>
            </w:tcBorders>
            <w:shd w:val="clear" w:color="auto" w:fill="FFFFFF"/>
            <w:vAlign w:val="center"/>
          </w:tcPr>
          <w:p w14:paraId="452E20F9"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15B3C08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2000</w:t>
            </w:r>
          </w:p>
        </w:tc>
        <w:tc>
          <w:tcPr>
            <w:tcW w:w="1390" w:type="pct"/>
            <w:tcBorders>
              <w:top w:val="nil"/>
              <w:left w:val="nil"/>
              <w:bottom w:val="nil"/>
              <w:right w:val="nil"/>
            </w:tcBorders>
            <w:shd w:val="clear" w:color="auto" w:fill="FFFFFF"/>
            <w:vAlign w:val="center"/>
          </w:tcPr>
          <w:p w14:paraId="2BEEE818" w14:textId="77777777"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SmartMat</w:t>
            </w:r>
            <w:proofErr w:type="spellEnd"/>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074AB8C3"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&lt;EndNote&gt;&lt;Cite&gt;&lt;Author&gt;Cao&lt;/Author&gt;&lt;Year&gt;2024&lt;/Year&gt;&lt;RecNum&gt;5&lt;/RecNum&gt;&lt;DisplayText&gt;&lt;style face="superscript"&gt;[21]&lt;/style&gt;&lt;/DisplayText&gt;&lt;record&gt;&lt;rec-number&gt;5&lt;/rec-number&gt;&lt;foreign-keys&gt;&lt;key app="EN" db-id="9rsfdxzandzf9le2rs7pswdy5t2xa9x2eadd" timestamp="1750759714"&gt;5&lt;/key&gt;&lt;/foreign-keys&gt;&lt;ref-type name="Journal Article"&gt;17&lt;/ref-type&gt;&lt;contributors&gt;&lt;authors&gt;&lt;author&gt;Cao, Qinghe&lt;/author&gt;&lt;author&gt;Gao, Yong&lt;/author&gt;&lt;author&gt;Pu, Jie&lt;/author&gt;&lt;author&gt;Elshahawy, Abdelnaby M.&lt;/author&gt;&lt;author&gt;Guan, Cao&lt;/author&gt;&lt;/authors&gt;&lt;/contributors&gt;&lt;titles&gt;&lt;title&gt;Materials and structural design for preferable Zn deposition behavior toward stable Zn anodes&lt;/title&gt;&lt;secondary-title&gt;SmartMat&lt;/secondary-title&gt;&lt;/titles&gt;&lt;periodical&gt;&lt;full-title&gt;SmartMat&lt;/full-title&gt;&lt;/periodical&gt;&lt;pages&gt;e1194&lt;/pages&gt;&lt;volume&gt;5&lt;/volume&gt;&lt;number&gt;1&lt;/number&gt;&lt;dates&gt;&lt;year&gt;2024&lt;/year&gt;&lt;/dates&gt;&lt;isbn&gt;2766-8525&lt;/isbn&gt;&lt;urls&gt;&lt;related-urls&gt;&lt;url&gt;https://onlinelibrary.wiley.com/doi/abs/10.1002/smm2.1194&lt;/url&gt;&lt;/related-urls&gt;&lt;/urls&gt;&lt;electronic-resource-num&gt;https://doi.org/10.1002/smm2.1194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[21]</w:t>
            </w:r>
            <w:r>
              <w:rPr>
                <w:rFonts w:ascii="Times New Roman" w:hAnsi="Times New Roman" w:cs="Times New Roman"/>
                <w:color w:val="0000FF"/>
                <w:szCs w:val="21"/>
              </w:rPr>
              <w:fldChar w:fldCharType="end"/>
            </w:r>
          </w:p>
        </w:tc>
      </w:tr>
      <w:tr w:rsidR="00536E8D" w14:paraId="75743535" w14:textId="77777777" w:rsidTr="00D02DF7">
        <w:trPr>
          <w:trHeight w:val="528"/>
          <w:jc w:val="center"/>
        </w:trPr>
        <w:tc>
          <w:tcPr>
            <w:tcW w:w="1131" w:type="pct"/>
            <w:vMerge/>
            <w:tcBorders>
              <w:top w:val="nil"/>
              <w:left w:val="nil"/>
              <w:bottom w:val="nil"/>
              <w:right w:val="nil"/>
            </w:tcBorders>
            <w:shd w:val="clear" w:color="auto" w:fill="FFFFFF"/>
            <w:vAlign w:val="center"/>
          </w:tcPr>
          <w:p w14:paraId="6053ACC6"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05181388"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CAT-Zn-Structural</w:t>
            </w:r>
          </w:p>
        </w:tc>
        <w:tc>
          <w:tcPr>
            <w:tcW w:w="611" w:type="pct"/>
            <w:tcBorders>
              <w:top w:val="nil"/>
              <w:left w:val="nil"/>
              <w:bottom w:val="nil"/>
              <w:right w:val="nil"/>
            </w:tcBorders>
            <w:shd w:val="clear" w:color="auto" w:fill="FFFFFF"/>
            <w:vAlign w:val="center"/>
          </w:tcPr>
          <w:p w14:paraId="07B1F597"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w:t>
            </w:r>
          </w:p>
        </w:tc>
        <w:tc>
          <w:tcPr>
            <w:tcW w:w="573" w:type="pct"/>
            <w:tcBorders>
              <w:top w:val="nil"/>
              <w:left w:val="nil"/>
              <w:bottom w:val="nil"/>
              <w:right w:val="nil"/>
            </w:tcBorders>
            <w:shd w:val="clear" w:color="auto" w:fill="FFFFFF"/>
            <w:vAlign w:val="center"/>
          </w:tcPr>
          <w:p w14:paraId="512769A3"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500</w:t>
            </w:r>
          </w:p>
        </w:tc>
        <w:tc>
          <w:tcPr>
            <w:tcW w:w="1390" w:type="pct"/>
            <w:tcBorders>
              <w:top w:val="nil"/>
              <w:left w:val="nil"/>
              <w:bottom w:val="nil"/>
              <w:right w:val="nil"/>
            </w:tcBorders>
            <w:shd w:val="clear" w:color="auto" w:fill="FFFFFF"/>
            <w:vAlign w:val="center"/>
          </w:tcPr>
          <w:p w14:paraId="700C6C80" w14:textId="600D867D"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SmartMat</w:t>
            </w:r>
            <w:proofErr w:type="spellEnd"/>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27AB65FC"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&lt;EndNote&gt;&lt;Cite&gt;&lt;Author&gt;Cao&lt;/Author&gt;&lt;Year&gt;2024&lt;/Year&gt;&lt;RecNum&gt;5&lt;/RecNum&gt;&lt;DisplayText&gt;&lt;style face="superscript"&gt;[21]&lt;/style&gt;&lt;/DisplayText&gt;&lt;record&gt;&lt;rec-number&gt;5&lt;/rec-number&gt;&lt;foreign-keys&gt;&lt;key app="EN" db-id="9rsfdxzandzf9le2rs7pswdy5t2xa9x2eadd" timestamp="1750759714"&gt;5&lt;/key&gt;&lt;/foreign-keys&gt;&lt;ref-type name="Journal Article"&gt;17&lt;/ref-type&gt;&lt;contributors&gt;&lt;authors&gt;&lt;author&gt;Cao, Qinghe&lt;/author&gt;&lt;author&gt;Gao, Yong&lt;/author&gt;&lt;author&gt;Pu, Jie&lt;/author&gt;&lt;author&gt;Elshahawy, Abdelnaby M.&lt;/author&gt;&lt;author&gt;Guan, Cao&lt;/author&gt;&lt;/authors&gt;&lt;/contributors&gt;&lt;titles&gt;&lt;title&gt;Materials and structural design for preferable Zn deposition behavior toward stable Zn anodes&lt;/title&gt;&lt;secondary-title&gt;SmartMat&lt;/secondary-title&gt;&lt;/titles&gt;&lt;periodical&gt;&lt;full-title&gt;SmartMat&lt;/full-title&gt;&lt;/periodical&gt;&lt;pages&gt;e1194&lt;/pages&gt;&lt;volume&gt;5&lt;/volume&gt;&lt;number&gt;1&lt;/number&gt;&lt;dates&gt;&lt;year&gt;2024&lt;/year&gt;&lt;/dates&gt;&lt;isbn&gt;2766-8525&lt;/isbn&gt;&lt;urls&gt;&lt;related-urls&gt;&lt;url&gt;https://onlinelibrary.wiley.com/doi/abs/10.1002/smm2.1194&lt;/url&gt;&lt;/related-urls&gt;&lt;/urls&gt;&lt;electronic-resource-num&gt;https://doi.org/10.1002/smm2.1194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[21]</w:t>
            </w:r>
            <w:r>
              <w:rPr>
                <w:rFonts w:ascii="Times New Roman" w:hAnsi="Times New Roman" w:cs="Times New Roman"/>
                <w:color w:val="0000FF"/>
                <w:szCs w:val="21"/>
              </w:rPr>
              <w:fldChar w:fldCharType="end"/>
            </w:r>
          </w:p>
        </w:tc>
      </w:tr>
      <w:tr w:rsidR="00536E8D" w14:paraId="7964B840" w14:textId="77777777" w:rsidTr="00D02DF7">
        <w:trPr>
          <w:trHeight w:val="673"/>
          <w:jc w:val="center"/>
        </w:trPr>
        <w:tc>
          <w:tcPr>
            <w:tcW w:w="1131" w:type="pct"/>
            <w:vMerge/>
            <w:tcBorders>
              <w:top w:val="nil"/>
              <w:left w:val="nil"/>
              <w:bottom w:val="nil"/>
              <w:right w:val="nil"/>
            </w:tcBorders>
            <w:shd w:val="clear" w:color="auto" w:fill="FFFFFF"/>
            <w:vAlign w:val="center"/>
          </w:tcPr>
          <w:p w14:paraId="062A2918"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1A77347E"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Zn-Structural</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Design</w:t>
            </w:r>
          </w:p>
        </w:tc>
        <w:tc>
          <w:tcPr>
            <w:tcW w:w="611" w:type="pct"/>
            <w:tcBorders>
              <w:top w:val="nil"/>
              <w:left w:val="nil"/>
              <w:bottom w:val="nil"/>
              <w:right w:val="nil"/>
            </w:tcBorders>
            <w:shd w:val="clear" w:color="auto" w:fill="FFFFFF"/>
            <w:vAlign w:val="center"/>
          </w:tcPr>
          <w:p w14:paraId="6A259725"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5</w:t>
            </w:r>
          </w:p>
        </w:tc>
        <w:tc>
          <w:tcPr>
            <w:tcW w:w="573" w:type="pct"/>
            <w:tcBorders>
              <w:top w:val="nil"/>
              <w:left w:val="nil"/>
              <w:bottom w:val="nil"/>
              <w:right w:val="nil"/>
            </w:tcBorders>
            <w:shd w:val="clear" w:color="auto" w:fill="FFFFFF"/>
            <w:vAlign w:val="center"/>
          </w:tcPr>
          <w:p w14:paraId="3F244A5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800</w:t>
            </w:r>
          </w:p>
        </w:tc>
        <w:tc>
          <w:tcPr>
            <w:tcW w:w="1390" w:type="pct"/>
            <w:tcBorders>
              <w:top w:val="nil"/>
              <w:left w:val="nil"/>
              <w:bottom w:val="nil"/>
              <w:right w:val="nil"/>
            </w:tcBorders>
            <w:shd w:val="clear" w:color="auto" w:fill="FFFFFF"/>
            <w:vAlign w:val="center"/>
          </w:tcPr>
          <w:p w14:paraId="6E440A7F" w14:textId="504585B1"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SmartMat</w:t>
            </w:r>
            <w:proofErr w:type="spellEnd"/>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43539AC1"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&lt;EndNote&gt;&lt;Cite&gt;&lt;Author&gt;Cao&lt;/Author&gt;&lt;Year&gt;2024&lt;/Year&gt;&lt;RecNum&gt;5&lt;/RecNum&gt;&lt;DisplayText&gt;&lt;style face="superscript"&gt;[21]&lt;/style&gt;&lt;/DisplayText&gt;&lt;record&gt;&lt;rec-number&gt;5&lt;/rec-number&gt;&lt;foreign-keys&gt;&lt;key app="EN" db-id="9rsfdxzandzf9le2rs7pswdy5t2xa9x2eadd" timestamp="1750759714"&gt;5&lt;/key&gt;&lt;/foreign-keys&gt;&lt;ref-type name="Journal Article"&gt;17&lt;/ref-type&gt;&lt;contributors&gt;&lt;authors&gt;&lt;author&gt;Cao, Qinghe&lt;/author&gt;&lt;author&gt;Gao, Yong&lt;/author&gt;&lt;author&gt;Pu, Jie&lt;/author&gt;&lt;author&gt;Elshahawy, Abdelnaby M.&lt;/author&gt;&lt;author&gt;Guan, Cao&lt;/author&gt;&lt;/authors&gt;&lt;/contributors&gt;&lt;titles&gt;&lt;title&gt;Materials and structural design for preferable Zn deposition behavior toward stable Zn anodes&lt;/title&gt;&lt;secondary-title&gt;SmartMat&lt;/secondary-title&gt;&lt;/titles&gt;&lt;periodical&gt;&lt;full-title&gt;SmartMat&lt;/full-title&gt;&lt;/periodical&gt;&lt;pages&gt;e1194&lt;/pages&gt;&lt;volume&gt;5&lt;/volume&gt;&lt;number&gt;1&lt;/number&gt;&lt;dates&gt;&lt;year&gt;2024&lt;/year&gt;&lt;/dates&gt;&lt;isbn&gt;2766-8525&lt;/isbn&gt;&lt;urls&gt;&lt;related-urls&gt;&lt;url&gt;https://onlinelibrary.wiley.com/doi/abs/10.1002/smm2.1194&lt;/url&gt;&lt;/related-urls&gt;&lt;/urls&gt;&lt;electronic-resource-num&gt;https://doi.org/10.1002/smm2.1194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[21]</w:t>
            </w:r>
            <w:r>
              <w:rPr>
                <w:rFonts w:ascii="Times New Roman" w:hAnsi="Times New Roman" w:cs="Times New Roman"/>
                <w:color w:val="0000FF"/>
                <w:szCs w:val="21"/>
              </w:rPr>
              <w:fldChar w:fldCharType="end"/>
            </w:r>
          </w:p>
        </w:tc>
      </w:tr>
      <w:tr w:rsidR="00536E8D" w14:paraId="3129F926" w14:textId="77777777" w:rsidTr="00D02DF7">
        <w:trPr>
          <w:trHeight w:val="673"/>
          <w:jc w:val="center"/>
        </w:trPr>
        <w:tc>
          <w:tcPr>
            <w:tcW w:w="1131" w:type="pct"/>
            <w:vMerge/>
            <w:tcBorders>
              <w:top w:val="nil"/>
              <w:left w:val="nil"/>
              <w:bottom w:val="nil"/>
              <w:right w:val="nil"/>
            </w:tcBorders>
            <w:shd w:val="clear" w:color="auto" w:fill="FFFFFF"/>
            <w:vAlign w:val="center"/>
          </w:tcPr>
          <w:p w14:paraId="27FD5CCC"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3DDDC72A"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Zn-Structural</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Design</w:t>
            </w:r>
          </w:p>
        </w:tc>
        <w:tc>
          <w:tcPr>
            <w:tcW w:w="611" w:type="pct"/>
            <w:tcBorders>
              <w:top w:val="nil"/>
              <w:left w:val="nil"/>
              <w:bottom w:val="nil"/>
              <w:right w:val="nil"/>
            </w:tcBorders>
            <w:shd w:val="clear" w:color="auto" w:fill="FFFFFF"/>
            <w:vAlign w:val="center"/>
          </w:tcPr>
          <w:p w14:paraId="002E73E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1121DA29"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2000</w:t>
            </w:r>
          </w:p>
        </w:tc>
        <w:tc>
          <w:tcPr>
            <w:tcW w:w="1390" w:type="pct"/>
            <w:tcBorders>
              <w:top w:val="nil"/>
              <w:left w:val="nil"/>
              <w:bottom w:val="nil"/>
              <w:right w:val="nil"/>
            </w:tcBorders>
            <w:shd w:val="clear" w:color="auto" w:fill="FFFFFF"/>
            <w:vAlign w:val="center"/>
          </w:tcPr>
          <w:p w14:paraId="5ABB1DED" w14:textId="6B55A91C"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SmartMat</w:t>
            </w:r>
            <w:proofErr w:type="spellEnd"/>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5777FCCC"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&lt;EndNote&gt;&lt;Cite&gt;&lt;Author&gt;Cao&lt;/Author&gt;&lt;Year&gt;2024&lt;/Year&gt;&lt;RecNum&gt;5&lt;/RecNum&gt;&lt;DisplayText&gt;&lt;style face="superscript"&gt;[21]&lt;/style&gt;&lt;/DisplayText&gt;&lt;record&gt;&lt;rec-number&gt;5&lt;/rec-number&gt;&lt;foreign-keys&gt;&lt;key app="EN" db-id="9rsfdxzandzf9le2rs7pswdy5t2xa9x2eadd" timestamp="1750759714"&gt;5&lt;/key&gt;&lt;/foreign-keys&gt;&lt;ref-type name="Journal Article"&gt;17&lt;/ref-type&gt;&lt;contributors&gt;&lt;authors&gt;&lt;author&gt;Cao, Qinghe&lt;/author&gt;&lt;author&gt;Gao, Yong&lt;/author&gt;&lt;author&gt;Pu, Jie&lt;/author&gt;&lt;author&gt;Elshahawy, Abdelnaby M.&lt;/author&gt;&lt;author&gt;Guan, Cao&lt;/author&gt;&lt;/authors&gt;&lt;/contributors&gt;&lt;titles&gt;&lt;title&gt;Materials and structural design for preferable Zn deposition behavior toward stable Zn anodes&lt;/title&gt;&lt;secondary-title&gt;SmartMat&lt;/secondary-title&gt;&lt;/titles&gt;&lt;periodical&gt;&lt;full-title&gt;SmartMat&lt;/full-title&gt;&lt;/periodical&gt;&lt;pages&gt;e1194&lt;/pages&gt;&lt;volume&gt;5&lt;/volume&gt;&lt;number&gt;1&lt;/number&gt;&lt;dates&gt;&lt;year&gt;2024&lt;/year&gt;&lt;/dates&gt;&lt;isbn&gt;2766-8525&lt;/isbn&gt;&lt;urls&gt;&lt;related-urls&gt;&lt;url&gt;https://onlinelibrary.wiley.com/doi/abs/10.1002/smm2.1194&lt;/url&gt;&lt;/related-urls&gt;&lt;/urls&gt;&lt;electronic-resource-num&gt;https://doi.org/10.1002/smm2.1194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[21]</w:t>
            </w:r>
            <w:r>
              <w:rPr>
                <w:rFonts w:ascii="Times New Roman" w:hAnsi="Times New Roman" w:cs="Times New Roman"/>
                <w:color w:val="0000FF"/>
                <w:szCs w:val="21"/>
              </w:rPr>
              <w:fldChar w:fldCharType="end"/>
            </w:r>
          </w:p>
        </w:tc>
      </w:tr>
      <w:tr w:rsidR="00536E8D" w14:paraId="6B60502F" w14:textId="77777777" w:rsidTr="00D02DF7">
        <w:trPr>
          <w:trHeight w:val="528"/>
          <w:jc w:val="center"/>
        </w:trPr>
        <w:tc>
          <w:tcPr>
            <w:tcW w:w="1131" w:type="pct"/>
            <w:vMerge/>
            <w:tcBorders>
              <w:top w:val="nil"/>
              <w:left w:val="nil"/>
              <w:bottom w:val="nil"/>
              <w:right w:val="nil"/>
            </w:tcBorders>
            <w:shd w:val="clear" w:color="auto" w:fill="FFFFFF"/>
            <w:vAlign w:val="center"/>
          </w:tcPr>
          <w:p w14:paraId="3247F4E2"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0D8A3FEC"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Zn-Structural</w:t>
            </w:r>
          </w:p>
        </w:tc>
        <w:tc>
          <w:tcPr>
            <w:tcW w:w="611" w:type="pct"/>
            <w:tcBorders>
              <w:top w:val="nil"/>
              <w:left w:val="nil"/>
              <w:bottom w:val="nil"/>
              <w:right w:val="nil"/>
            </w:tcBorders>
            <w:shd w:val="clear" w:color="auto" w:fill="FFFFFF"/>
            <w:vAlign w:val="center"/>
          </w:tcPr>
          <w:p w14:paraId="0BC2EE98"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5047F6F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3000</w:t>
            </w:r>
          </w:p>
        </w:tc>
        <w:tc>
          <w:tcPr>
            <w:tcW w:w="1390" w:type="pct"/>
            <w:tcBorders>
              <w:top w:val="nil"/>
              <w:left w:val="nil"/>
              <w:bottom w:val="nil"/>
              <w:right w:val="nil"/>
            </w:tcBorders>
            <w:shd w:val="clear" w:color="auto" w:fill="FFFFFF"/>
            <w:vAlign w:val="center"/>
          </w:tcPr>
          <w:p w14:paraId="73DB2378" w14:textId="7A2B5480"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SmartMat</w:t>
            </w:r>
            <w:proofErr w:type="spellEnd"/>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2024</w:t>
            </w:r>
          </w:p>
        </w:tc>
        <w:tc>
          <w:tcPr>
            <w:tcW w:w="364" w:type="pct"/>
            <w:tcBorders>
              <w:top w:val="nil"/>
              <w:left w:val="nil"/>
              <w:bottom w:val="nil"/>
              <w:right w:val="nil"/>
            </w:tcBorders>
            <w:shd w:val="clear" w:color="auto" w:fill="FFFFFF"/>
            <w:vAlign w:val="center"/>
          </w:tcPr>
          <w:p w14:paraId="38ECB173"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&lt;EndNote&gt;&lt;Cite&gt;&lt;Author&gt;Cao&lt;/Author&gt;&lt;Year&gt;2024&lt;/Year&gt;&lt;RecNum&gt;5&lt;/RecNum&gt;&lt;DisplayText&gt;&lt;style face="superscript"&gt;[21]&lt;/style&gt;&lt;/DisplayText&gt;&lt;record&gt;&lt;rec-number&gt;5&lt;/rec-number&gt;&lt;foreign-keys&gt;&lt;key app="EN" db-id="9rsfdxzandzf9le2rs7pswdy5t2xa9x2eadd" timestamp="1750759714"&gt;5&lt;/key&gt;&lt;/foreign-keys&gt;&lt;ref-type name="Journal Article"&gt;17&lt;/ref-type&gt;&lt;contributors&gt;&lt;authors&gt;&lt;author&gt;Cao, Qinghe&lt;/author&gt;&lt;author&gt;Gao, Yong&lt;/author&gt;&lt;author&gt;Pu, Jie&lt;/author&gt;&lt;author&gt;Elshahawy, Abdelnaby M.&lt;/author&gt;&lt;author&gt;Guan, Cao&lt;/author&gt;&lt;/authors&gt;&lt;/contributors&gt;&lt;titles&gt;&lt;title&gt;Materials and structural design for preferable Zn deposition behavior toward stable Zn anodes&lt;/title&gt;&lt;secondary-title&gt;SmartMat&lt;/secondary-title&gt;&lt;/titles&gt;&lt;periodical&gt;&lt;full-title&gt;SmartMat&lt;/full-title&gt;&lt;/periodical&gt;&lt;pages&gt;e1194&lt;/pages&gt;&lt;volume&gt;5&lt;/volume&gt;&lt;number&gt;1&lt;/number&gt;&lt;dates&gt;&lt;year&gt;2024&lt;/year&gt;&lt;/dates&gt;&lt;isbn&gt;2766-8525&lt;/isbn&gt;&lt;urls&gt;&lt;related-urls&gt;&lt;url&gt;https://onlinelibrary.wiley.com/doi/abs/10.1002/smm2.1194&lt;/url&gt;&lt;/related-urls&gt;&lt;/urls&gt;&lt;electronic-resource-num&gt;https://doi.org/10.1002/smm2.1194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[21]</w:t>
            </w:r>
            <w:r>
              <w:rPr>
                <w:rFonts w:ascii="Times New Roman" w:hAnsi="Times New Roman" w:cs="Times New Roman"/>
                <w:color w:val="0000FF"/>
                <w:szCs w:val="21"/>
              </w:rPr>
              <w:fldChar w:fldCharType="end"/>
            </w:r>
          </w:p>
        </w:tc>
      </w:tr>
      <w:tr w:rsidR="00536E8D" w14:paraId="69CF7BB0" w14:textId="77777777" w:rsidTr="00D02DF7">
        <w:trPr>
          <w:trHeight w:val="528"/>
          <w:jc w:val="center"/>
        </w:trPr>
        <w:tc>
          <w:tcPr>
            <w:tcW w:w="1131" w:type="pct"/>
            <w:vMerge/>
            <w:tcBorders>
              <w:top w:val="nil"/>
              <w:left w:val="nil"/>
              <w:bottom w:val="nil"/>
              <w:right w:val="nil"/>
            </w:tcBorders>
            <w:shd w:val="clear" w:color="auto" w:fill="FFFFFF"/>
            <w:vAlign w:val="center"/>
          </w:tcPr>
          <w:p w14:paraId="68F0F8E2"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7F88DFD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Zn-Complexity</w:t>
            </w:r>
          </w:p>
        </w:tc>
        <w:tc>
          <w:tcPr>
            <w:tcW w:w="611" w:type="pct"/>
            <w:tcBorders>
              <w:top w:val="nil"/>
              <w:left w:val="nil"/>
              <w:bottom w:val="nil"/>
              <w:right w:val="nil"/>
            </w:tcBorders>
            <w:shd w:val="clear" w:color="auto" w:fill="FFFFFF"/>
            <w:vAlign w:val="center"/>
          </w:tcPr>
          <w:p w14:paraId="40FF86CE"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w:t>
            </w:r>
          </w:p>
        </w:tc>
        <w:tc>
          <w:tcPr>
            <w:tcW w:w="573" w:type="pct"/>
            <w:tcBorders>
              <w:top w:val="nil"/>
              <w:left w:val="nil"/>
              <w:bottom w:val="nil"/>
              <w:right w:val="nil"/>
            </w:tcBorders>
            <w:shd w:val="clear" w:color="auto" w:fill="FFFFFF"/>
            <w:vAlign w:val="center"/>
          </w:tcPr>
          <w:p w14:paraId="25E36F12"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630</w:t>
            </w:r>
          </w:p>
        </w:tc>
        <w:tc>
          <w:tcPr>
            <w:tcW w:w="1390" w:type="pct"/>
            <w:tcBorders>
              <w:top w:val="nil"/>
              <w:left w:val="nil"/>
              <w:bottom w:val="nil"/>
              <w:right w:val="nil"/>
            </w:tcBorders>
            <w:shd w:val="clear" w:color="auto" w:fill="FFFFFF"/>
            <w:vAlign w:val="center"/>
          </w:tcPr>
          <w:p w14:paraId="2128BE0A" w14:textId="295D44F6"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Adv. Energy Mater.</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2022</w:t>
            </w:r>
          </w:p>
        </w:tc>
        <w:tc>
          <w:tcPr>
            <w:tcW w:w="364" w:type="pct"/>
            <w:tcBorders>
              <w:top w:val="nil"/>
              <w:left w:val="nil"/>
              <w:bottom w:val="nil"/>
              <w:right w:val="nil"/>
            </w:tcBorders>
            <w:shd w:val="clear" w:color="auto" w:fill="FFFFFF"/>
            <w:vAlign w:val="center"/>
          </w:tcPr>
          <w:p w14:paraId="330F3776"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&lt;EndNote&gt;&lt;Cite&gt;&lt;Author&gt;Qian&lt;/Author&gt;&lt;Year&gt;2022&lt;/Year&gt;&lt;RecNum&gt;6&lt;/RecNum&gt;&lt;DisplayText&gt;&lt;style face="superscript"&gt;[22]&lt;/style&gt;&lt;/DisplayText&gt;&lt;record&gt;&lt;rec-number&gt;6&lt;/rec-number&gt;&lt;foreign-keys&gt;&lt;key app="EN" db-id="9rsfdxzandzf9le2rs7pswdy5t2xa9x2eadd" timestamp="1750759789"&gt;6&lt;/key&gt;&lt;/foreign-keys&gt;&lt;ref-type name="Journal Article"&gt;17&lt;/ref-type&gt;&lt;contributors&gt;&lt;authors&gt;&lt;author&gt;Qian, Guannan&lt;/author&gt;&lt;author&gt;Zan, Guibin&lt;/author&gt;&lt;author&gt;Li, Jizhou&lt;/author&gt;&lt;author&gt;Lee, Sang-Jun&lt;/author&gt;&lt;author&gt;Wang, Yong&lt;/author&gt;&lt;author&gt;Zhu, Yingying&lt;/author&gt;&lt;author&gt;Gul, Sheraz&lt;/author&gt;&lt;author&gt;Vine, David J.&lt;/author&gt;&lt;author&gt;Lewis, Sylvia&lt;/author&gt;&lt;author&gt;Yun, Wenbing&lt;/author&gt;&lt;author&gt;Ma, Zi-Feng&lt;/author&gt;&lt;author&gt;Pianetta, Piero&lt;/author&gt;&lt;author&gt;Lee, Jun-Sik&lt;/author&gt;&lt;author&gt;Li, Linsen&lt;/author&gt;&lt;author&gt;Liu, Yijin&lt;/author&gt;&lt;/authors&gt;&lt;/contributors&gt;&lt;titles&gt;&lt;title&gt;Structural, Dynamic, and Chemical Complexities in Zinc Anode of an Operating Aqueous Zn-Ion Battery&lt;/title&gt;&lt;secondary-title&gt;Advanced Energy Materials&lt;/secondary-title&gt;&lt;/titles&gt;&lt;periodical&gt;&lt;full-title&gt;Advanced Energy Materials&lt;/full-title&gt;&lt;/periodical&gt;&lt;pages&gt;2200255&lt;/pages&gt;&lt;volume&gt;12&lt;/volume&gt;&lt;number&gt;21&lt;/number&gt;&lt;dates&gt;&lt;year&gt;2022&lt;/year&gt;&lt;/dates&gt;&lt;isbn&gt;1614-6832&lt;/isbn&gt;&lt;urls&gt;&lt;related-urls&gt;&lt;url&gt;https://advanced.onlinelibrary.wiley.com/doi/abs/10.1002/aenm.202200255&lt;/url&gt;&lt;/related-urls&gt;&lt;/urls&gt;&lt;electronic-resource-num&gt;https://doi.org/10.1002/aenm.202200255&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[22]</w:t>
            </w:r>
            <w:r>
              <w:rPr>
                <w:rFonts w:ascii="Times New Roman" w:hAnsi="Times New Roman" w:cs="Times New Roman"/>
                <w:color w:val="0000FF"/>
                <w:szCs w:val="21"/>
              </w:rPr>
              <w:fldChar w:fldCharType="end"/>
            </w:r>
          </w:p>
        </w:tc>
      </w:tr>
      <w:tr w:rsidR="00536E8D" w14:paraId="098D8FA3" w14:textId="77777777" w:rsidTr="00D02DF7">
        <w:trPr>
          <w:trHeight w:val="793"/>
          <w:jc w:val="center"/>
        </w:trPr>
        <w:tc>
          <w:tcPr>
            <w:tcW w:w="1131" w:type="pct"/>
            <w:vMerge/>
            <w:tcBorders>
              <w:top w:val="nil"/>
              <w:left w:val="nil"/>
              <w:bottom w:val="nil"/>
              <w:right w:val="nil"/>
            </w:tcBorders>
            <w:shd w:val="clear" w:color="auto" w:fill="FFFFFF"/>
            <w:vAlign w:val="center"/>
          </w:tcPr>
          <w:p w14:paraId="57C8F643" w14:textId="77777777" w:rsidR="00536E8D" w:rsidRDefault="00536E8D">
            <w:pPr>
              <w:jc w:val="center"/>
              <w:rPr>
                <w:rFonts w:ascii="Times New Roman" w:hAnsi="Times New Roman" w:cs="Times New Roman"/>
                <w:color w:val="000000"/>
                <w:szCs w:val="21"/>
              </w:rPr>
            </w:pPr>
          </w:p>
        </w:tc>
        <w:tc>
          <w:tcPr>
            <w:tcW w:w="932" w:type="pct"/>
            <w:tcBorders>
              <w:top w:val="nil"/>
              <w:left w:val="nil"/>
              <w:bottom w:val="nil"/>
              <w:right w:val="nil"/>
            </w:tcBorders>
            <w:shd w:val="clear" w:color="auto" w:fill="FFFFFF"/>
            <w:vAlign w:val="center"/>
          </w:tcPr>
          <w:p w14:paraId="539C54AF"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Interface-Bridged-Zn</w:t>
            </w:r>
          </w:p>
        </w:tc>
        <w:tc>
          <w:tcPr>
            <w:tcW w:w="611" w:type="pct"/>
            <w:tcBorders>
              <w:top w:val="nil"/>
              <w:left w:val="nil"/>
              <w:bottom w:val="nil"/>
              <w:right w:val="nil"/>
            </w:tcBorders>
            <w:shd w:val="clear" w:color="auto" w:fill="FFFFFF"/>
            <w:vAlign w:val="center"/>
          </w:tcPr>
          <w:p w14:paraId="2F69B071"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1</w:t>
            </w:r>
          </w:p>
        </w:tc>
        <w:tc>
          <w:tcPr>
            <w:tcW w:w="573" w:type="pct"/>
            <w:tcBorders>
              <w:top w:val="nil"/>
              <w:left w:val="nil"/>
              <w:bottom w:val="nil"/>
              <w:right w:val="nil"/>
            </w:tcBorders>
            <w:shd w:val="clear" w:color="auto" w:fill="FFFFFF"/>
            <w:vAlign w:val="center"/>
          </w:tcPr>
          <w:p w14:paraId="04A2A3FD" w14:textId="77777777" w:rsidR="00536E8D" w:rsidRDefault="00B21C59">
            <w:pPr>
              <w:widowControl/>
              <w:jc w:val="center"/>
              <w:textAlignment w:val="bottom"/>
              <w:rPr>
                <w:rFonts w:ascii="Times New Roman" w:hAnsi="Times New Roman" w:cs="Times New Roman"/>
                <w:color w:val="000000"/>
                <w:szCs w:val="21"/>
              </w:rPr>
            </w:pPr>
            <w:r>
              <w:rPr>
                <w:rFonts w:ascii="Times New Roman" w:eastAsia="等线" w:hAnsi="Times New Roman" w:cs="Times New Roman"/>
                <w:color w:val="000000"/>
                <w:kern w:val="0"/>
                <w:szCs w:val="21"/>
                <w:lang w:bidi="ar"/>
              </w:rPr>
              <w:t>2000</w:t>
            </w:r>
          </w:p>
        </w:tc>
        <w:tc>
          <w:tcPr>
            <w:tcW w:w="1390" w:type="pct"/>
            <w:tcBorders>
              <w:top w:val="nil"/>
              <w:left w:val="nil"/>
              <w:bottom w:val="nil"/>
              <w:right w:val="nil"/>
            </w:tcBorders>
            <w:shd w:val="clear" w:color="auto" w:fill="FFFFFF"/>
            <w:vAlign w:val="center"/>
          </w:tcPr>
          <w:p w14:paraId="6E79D894" w14:textId="2CE6B292" w:rsidR="00536E8D" w:rsidRDefault="00B21C59">
            <w:pPr>
              <w:widowControl/>
              <w:jc w:val="center"/>
              <w:textAlignment w:val="bottom"/>
              <w:rPr>
                <w:rFonts w:ascii="Times New Roman" w:hAnsi="Times New Roman" w:cs="Times New Roman"/>
                <w:color w:val="000000"/>
                <w:szCs w:val="21"/>
              </w:rPr>
            </w:pPr>
            <w:proofErr w:type="spellStart"/>
            <w:r>
              <w:rPr>
                <w:rFonts w:ascii="Times New Roman" w:eastAsia="等线" w:hAnsi="Times New Roman" w:cs="Times New Roman"/>
                <w:color w:val="000000"/>
                <w:kern w:val="0"/>
                <w:szCs w:val="21"/>
                <w:lang w:bidi="ar"/>
              </w:rPr>
              <w:t>Angew</w:t>
            </w:r>
            <w:proofErr w:type="spellEnd"/>
            <w:r>
              <w:rPr>
                <w:rFonts w:ascii="Times New Roman" w:eastAsia="等线" w:hAnsi="Times New Roman" w:cs="Times New Roman"/>
                <w:color w:val="000000"/>
                <w:kern w:val="0"/>
                <w:szCs w:val="21"/>
                <w:lang w:bidi="ar"/>
              </w:rPr>
              <w:t>. Chem. Int. Ed.</w:t>
            </w:r>
            <w:r w:rsidR="00043801">
              <w:rPr>
                <w:rFonts w:ascii="Times New Roman" w:eastAsia="等线" w:hAnsi="Times New Roman" w:cs="Times New Roman" w:hint="eastAsia"/>
                <w:color w:val="000000"/>
                <w:kern w:val="0"/>
                <w:szCs w:val="21"/>
                <w:lang w:bidi="ar"/>
              </w:rPr>
              <w:t>,</w:t>
            </w:r>
            <w:r>
              <w:rPr>
                <w:rFonts w:ascii="Times New Roman" w:eastAsia="等线" w:hAnsi="Times New Roman" w:cs="Times New Roman"/>
                <w:color w:val="000000"/>
                <w:kern w:val="0"/>
                <w:szCs w:val="21"/>
                <w:lang w:bidi="ar"/>
              </w:rPr>
              <w:t xml:space="preserve"> 2020</w:t>
            </w:r>
          </w:p>
        </w:tc>
        <w:tc>
          <w:tcPr>
            <w:tcW w:w="364" w:type="pct"/>
            <w:tcBorders>
              <w:top w:val="nil"/>
              <w:left w:val="nil"/>
              <w:bottom w:val="nil"/>
              <w:right w:val="nil"/>
            </w:tcBorders>
            <w:shd w:val="clear" w:color="auto" w:fill="FFFFFF"/>
            <w:vAlign w:val="center"/>
          </w:tcPr>
          <w:p w14:paraId="5376A465"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&lt;EndNote&gt;&lt;Cite&gt;&lt;Author&gt;Cui&lt;/Author&gt;&lt;Year&gt;2020&lt;/Year&gt;&lt;RecNum&gt;7&lt;/RecNum&gt;&lt;DisplayText&gt;&lt;style face="superscript"&gt;[23]&lt;/style&gt;&lt;/DisplayText&gt;&lt;record&gt;&lt;rec-number&gt;7&lt;/rec-number&gt;&lt;foreign-keys&gt;&lt;key app="EN" db-id="9rsfdxzandzf9le2rs7pswdy5t2xa9x2eadd" timestamp="1750759854"&gt;7&lt;/key&gt;&lt;/foreign-keys&gt;&lt;ref-type name="Journal Article"&gt;17&lt;/ref-type&gt;&lt;contributors&gt;&lt;authors&gt;&lt;author&gt;Cui, Yanhui&lt;/author&gt;&lt;author&gt;Zhao, Qinghe&lt;/author&gt;&lt;author&gt;Wu, Xiaojun&lt;/author&gt;&lt;author&gt;Chen, Xin&lt;/author&gt;&lt;author&gt;Yang, Jinlong&lt;/author&gt;&lt;author&gt;Wang, Yuetao&lt;/author&gt;&lt;author&gt;Qin, Runzhi&lt;/author&gt;&lt;author&gt;Ding, Shouxiang&lt;/author&gt;&lt;author&gt;Song, Yongli&lt;/author&gt;&lt;author&gt;Wu, Junwei&lt;/author&gt;&lt;author&gt;Yang, Kai&lt;/author&gt;&lt;author&gt;Wang, Zijian&lt;/author&gt;&lt;author&gt;Mei, Zongwei&lt;/author&gt;&lt;author&gt;Song, Zhibo&lt;/author&gt;&lt;author&gt;Wu, Hong&lt;/author&gt;&lt;author&gt;Jiang, Zhongyi&lt;/author&gt;&lt;author&gt;Qian, Guoyu&lt;/author&gt;&lt;author&gt;Yang, Luyi&lt;/author&gt;&lt;author&gt;Pan, Feng&lt;/author&gt;&lt;/authors&gt;&lt;/contributors&gt;&lt;titles&gt;&lt;title&gt;An Interface-Bridged Organic</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Inorganic Layer that Suppresses Dendrite Formation and Side Reactions for Ultra-Long-Life Aqueous Zinc Metal Anodes&lt;/title&gt;&lt;secondary-title&gt;Angewandte Chemie International Edition&lt;/secondary-title&gt;&lt;/titles&gt;&lt;periodical&gt;&lt;full-title&gt;Angewandte Chemie International Edition&lt;/full-title&gt;&lt;/periodical&gt;&lt;pages&gt;16594-16601&lt;/pages&gt;&lt;volume&gt;59&lt;/volume&gt;&lt;number&gt;38&lt;/number&gt;&lt;dates&gt;&lt;year&gt;2020&lt;/year&gt;&lt;/dates&gt;&lt;isbn&gt;1433-7851&lt;/isbn&gt;&lt;urls&gt;&lt;related-urls&gt;&lt;url&gt;https://onlinelibrary.wiley.com/doi/abs/10.1002/anie.202005472&lt;/url&gt;&lt;/related-urls&gt;&lt;/urls&gt;&lt;electronic-resource-num&gt;https://doi.org/10.1002/anie.202005472&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[23]</w:t>
            </w:r>
            <w:r>
              <w:rPr>
                <w:rFonts w:ascii="Times New Roman" w:hAnsi="Times New Roman" w:cs="Times New Roman"/>
                <w:color w:val="0000FF"/>
                <w:szCs w:val="21"/>
              </w:rPr>
              <w:fldChar w:fldCharType="end"/>
            </w:r>
          </w:p>
        </w:tc>
      </w:tr>
      <w:tr w:rsidR="00536E8D" w14:paraId="47B14F60" w14:textId="77777777" w:rsidTr="00D02DF7">
        <w:trPr>
          <w:trHeight w:val="434"/>
          <w:jc w:val="center"/>
        </w:trPr>
        <w:tc>
          <w:tcPr>
            <w:tcW w:w="1131" w:type="pct"/>
            <w:tcBorders>
              <w:top w:val="nil"/>
              <w:left w:val="nil"/>
              <w:bottom w:val="single" w:sz="12" w:space="0" w:color="000000"/>
              <w:right w:val="nil"/>
            </w:tcBorders>
            <w:shd w:val="clear" w:color="auto" w:fill="FFFFFF"/>
            <w:vAlign w:val="center"/>
          </w:tcPr>
          <w:p w14:paraId="16CC04A2" w14:textId="77777777" w:rsidR="00536E8D" w:rsidRDefault="00536E8D">
            <w:pPr>
              <w:jc w:val="center"/>
              <w:rPr>
                <w:rFonts w:ascii="Times New Roman" w:hAnsi="Times New Roman" w:cs="Times New Roman"/>
                <w:color w:val="000000"/>
              </w:rPr>
            </w:pPr>
          </w:p>
        </w:tc>
        <w:tc>
          <w:tcPr>
            <w:tcW w:w="932" w:type="pct"/>
            <w:tcBorders>
              <w:top w:val="nil"/>
              <w:left w:val="nil"/>
              <w:bottom w:val="single" w:sz="12" w:space="0" w:color="000000"/>
              <w:right w:val="nil"/>
            </w:tcBorders>
            <w:shd w:val="clear" w:color="auto" w:fill="FFFFFF"/>
            <w:vAlign w:val="center"/>
          </w:tcPr>
          <w:p w14:paraId="2BDA78F8" w14:textId="77777777" w:rsidR="00536E8D" w:rsidRDefault="00536E8D">
            <w:pPr>
              <w:jc w:val="center"/>
              <w:rPr>
                <w:rFonts w:ascii="Times New Roman" w:hAnsi="Times New Roman" w:cs="Times New Roman"/>
                <w:color w:val="000000"/>
              </w:rPr>
            </w:pPr>
          </w:p>
        </w:tc>
        <w:tc>
          <w:tcPr>
            <w:tcW w:w="611" w:type="pct"/>
            <w:tcBorders>
              <w:top w:val="nil"/>
              <w:left w:val="nil"/>
              <w:bottom w:val="single" w:sz="12" w:space="0" w:color="000000"/>
              <w:right w:val="nil"/>
            </w:tcBorders>
            <w:shd w:val="clear" w:color="auto" w:fill="FFFFFF"/>
            <w:vAlign w:val="center"/>
          </w:tcPr>
          <w:p w14:paraId="775F8BD2" w14:textId="77777777" w:rsidR="00536E8D" w:rsidRDefault="00536E8D">
            <w:pPr>
              <w:jc w:val="center"/>
              <w:rPr>
                <w:rFonts w:ascii="Times New Roman" w:hAnsi="Times New Roman" w:cs="Times New Roman"/>
                <w:color w:val="000000"/>
              </w:rPr>
            </w:pPr>
          </w:p>
        </w:tc>
        <w:tc>
          <w:tcPr>
            <w:tcW w:w="573" w:type="pct"/>
            <w:tcBorders>
              <w:top w:val="nil"/>
              <w:left w:val="nil"/>
              <w:bottom w:val="single" w:sz="12" w:space="0" w:color="000000"/>
              <w:right w:val="nil"/>
            </w:tcBorders>
            <w:shd w:val="clear" w:color="auto" w:fill="FFFFFF"/>
            <w:vAlign w:val="center"/>
          </w:tcPr>
          <w:p w14:paraId="2783ED4E" w14:textId="77777777" w:rsidR="00536E8D" w:rsidRDefault="00536E8D">
            <w:pPr>
              <w:jc w:val="center"/>
              <w:rPr>
                <w:rFonts w:ascii="Times New Roman" w:hAnsi="Times New Roman" w:cs="Times New Roman"/>
                <w:color w:val="000000"/>
              </w:rPr>
            </w:pPr>
          </w:p>
        </w:tc>
        <w:tc>
          <w:tcPr>
            <w:tcW w:w="1390" w:type="pct"/>
            <w:tcBorders>
              <w:top w:val="nil"/>
              <w:left w:val="nil"/>
              <w:bottom w:val="single" w:sz="12" w:space="0" w:color="000000"/>
              <w:right w:val="nil"/>
            </w:tcBorders>
            <w:shd w:val="clear" w:color="auto" w:fill="FFFFFF"/>
            <w:vAlign w:val="center"/>
          </w:tcPr>
          <w:p w14:paraId="0B33801D" w14:textId="77777777" w:rsidR="00536E8D" w:rsidRDefault="00536E8D">
            <w:pPr>
              <w:jc w:val="center"/>
              <w:rPr>
                <w:rFonts w:ascii="Times New Roman" w:hAnsi="Times New Roman" w:cs="Times New Roman"/>
                <w:color w:val="000000"/>
              </w:rPr>
            </w:pPr>
          </w:p>
        </w:tc>
        <w:tc>
          <w:tcPr>
            <w:tcW w:w="364" w:type="pct"/>
            <w:tcBorders>
              <w:top w:val="nil"/>
              <w:left w:val="nil"/>
              <w:bottom w:val="single" w:sz="12" w:space="0" w:color="000000"/>
              <w:right w:val="nil"/>
            </w:tcBorders>
            <w:shd w:val="clear" w:color="auto" w:fill="FFFFFF"/>
            <w:vAlign w:val="center"/>
          </w:tcPr>
          <w:p w14:paraId="51C6838B" w14:textId="77777777" w:rsidR="00536E8D" w:rsidRDefault="00536E8D">
            <w:pPr>
              <w:jc w:val="center"/>
              <w:rPr>
                <w:rFonts w:ascii="Times New Roman" w:hAnsi="Times New Roman" w:cs="Times New Roman"/>
                <w:color w:val="000000"/>
              </w:rPr>
            </w:pPr>
          </w:p>
        </w:tc>
      </w:tr>
    </w:tbl>
    <w:p w14:paraId="783EF495" w14:textId="77777777" w:rsidR="00536E8D" w:rsidRDefault="00B21C59">
      <w:pPr>
        <w:rPr>
          <w:rFonts w:ascii="Times New Roman" w:hAnsi="Times New Roman" w:cs="Times New Roman"/>
          <w:b/>
          <w:bCs/>
          <w:szCs w:val="21"/>
        </w:rPr>
      </w:pPr>
      <w:r>
        <w:rPr>
          <w:rFonts w:ascii="Times New Roman" w:hAnsi="Times New Roman" w:cs="Times New Roman"/>
          <w:b/>
          <w:bCs/>
          <w:szCs w:val="21"/>
        </w:rPr>
        <w:br w:type="page"/>
      </w:r>
    </w:p>
    <w:p w14:paraId="2239E8C0" w14:textId="77777777" w:rsidR="00536E8D" w:rsidRDefault="00B21C59" w:rsidP="00D02DF7">
      <w:pPr>
        <w:spacing w:beforeLines="50" w:before="156" w:afterLines="50" w:after="156" w:line="300" w:lineRule="auto"/>
        <w:jc w:val="left"/>
        <w:rPr>
          <w:rFonts w:ascii="Times New Roman" w:hAnsi="Times New Roman" w:cs="Times New Roman"/>
          <w:b/>
          <w:bCs/>
          <w:sz w:val="24"/>
          <w:szCs w:val="24"/>
        </w:rPr>
      </w:pPr>
      <w:r>
        <w:rPr>
          <w:rFonts w:ascii="Times New Roman" w:hAnsi="Times New Roman" w:cs="Times New Roman"/>
          <w:b/>
          <w:bCs/>
          <w:sz w:val="24"/>
          <w:szCs w:val="24"/>
        </w:rPr>
        <w:lastRenderedPageBreak/>
        <w:t>Table S</w:t>
      </w:r>
      <w:r>
        <w:rPr>
          <w:rFonts w:ascii="Times New Roman" w:hAnsi="Times New Roman" w:cs="Times New Roman" w:hint="eastAsia"/>
          <w:b/>
          <w:bCs/>
          <w:sz w:val="24"/>
          <w:szCs w:val="24"/>
        </w:rPr>
        <w:t>2</w:t>
      </w:r>
      <w:r>
        <w:rPr>
          <w:rFonts w:ascii="Times New Roman" w:hAnsi="Times New Roman" w:cs="Times New Roman"/>
          <w:b/>
          <w:bCs/>
          <w:sz w:val="24"/>
          <w:szCs w:val="24"/>
        </w:rPr>
        <w:t>.</w:t>
      </w:r>
      <w:r>
        <w:rPr>
          <w:rFonts w:ascii="Times New Roman" w:hAnsi="Times New Roman" w:cs="Times New Roman" w:hint="eastAsia"/>
          <w:b/>
          <w:bCs/>
          <w:sz w:val="24"/>
          <w:szCs w:val="24"/>
        </w:rPr>
        <w:t xml:space="preserve"> The performance comparison of the symmetrical cell under the different stabilization strategies</w:t>
      </w:r>
    </w:p>
    <w:tbl>
      <w:tblPr>
        <w:tblStyle w:val="a9"/>
        <w:tblW w:w="5000" w:type="pct"/>
        <w:jc w:val="center"/>
        <w:tblLook w:val="04A0" w:firstRow="1" w:lastRow="0" w:firstColumn="1" w:lastColumn="0" w:noHBand="0" w:noVBand="1"/>
      </w:tblPr>
      <w:tblGrid>
        <w:gridCol w:w="1516"/>
        <w:gridCol w:w="1242"/>
        <w:gridCol w:w="1193"/>
        <w:gridCol w:w="1169"/>
        <w:gridCol w:w="2523"/>
        <w:gridCol w:w="663"/>
      </w:tblGrid>
      <w:tr w:rsidR="00536E8D" w14:paraId="7E29A0DA" w14:textId="77777777" w:rsidTr="00D02DF7">
        <w:trPr>
          <w:trHeight w:val="1487"/>
          <w:jc w:val="center"/>
        </w:trPr>
        <w:tc>
          <w:tcPr>
            <w:tcW w:w="912" w:type="pct"/>
            <w:tcBorders>
              <w:top w:val="single" w:sz="12" w:space="0" w:color="000000"/>
              <w:left w:val="nil"/>
              <w:bottom w:val="single" w:sz="4" w:space="0" w:color="000000"/>
              <w:right w:val="nil"/>
              <w:tl2br w:val="nil"/>
            </w:tcBorders>
            <w:shd w:val="clear" w:color="auto" w:fill="FFFFFF"/>
            <w:vAlign w:val="center"/>
          </w:tcPr>
          <w:p w14:paraId="22A2C187"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宋体" w:hAnsi="Times New Roman" w:cs="Times New Roman"/>
                <w:color w:val="000000"/>
                <w:kern w:val="0"/>
                <w:szCs w:val="21"/>
                <w:lang w:bidi="ar"/>
              </w:rPr>
              <w:t>Material</w:t>
            </w:r>
            <w:r>
              <w:rPr>
                <w:rFonts w:ascii="Times New Roman" w:eastAsia="宋体" w:hAnsi="Times New Roman" w:cs="Times New Roman" w:hint="eastAsia"/>
                <w:color w:val="000000"/>
                <w:kern w:val="0"/>
                <w:szCs w:val="21"/>
                <w:lang w:bidi="ar"/>
              </w:rPr>
              <w:t>s</w:t>
            </w:r>
          </w:p>
        </w:tc>
        <w:tc>
          <w:tcPr>
            <w:tcW w:w="747" w:type="pct"/>
            <w:tcBorders>
              <w:top w:val="single" w:sz="12" w:space="0" w:color="000000"/>
              <w:left w:val="nil"/>
              <w:bottom w:val="single" w:sz="4" w:space="0" w:color="000000"/>
              <w:right w:val="nil"/>
            </w:tcBorders>
            <w:shd w:val="clear" w:color="auto" w:fill="FFFFFF"/>
            <w:vAlign w:val="center"/>
          </w:tcPr>
          <w:p w14:paraId="58E71F39" w14:textId="77777777" w:rsidR="00536E8D" w:rsidRDefault="00B21C59">
            <w:pPr>
              <w:widowControl/>
              <w:jc w:val="center"/>
              <w:textAlignment w:val="center"/>
              <w:rPr>
                <w:rFonts w:ascii="Times New Roman" w:eastAsia="等线" w:hAnsi="Times New Roman" w:cs="Times New Roman"/>
                <w:color w:val="000000"/>
                <w:kern w:val="0"/>
                <w:szCs w:val="21"/>
                <w:lang w:bidi="ar"/>
              </w:rPr>
            </w:pPr>
            <w:r>
              <w:rPr>
                <w:rFonts w:ascii="Times New Roman" w:eastAsia="等线" w:hAnsi="Times New Roman" w:cs="Times New Roman"/>
                <w:color w:val="000000"/>
                <w:kern w:val="0"/>
                <w:szCs w:val="21"/>
                <w:lang w:bidi="ar"/>
              </w:rPr>
              <w:t>Current density</w:t>
            </w:r>
          </w:p>
          <w:p w14:paraId="35A5BCFA"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(mA cm</w:t>
            </w:r>
            <w:r>
              <w:rPr>
                <w:rFonts w:ascii="Times New Roman" w:eastAsia="等线" w:hAnsi="Times New Roman" w:cs="Times New Roman"/>
                <w:color w:val="000000"/>
                <w:kern w:val="0"/>
                <w:szCs w:val="21"/>
                <w:vertAlign w:val="superscript"/>
                <w:lang w:bidi="ar"/>
              </w:rPr>
              <w:t>-2</w:t>
            </w:r>
            <w:r>
              <w:rPr>
                <w:rFonts w:ascii="Times New Roman" w:eastAsia="等线" w:hAnsi="Times New Roman" w:cs="Times New Roman"/>
                <w:color w:val="000000"/>
                <w:kern w:val="0"/>
                <w:szCs w:val="21"/>
                <w:lang w:bidi="ar"/>
              </w:rPr>
              <w:t>)</w:t>
            </w:r>
          </w:p>
        </w:tc>
        <w:tc>
          <w:tcPr>
            <w:tcW w:w="718" w:type="pct"/>
            <w:tcBorders>
              <w:top w:val="single" w:sz="12" w:space="0" w:color="000000"/>
              <w:left w:val="nil"/>
              <w:bottom w:val="single" w:sz="4" w:space="0" w:color="000000"/>
              <w:right w:val="nil"/>
            </w:tcBorders>
            <w:shd w:val="clear" w:color="auto" w:fill="FFFFFF"/>
            <w:vAlign w:val="center"/>
          </w:tcPr>
          <w:p w14:paraId="324F928C" w14:textId="77777777" w:rsidR="00536E8D" w:rsidRDefault="00B21C59">
            <w:pPr>
              <w:widowControl/>
              <w:jc w:val="center"/>
              <w:textAlignment w:val="center"/>
              <w:rPr>
                <w:rFonts w:ascii="Times New Roman" w:eastAsia="宋体" w:hAnsi="Times New Roman" w:cs="Times New Roman"/>
                <w:color w:val="000000"/>
                <w:szCs w:val="21"/>
              </w:rPr>
            </w:pPr>
            <w:r>
              <w:rPr>
                <w:rStyle w:val="font11"/>
                <w:rFonts w:eastAsia="宋体" w:hint="eastAsia"/>
                <w:sz w:val="21"/>
                <w:szCs w:val="21"/>
                <w:lang w:bidi="ar"/>
              </w:rPr>
              <w:t>Areal c</w:t>
            </w:r>
            <w:r>
              <w:rPr>
                <w:rStyle w:val="font11"/>
                <w:rFonts w:eastAsia="宋体"/>
                <w:sz w:val="21"/>
                <w:szCs w:val="21"/>
                <w:lang w:bidi="ar"/>
              </w:rPr>
              <w:t>apacity (</w:t>
            </w:r>
            <w:proofErr w:type="spellStart"/>
            <w:r>
              <w:rPr>
                <w:rStyle w:val="font11"/>
                <w:rFonts w:eastAsia="宋体"/>
                <w:sz w:val="21"/>
                <w:szCs w:val="21"/>
                <w:lang w:bidi="ar"/>
              </w:rPr>
              <w:t>mAh</w:t>
            </w:r>
            <w:proofErr w:type="spellEnd"/>
            <w:r>
              <w:rPr>
                <w:rStyle w:val="font11"/>
                <w:rFonts w:eastAsia="宋体"/>
                <w:sz w:val="21"/>
                <w:szCs w:val="21"/>
                <w:lang w:bidi="ar"/>
              </w:rPr>
              <w:t xml:space="preserve"> cm</w:t>
            </w:r>
            <w:r>
              <w:rPr>
                <w:rStyle w:val="font21"/>
                <w:rFonts w:eastAsia="宋体"/>
                <w:sz w:val="21"/>
                <w:szCs w:val="21"/>
                <w:lang w:bidi="ar"/>
              </w:rPr>
              <w:t>-2</w:t>
            </w:r>
            <w:r>
              <w:rPr>
                <w:rStyle w:val="font11"/>
                <w:rFonts w:eastAsia="宋体"/>
                <w:sz w:val="21"/>
                <w:szCs w:val="21"/>
                <w:lang w:bidi="ar"/>
              </w:rPr>
              <w:t>)</w:t>
            </w:r>
          </w:p>
        </w:tc>
        <w:tc>
          <w:tcPr>
            <w:tcW w:w="704" w:type="pct"/>
            <w:tcBorders>
              <w:top w:val="single" w:sz="12" w:space="0" w:color="000000"/>
              <w:left w:val="nil"/>
              <w:bottom w:val="single" w:sz="4" w:space="0" w:color="000000"/>
              <w:right w:val="nil"/>
            </w:tcBorders>
            <w:shd w:val="clear" w:color="auto" w:fill="FFFFFF"/>
            <w:vAlign w:val="center"/>
          </w:tcPr>
          <w:p w14:paraId="31B5C287"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Lifespan</w:t>
            </w:r>
            <w:r>
              <w:rPr>
                <w:rFonts w:ascii="Times New Roman" w:eastAsia="等线" w:hAnsi="Times New Roman" w:cs="Times New Roman" w:hint="eastAsia"/>
                <w:color w:val="000000"/>
                <w:kern w:val="0"/>
                <w:szCs w:val="21"/>
                <w:lang w:bidi="ar"/>
              </w:rPr>
              <w:t xml:space="preserve"> </w:t>
            </w:r>
            <w:r>
              <w:rPr>
                <w:rFonts w:ascii="Times New Roman" w:eastAsia="等线" w:hAnsi="Times New Roman" w:cs="Times New Roman"/>
                <w:color w:val="000000"/>
                <w:kern w:val="0"/>
                <w:szCs w:val="21"/>
                <w:lang w:bidi="ar"/>
              </w:rPr>
              <w:t>(h)</w:t>
            </w:r>
          </w:p>
        </w:tc>
        <w:tc>
          <w:tcPr>
            <w:tcW w:w="1519" w:type="pct"/>
            <w:tcBorders>
              <w:top w:val="single" w:sz="12" w:space="0" w:color="000000"/>
              <w:left w:val="nil"/>
              <w:bottom w:val="single" w:sz="4" w:space="0" w:color="000000"/>
              <w:right w:val="nil"/>
            </w:tcBorders>
            <w:shd w:val="clear" w:color="auto" w:fill="FFFFFF"/>
            <w:vAlign w:val="center"/>
          </w:tcPr>
          <w:p w14:paraId="24F47B54"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Journal, Year</w:t>
            </w:r>
          </w:p>
        </w:tc>
        <w:tc>
          <w:tcPr>
            <w:tcW w:w="399" w:type="pct"/>
            <w:tcBorders>
              <w:top w:val="single" w:sz="12" w:space="0" w:color="000000"/>
              <w:left w:val="nil"/>
              <w:bottom w:val="single" w:sz="4" w:space="0" w:color="000000"/>
              <w:right w:val="nil"/>
            </w:tcBorders>
            <w:shd w:val="clear" w:color="auto" w:fill="FFFFFF"/>
            <w:vAlign w:val="center"/>
          </w:tcPr>
          <w:p w14:paraId="522C0787"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Ref</w:t>
            </w:r>
            <w:r>
              <w:rPr>
                <w:rFonts w:ascii="Times New Roman" w:eastAsia="等线" w:hAnsi="Times New Roman" w:cs="Times New Roman" w:hint="eastAsia"/>
                <w:color w:val="000000"/>
                <w:kern w:val="0"/>
                <w:szCs w:val="21"/>
                <w:lang w:bidi="ar"/>
              </w:rPr>
              <w:t>.</w:t>
            </w:r>
          </w:p>
        </w:tc>
      </w:tr>
      <w:tr w:rsidR="00536E8D" w14:paraId="4D7BB455" w14:textId="77777777" w:rsidTr="00D02DF7">
        <w:trPr>
          <w:trHeight w:val="727"/>
          <w:jc w:val="center"/>
        </w:trPr>
        <w:tc>
          <w:tcPr>
            <w:tcW w:w="912" w:type="pct"/>
            <w:tcBorders>
              <w:top w:val="single" w:sz="4" w:space="0" w:color="000000"/>
              <w:left w:val="nil"/>
              <w:bottom w:val="nil"/>
              <w:right w:val="nil"/>
            </w:tcBorders>
            <w:shd w:val="clear" w:color="auto" w:fill="FFFFFF"/>
            <w:vAlign w:val="center"/>
          </w:tcPr>
          <w:p w14:paraId="1E0CD118" w14:textId="77777777" w:rsidR="00536E8D" w:rsidRDefault="00086AE9">
            <w:pPr>
              <w:widowControl/>
              <w:jc w:val="center"/>
              <w:textAlignment w:val="center"/>
              <w:rPr>
                <w:rFonts w:ascii="Times New Roman" w:eastAsia="宋体" w:hAnsi="Times New Roman" w:cs="Times New Roman"/>
                <w:color w:val="000000"/>
                <w:szCs w:val="21"/>
              </w:rPr>
            </w:pPr>
            <w:hyperlink r:id="rId6" w:tooltip="mailto:HB-ZnHCF@Zn" w:history="1">
              <w:r w:rsidR="00B21C59">
                <w:rPr>
                  <w:rStyle w:val="aa"/>
                  <w:rFonts w:ascii="Times New Roman" w:eastAsia="宋体" w:hAnsi="Times New Roman" w:cs="Times New Roman"/>
                  <w:color w:val="000000"/>
                  <w:szCs w:val="21"/>
                  <w:u w:val="none"/>
                </w:rPr>
                <w:t>HB-ZnHCF@Zn</w:t>
              </w:r>
            </w:hyperlink>
          </w:p>
        </w:tc>
        <w:tc>
          <w:tcPr>
            <w:tcW w:w="747" w:type="pct"/>
            <w:tcBorders>
              <w:top w:val="single" w:sz="4" w:space="0" w:color="000000"/>
              <w:left w:val="nil"/>
              <w:bottom w:val="nil"/>
              <w:right w:val="nil"/>
            </w:tcBorders>
            <w:shd w:val="clear" w:color="auto" w:fill="FFFFFF"/>
            <w:vAlign w:val="center"/>
          </w:tcPr>
          <w:p w14:paraId="6CBE4FF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8" w:type="pct"/>
            <w:tcBorders>
              <w:top w:val="single" w:sz="4" w:space="0" w:color="000000"/>
              <w:left w:val="nil"/>
              <w:bottom w:val="nil"/>
              <w:right w:val="nil"/>
            </w:tcBorders>
            <w:shd w:val="clear" w:color="auto" w:fill="FFFFFF"/>
            <w:vAlign w:val="center"/>
          </w:tcPr>
          <w:p w14:paraId="5C0EDD85"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704" w:type="pct"/>
            <w:tcBorders>
              <w:top w:val="single" w:sz="4" w:space="0" w:color="000000"/>
              <w:left w:val="nil"/>
              <w:bottom w:val="nil"/>
              <w:right w:val="nil"/>
            </w:tcBorders>
            <w:shd w:val="clear" w:color="auto" w:fill="FFFFFF"/>
            <w:vAlign w:val="center"/>
          </w:tcPr>
          <w:p w14:paraId="41551E0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5800</w:t>
            </w:r>
          </w:p>
        </w:tc>
        <w:tc>
          <w:tcPr>
            <w:tcW w:w="1519" w:type="pct"/>
            <w:tcBorders>
              <w:top w:val="single" w:sz="4" w:space="0" w:color="000000"/>
              <w:left w:val="nil"/>
              <w:bottom w:val="nil"/>
              <w:right w:val="nil"/>
            </w:tcBorders>
            <w:shd w:val="clear" w:color="auto" w:fill="FFFFFF"/>
            <w:vAlign w:val="center"/>
          </w:tcPr>
          <w:p w14:paraId="796E66F5" w14:textId="2A4C2911"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Angew</w:t>
            </w:r>
            <w:proofErr w:type="spellEnd"/>
            <w:r>
              <w:rPr>
                <w:rFonts w:ascii="Times New Roman" w:hAnsi="Times New Roman" w:cs="Times New Roman"/>
                <w:color w:val="000000"/>
                <w:szCs w:val="21"/>
              </w:rPr>
              <w:t>.</w:t>
            </w:r>
            <w:r w:rsidR="0077130F">
              <w:rPr>
                <w:rFonts w:ascii="Times New Roman" w:hAnsi="Times New Roman" w:cs="Times New Roman" w:hint="eastAsia"/>
                <w:color w:val="000000"/>
                <w:szCs w:val="21"/>
              </w:rPr>
              <w:t xml:space="preserve"> </w:t>
            </w:r>
            <w:r>
              <w:rPr>
                <w:rFonts w:ascii="Times New Roman" w:hAnsi="Times New Roman" w:cs="Times New Roman"/>
                <w:color w:val="000000"/>
                <w:szCs w:val="21"/>
              </w:rPr>
              <w:t>Chem. Int. Ed., 2023</w:t>
            </w:r>
          </w:p>
        </w:tc>
        <w:tc>
          <w:tcPr>
            <w:tcW w:w="399" w:type="pct"/>
            <w:tcBorders>
              <w:top w:val="single" w:sz="4" w:space="0" w:color="000000"/>
              <w:left w:val="nil"/>
              <w:bottom w:val="nil"/>
              <w:right w:val="nil"/>
            </w:tcBorders>
            <w:shd w:val="clear" w:color="auto" w:fill="FFFFFF"/>
            <w:vAlign w:val="center"/>
          </w:tcPr>
          <w:p w14:paraId="1B70B27A"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&lt;EndNote&gt;&lt;Cite&gt;&lt;Author&gt;Liu&lt;/Author&gt;&lt;Year&gt;2023&lt;/Year&gt;&lt;RecNum&gt;8&lt;/RecNum&gt;&lt;DisplayText&gt;&lt;style face="superscript"&gt;[24]&lt;/style&gt;&lt;/DisplayText&gt;&lt;record&gt;&lt;rec-number&gt;8&lt;/rec-number&gt;&lt;foreign-keys&gt;&lt;key app="EN" db-id="9rsfdxzandzf9le2rs7pswdy5t2xa9x2eadd" timestamp="1750760485"&gt;8&lt;/key&gt;&lt;/foreign-keys&gt;&lt;ref-type name="Journal Article"&gt;17&lt;/ref-type&gt;&lt;contributors&gt;&lt;authors&gt;&lt;author&gt;Liu, Mengyu&lt;/author&gt;&lt;author&gt;Yuan, Wentao&lt;/author&gt;&lt;author&gt;Ma, Guoqiang&lt;/author&gt;&lt;author&gt;Qiu, Kaiyue&lt;/author&gt;&lt;author&gt;Nie, Xueyu&lt;/author&gt;&lt;author&gt;Liu, Yongchang&lt;/author&gt;&lt;author&gt;Shen, Shigang&lt;/author&gt;&lt;author&gt;Zhang, Ning&lt;/author&gt;&lt;/authors&gt;&lt;/contributors&gt;&lt;titles&gt;&lt;title&gt;In-Situ Integration of a Hydrophobic and Fast-Zn2+-Conductive Inorganic Interphase to Stabilize Zn Metal Anodes&lt;/title&gt;&lt;secondary-title&gt;Angewandte Chemie International Edition&lt;/secondary-title&gt;&lt;/titles&gt;&lt;periodical&gt;&lt;full-title&gt;Angewandte Chemie International Edition&lt;/full-title&gt;&lt;/periodical&gt;&lt;pages&gt;e202304444&lt;/pages&gt;&lt;volume&gt;62&lt;/volume&gt;&lt;number&gt;27&lt;/number&gt;&lt;dates&gt;&lt;year&gt;2023&lt;/year&gt;&lt;/dates&gt;&lt;isbn&gt;1433-7851&lt;/isbn&gt;&lt;urls&gt;&lt;related-urls&gt;&lt;url&gt;https://onlinelibrary.wiley.com/doi/abs/10.1002/anie.202304444&lt;/url&gt;&lt;/related-urls&gt;&lt;/urls&gt;&lt;electronic-resource-num&gt;https://doi.org/10.1002/anie.202304444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[24]</w:t>
            </w:r>
            <w:r>
              <w:rPr>
                <w:rFonts w:ascii="Times New Roman" w:hAnsi="Times New Roman" w:cs="Times New Roman"/>
                <w:color w:val="0000FF"/>
                <w:szCs w:val="21"/>
              </w:rPr>
              <w:fldChar w:fldCharType="end"/>
            </w:r>
          </w:p>
        </w:tc>
      </w:tr>
      <w:tr w:rsidR="00536E8D" w14:paraId="511FC639" w14:textId="77777777" w:rsidTr="00D02DF7">
        <w:trPr>
          <w:trHeight w:val="695"/>
          <w:jc w:val="center"/>
        </w:trPr>
        <w:tc>
          <w:tcPr>
            <w:tcW w:w="912" w:type="pct"/>
            <w:tcBorders>
              <w:top w:val="nil"/>
              <w:left w:val="nil"/>
              <w:bottom w:val="nil"/>
              <w:right w:val="nil"/>
            </w:tcBorders>
            <w:shd w:val="clear" w:color="auto" w:fill="FFFFFF"/>
            <w:vAlign w:val="center"/>
          </w:tcPr>
          <w:p w14:paraId="1DC1FBB2" w14:textId="77777777" w:rsidR="00536E8D" w:rsidRDefault="00086AE9">
            <w:pPr>
              <w:widowControl/>
              <w:jc w:val="center"/>
              <w:textAlignment w:val="center"/>
              <w:rPr>
                <w:rFonts w:ascii="Times New Roman" w:eastAsia="宋体" w:hAnsi="Times New Roman" w:cs="Times New Roman"/>
                <w:color w:val="000000"/>
                <w:szCs w:val="21"/>
              </w:rPr>
            </w:pPr>
            <w:hyperlink r:id="rId7" w:tooltip="mailto:ZF@F-TiO2" w:history="1">
              <w:r w:rsidR="00B21C59">
                <w:rPr>
                  <w:rStyle w:val="aa"/>
                  <w:rFonts w:ascii="Times New Roman" w:eastAsia="宋体" w:hAnsi="Times New Roman" w:cs="Times New Roman"/>
                  <w:color w:val="000000"/>
                  <w:szCs w:val="21"/>
                  <w:u w:val="none"/>
                </w:rPr>
                <w:t>ZF@F-TiO</w:t>
              </w:r>
              <w:r w:rsidR="00B21C59">
                <w:rPr>
                  <w:rStyle w:val="aa"/>
                  <w:rFonts w:ascii="Times New Roman" w:eastAsia="宋体" w:hAnsi="Times New Roman" w:cs="Times New Roman"/>
                  <w:color w:val="000000"/>
                  <w:szCs w:val="21"/>
                  <w:u w:val="none"/>
                  <w:vertAlign w:val="subscript"/>
                </w:rPr>
                <w:t>2</w:t>
              </w:r>
            </w:hyperlink>
          </w:p>
        </w:tc>
        <w:tc>
          <w:tcPr>
            <w:tcW w:w="747" w:type="pct"/>
            <w:tcBorders>
              <w:top w:val="nil"/>
              <w:left w:val="nil"/>
              <w:bottom w:val="nil"/>
              <w:right w:val="nil"/>
            </w:tcBorders>
            <w:shd w:val="clear" w:color="auto" w:fill="FFFFFF"/>
            <w:vAlign w:val="center"/>
          </w:tcPr>
          <w:p w14:paraId="35E194D6"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8" w:type="pct"/>
            <w:tcBorders>
              <w:top w:val="nil"/>
              <w:left w:val="nil"/>
              <w:bottom w:val="nil"/>
              <w:right w:val="nil"/>
            </w:tcBorders>
            <w:shd w:val="clear" w:color="auto" w:fill="FFFFFF"/>
            <w:vAlign w:val="center"/>
          </w:tcPr>
          <w:p w14:paraId="2A179FE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04" w:type="pct"/>
            <w:tcBorders>
              <w:top w:val="nil"/>
              <w:left w:val="nil"/>
              <w:bottom w:val="nil"/>
              <w:right w:val="nil"/>
            </w:tcBorders>
            <w:shd w:val="clear" w:color="auto" w:fill="FFFFFF"/>
            <w:vAlign w:val="center"/>
          </w:tcPr>
          <w:p w14:paraId="675EF3D4"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450</w:t>
            </w:r>
          </w:p>
        </w:tc>
        <w:tc>
          <w:tcPr>
            <w:tcW w:w="1519" w:type="pct"/>
            <w:tcBorders>
              <w:top w:val="nil"/>
              <w:left w:val="nil"/>
              <w:bottom w:val="nil"/>
              <w:right w:val="nil"/>
            </w:tcBorders>
            <w:shd w:val="clear" w:color="auto" w:fill="FFFFFF"/>
            <w:vAlign w:val="center"/>
          </w:tcPr>
          <w:p w14:paraId="40BCF6B7" w14:textId="29728B06"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Nat.</w:t>
            </w:r>
            <w:r w:rsidR="0077130F">
              <w:rPr>
                <w:rFonts w:ascii="Times New Roman" w:hAnsi="Times New Roman" w:cs="Times New Roman" w:hint="eastAsia"/>
                <w:color w:val="000000"/>
                <w:szCs w:val="21"/>
              </w:rPr>
              <w:t xml:space="preserve"> </w:t>
            </w:r>
            <w:proofErr w:type="spellStart"/>
            <w:r>
              <w:rPr>
                <w:rFonts w:ascii="Times New Roman" w:hAnsi="Times New Roman" w:cs="Times New Roman" w:hint="eastAsia"/>
                <w:color w:val="000000"/>
                <w:szCs w:val="21"/>
              </w:rPr>
              <w:t>Commun</w:t>
            </w:r>
            <w:proofErr w:type="spellEnd"/>
            <w:r>
              <w:rPr>
                <w:rFonts w:ascii="Times New Roman" w:hAnsi="Times New Roman" w:cs="Times New Roman" w:hint="eastAsia"/>
                <w:color w:val="000000"/>
                <w:szCs w:val="21"/>
              </w:rPr>
              <w:t>.</w:t>
            </w:r>
            <w:r>
              <w:rPr>
                <w:rFonts w:ascii="Times New Roman" w:hAnsi="Times New Roman" w:cs="Times New Roman"/>
                <w:color w:val="000000"/>
                <w:szCs w:val="21"/>
              </w:rPr>
              <w:t>, 2020</w:t>
            </w:r>
          </w:p>
        </w:tc>
        <w:tc>
          <w:tcPr>
            <w:tcW w:w="399" w:type="pct"/>
            <w:tcBorders>
              <w:top w:val="nil"/>
              <w:left w:val="nil"/>
              <w:bottom w:val="nil"/>
              <w:right w:val="nil"/>
            </w:tcBorders>
            <w:shd w:val="clear" w:color="auto" w:fill="FFFFFF"/>
            <w:vAlign w:val="center"/>
          </w:tcPr>
          <w:p w14:paraId="2C519722"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&lt;EndNote&gt;&lt;Cite&gt;&lt;Author&gt;Zhang&lt;/Author&gt;&lt;Year&gt;2020&lt;/Year&gt;&lt;RecNum&gt;9&lt;/RecNum&gt;&lt;DisplayText&gt;&lt;style face="superscript"&gt;[2]&lt;/style&gt;&lt;/DisplayText&gt;&lt;record&gt;&lt;rec-number&gt;9&lt;/rec-number&gt;&lt;foreign-keys&gt;&lt;key app="EN" db-id="9rsfdxzandzf9le2rs7pswdy5t2xa9x2eadd" timestamp="1750760532"&gt;9&lt;/key&gt;&lt;/foreign-keys&gt;&lt;ref-type name="Journal Article"&gt;17&lt;/ref-type&gt;&lt;contributors&gt;&lt;authors&gt;&lt;author&gt;Zhang, Qi&lt;/author&gt;&lt;author&gt;Luan, Jingyi&lt;/author&gt;&lt;author&gt;Huang, Xiaobing&lt;/author&gt;&lt;author&gt;Wang, Qi&lt;/author&gt;&lt;author&gt;Sun, Dan&lt;/author&gt;&lt;author&gt;Tang, Yougen&lt;/author&gt;&lt;author&gt;Ji, Xiaobo&lt;/author&gt;&lt;author&gt;Wang, Haiyan&lt;/author&gt;&lt;/authors&gt;&lt;/contributors&gt;&lt;titles&gt;&lt;title&gt;Revealing the role of crystal orientation of protective layers for stable zinc anode&lt;/title&gt;&lt;secondary-title&gt;Nature Communications&lt;/secondary-title&gt;&lt;/titles&gt;&lt;periodical&gt;&lt;full-title&gt;Nature Communications&lt;/full-title&gt;&lt;/periodical&gt;&lt;pages&gt;3961&lt;/pages&gt;&lt;volume&gt;11&lt;/volume&gt;&lt;number&gt;1&lt;/number&gt;&lt;dates&gt;&lt;year&gt;2020&lt;/year&gt;&lt;pub-dates&gt;&lt;date&gt;2020/08/07&lt;/date&gt;&lt;/pub-dates&gt;&lt;/dates&gt;&lt;isbn&gt;2041-1723&lt;/isbn&gt;&lt;urls&gt;&lt;related-urls&gt;&lt;url&gt;https://doi.org/10.1038/s41467-020-17752-x&lt;/url&gt;&lt;/related-urls&gt;&lt;/urls&gt;&lt;electronic-resource-num&gt;10.1038/s41467-020-17752-x&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w:t>
            </w:r>
            <w:r>
              <w:rPr>
                <w:rFonts w:ascii="Times New Roman" w:hAnsi="Times New Roman" w:cs="Times New Roman"/>
                <w:color w:val="0000FF"/>
                <w:szCs w:val="21"/>
              </w:rPr>
              <w:fldChar w:fldCharType="end"/>
            </w:r>
          </w:p>
        </w:tc>
      </w:tr>
      <w:tr w:rsidR="00536E8D" w14:paraId="703F09D1" w14:textId="77777777" w:rsidTr="00D02DF7">
        <w:trPr>
          <w:trHeight w:val="695"/>
          <w:jc w:val="center"/>
        </w:trPr>
        <w:tc>
          <w:tcPr>
            <w:tcW w:w="912" w:type="pct"/>
            <w:tcBorders>
              <w:top w:val="nil"/>
              <w:left w:val="nil"/>
              <w:bottom w:val="nil"/>
              <w:right w:val="nil"/>
            </w:tcBorders>
            <w:shd w:val="clear" w:color="auto" w:fill="FFFFFF"/>
            <w:vAlign w:val="center"/>
          </w:tcPr>
          <w:p w14:paraId="4B044E80" w14:textId="77777777" w:rsidR="00536E8D" w:rsidRDefault="00086AE9">
            <w:pPr>
              <w:widowControl/>
              <w:jc w:val="center"/>
              <w:textAlignment w:val="center"/>
              <w:rPr>
                <w:rFonts w:ascii="Times New Roman" w:eastAsia="宋体" w:hAnsi="Times New Roman" w:cs="Times New Roman"/>
                <w:color w:val="000000"/>
                <w:szCs w:val="21"/>
              </w:rPr>
            </w:pPr>
            <w:hyperlink r:id="rId8" w:history="1">
              <w:r w:rsidR="00B21C59">
                <w:rPr>
                  <w:rStyle w:val="aa"/>
                  <w:rFonts w:ascii="Times New Roman" w:eastAsia="宋体" w:hAnsi="Times New Roman" w:cs="Times New Roman"/>
                  <w:color w:val="000000"/>
                  <w:szCs w:val="21"/>
                  <w:u w:val="none"/>
                </w:rPr>
                <w:t>ZnS@Zn</w:t>
              </w:r>
            </w:hyperlink>
          </w:p>
        </w:tc>
        <w:tc>
          <w:tcPr>
            <w:tcW w:w="747" w:type="pct"/>
            <w:tcBorders>
              <w:top w:val="nil"/>
              <w:left w:val="nil"/>
              <w:bottom w:val="nil"/>
              <w:right w:val="nil"/>
            </w:tcBorders>
            <w:shd w:val="clear" w:color="auto" w:fill="FFFFFF"/>
            <w:vAlign w:val="center"/>
          </w:tcPr>
          <w:p w14:paraId="7F445D83"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718" w:type="pct"/>
            <w:tcBorders>
              <w:top w:val="nil"/>
              <w:left w:val="nil"/>
              <w:bottom w:val="nil"/>
              <w:right w:val="nil"/>
            </w:tcBorders>
            <w:shd w:val="clear" w:color="auto" w:fill="FFFFFF"/>
            <w:vAlign w:val="center"/>
          </w:tcPr>
          <w:p w14:paraId="7CC462B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704" w:type="pct"/>
            <w:tcBorders>
              <w:top w:val="nil"/>
              <w:left w:val="nil"/>
              <w:bottom w:val="nil"/>
              <w:right w:val="nil"/>
            </w:tcBorders>
            <w:shd w:val="clear" w:color="auto" w:fill="FFFFFF"/>
            <w:vAlign w:val="center"/>
          </w:tcPr>
          <w:p w14:paraId="150B4D77"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1100</w:t>
            </w:r>
          </w:p>
        </w:tc>
        <w:tc>
          <w:tcPr>
            <w:tcW w:w="1519" w:type="pct"/>
            <w:tcBorders>
              <w:top w:val="nil"/>
              <w:left w:val="nil"/>
              <w:bottom w:val="nil"/>
              <w:right w:val="nil"/>
            </w:tcBorders>
            <w:shd w:val="clear" w:color="auto" w:fill="FFFFFF"/>
            <w:vAlign w:val="center"/>
          </w:tcPr>
          <w:p w14:paraId="6DA77903"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Adv. Mater.</w:t>
            </w:r>
            <w:r>
              <w:rPr>
                <w:rFonts w:ascii="Times New Roman" w:hAnsi="Times New Roman" w:cs="Times New Roman"/>
                <w:color w:val="000000"/>
                <w:szCs w:val="21"/>
              </w:rPr>
              <w:t>, 2020</w:t>
            </w:r>
          </w:p>
        </w:tc>
        <w:tc>
          <w:tcPr>
            <w:tcW w:w="399" w:type="pct"/>
            <w:tcBorders>
              <w:top w:val="nil"/>
              <w:left w:val="nil"/>
              <w:bottom w:val="nil"/>
              <w:right w:val="nil"/>
            </w:tcBorders>
            <w:shd w:val="clear" w:color="auto" w:fill="FFFFFF"/>
            <w:vAlign w:val="center"/>
          </w:tcPr>
          <w:p w14:paraId="4CDA5D6D"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&lt;EndNote&gt;&lt;Cite&gt;&lt;Author&gt;Hao&lt;/Author&gt;&lt;Year&gt;2020&lt;/Year&gt;&lt;RecNum&gt;10&lt;/RecNum&gt;&lt;DisplayText&gt;&lt;style face="superscript"&gt;[25]&lt;/style&gt;&lt;/DisplayText&gt;&lt;record&gt;&lt;rec-number&gt;10&lt;/rec-number&gt;&lt;foreign-keys&gt;&lt;key app="EN" db-id="9rsfdxzandzf9le2rs7pswdy5t2xa9x2eadd" timestamp="1750760706"&gt;10&lt;/key&gt;&lt;/foreign-keys&gt;&lt;ref-type name="Journal Article"&gt;17&lt;/ref-type&gt;&lt;contributors&gt;&lt;authors&gt;&lt;author&gt;Hao, Junnan&lt;/author&gt;&lt;author&gt;Li, Bo&lt;/author&gt;&lt;author&gt;Li, Xiaolong&lt;/author&gt;&lt;author&gt;Zeng, Xiaohui&lt;/author&gt;&lt;author&gt;Zhang, Shilin&lt;/author&gt;&lt;author&gt;Yang, Fuhua&lt;/author&gt;&lt;author&gt;Liu, Sailin&lt;/author&gt;&lt;author&gt;Li, Dan&lt;/author&gt;&lt;author&gt;Wu, Chao&lt;/author&gt;&lt;author&gt;Guo, Zaiping&lt;/author&gt;&lt;/authors&gt;&lt;/contributors&gt;&lt;titles&gt;&lt;title&gt;An In-Depth Study of Zn Metal Surface Chemistry for Advanced Aqueous Zn-Ion Batteries&lt;/title&gt;&lt;secondary-title&gt;Advanced Materials&lt;/secondary-title&gt;&lt;/titles&gt;&lt;periodical&gt;&lt;full-title&gt;Advanced Materials&lt;/full-title&gt;&lt;/periodical&gt;&lt;pages&gt;2003021&lt;/pages&gt;&lt;volume&gt;32&lt;/volume&gt;&lt;number&gt;34&lt;/number&gt;&lt;dates&gt;&lt;year&gt;2020&lt;/year&gt;&lt;/dates&gt;&lt;isbn&gt;0935-9648&lt;/isbn&gt;&lt;urls&gt;&lt;related-urls&gt;&lt;url&gt;https://advanced.onlinelibrary.wiley.com/doi/abs/10.1002/adma.202003021&lt;/url&gt;&lt;/related-urls&gt;&lt;/urls&gt;&lt;electronic-resource-num&gt;https://doi.org/10.1002/adma.202003021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[25]</w:t>
            </w:r>
            <w:r>
              <w:rPr>
                <w:rFonts w:ascii="Times New Roman" w:hAnsi="Times New Roman" w:cs="Times New Roman"/>
                <w:color w:val="0000FF"/>
                <w:szCs w:val="21"/>
              </w:rPr>
              <w:fldChar w:fldCharType="end"/>
            </w:r>
          </w:p>
        </w:tc>
      </w:tr>
      <w:tr w:rsidR="00536E8D" w14:paraId="435EFB0C" w14:textId="77777777" w:rsidTr="00D02DF7">
        <w:trPr>
          <w:trHeight w:val="695"/>
          <w:jc w:val="center"/>
        </w:trPr>
        <w:tc>
          <w:tcPr>
            <w:tcW w:w="912" w:type="pct"/>
            <w:tcBorders>
              <w:top w:val="nil"/>
              <w:left w:val="nil"/>
              <w:bottom w:val="nil"/>
              <w:right w:val="nil"/>
            </w:tcBorders>
            <w:shd w:val="clear" w:color="auto" w:fill="FFFFFF"/>
            <w:vAlign w:val="center"/>
          </w:tcPr>
          <w:p w14:paraId="3D68945B" w14:textId="77777777" w:rsidR="00536E8D" w:rsidRDefault="00086AE9">
            <w:pPr>
              <w:widowControl/>
              <w:jc w:val="center"/>
              <w:textAlignment w:val="center"/>
              <w:rPr>
                <w:rFonts w:ascii="Times New Roman" w:hAnsi="Times New Roman" w:cs="Times New Roman"/>
                <w:color w:val="000000"/>
                <w:szCs w:val="21"/>
              </w:rPr>
            </w:pPr>
            <w:hyperlink r:id="rId9" w:history="1">
              <w:r w:rsidR="00B21C59">
                <w:rPr>
                  <w:rStyle w:val="aa"/>
                  <w:rFonts w:ascii="Times New Roman" w:eastAsia="宋体" w:hAnsi="Times New Roman" w:cs="Times New Roman"/>
                  <w:color w:val="000000"/>
                  <w:szCs w:val="21"/>
                  <w:u w:val="none"/>
                </w:rPr>
                <w:t>BTO@Zn</w:t>
              </w:r>
            </w:hyperlink>
          </w:p>
        </w:tc>
        <w:tc>
          <w:tcPr>
            <w:tcW w:w="747" w:type="pct"/>
            <w:tcBorders>
              <w:top w:val="nil"/>
              <w:left w:val="nil"/>
              <w:bottom w:val="nil"/>
              <w:right w:val="nil"/>
            </w:tcBorders>
            <w:shd w:val="clear" w:color="auto" w:fill="FFFFFF"/>
            <w:vAlign w:val="center"/>
          </w:tcPr>
          <w:p w14:paraId="7010439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8" w:type="pct"/>
            <w:tcBorders>
              <w:top w:val="nil"/>
              <w:left w:val="nil"/>
              <w:bottom w:val="nil"/>
              <w:right w:val="nil"/>
            </w:tcBorders>
            <w:shd w:val="clear" w:color="auto" w:fill="FFFFFF"/>
            <w:vAlign w:val="center"/>
          </w:tcPr>
          <w:p w14:paraId="3AFE049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04" w:type="pct"/>
            <w:tcBorders>
              <w:top w:val="nil"/>
              <w:left w:val="nil"/>
              <w:bottom w:val="nil"/>
              <w:right w:val="nil"/>
            </w:tcBorders>
            <w:shd w:val="clear" w:color="auto" w:fill="FFFFFF"/>
            <w:vAlign w:val="center"/>
          </w:tcPr>
          <w:p w14:paraId="3E0233AD"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2000</w:t>
            </w:r>
          </w:p>
        </w:tc>
        <w:tc>
          <w:tcPr>
            <w:tcW w:w="1519" w:type="pct"/>
            <w:tcBorders>
              <w:top w:val="nil"/>
              <w:left w:val="nil"/>
              <w:bottom w:val="nil"/>
              <w:right w:val="nil"/>
            </w:tcBorders>
            <w:shd w:val="clear" w:color="auto" w:fill="FFFFFF"/>
            <w:vAlign w:val="center"/>
          </w:tcPr>
          <w:p w14:paraId="75853721"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Nano Micro Lett.</w:t>
            </w:r>
            <w:r>
              <w:rPr>
                <w:rFonts w:ascii="Times New Roman" w:hAnsi="Times New Roman" w:cs="Times New Roman"/>
                <w:color w:val="000000"/>
                <w:szCs w:val="21"/>
              </w:rPr>
              <w:t>, 2021</w:t>
            </w:r>
          </w:p>
        </w:tc>
        <w:tc>
          <w:tcPr>
            <w:tcW w:w="399" w:type="pct"/>
            <w:tcBorders>
              <w:top w:val="nil"/>
              <w:left w:val="nil"/>
              <w:bottom w:val="nil"/>
              <w:right w:val="nil"/>
            </w:tcBorders>
            <w:shd w:val="clear" w:color="auto" w:fill="FFFFFF"/>
            <w:vAlign w:val="center"/>
          </w:tcPr>
          <w:p w14:paraId="12A0F18A"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&lt;EndNote&gt;&lt;Cite&gt;&lt;Author&gt;Wu&lt;/Author&gt;&lt;Year&gt;2021&lt;/Year&gt;&lt;RecNum&gt;1&lt;/RecNum&gt;&lt;DisplayText&gt;&lt;style face="superscript"&gt;[26]&lt;/style&gt;&lt;/DisplayText&gt;&lt;record&gt;&lt;rec-number&gt;1&lt;/rec-number&gt;&lt;foreign-keys&gt;&lt;key app="EN" db-id="rzr9af2pcv5e5fevvff5pwf0pa2aa90rt5w9" timestamp="1750760792"&gt;1&lt;/key&gt;&lt;/foreign-keys&gt;&lt;ref-type name="Journal Article"&gt;17&lt;/ref-type&gt;&lt;contributors&gt;&lt;authors&gt;&lt;author&gt;Wu, Kai&lt;/author&gt;&lt;author&gt;Yi, Jin&lt;/author&gt;&lt;author&gt;Liu, Xiaoyu&lt;/author&gt;&lt;author&gt;Sun, Yang&lt;/author&gt;&lt;author&gt;Cui, Jin&lt;/author&gt;&lt;author&gt;Xie, Yihua&lt;/author&gt;&lt;author&gt;Liu, Yuyu&lt;/author&gt;&lt;author&gt;Xia, Yongyao&lt;/author&gt;&lt;author&gt;Zhang, Jiujun&lt;/author&gt;&lt;/authors&gt;&lt;/contributors&gt;&lt;titles&gt;&lt;title&gt;Regulating Zn Deposition via an Artificial Solid</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Electrolyte Interface with Aligned Dipoles for Long Life Zn Anode&lt;/title&gt;&lt;secondary-title&gt;Nano-Micro Letters&lt;/secondary-title&gt;&lt;/titles&gt;&lt;periodical&gt;&lt;full-title&gt;Nano-Micro Letters&lt;/full-title&gt;&lt;/periodical&gt;&lt;pages&gt;79&lt;/pages&gt;&lt;volume&gt;13&lt;/volume&gt;&lt;number&gt;1&lt;/number&gt;&lt;dates&gt;&lt;year&gt;2021&lt;/year&gt;&lt;pub-dates&gt;&lt;date&gt;2021/02/23&lt;/date&gt;&lt;/pub-dates&gt;&lt;/dates&gt;&lt;isbn&gt;2150-5551&lt;/isbn&gt;&lt;urls&gt;&lt;related-urls&gt;&lt;url&gt;https://doi.org/10.1007/s40820-021-00599-2&lt;/url&gt;&lt;/related-urls&gt;&lt;/urls&gt;&lt;electronic-resource-num&gt;10.1007/s40820-021-00599-2&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[26]</w:t>
            </w:r>
            <w:r>
              <w:rPr>
                <w:rFonts w:ascii="Times New Roman" w:hAnsi="Times New Roman" w:cs="Times New Roman"/>
                <w:color w:val="0000FF"/>
                <w:szCs w:val="21"/>
              </w:rPr>
              <w:fldChar w:fldCharType="end"/>
            </w:r>
          </w:p>
        </w:tc>
      </w:tr>
      <w:tr w:rsidR="00536E8D" w14:paraId="10CC6F55" w14:textId="77777777" w:rsidTr="00D02DF7">
        <w:trPr>
          <w:trHeight w:val="695"/>
          <w:jc w:val="center"/>
        </w:trPr>
        <w:tc>
          <w:tcPr>
            <w:tcW w:w="912" w:type="pct"/>
            <w:tcBorders>
              <w:top w:val="nil"/>
              <w:left w:val="nil"/>
              <w:bottom w:val="nil"/>
              <w:right w:val="nil"/>
            </w:tcBorders>
            <w:shd w:val="clear" w:color="auto" w:fill="FFFFFF"/>
            <w:vAlign w:val="center"/>
          </w:tcPr>
          <w:p w14:paraId="2DD1D2E1"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DCZ-gel</w:t>
            </w:r>
          </w:p>
        </w:tc>
        <w:tc>
          <w:tcPr>
            <w:tcW w:w="747" w:type="pct"/>
            <w:tcBorders>
              <w:top w:val="nil"/>
              <w:left w:val="nil"/>
              <w:bottom w:val="nil"/>
              <w:right w:val="nil"/>
            </w:tcBorders>
            <w:shd w:val="clear" w:color="auto" w:fill="FFFFFF"/>
            <w:vAlign w:val="center"/>
          </w:tcPr>
          <w:p w14:paraId="6593BB35"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718" w:type="pct"/>
            <w:tcBorders>
              <w:top w:val="nil"/>
              <w:left w:val="nil"/>
              <w:bottom w:val="nil"/>
              <w:right w:val="nil"/>
            </w:tcBorders>
            <w:shd w:val="clear" w:color="auto" w:fill="FFFFFF"/>
            <w:vAlign w:val="center"/>
          </w:tcPr>
          <w:p w14:paraId="6F81C64E"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704" w:type="pct"/>
            <w:tcBorders>
              <w:top w:val="nil"/>
              <w:left w:val="nil"/>
              <w:bottom w:val="nil"/>
              <w:right w:val="nil"/>
            </w:tcBorders>
            <w:shd w:val="clear" w:color="auto" w:fill="FFFFFF"/>
            <w:vAlign w:val="center"/>
          </w:tcPr>
          <w:p w14:paraId="60A1874F"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2000</w:t>
            </w:r>
          </w:p>
        </w:tc>
        <w:tc>
          <w:tcPr>
            <w:tcW w:w="1519" w:type="pct"/>
            <w:tcBorders>
              <w:top w:val="nil"/>
              <w:left w:val="nil"/>
              <w:bottom w:val="nil"/>
              <w:right w:val="nil"/>
            </w:tcBorders>
            <w:shd w:val="clear" w:color="auto" w:fill="FFFFFF"/>
            <w:vAlign w:val="center"/>
          </w:tcPr>
          <w:p w14:paraId="2FD0CDF9"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Nano Micro Lett.</w:t>
            </w:r>
            <w:r>
              <w:rPr>
                <w:rFonts w:ascii="Times New Roman" w:hAnsi="Times New Roman" w:cs="Times New Roman"/>
                <w:color w:val="000000"/>
                <w:szCs w:val="21"/>
              </w:rPr>
              <w:t>, 2024</w:t>
            </w:r>
          </w:p>
        </w:tc>
        <w:tc>
          <w:tcPr>
            <w:tcW w:w="399" w:type="pct"/>
            <w:tcBorders>
              <w:top w:val="nil"/>
              <w:left w:val="nil"/>
              <w:bottom w:val="nil"/>
              <w:right w:val="nil"/>
            </w:tcBorders>
            <w:shd w:val="clear" w:color="auto" w:fill="FFFFFF"/>
            <w:vAlign w:val="center"/>
          </w:tcPr>
          <w:p w14:paraId="787A8EFD"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&lt;EndNote&gt;&lt;Cite&gt;&lt;Author&gt;Zhang&lt;/Author&gt;&lt;Year&gt;2024&lt;/Year&gt;&lt;RecNum&gt;2&lt;/RecNum&gt;&lt;DisplayText&gt;&lt;style face="superscript"&gt;[1]&lt;/style&gt;&lt;/DisplayText&gt;&lt;record&gt;&lt;rec-number&gt;2&lt;/rec-number&gt;&lt;foreign-keys&gt;&lt;key app="EN" db-id="rzr9af2pcv5e5fevvff5pwf0pa2aa90rt5w9" timestamp="1750760857"&gt;2&lt;/key&gt;&lt;/foreign-keys&gt;&lt;ref-type name="Journal Article"&gt;17&lt;/ref-type&gt;&lt;contributors&gt;&lt;authors&gt;&lt;author&gt;Zhang, Haodong&lt;/author&gt;&lt;author&gt;Gan, Xiaotang&lt;/author&gt;&lt;author&gt;Yan, Yuyang&lt;/author&gt;&lt;author&gt;Zhou, Jinping&lt;/author&gt;&lt;/authors&gt;&lt;/contributors&gt;&lt;titles&gt;&lt;title&gt;A Sustainable Dual Cross-Linked Cellulose Hydrogel Electrolyte for High-Performance Zinc-Metal Batteries&lt;/title&gt;&lt;secondary-title&gt;Nano-Micro Letters&lt;/secondary-title&gt;&lt;/titles&gt;&lt;periodical&gt;&lt;full-title&gt;Nano-Micro Letters&lt;/full-title&gt;&lt;/periodical&gt;&lt;pages&gt;106&lt;/pages&gt;&lt;volume&gt;16&lt;/volume&gt;&lt;number&gt;1&lt;/number&gt;&lt;dates&gt;&lt;year&gt;2024&lt;/year&gt;&lt;pub-dates&gt;&lt;date&gt;2024/02/02&lt;/date&gt;&lt;/pub-dates&gt;&lt;/dates&gt;&lt;isbn&gt;2150-5551&lt;/isbn&gt;&lt;urls&gt;&lt;related-urls&gt;&lt;url&gt;https://doi.org/10.1007/s40820-024-01329-0&lt;/url&gt;&lt;/related-urls&gt;&lt;/urls&gt;&lt;electronic-resource-num&gt;10.1007/s40820-024-01329-0&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w:t>
            </w:r>
            <w:r>
              <w:rPr>
                <w:rFonts w:ascii="Times New Roman" w:hAnsi="Times New Roman" w:cs="Times New Roman"/>
                <w:color w:val="0000FF"/>
                <w:szCs w:val="21"/>
              </w:rPr>
              <w:fldChar w:fldCharType="end"/>
            </w:r>
          </w:p>
        </w:tc>
      </w:tr>
      <w:tr w:rsidR="00536E8D" w14:paraId="571D142A" w14:textId="77777777" w:rsidTr="00D02DF7">
        <w:trPr>
          <w:trHeight w:val="695"/>
          <w:jc w:val="center"/>
        </w:trPr>
        <w:tc>
          <w:tcPr>
            <w:tcW w:w="912" w:type="pct"/>
            <w:tcBorders>
              <w:top w:val="nil"/>
              <w:left w:val="nil"/>
              <w:bottom w:val="nil"/>
              <w:right w:val="nil"/>
            </w:tcBorders>
            <w:shd w:val="clear" w:color="auto" w:fill="FFFFFF"/>
            <w:vAlign w:val="center"/>
          </w:tcPr>
          <w:p w14:paraId="0DD7C741"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Zeolite-Zn</w:t>
            </w:r>
          </w:p>
        </w:tc>
        <w:tc>
          <w:tcPr>
            <w:tcW w:w="747" w:type="pct"/>
            <w:tcBorders>
              <w:top w:val="nil"/>
              <w:left w:val="nil"/>
              <w:bottom w:val="nil"/>
              <w:right w:val="nil"/>
            </w:tcBorders>
            <w:shd w:val="clear" w:color="auto" w:fill="FFFFFF"/>
            <w:vAlign w:val="center"/>
          </w:tcPr>
          <w:p w14:paraId="2A03C50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2.5</w:t>
            </w:r>
          </w:p>
        </w:tc>
        <w:tc>
          <w:tcPr>
            <w:tcW w:w="718" w:type="pct"/>
            <w:tcBorders>
              <w:top w:val="nil"/>
              <w:left w:val="nil"/>
              <w:bottom w:val="nil"/>
              <w:right w:val="nil"/>
            </w:tcBorders>
            <w:shd w:val="clear" w:color="auto" w:fill="FFFFFF"/>
            <w:vAlign w:val="center"/>
          </w:tcPr>
          <w:p w14:paraId="6DA9A0A3"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2.5</w:t>
            </w:r>
          </w:p>
        </w:tc>
        <w:tc>
          <w:tcPr>
            <w:tcW w:w="704" w:type="pct"/>
            <w:tcBorders>
              <w:top w:val="nil"/>
              <w:left w:val="nil"/>
              <w:bottom w:val="nil"/>
              <w:right w:val="nil"/>
            </w:tcBorders>
            <w:shd w:val="clear" w:color="auto" w:fill="FFFFFF"/>
            <w:vAlign w:val="center"/>
          </w:tcPr>
          <w:p w14:paraId="1F846EE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450</w:t>
            </w:r>
          </w:p>
        </w:tc>
        <w:tc>
          <w:tcPr>
            <w:tcW w:w="1519" w:type="pct"/>
            <w:tcBorders>
              <w:top w:val="nil"/>
              <w:left w:val="nil"/>
              <w:bottom w:val="nil"/>
              <w:right w:val="nil"/>
            </w:tcBorders>
            <w:shd w:val="clear" w:color="auto" w:fill="FFFFFF"/>
            <w:vAlign w:val="center"/>
          </w:tcPr>
          <w:p w14:paraId="36A0282E"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Nano Micro Lett.</w:t>
            </w:r>
            <w:r>
              <w:rPr>
                <w:rFonts w:ascii="Times New Roman" w:hAnsi="Times New Roman" w:cs="Times New Roman"/>
                <w:color w:val="000000"/>
                <w:szCs w:val="21"/>
              </w:rPr>
              <w:t>, 2022</w:t>
            </w:r>
          </w:p>
        </w:tc>
        <w:tc>
          <w:tcPr>
            <w:tcW w:w="399" w:type="pct"/>
            <w:tcBorders>
              <w:top w:val="nil"/>
              <w:left w:val="nil"/>
              <w:bottom w:val="nil"/>
              <w:right w:val="nil"/>
            </w:tcBorders>
            <w:shd w:val="clear" w:color="auto" w:fill="FFFFFF"/>
            <w:vAlign w:val="center"/>
          </w:tcPr>
          <w:p w14:paraId="39323B63"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&lt;EndNote&gt;&lt;Cite&gt;&lt;Author&gt;Shang&lt;/Author&gt;&lt;Year&gt;2022&lt;/Year&gt;&lt;RecNum&gt;3&lt;/RecNum&gt;&lt;DisplayText&gt;&lt;style face="superscript"&gt;[27]&lt;/style&gt;&lt;/DisplayText&gt;&lt;record&gt;&lt;rec-number&gt;3&lt;/rec-number&gt;&lt;foreign-keys&gt;&lt;key app="EN" db-id="rzr9af2pcv5e5fevvff5pwf0pa2aa90rt5w9" timestamp="1750760916"&gt;3&lt;/key&gt;&lt;/foreign-keys&gt;&lt;ref-type name="Journal Article"&gt;17&lt;/ref-type&gt;&lt;contributors&gt;&lt;authors&gt;&lt;author&gt;Shang, Wenshuo&lt;/author&gt;&lt;author&gt;Li, Qiang&lt;/author&gt;&lt;author&gt;Jiang, Fuyi&lt;/author&gt;&lt;author&gt;Huang, Bingkun&lt;/author&gt;&lt;author&gt;Song, Jisheng&lt;/author&gt;&lt;author&gt;Yun, Shan&lt;/author&gt;&lt;author&gt;Liu, Xuan&lt;/author&gt;&lt;author&gt;Kimura, Hideo&lt;/author&gt;&lt;author&gt;Liu, Jianjun&lt;/author&gt;&lt;author&gt;Kang, Litao&lt;/author&gt;&lt;/authors&gt;&lt;/contributors&gt;&lt;titles&gt;&lt;title&gt;Boosting Zn||I2 Battery</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s Performance by Coating a Zeolite-Based Cation-Exchange Protecting Layer&lt;/title&gt;&lt;secondary-title&gt;Nano-Micro Letters&lt;/secondary-title&gt;&lt;/titles&gt;&lt;periodical&gt;&lt;full-title&gt;Nano-Micro Letters&lt;/full-title&gt;&lt;/periodical&gt;&lt;pages&gt;82&lt;/pages&gt;&lt;volume&gt;14&lt;/volume&gt;&lt;number&gt;1&lt;/number&gt;&lt;dates&gt;&lt;year&gt;2022&lt;/year&gt;&lt;pub-dates&gt;&lt;date&gt;2022/03/25&lt;/date&gt;&lt;/pub-dates&gt;&lt;/dates&gt;&lt;isbn&gt;2150-5551&lt;/isbn&gt;&lt;urls&gt;&lt;related-urls&gt;&lt;url&gt;https://doi.org/10.1007/s40820-022-00825-5&lt;/url&gt;&lt;/related-urls&gt;&lt;/urls&gt;&lt;electronic-resource-num&gt;10.1007/s40820-022-00825-5&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[27]</w:t>
            </w:r>
            <w:r>
              <w:rPr>
                <w:rFonts w:ascii="Times New Roman" w:hAnsi="Times New Roman" w:cs="Times New Roman"/>
                <w:color w:val="0000FF"/>
                <w:szCs w:val="21"/>
              </w:rPr>
              <w:fldChar w:fldCharType="end"/>
            </w:r>
          </w:p>
        </w:tc>
      </w:tr>
      <w:tr w:rsidR="00536E8D" w14:paraId="3FDB2770" w14:textId="77777777" w:rsidTr="00D02DF7">
        <w:trPr>
          <w:trHeight w:val="695"/>
          <w:jc w:val="center"/>
        </w:trPr>
        <w:tc>
          <w:tcPr>
            <w:tcW w:w="912" w:type="pct"/>
            <w:tcBorders>
              <w:top w:val="nil"/>
              <w:left w:val="nil"/>
              <w:bottom w:val="nil"/>
              <w:right w:val="nil"/>
            </w:tcBorders>
            <w:shd w:val="clear" w:color="auto" w:fill="FFFFFF"/>
            <w:vAlign w:val="center"/>
          </w:tcPr>
          <w:p w14:paraId="119B68E0"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GSLE</w:t>
            </w:r>
          </w:p>
        </w:tc>
        <w:tc>
          <w:tcPr>
            <w:tcW w:w="747" w:type="pct"/>
            <w:tcBorders>
              <w:top w:val="nil"/>
              <w:left w:val="nil"/>
              <w:bottom w:val="nil"/>
              <w:right w:val="nil"/>
            </w:tcBorders>
            <w:shd w:val="clear" w:color="auto" w:fill="FFFFFF"/>
            <w:vAlign w:val="center"/>
          </w:tcPr>
          <w:p w14:paraId="12131625"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8" w:type="pct"/>
            <w:tcBorders>
              <w:top w:val="nil"/>
              <w:left w:val="nil"/>
              <w:bottom w:val="nil"/>
              <w:right w:val="nil"/>
            </w:tcBorders>
            <w:shd w:val="clear" w:color="auto" w:fill="FFFFFF"/>
            <w:vAlign w:val="center"/>
          </w:tcPr>
          <w:p w14:paraId="014548D6"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0.2</w:t>
            </w:r>
          </w:p>
        </w:tc>
        <w:tc>
          <w:tcPr>
            <w:tcW w:w="704" w:type="pct"/>
            <w:tcBorders>
              <w:top w:val="nil"/>
              <w:left w:val="nil"/>
              <w:bottom w:val="nil"/>
              <w:right w:val="nil"/>
            </w:tcBorders>
            <w:shd w:val="clear" w:color="auto" w:fill="FFFFFF"/>
            <w:vAlign w:val="center"/>
          </w:tcPr>
          <w:p w14:paraId="5A07E07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1400</w:t>
            </w:r>
          </w:p>
        </w:tc>
        <w:tc>
          <w:tcPr>
            <w:tcW w:w="1519" w:type="pct"/>
            <w:tcBorders>
              <w:top w:val="nil"/>
              <w:left w:val="nil"/>
              <w:bottom w:val="nil"/>
              <w:right w:val="nil"/>
            </w:tcBorders>
            <w:shd w:val="clear" w:color="auto" w:fill="FFFFFF"/>
            <w:vAlign w:val="center"/>
          </w:tcPr>
          <w:p w14:paraId="7B3BA500"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ACS Appl. Mater. Interfaces</w:t>
            </w:r>
            <w:r>
              <w:rPr>
                <w:rFonts w:ascii="Times New Roman" w:hAnsi="Times New Roman" w:cs="Times New Roman"/>
                <w:color w:val="000000"/>
                <w:szCs w:val="21"/>
              </w:rPr>
              <w:t>, 2025</w:t>
            </w:r>
          </w:p>
        </w:tc>
        <w:tc>
          <w:tcPr>
            <w:tcW w:w="399" w:type="pct"/>
            <w:tcBorders>
              <w:top w:val="nil"/>
              <w:left w:val="nil"/>
              <w:bottom w:val="nil"/>
              <w:right w:val="nil"/>
            </w:tcBorders>
            <w:shd w:val="clear" w:color="auto" w:fill="FFFFFF"/>
            <w:vAlign w:val="center"/>
          </w:tcPr>
          <w:p w14:paraId="3A35DFE5"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&lt;EndNote&gt;&lt;Cite&gt;&lt;Author&gt;Li&lt;/Author&gt;&lt;Year&gt;2025&lt;/Year&gt;&lt;RecNum&gt;1&lt;/RecNum&gt;&lt;DisplayText&gt;&lt;style face="superscript"&gt;[28]&lt;/style&gt;&lt;/DisplayText&gt;&lt;record&gt;&lt;rec-number&gt;1&lt;/rec-number&gt;&lt;foreign-keys&gt;&lt;key app="EN" db-id="vpa0aa9tcdtxrzeda2axfrfy5szfrt50v9xf" timestamp="1750761282"&gt;1&lt;/key&gt;&lt;/foreign-keys&gt;&lt;ref-type name="Journal Article"&gt;17&lt;/ref-type&gt;&lt;contributors&gt;&lt;authors&gt;&lt;author&gt;Li, Qiufen&lt;/author&gt;&lt;author&gt;Bai, Mengxi&lt;/author&gt;&lt;author&gt;Wang, Xiang&lt;/author&gt;&lt;author&gt;Li, Jiashuai&lt;/author&gt;&lt;author&gt;Lin, Xiaoyan&lt;/author&gt;&lt;author&gt;Shao, Siyuan&lt;/author&gt;&lt;author&gt;Li, Dongze&lt;/author&gt;&lt;author&gt;Wang, Ziqi&lt;/author&gt;&lt;/authors&gt;&lt;/contributors&gt;&lt;titles&gt;&lt;title&gt;A Gradient Solid-like Electrolyte Stabilizing Zn Anodes by In Situ Formation of a ZnSe Interphase&lt;/title&gt;&lt;secondary-title&gt;ACS Applied Materials &amp;amp; Interfaces&lt;/secondary-title&gt;&lt;/titles&gt;&lt;periodical&gt;&lt;full-title&gt;ACS Applied Materials &amp;amp; Interfaces&lt;/full-title&gt;&lt;/periodical&gt;&lt;volume&gt;17&lt;/volume&gt;&lt;number&gt;8&lt;/number&gt;&lt;section&gt;12218-12226&lt;/section&gt;&lt;dates&gt;&lt;year&gt;2025&lt;/year&gt;&lt;pub-dates&gt;&lt;date&gt;2025/02/13&lt;/date&gt;&lt;/pub-dates&gt;&lt;/dates&gt;&lt;urls&gt;&lt;related-urls&gt;&lt;url&gt;http://dx.doi.org/10.1021/acsami.4c21312&lt;/url&gt;&lt;/related-urls&gt;&lt;/urls&gt;&lt;electronic-resource-num&gt;10.1021/acsami.4c21312&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[28]</w:t>
            </w:r>
            <w:r>
              <w:rPr>
                <w:rFonts w:ascii="Times New Roman" w:hAnsi="Times New Roman" w:cs="Times New Roman"/>
                <w:color w:val="0000FF"/>
                <w:szCs w:val="21"/>
              </w:rPr>
              <w:fldChar w:fldCharType="end"/>
            </w:r>
          </w:p>
        </w:tc>
      </w:tr>
      <w:tr w:rsidR="00536E8D" w14:paraId="270264B9" w14:textId="77777777" w:rsidTr="00D02DF7">
        <w:trPr>
          <w:trHeight w:val="695"/>
          <w:jc w:val="center"/>
        </w:trPr>
        <w:tc>
          <w:tcPr>
            <w:tcW w:w="912" w:type="pct"/>
            <w:tcBorders>
              <w:top w:val="nil"/>
              <w:left w:val="nil"/>
              <w:bottom w:val="nil"/>
              <w:right w:val="nil"/>
            </w:tcBorders>
            <w:shd w:val="clear" w:color="auto" w:fill="FFFFFF"/>
            <w:vAlign w:val="center"/>
          </w:tcPr>
          <w:p w14:paraId="5584C5F5"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CPL-Additive</w:t>
            </w:r>
          </w:p>
        </w:tc>
        <w:tc>
          <w:tcPr>
            <w:tcW w:w="747" w:type="pct"/>
            <w:tcBorders>
              <w:top w:val="nil"/>
              <w:left w:val="nil"/>
              <w:bottom w:val="nil"/>
              <w:right w:val="nil"/>
            </w:tcBorders>
            <w:shd w:val="clear" w:color="auto" w:fill="FFFFFF"/>
            <w:vAlign w:val="center"/>
          </w:tcPr>
          <w:p w14:paraId="61AB32C6"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8" w:type="pct"/>
            <w:tcBorders>
              <w:top w:val="nil"/>
              <w:left w:val="nil"/>
              <w:bottom w:val="nil"/>
              <w:right w:val="nil"/>
            </w:tcBorders>
            <w:shd w:val="clear" w:color="auto" w:fill="FFFFFF"/>
            <w:vAlign w:val="center"/>
          </w:tcPr>
          <w:p w14:paraId="7FC7CFE9"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04" w:type="pct"/>
            <w:tcBorders>
              <w:top w:val="nil"/>
              <w:left w:val="nil"/>
              <w:bottom w:val="nil"/>
              <w:right w:val="nil"/>
            </w:tcBorders>
            <w:shd w:val="clear" w:color="auto" w:fill="FFFFFF"/>
            <w:vAlign w:val="center"/>
          </w:tcPr>
          <w:p w14:paraId="2F8012C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2100</w:t>
            </w:r>
          </w:p>
        </w:tc>
        <w:tc>
          <w:tcPr>
            <w:tcW w:w="1519" w:type="pct"/>
            <w:tcBorders>
              <w:top w:val="nil"/>
              <w:left w:val="nil"/>
              <w:bottom w:val="nil"/>
              <w:right w:val="nil"/>
            </w:tcBorders>
            <w:shd w:val="clear" w:color="auto" w:fill="FFFFFF"/>
            <w:vAlign w:val="center"/>
          </w:tcPr>
          <w:p w14:paraId="5F5C72B8" w14:textId="7A7C9DB4" w:rsidR="00536E8D" w:rsidRDefault="00B21C59">
            <w:pPr>
              <w:jc w:val="center"/>
              <w:rPr>
                <w:rFonts w:ascii="Times New Roman" w:hAnsi="Times New Roman" w:cs="Times New Roman"/>
                <w:color w:val="000000"/>
                <w:szCs w:val="21"/>
              </w:rPr>
            </w:pPr>
            <w:r>
              <w:rPr>
                <w:rFonts w:ascii="Times New Roman" w:hAnsi="Times New Roman" w:cs="Times New Roman"/>
                <w:color w:val="000000"/>
                <w:szCs w:val="21"/>
              </w:rPr>
              <w:t>J. Alloys Compd.</w:t>
            </w:r>
            <w:r w:rsidR="00AE7E04">
              <w:rPr>
                <w:rFonts w:ascii="Times New Roman" w:hAnsi="Times New Roman" w:cs="Times New Roman" w:hint="eastAsia"/>
                <w:color w:val="000000"/>
                <w:szCs w:val="21"/>
              </w:rPr>
              <w:t>,</w:t>
            </w:r>
            <w:r>
              <w:rPr>
                <w:rFonts w:ascii="Times New Roman" w:hAnsi="Times New Roman" w:cs="Times New Roman"/>
                <w:color w:val="000000"/>
                <w:szCs w:val="21"/>
              </w:rPr>
              <w:t xml:space="preserve"> 2024</w:t>
            </w:r>
          </w:p>
        </w:tc>
        <w:tc>
          <w:tcPr>
            <w:tcW w:w="399" w:type="pct"/>
            <w:tcBorders>
              <w:top w:val="nil"/>
              <w:left w:val="nil"/>
              <w:bottom w:val="nil"/>
              <w:right w:val="nil"/>
            </w:tcBorders>
            <w:shd w:val="clear" w:color="auto" w:fill="FFFFFF"/>
            <w:vAlign w:val="center"/>
          </w:tcPr>
          <w:p w14:paraId="78A9D94D"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&lt;EndNote&gt;&lt;Cite&gt;&lt;Author&gt;Yin&lt;/Author&gt;&lt;Year&gt;2024&lt;/Year&gt;&lt;RecNum&gt;2&lt;/RecNum&gt;&lt;DisplayText&gt;&lt;style face="superscript"&gt;[29]&lt;/style&gt;&lt;/DisplayText&gt;&lt;record&gt;&lt;rec-number&gt;2&lt;/rec-number&gt;&lt;foreign-keys&gt;&lt;key app="EN" db-id="vpa0aa9tcdtxrzeda2axfrfy5szfrt50v9xf" timestamp="1750761691"&gt;2&lt;/key&gt;&lt;/foreign-keys&gt;&lt;ref-type name="Journal Article"&gt;17&lt;/ref-type&gt;&lt;contributors&gt;&lt;authors&gt;&lt;author&gt;Yin, Junyi&lt;/author&gt;&lt;author&gt;Li, Mingyan&lt;/author&gt;&lt;author&gt;Feng, Xiang&lt;/author&gt;&lt;author&gt;Cui, Tianyi&lt;/author&gt;&lt;author&gt;Sun, Weiyu&lt;/author&gt;&lt;author&gt;Wang, Minghui&lt;/author&gt;&lt;author&gt;Shi, Weichen&lt;/author&gt;&lt;author&gt;Ding, Shujiang&lt;/author&gt;&lt;author&gt;Cheng, Yonghong&lt;/author&gt;&lt;author&gt;Xu, Xin&lt;/author&gt;&lt;author&gt;Wang, Jianhua&lt;/author&gt;&lt;/authors&gt;&lt;/contributors&gt;&lt;titles&gt;&lt;title&gt;Comprehensive protection of Zn metal anode via caprolactam towards highly stable aqueous zinc ions batteries&lt;/title&gt;&lt;secondary-title&gt;Journal of Alloys and Compounds&lt;/secondary-title&gt;&lt;/titles&gt;&lt;periodical&gt;&lt;full-title&gt;Journal of Alloys and Compounds&lt;/full-title&gt;&lt;/periodical&gt;&lt;pages&gt;172785&lt;/pages&gt;&lt;volume&gt;971&lt;/volume&gt;&lt;keywords&gt;&lt;keyword&gt;Multifunctional electrolyte additive&lt;/keyword&gt;&lt;keyword&gt;Preferential adsorption&lt;/keyword&gt;&lt;keyword&gt;Steric effect&lt;/keyword&gt;&lt;keyword&gt;Solvation structures&lt;/keyword&gt;&lt;/keywords&gt;&lt;dates&gt;&lt;year&gt;2024&lt;/year&gt;&lt;pub-dates&gt;&lt;date&gt;2024/01/15/&lt;/date&gt;&lt;/pub-dates&gt;&lt;/dates&gt;&lt;isbn&gt;0925-8388&lt;/isbn&gt;&lt;urls&gt;&lt;related-urls&gt;&lt;url&gt;https://www.sciencedirect.com/science/article/pii/S0925838823040884&lt;/url&gt;&lt;/related-urls&gt;&lt;/urls&gt;&lt;electronic-resource-num&gt;https://doi.org/10.1016/j.jallcom.2023.172785&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[29]</w:t>
            </w:r>
            <w:r>
              <w:rPr>
                <w:rFonts w:ascii="Times New Roman" w:hAnsi="Times New Roman" w:cs="Times New Roman"/>
                <w:color w:val="0000FF"/>
                <w:szCs w:val="21"/>
              </w:rPr>
              <w:fldChar w:fldCharType="end"/>
            </w:r>
          </w:p>
        </w:tc>
      </w:tr>
      <w:tr w:rsidR="00536E8D" w14:paraId="44E9EBC4" w14:textId="77777777" w:rsidTr="00D02DF7">
        <w:trPr>
          <w:trHeight w:val="695"/>
          <w:jc w:val="center"/>
        </w:trPr>
        <w:tc>
          <w:tcPr>
            <w:tcW w:w="912" w:type="pct"/>
            <w:tcBorders>
              <w:top w:val="nil"/>
              <w:left w:val="nil"/>
              <w:bottom w:val="nil"/>
              <w:right w:val="nil"/>
            </w:tcBorders>
            <w:shd w:val="clear" w:color="auto" w:fill="FFFFFF"/>
            <w:vAlign w:val="center"/>
          </w:tcPr>
          <w:p w14:paraId="21DEC987" w14:textId="77777777" w:rsidR="00536E8D" w:rsidRDefault="00B21C59">
            <w:pPr>
              <w:widowControl/>
              <w:jc w:val="center"/>
              <w:textAlignment w:val="center"/>
              <w:rPr>
                <w:rFonts w:ascii="Times New Roman" w:hAnsi="Times New Roman" w:cs="Times New Roman"/>
                <w:color w:val="000000"/>
                <w:szCs w:val="21"/>
              </w:rPr>
            </w:pPr>
            <w:proofErr w:type="spellStart"/>
            <w:r>
              <w:rPr>
                <w:rFonts w:ascii="Times New Roman" w:eastAsia="宋体" w:hAnsi="Times New Roman" w:cs="Times New Roman"/>
                <w:color w:val="000000"/>
                <w:kern w:val="0"/>
                <w:szCs w:val="21"/>
                <w:lang w:bidi="ar"/>
              </w:rPr>
              <w:t>StHEI</w:t>
            </w:r>
            <w:proofErr w:type="spellEnd"/>
            <w:r>
              <w:rPr>
                <w:rFonts w:ascii="Times New Roman" w:eastAsia="宋体" w:hAnsi="Times New Roman" w:cs="Times New Roman"/>
                <w:color w:val="000000"/>
                <w:kern w:val="0"/>
                <w:szCs w:val="21"/>
                <w:lang w:bidi="ar"/>
              </w:rPr>
              <w:t>-Zn</w:t>
            </w:r>
          </w:p>
        </w:tc>
        <w:tc>
          <w:tcPr>
            <w:tcW w:w="747" w:type="pct"/>
            <w:tcBorders>
              <w:top w:val="nil"/>
              <w:left w:val="nil"/>
              <w:bottom w:val="nil"/>
              <w:right w:val="nil"/>
            </w:tcBorders>
            <w:shd w:val="clear" w:color="auto" w:fill="FFFFFF"/>
            <w:vAlign w:val="center"/>
          </w:tcPr>
          <w:p w14:paraId="7AE5FBF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8" w:type="pct"/>
            <w:tcBorders>
              <w:top w:val="nil"/>
              <w:left w:val="nil"/>
              <w:bottom w:val="nil"/>
              <w:right w:val="nil"/>
            </w:tcBorders>
            <w:shd w:val="clear" w:color="auto" w:fill="FFFFFF"/>
            <w:vAlign w:val="center"/>
          </w:tcPr>
          <w:p w14:paraId="6400D85F"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704" w:type="pct"/>
            <w:tcBorders>
              <w:top w:val="nil"/>
              <w:left w:val="nil"/>
              <w:bottom w:val="nil"/>
              <w:right w:val="nil"/>
            </w:tcBorders>
            <w:shd w:val="clear" w:color="auto" w:fill="FFFFFF"/>
            <w:vAlign w:val="center"/>
          </w:tcPr>
          <w:p w14:paraId="0F79AF06"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3000</w:t>
            </w:r>
          </w:p>
        </w:tc>
        <w:tc>
          <w:tcPr>
            <w:tcW w:w="1519" w:type="pct"/>
            <w:tcBorders>
              <w:top w:val="nil"/>
              <w:left w:val="nil"/>
              <w:bottom w:val="nil"/>
              <w:right w:val="nil"/>
            </w:tcBorders>
            <w:shd w:val="clear" w:color="auto" w:fill="FFFFFF"/>
            <w:vAlign w:val="center"/>
          </w:tcPr>
          <w:p w14:paraId="4A3C2BFB" w14:textId="466A639F"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Angew</w:t>
            </w:r>
            <w:proofErr w:type="spellEnd"/>
            <w:r>
              <w:rPr>
                <w:rFonts w:ascii="Times New Roman" w:hAnsi="Times New Roman" w:cs="Times New Roman"/>
                <w:color w:val="000000"/>
                <w:szCs w:val="21"/>
              </w:rPr>
              <w:t>. Chem. Int. Ed.</w:t>
            </w:r>
            <w:r w:rsidR="00AE7E04">
              <w:rPr>
                <w:rFonts w:ascii="Times New Roman" w:hAnsi="Times New Roman" w:cs="Times New Roman" w:hint="eastAsia"/>
                <w:color w:val="000000"/>
                <w:szCs w:val="21"/>
              </w:rPr>
              <w:t>,</w:t>
            </w:r>
            <w:r>
              <w:rPr>
                <w:rFonts w:ascii="Times New Roman" w:hAnsi="Times New Roman" w:cs="Times New Roman"/>
                <w:color w:val="000000"/>
                <w:szCs w:val="21"/>
              </w:rPr>
              <w:t xml:space="preserve"> 2024</w:t>
            </w:r>
          </w:p>
        </w:tc>
        <w:tc>
          <w:tcPr>
            <w:tcW w:w="399" w:type="pct"/>
            <w:tcBorders>
              <w:top w:val="nil"/>
              <w:left w:val="nil"/>
              <w:bottom w:val="nil"/>
              <w:right w:val="nil"/>
            </w:tcBorders>
            <w:shd w:val="clear" w:color="auto" w:fill="FFFFFF"/>
            <w:vAlign w:val="center"/>
          </w:tcPr>
          <w:p w14:paraId="01701BDF"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&lt;EndNote&gt;&lt;Cite&gt;&lt;Author&gt;Zhao&lt;/Author&gt;&lt;Year&gt;2025&lt;/Year&gt;&lt;RecNum&gt;3&lt;/RecNum&gt;&lt;DisplayText&gt;&lt;style face="superscript"&gt;[30]&lt;/style&gt;&lt;/DisplayText&gt;&lt;record&gt;&lt;rec-number&gt;3&lt;/rec-number&gt;&lt;foreign-keys&gt;&lt;key app="EN" db-id="vpa0aa9tcdtxrzeda2axfrfy5szfrt50v9xf" timestamp="1750761768"&gt;3&lt;/key&gt;&lt;/foreign-keys&gt;&lt;ref-type name="Journal Article"&gt;17&lt;/ref-type&gt;&lt;contributors&gt;&lt;authors&gt;&lt;author&gt;Zhao, Yifan&lt;/author&gt;&lt;author&gt;Chen, Zhiyuan&lt;/author&gt;&lt;author&gt;Gao, Xuan&lt;/author&gt;&lt;author&gt;Dong, Haobo&lt;/author&gt;&lt;author&gt;Zhao, Xiaoyu&lt;/author&gt;&lt;author&gt;He, Guanjie&lt;/author&gt;&lt;author&gt;Yang, Hui&lt;/author&gt;&lt;/authors&gt;&lt;/contributors&gt;&lt;titles&gt;&lt;title&gt;In-Situ Self-Respiratory Solid-to-Hydrogel Electrolyte Interface Evoked Well-Distributed Deposition on Zinc Anode for Highly Reversible Zinc-Ion Batteries&lt;/title&gt;&lt;secondary-title&gt;Angewandte Chemie International Edition&lt;/secondary-title&gt;&lt;/titles&gt;&lt;periodical&gt;&lt;full-title&gt;Angewandte Chemie International Edition&lt;/full-title&gt;&lt;/periodical&gt;&lt;pages&gt;e202415251&lt;/pages&gt;&lt;volume&gt;64&lt;/volume&gt;&lt;number&gt;3&lt;/number&gt;&lt;dates&gt;&lt;year&gt;2025&lt;/year&gt;&lt;/dates&gt;&lt;isbn&gt;1433-7851&lt;/isbn&gt;&lt;urls&gt;&lt;related-urls&gt;&lt;url&gt;https://onlinelibrary.wiley.com/doi/abs/10.1002/anie.202415251&lt;/url&gt;&lt;/related-urls&gt;&lt;/urls&gt;&lt;electronic-resource-num&gt;https://doi.org/10.1002/anie.202415251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[30]</w:t>
            </w:r>
            <w:r>
              <w:rPr>
                <w:rFonts w:ascii="Times New Roman" w:hAnsi="Times New Roman" w:cs="Times New Roman"/>
                <w:color w:val="0000FF"/>
                <w:szCs w:val="21"/>
              </w:rPr>
              <w:fldChar w:fldCharType="end"/>
            </w:r>
          </w:p>
        </w:tc>
      </w:tr>
      <w:tr w:rsidR="00536E8D" w14:paraId="7B9FAF1C" w14:textId="77777777" w:rsidTr="00D02DF7">
        <w:trPr>
          <w:trHeight w:val="695"/>
          <w:jc w:val="center"/>
        </w:trPr>
        <w:tc>
          <w:tcPr>
            <w:tcW w:w="912" w:type="pct"/>
            <w:tcBorders>
              <w:top w:val="nil"/>
              <w:left w:val="nil"/>
              <w:bottom w:val="nil"/>
              <w:right w:val="nil"/>
            </w:tcBorders>
            <w:shd w:val="clear" w:color="auto" w:fill="FFFFFF"/>
            <w:vAlign w:val="center"/>
          </w:tcPr>
          <w:p w14:paraId="5D06890E"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Zn-PDPTT</w:t>
            </w:r>
          </w:p>
        </w:tc>
        <w:tc>
          <w:tcPr>
            <w:tcW w:w="747" w:type="pct"/>
            <w:tcBorders>
              <w:top w:val="nil"/>
              <w:left w:val="nil"/>
              <w:bottom w:val="nil"/>
              <w:right w:val="nil"/>
            </w:tcBorders>
            <w:shd w:val="clear" w:color="auto" w:fill="FFFFFF"/>
            <w:vAlign w:val="center"/>
          </w:tcPr>
          <w:p w14:paraId="5EC4D4FF"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18" w:type="pct"/>
            <w:tcBorders>
              <w:top w:val="nil"/>
              <w:left w:val="nil"/>
              <w:bottom w:val="nil"/>
              <w:right w:val="nil"/>
            </w:tcBorders>
            <w:shd w:val="clear" w:color="auto" w:fill="FFFFFF"/>
            <w:vAlign w:val="center"/>
          </w:tcPr>
          <w:p w14:paraId="402C1E97"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704" w:type="pct"/>
            <w:tcBorders>
              <w:top w:val="nil"/>
              <w:left w:val="nil"/>
              <w:bottom w:val="nil"/>
              <w:right w:val="nil"/>
            </w:tcBorders>
            <w:shd w:val="clear" w:color="auto" w:fill="FFFFFF"/>
            <w:vAlign w:val="center"/>
          </w:tcPr>
          <w:p w14:paraId="779E6C8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4300</w:t>
            </w:r>
          </w:p>
        </w:tc>
        <w:tc>
          <w:tcPr>
            <w:tcW w:w="1519" w:type="pct"/>
            <w:tcBorders>
              <w:top w:val="nil"/>
              <w:left w:val="nil"/>
              <w:bottom w:val="nil"/>
              <w:right w:val="nil"/>
            </w:tcBorders>
            <w:shd w:val="clear" w:color="auto" w:fill="FFFFFF"/>
            <w:vAlign w:val="center"/>
          </w:tcPr>
          <w:p w14:paraId="13B689E8" w14:textId="07078448"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Angew</w:t>
            </w:r>
            <w:proofErr w:type="spellEnd"/>
            <w:r>
              <w:rPr>
                <w:rFonts w:ascii="Times New Roman" w:hAnsi="Times New Roman" w:cs="Times New Roman"/>
                <w:color w:val="000000"/>
                <w:szCs w:val="21"/>
              </w:rPr>
              <w:t>. Chem. Int. Ed.</w:t>
            </w:r>
            <w:r w:rsidR="00AE7E04">
              <w:rPr>
                <w:rFonts w:ascii="Times New Roman" w:hAnsi="Times New Roman" w:cs="Times New Roman" w:hint="eastAsia"/>
                <w:color w:val="000000"/>
                <w:szCs w:val="21"/>
              </w:rPr>
              <w:t>,</w:t>
            </w:r>
            <w:r>
              <w:rPr>
                <w:rFonts w:ascii="Times New Roman" w:hAnsi="Times New Roman" w:cs="Times New Roman"/>
                <w:color w:val="000000"/>
                <w:szCs w:val="21"/>
              </w:rPr>
              <w:t xml:space="preserve"> 2024</w:t>
            </w:r>
          </w:p>
        </w:tc>
        <w:tc>
          <w:tcPr>
            <w:tcW w:w="399" w:type="pct"/>
            <w:tcBorders>
              <w:top w:val="nil"/>
              <w:left w:val="nil"/>
              <w:bottom w:val="nil"/>
              <w:right w:val="nil"/>
            </w:tcBorders>
            <w:shd w:val="clear" w:color="auto" w:fill="FFFFFF"/>
            <w:vAlign w:val="center"/>
          </w:tcPr>
          <w:p w14:paraId="5CD53D5B"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&lt;EndNote&gt;&lt;Cite&gt;&lt;Author&gt;Chen&lt;/Author&gt;&lt;Year&gt;2024&lt;/Year&gt;&lt;RecNum&gt;4&lt;/RecNum&gt;&lt;DisplayText&gt;&lt;style face="superscript"&gt;[31]&lt;/style&gt;&lt;/DisplayText&gt;&lt;record&gt;&lt;rec-number&gt;4&lt;/rec-number&gt;&lt;foreign-keys&gt;&lt;key app="EN" db-id="vpa0aa9tcdtxrzeda2axfrfy5szfrt50v9xf" timestamp="1750761880"&gt;4&lt;/key&gt;&lt;/foreign-keys&gt;&lt;ref-type name="Journal Article"&gt;17&lt;/ref-type&gt;&lt;contributors&gt;&lt;authors&gt;&lt;author&gt;Chen, Ming&lt;/author&gt;&lt;author&gt;Guo, Xiaojun&lt;/author&gt;&lt;author&gt;Jiang, Xiao&lt;/author&gt;&lt;author&gt;Farhadi, Bita&lt;/author&gt;&lt;author&gt;Guo, Xin&lt;/author&gt;&lt;author&gt;Zhu, Yan&lt;/author&gt;&lt;author&gt;Zhang, Haoxiang&lt;/author&gt;&lt;author&gt;Liu, Shengzhong&lt;/author&gt;&lt;/authors&gt;&lt;/contributors&gt;&lt;titles&gt;&lt;title&gt;Multi-Group Polymer Coating on Zn Anode for High Overall Conversion Efficiency Photorechargeable Zinc-Ion Batteries&lt;/title&gt;&lt;secondary-title&gt;Angewandte Chemie International Edition&lt;/secondary-title&gt;&lt;/titles&gt;&lt;periodical&gt;&lt;full-title&gt;Angewandte Chemie International Edition&lt;/full-title&gt;&lt;/periodical&gt;&lt;pages&gt;e202410011&lt;/pages&gt;&lt;volume&gt;63&lt;/volume&gt;&lt;number&gt;39&lt;/number&gt;&lt;dates&gt;&lt;year&gt;2024&lt;/year&gt;&lt;/dates&gt;&lt;isbn&gt;1433-7851&lt;/isbn&gt;&lt;urls&gt;&lt;related-urls&gt;&lt;url&gt;https://onlinelibrary.wiley.com/doi/abs/10.1002/anie.202410011&lt;/url&gt;&lt;/related-urls&gt;&lt;/urls&gt;&lt;electronic-resource-num&gt;https://doi.org/10.1002/anie.202410011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[31]</w:t>
            </w:r>
            <w:r>
              <w:rPr>
                <w:rFonts w:ascii="Times New Roman" w:hAnsi="Times New Roman" w:cs="Times New Roman"/>
                <w:color w:val="0000FF"/>
                <w:szCs w:val="21"/>
              </w:rPr>
              <w:fldChar w:fldCharType="end"/>
            </w:r>
          </w:p>
        </w:tc>
      </w:tr>
      <w:tr w:rsidR="00536E8D" w14:paraId="64291BB9" w14:textId="77777777" w:rsidTr="00D02DF7">
        <w:trPr>
          <w:trHeight w:val="695"/>
          <w:jc w:val="center"/>
        </w:trPr>
        <w:tc>
          <w:tcPr>
            <w:tcW w:w="912" w:type="pct"/>
            <w:tcBorders>
              <w:top w:val="nil"/>
              <w:left w:val="nil"/>
              <w:bottom w:val="nil"/>
              <w:right w:val="nil"/>
            </w:tcBorders>
            <w:shd w:val="clear" w:color="auto" w:fill="FFFFFF"/>
            <w:vAlign w:val="center"/>
          </w:tcPr>
          <w:p w14:paraId="380DCA5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SCP-Additive</w:t>
            </w:r>
          </w:p>
        </w:tc>
        <w:tc>
          <w:tcPr>
            <w:tcW w:w="747" w:type="pct"/>
            <w:tcBorders>
              <w:top w:val="nil"/>
              <w:left w:val="nil"/>
              <w:bottom w:val="nil"/>
              <w:right w:val="nil"/>
            </w:tcBorders>
            <w:shd w:val="clear" w:color="auto" w:fill="FFFFFF"/>
            <w:vAlign w:val="center"/>
          </w:tcPr>
          <w:p w14:paraId="04177D17"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718" w:type="pct"/>
            <w:tcBorders>
              <w:top w:val="nil"/>
              <w:left w:val="nil"/>
              <w:bottom w:val="nil"/>
              <w:right w:val="nil"/>
            </w:tcBorders>
            <w:shd w:val="clear" w:color="auto" w:fill="FFFFFF"/>
            <w:vAlign w:val="center"/>
          </w:tcPr>
          <w:p w14:paraId="142691E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04" w:type="pct"/>
            <w:tcBorders>
              <w:top w:val="nil"/>
              <w:left w:val="nil"/>
              <w:bottom w:val="nil"/>
              <w:right w:val="nil"/>
            </w:tcBorders>
            <w:shd w:val="clear" w:color="auto" w:fill="FFFFFF"/>
            <w:vAlign w:val="center"/>
          </w:tcPr>
          <w:p w14:paraId="26B82DC0"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1500</w:t>
            </w:r>
          </w:p>
        </w:tc>
        <w:tc>
          <w:tcPr>
            <w:tcW w:w="1519" w:type="pct"/>
            <w:tcBorders>
              <w:top w:val="nil"/>
              <w:left w:val="nil"/>
              <w:bottom w:val="nil"/>
              <w:right w:val="nil"/>
            </w:tcBorders>
            <w:shd w:val="clear" w:color="auto" w:fill="FFFFFF"/>
            <w:vAlign w:val="center"/>
          </w:tcPr>
          <w:p w14:paraId="02BFE8A2" w14:textId="21B06460"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 xml:space="preserve">Iran. J. </w:t>
            </w:r>
            <w:proofErr w:type="spellStart"/>
            <w:r>
              <w:rPr>
                <w:rFonts w:ascii="Times New Roman" w:hAnsi="Times New Roman" w:cs="Times New Roman" w:hint="eastAsia"/>
                <w:color w:val="000000"/>
                <w:szCs w:val="21"/>
              </w:rPr>
              <w:t>Polym</w:t>
            </w:r>
            <w:proofErr w:type="spellEnd"/>
            <w:r w:rsidR="0077130F">
              <w:rPr>
                <w:rFonts w:ascii="Times New Roman" w:hAnsi="Times New Roman" w:cs="Times New Roman" w:hint="eastAsia"/>
                <w:color w:val="000000"/>
                <w:szCs w:val="21"/>
              </w:rPr>
              <w:t>.</w:t>
            </w:r>
            <w:r>
              <w:rPr>
                <w:rFonts w:ascii="Times New Roman" w:hAnsi="Times New Roman" w:cs="Times New Roman" w:hint="eastAsia"/>
                <w:color w:val="000000"/>
                <w:szCs w:val="21"/>
              </w:rPr>
              <w:t xml:space="preserve"> Sci. Technol.</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2025</w:t>
            </w:r>
          </w:p>
        </w:tc>
        <w:tc>
          <w:tcPr>
            <w:tcW w:w="399" w:type="pct"/>
            <w:tcBorders>
              <w:top w:val="nil"/>
              <w:left w:val="nil"/>
              <w:bottom w:val="nil"/>
              <w:right w:val="nil"/>
            </w:tcBorders>
            <w:shd w:val="clear" w:color="auto" w:fill="FFFFFF"/>
            <w:vAlign w:val="center"/>
          </w:tcPr>
          <w:p w14:paraId="174C4614"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&lt;EndNote&gt;&lt;Cite&gt;&lt;Author&gt;Zhang&lt;/Author&gt;&lt;Year&gt;2025&lt;/Year&gt;&lt;RecNum&gt;5&lt;/RecNum&gt;&lt;DisplayText&gt;&lt;style face="superscript"&gt;[32]&lt;/style&gt;&lt;/DisplayText&gt;&lt;record&gt;&lt;rec-number&gt;5&lt;/rec-number&gt;&lt;foreign-keys&gt;&lt;key app="EN" db-id="vpa0aa9tcdtxrzeda2axfrfy5szfrt50v9xf" timestamp="1750761923"&gt;5&lt;/key&gt;&lt;/foreign-keys&gt;&lt;ref-type name="Journal Article"&gt;17&lt;/ref-type&gt;&lt;contributors&gt;&lt;authors&gt;&lt;author&gt;Zhang, Jinlong&lt;/author&gt;&lt;author&gt;Wei, Xueyao&lt;/author&gt;&lt;author&gt;Wu, Qing&lt;/author&gt;&lt;author&gt;Liu, Xiude&lt;/author&gt;&lt;author&gt;Yang, Song&lt;/author&gt;&lt;author&gt;Luo, Fusheng&lt;/author&gt;&lt;author&gt;Yan, Zeyu&lt;/author&gt;&lt;author&gt;Huang, Jun&lt;/author&gt;&lt;author&gt;Chen, Yiwang&lt;/author&gt;&lt;/authors&gt;&lt;/contributors&gt;&lt;titles&gt;&lt;title&gt;Molecule-Adsorption-Induced Interface Micro-environment Regulating for Highly Stable Aqueous Zinc Ion Batteries&lt;/title&gt;&lt;secondary-title&gt;Polymer Science &amp;amp; Technology&lt;/secondary-title&gt;&lt;/titles&gt;&lt;periodical&gt;&lt;full-title&gt;Polymer Science &amp;amp; Technology&lt;/full-title&gt;&lt;/periodical&gt;&lt;dates&gt;&lt;year&gt;2025&lt;/year&gt;&lt;pub-dates&gt;&lt;date&gt;2025/01/21&lt;/date&gt;&lt;/pub-dates&gt;&lt;/dates&gt;&lt;publisher&gt;American Chemical Society&lt;/publisher&gt;&lt;urls&gt;&lt;related-urls&gt;&lt;url&gt;https://doi.org/10.1021/polymscitech.4c00034&lt;/url&gt;&lt;/related-urls&gt;&lt;/urls&gt;&lt;electronic-resource-num&gt;10.1021/polymscitech.4c00034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[32]</w:t>
            </w:r>
            <w:r>
              <w:rPr>
                <w:rFonts w:ascii="Times New Roman" w:hAnsi="Times New Roman" w:cs="Times New Roman"/>
                <w:color w:val="0000FF"/>
                <w:szCs w:val="21"/>
              </w:rPr>
              <w:fldChar w:fldCharType="end"/>
            </w:r>
          </w:p>
        </w:tc>
      </w:tr>
      <w:tr w:rsidR="00536E8D" w14:paraId="04386C4F" w14:textId="77777777" w:rsidTr="00D02DF7">
        <w:trPr>
          <w:trHeight w:val="1043"/>
          <w:jc w:val="center"/>
        </w:trPr>
        <w:tc>
          <w:tcPr>
            <w:tcW w:w="912" w:type="pct"/>
            <w:tcBorders>
              <w:top w:val="nil"/>
              <w:left w:val="nil"/>
              <w:bottom w:val="nil"/>
              <w:right w:val="nil"/>
            </w:tcBorders>
            <w:shd w:val="clear" w:color="auto" w:fill="FFFFFF"/>
            <w:vAlign w:val="center"/>
          </w:tcPr>
          <w:p w14:paraId="18196A5E"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TCOF-S</w:t>
            </w:r>
          </w:p>
        </w:tc>
        <w:tc>
          <w:tcPr>
            <w:tcW w:w="747" w:type="pct"/>
            <w:tcBorders>
              <w:top w:val="nil"/>
              <w:left w:val="nil"/>
              <w:bottom w:val="nil"/>
              <w:right w:val="nil"/>
            </w:tcBorders>
            <w:shd w:val="clear" w:color="auto" w:fill="FFFFFF"/>
            <w:vAlign w:val="center"/>
          </w:tcPr>
          <w:p w14:paraId="221249AE"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718" w:type="pct"/>
            <w:tcBorders>
              <w:top w:val="nil"/>
              <w:left w:val="nil"/>
              <w:bottom w:val="nil"/>
              <w:right w:val="nil"/>
            </w:tcBorders>
            <w:shd w:val="clear" w:color="auto" w:fill="FFFFFF"/>
            <w:vAlign w:val="center"/>
          </w:tcPr>
          <w:p w14:paraId="32A14E29"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04" w:type="pct"/>
            <w:tcBorders>
              <w:top w:val="nil"/>
              <w:left w:val="nil"/>
              <w:bottom w:val="nil"/>
              <w:right w:val="nil"/>
            </w:tcBorders>
            <w:shd w:val="clear" w:color="auto" w:fill="FFFFFF"/>
            <w:vAlign w:val="center"/>
          </w:tcPr>
          <w:p w14:paraId="71404C57"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1200</w:t>
            </w:r>
          </w:p>
        </w:tc>
        <w:tc>
          <w:tcPr>
            <w:tcW w:w="1519" w:type="pct"/>
            <w:tcBorders>
              <w:top w:val="nil"/>
              <w:left w:val="nil"/>
              <w:bottom w:val="nil"/>
              <w:right w:val="nil"/>
            </w:tcBorders>
            <w:shd w:val="clear" w:color="auto" w:fill="FFFFFF"/>
            <w:vAlign w:val="center"/>
          </w:tcPr>
          <w:p w14:paraId="4ABD9074" w14:textId="622E34E7"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hint="eastAsia"/>
                <w:color w:val="000000"/>
                <w:szCs w:val="21"/>
              </w:rPr>
              <w:t>Angew</w:t>
            </w:r>
            <w:proofErr w:type="spellEnd"/>
            <w:r>
              <w:rPr>
                <w:rFonts w:ascii="Times New Roman" w:hAnsi="Times New Roman" w:cs="Times New Roman" w:hint="eastAsia"/>
                <w:color w:val="000000"/>
                <w:szCs w:val="21"/>
              </w:rPr>
              <w:t>. Chem. Int. Ed.</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2024</w:t>
            </w:r>
          </w:p>
        </w:tc>
        <w:tc>
          <w:tcPr>
            <w:tcW w:w="399" w:type="pct"/>
            <w:tcBorders>
              <w:top w:val="nil"/>
              <w:left w:val="nil"/>
              <w:bottom w:val="nil"/>
              <w:right w:val="nil"/>
            </w:tcBorders>
            <w:shd w:val="clear" w:color="auto" w:fill="FFFFFF"/>
            <w:vAlign w:val="center"/>
          </w:tcPr>
          <w:p w14:paraId="655B8CE0"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&lt;EndNote&gt;&lt;Cite&gt;&lt;Author&gt;Wu&lt;/Author&gt;&lt;Year&gt;2024&lt;/Year&gt;&lt;RecNum&gt;6&lt;/RecNum&gt;&lt;DisplayText&gt;&lt;style face="superscript"&gt;[33]&lt;/style&gt;&lt;/DisplayText&gt;&lt;record&gt;&lt;rec-number&gt;6&lt;/rec-number&gt;&lt;foreign-keys&gt;&lt;key app="EN" db-id="vpa0aa9tcdtxrzeda2axfrfy5szfrt50v9xf" timestamp="1750761972"&gt;6&lt;/key&gt;&lt;/foreign-keys&gt;&lt;ref-type name="Journal Article"&gt;17&lt;/ref-type&gt;&lt;contributors&gt;&lt;authors&gt;&lt;author&gt;Wu, Qing&lt;/author&gt;&lt;author&gt;Huang, Jun&lt;/author&gt;&lt;author&gt;Zhang, Jinlong&lt;/author&gt;&lt;author&gt;Yang, Song&lt;/author&gt;&lt;author&gt;Li, Yue&lt;/author&gt;&lt;author&gt;Luo, Fusheng&lt;/author&gt;&lt;author&gt;You, Yang&lt;/author&gt;&lt;author&gt;Li, Yunqi&lt;/author&gt;&lt;author&gt;Xie, Haibo&lt;/author&gt;&lt;author&gt;Chen, Yiwang&lt;/author&gt;&lt;/authors&gt;&lt;/contributors&gt;&lt;titles&gt;&lt;title&gt;Multifunctional Cellulose Nanocrystals Electrolyte Additive Enable Ultrahigh-Rate and Dendrite-Free Zn Anodes for Rechargeable Aqueous Zinc Batteries&lt;/title&gt;&lt;secondary-title&gt;Angewandte Chemie International Edition&lt;/secondary-title&gt;&lt;/titles&gt;&lt;periodical&gt;&lt;full-title&gt;Angewandte Chemie International Edition&lt;/full-title&gt;&lt;/periodical&gt;&lt;pages&gt;e202319051&lt;/pages&gt;&lt;volume&gt;63&lt;/volume&gt;&lt;number&gt;14&lt;/number&gt;&lt;dates&gt;&lt;year&gt;2024&lt;/year&gt;&lt;/dates&gt;&lt;isbn&gt;1433-7851&lt;/isbn&gt;&lt;urls&gt;&lt;related-urls&gt;&lt;url&gt;https://onlinelibrary.wiley.com/doi/abs/10.1002/anie.202319051&lt;/url&gt;&lt;/related-urls&gt;&lt;/urls&gt;&lt;electronic-resource-num&gt;https://doi.org/10.1002/anie.202319051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[33]</w:t>
            </w:r>
            <w:r>
              <w:rPr>
                <w:rFonts w:ascii="Times New Roman" w:hAnsi="Times New Roman" w:cs="Times New Roman"/>
                <w:color w:val="0000FF"/>
                <w:szCs w:val="21"/>
              </w:rPr>
              <w:fldChar w:fldCharType="end"/>
            </w:r>
          </w:p>
        </w:tc>
      </w:tr>
      <w:tr w:rsidR="00536E8D" w14:paraId="1E575ADB" w14:textId="77777777" w:rsidTr="00D02DF7">
        <w:trPr>
          <w:trHeight w:val="695"/>
          <w:jc w:val="center"/>
        </w:trPr>
        <w:tc>
          <w:tcPr>
            <w:tcW w:w="912" w:type="pct"/>
            <w:tcBorders>
              <w:top w:val="nil"/>
              <w:left w:val="nil"/>
              <w:bottom w:val="nil"/>
              <w:right w:val="nil"/>
            </w:tcBorders>
            <w:shd w:val="clear" w:color="auto" w:fill="FFFFFF"/>
            <w:vAlign w:val="center"/>
          </w:tcPr>
          <w:p w14:paraId="039FBAA4"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3D-C-Zn</w:t>
            </w:r>
          </w:p>
        </w:tc>
        <w:tc>
          <w:tcPr>
            <w:tcW w:w="747" w:type="pct"/>
            <w:tcBorders>
              <w:top w:val="nil"/>
              <w:left w:val="nil"/>
              <w:bottom w:val="nil"/>
              <w:right w:val="nil"/>
            </w:tcBorders>
            <w:shd w:val="clear" w:color="auto" w:fill="FFFFFF"/>
            <w:vAlign w:val="center"/>
          </w:tcPr>
          <w:p w14:paraId="21C7D1F0"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5</w:t>
            </w:r>
          </w:p>
        </w:tc>
        <w:tc>
          <w:tcPr>
            <w:tcW w:w="718" w:type="pct"/>
            <w:tcBorders>
              <w:top w:val="nil"/>
              <w:left w:val="nil"/>
              <w:bottom w:val="nil"/>
              <w:right w:val="nil"/>
            </w:tcBorders>
            <w:shd w:val="clear" w:color="auto" w:fill="FFFFFF"/>
            <w:vAlign w:val="center"/>
          </w:tcPr>
          <w:p w14:paraId="09CDAC0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704" w:type="pct"/>
            <w:tcBorders>
              <w:top w:val="nil"/>
              <w:left w:val="nil"/>
              <w:bottom w:val="nil"/>
              <w:right w:val="nil"/>
            </w:tcBorders>
            <w:shd w:val="clear" w:color="auto" w:fill="FFFFFF"/>
            <w:vAlign w:val="center"/>
          </w:tcPr>
          <w:p w14:paraId="324E0341"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880</w:t>
            </w:r>
          </w:p>
        </w:tc>
        <w:tc>
          <w:tcPr>
            <w:tcW w:w="1519" w:type="pct"/>
            <w:tcBorders>
              <w:top w:val="nil"/>
              <w:left w:val="nil"/>
              <w:bottom w:val="nil"/>
              <w:right w:val="nil"/>
            </w:tcBorders>
            <w:shd w:val="clear" w:color="auto" w:fill="FFFFFF"/>
            <w:vAlign w:val="center"/>
          </w:tcPr>
          <w:p w14:paraId="75DFA59C" w14:textId="5C4BC76B"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ChemNanoMat</w:t>
            </w:r>
            <w:proofErr w:type="spellEnd"/>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2021</w:t>
            </w:r>
          </w:p>
        </w:tc>
        <w:tc>
          <w:tcPr>
            <w:tcW w:w="399" w:type="pct"/>
            <w:tcBorders>
              <w:top w:val="nil"/>
              <w:left w:val="nil"/>
              <w:bottom w:val="nil"/>
              <w:right w:val="nil"/>
            </w:tcBorders>
            <w:shd w:val="clear" w:color="auto" w:fill="FFFFFF"/>
            <w:vAlign w:val="center"/>
          </w:tcPr>
          <w:p w14:paraId="1FE13913"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&lt;EndNote&gt;&lt;Cite&gt;&lt;Author&gt;Li&lt;/Author&gt;&lt;Year&gt;2021&lt;/Year&gt;&lt;RecNum&gt;7&lt;/RecNum&gt;&lt;DisplayText&gt;&lt;style face="superscript"&gt;[34]&lt;/style&gt;&lt;/DisplayText&gt;&lt;record&gt;&lt;rec-number&gt;7&lt;/rec-number&gt;&lt;foreign-keys&gt;&lt;key app="EN" db-id="vpa0aa9tcdtxrzeda2axfrfy5szfrt50v9xf" timestamp="1750762046"&gt;7&lt;/key&gt;&lt;/foreign-keys&gt;&lt;ref-type name="Journal Article"&gt;17&lt;/ref-type&gt;&lt;contributors&gt;&lt;authors&gt;&lt;author&gt;Li, Xin&lt;/author&gt;&lt;author&gt;Zeng, Jiaming&lt;/author&gt;&lt;author&gt;Yao, Hong&lt;/author&gt;&lt;author&gt;Yuan, Du&lt;/author&gt;&lt;author&gt;Zhang, Liping&lt;/author&gt;&lt;/authors&gt;&lt;/contributors&gt;&lt;titles&gt;&lt;title&gt;Current Advances on Zn Anodes for Aqueous Zinc-Ion Batteries&lt;/title&gt;&lt;secondary-title&gt;ChemNanoMat&lt;/secondary-title&gt;&lt;/titles&gt;&lt;periodical&gt;&lt;full-title&gt;ChemNanoMat&lt;/full-title&gt;&lt;/periodical&gt;&lt;pages&gt;1162-1176&lt;/pages&gt;&lt;volume&gt;7&lt;/volume&gt;&lt;number&gt;11&lt;/number&gt;&lt;dates&gt;&lt;year&gt;2021&lt;/year&gt;&lt;/dates&gt;&lt;isbn&gt;2199-692X&lt;/isbn&gt;&lt;urls&gt;&lt;related-urls&gt;&lt;url&gt;https://aces.onlinelibrary.wiley.com/doi/abs/10.1002/cnma.202100267&lt;/url&gt;&lt;/related-urls&gt;&lt;/urls&gt;&lt;electronic-resource-num&gt;https://doi.org/10.1002/cnma.202100267&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[34]</w:t>
            </w:r>
            <w:r>
              <w:rPr>
                <w:rFonts w:ascii="Times New Roman" w:hAnsi="Times New Roman" w:cs="Times New Roman"/>
                <w:color w:val="0000FF"/>
                <w:szCs w:val="21"/>
              </w:rPr>
              <w:fldChar w:fldCharType="end"/>
            </w:r>
          </w:p>
        </w:tc>
      </w:tr>
      <w:tr w:rsidR="00536E8D" w14:paraId="2E972338" w14:textId="77777777" w:rsidTr="00D02DF7">
        <w:trPr>
          <w:trHeight w:val="695"/>
          <w:jc w:val="center"/>
        </w:trPr>
        <w:tc>
          <w:tcPr>
            <w:tcW w:w="912" w:type="pct"/>
            <w:tcBorders>
              <w:top w:val="nil"/>
              <w:left w:val="nil"/>
              <w:bottom w:val="nil"/>
              <w:right w:val="nil"/>
            </w:tcBorders>
            <w:shd w:val="clear" w:color="auto" w:fill="FFFFFF"/>
            <w:vAlign w:val="center"/>
          </w:tcPr>
          <w:p w14:paraId="18454BF1"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DCD-Additive</w:t>
            </w:r>
          </w:p>
        </w:tc>
        <w:tc>
          <w:tcPr>
            <w:tcW w:w="747" w:type="pct"/>
            <w:tcBorders>
              <w:top w:val="nil"/>
              <w:left w:val="nil"/>
              <w:bottom w:val="nil"/>
              <w:right w:val="nil"/>
            </w:tcBorders>
            <w:shd w:val="clear" w:color="auto" w:fill="FFFFFF"/>
            <w:vAlign w:val="center"/>
          </w:tcPr>
          <w:p w14:paraId="357F21D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5</w:t>
            </w:r>
          </w:p>
        </w:tc>
        <w:tc>
          <w:tcPr>
            <w:tcW w:w="718" w:type="pct"/>
            <w:tcBorders>
              <w:top w:val="nil"/>
              <w:left w:val="nil"/>
              <w:bottom w:val="nil"/>
              <w:right w:val="nil"/>
            </w:tcBorders>
            <w:shd w:val="clear" w:color="auto" w:fill="FFFFFF"/>
            <w:vAlign w:val="center"/>
          </w:tcPr>
          <w:p w14:paraId="6942CF6F"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04" w:type="pct"/>
            <w:tcBorders>
              <w:top w:val="nil"/>
              <w:left w:val="nil"/>
              <w:bottom w:val="nil"/>
              <w:right w:val="nil"/>
            </w:tcBorders>
            <w:shd w:val="clear" w:color="auto" w:fill="FFFFFF"/>
            <w:vAlign w:val="center"/>
          </w:tcPr>
          <w:p w14:paraId="431CBF59"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1400</w:t>
            </w:r>
          </w:p>
        </w:tc>
        <w:tc>
          <w:tcPr>
            <w:tcW w:w="1519" w:type="pct"/>
            <w:tcBorders>
              <w:top w:val="nil"/>
              <w:left w:val="nil"/>
              <w:bottom w:val="nil"/>
              <w:right w:val="nil"/>
            </w:tcBorders>
            <w:shd w:val="clear" w:color="auto" w:fill="FFFFFF"/>
            <w:vAlign w:val="center"/>
          </w:tcPr>
          <w:p w14:paraId="40E593FF" w14:textId="37FC1203"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J. Mater. Chem. A</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2025</w:t>
            </w:r>
          </w:p>
        </w:tc>
        <w:tc>
          <w:tcPr>
            <w:tcW w:w="399" w:type="pct"/>
            <w:tcBorders>
              <w:top w:val="nil"/>
              <w:left w:val="nil"/>
              <w:bottom w:val="nil"/>
              <w:right w:val="nil"/>
            </w:tcBorders>
            <w:shd w:val="clear" w:color="auto" w:fill="FFFFFF"/>
            <w:vAlign w:val="center"/>
          </w:tcPr>
          <w:p w14:paraId="426B6F3C"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&lt;EndNote&gt;&lt;Cite&gt;&lt;Author&gt;Liu&lt;/Author&gt;&lt;Year&gt;2025&lt;/Year&gt;&lt;RecNum&gt;8&lt;/RecNum&gt;&lt;DisplayText&gt;&lt;style face="superscript"&gt;[35]&lt;/style&gt;&lt;/DisplayText&gt;&lt;record&gt;&lt;rec-number&gt;8&lt;/rec-number&gt;&lt;foreign-keys&gt;&lt;key app="EN" db-id="vpa0aa9tcdtxrzeda2axfrfy5szfrt50v9xf" timestamp="1750762138"&gt;8&lt;/key&gt;&lt;/foreign-keys&gt;&lt;ref-type name="Journal Article"&gt;17&lt;/ref-type&gt;&lt;contributors&gt;&lt;authors&gt;&lt;author&gt;Liu, Dajin&lt;/author&gt;&lt;author&gt;Lv, Bangdi&lt;/author&gt;&lt;author&gt;Liu, Zihao&lt;/author&gt;&lt;author&gt;Cheng, Lu&lt;/author&gt;&lt;author&gt;Deng, Yu&lt;/author&gt;&lt;author&gt;Song, Xinchun&lt;/author&gt;&lt;author&gt;Jiang, Zhipeng&lt;/author&gt;&lt;/authors&gt;&lt;/contributors&gt;&lt;titles&gt;&lt;title&gt;Molecular anchoring-induced proton adsorption effect achieves stable zinc metal anodes&lt;/title&gt;&lt;secondary-title&gt;Journal of Materials Chemistry A&lt;/secondary-title&gt;&lt;/titles&gt;&lt;periodical&gt;&lt;full-title&gt;Journal of Materials Chemistry A&lt;/full-title&gt;&lt;/periodical&gt;&lt;dates&gt;&lt;year&gt;2025&lt;/year&gt;&lt;pub-dates&gt;&lt;date&gt;2025/06/02&lt;/date&gt;&lt;/pub-dates&gt;&lt;/dates&gt;&lt;urls&gt;&lt;related-urls&gt;&lt;url&gt;http://dx.doi.org/10.1039/d5ta02312b&lt;/url&gt;&lt;/related-urls&gt;&lt;/urls&gt;&lt;electronic-resource-num&gt;10.1039/d5ta02312b&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[35]</w:t>
            </w:r>
            <w:r>
              <w:rPr>
                <w:rFonts w:ascii="Times New Roman" w:hAnsi="Times New Roman" w:cs="Times New Roman"/>
                <w:color w:val="0000FF"/>
                <w:szCs w:val="21"/>
              </w:rPr>
              <w:fldChar w:fldCharType="end"/>
            </w:r>
          </w:p>
        </w:tc>
      </w:tr>
      <w:tr w:rsidR="00536E8D" w14:paraId="4530C921" w14:textId="77777777" w:rsidTr="00D02DF7">
        <w:trPr>
          <w:trHeight w:val="789"/>
          <w:jc w:val="center"/>
        </w:trPr>
        <w:tc>
          <w:tcPr>
            <w:tcW w:w="912" w:type="pct"/>
            <w:tcBorders>
              <w:top w:val="nil"/>
              <w:left w:val="nil"/>
              <w:bottom w:val="single" w:sz="12" w:space="0" w:color="000000"/>
              <w:right w:val="nil"/>
            </w:tcBorders>
            <w:shd w:val="clear" w:color="auto" w:fill="FFFFFF"/>
            <w:vAlign w:val="center"/>
          </w:tcPr>
          <w:p w14:paraId="772EEDB0" w14:textId="77777777" w:rsidR="00536E8D" w:rsidRDefault="00B21C59">
            <w:pPr>
              <w:widowControl/>
              <w:jc w:val="center"/>
              <w:textAlignment w:val="center"/>
              <w:rPr>
                <w:rFonts w:ascii="Times New Roman" w:eastAsia="宋体" w:hAnsi="Times New Roman" w:cs="Times New Roman"/>
                <w:color w:val="000000"/>
                <w:kern w:val="0"/>
                <w:szCs w:val="21"/>
                <w:lang w:bidi="ar"/>
              </w:rPr>
            </w:pPr>
            <w:r>
              <w:rPr>
                <w:rFonts w:ascii="Times New Roman" w:eastAsia="宋体" w:hAnsi="Times New Roman" w:cs="Times New Roman"/>
                <w:color w:val="000000"/>
                <w:kern w:val="0"/>
                <w:szCs w:val="21"/>
                <w:lang w:bidi="ar"/>
              </w:rPr>
              <w:t>GABA-Additive</w:t>
            </w:r>
          </w:p>
        </w:tc>
        <w:tc>
          <w:tcPr>
            <w:tcW w:w="747" w:type="pct"/>
            <w:tcBorders>
              <w:top w:val="nil"/>
              <w:left w:val="nil"/>
              <w:bottom w:val="single" w:sz="12" w:space="0" w:color="000000"/>
              <w:right w:val="nil"/>
            </w:tcBorders>
            <w:shd w:val="clear" w:color="auto" w:fill="FFFFFF"/>
            <w:vAlign w:val="center"/>
          </w:tcPr>
          <w:p w14:paraId="5E616AAD"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w:t>
            </w:r>
          </w:p>
        </w:tc>
        <w:tc>
          <w:tcPr>
            <w:tcW w:w="718" w:type="pct"/>
            <w:tcBorders>
              <w:top w:val="nil"/>
              <w:left w:val="nil"/>
              <w:bottom w:val="single" w:sz="12" w:space="0" w:color="000000"/>
              <w:right w:val="nil"/>
            </w:tcBorders>
            <w:shd w:val="clear" w:color="auto" w:fill="FFFFFF"/>
            <w:vAlign w:val="center"/>
          </w:tcPr>
          <w:p w14:paraId="5A4664D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704" w:type="pct"/>
            <w:tcBorders>
              <w:top w:val="nil"/>
              <w:left w:val="nil"/>
              <w:bottom w:val="single" w:sz="12" w:space="0" w:color="000000"/>
              <w:right w:val="nil"/>
            </w:tcBorders>
            <w:shd w:val="clear" w:color="auto" w:fill="FFFFFF"/>
            <w:vAlign w:val="center"/>
          </w:tcPr>
          <w:p w14:paraId="599828F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3128</w:t>
            </w:r>
          </w:p>
        </w:tc>
        <w:tc>
          <w:tcPr>
            <w:tcW w:w="1519" w:type="pct"/>
            <w:tcBorders>
              <w:top w:val="nil"/>
              <w:left w:val="nil"/>
              <w:bottom w:val="single" w:sz="12" w:space="0" w:color="000000"/>
              <w:right w:val="nil"/>
            </w:tcBorders>
            <w:shd w:val="clear" w:color="auto" w:fill="FFFFFF"/>
            <w:vAlign w:val="center"/>
          </w:tcPr>
          <w:p w14:paraId="3D6915F3" w14:textId="610C82A0"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New J. Chem.</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2025</w:t>
            </w:r>
          </w:p>
        </w:tc>
        <w:tc>
          <w:tcPr>
            <w:tcW w:w="399" w:type="pct"/>
            <w:tcBorders>
              <w:top w:val="nil"/>
              <w:left w:val="nil"/>
              <w:bottom w:val="single" w:sz="12" w:space="0" w:color="000000"/>
              <w:right w:val="nil"/>
            </w:tcBorders>
            <w:shd w:val="clear" w:color="auto" w:fill="FFFFFF"/>
            <w:vAlign w:val="center"/>
          </w:tcPr>
          <w:p w14:paraId="037BF348" w14:textId="77777777" w:rsidR="00536E8D" w:rsidRDefault="00B21C59">
            <w:pPr>
              <w:jc w:val="center"/>
              <w:rPr>
                <w:rFonts w:ascii="Times New Roman" w:hAnsi="Times New Roman" w:cs="Times New Roman"/>
                <w:color w:val="0000FF"/>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&lt;EndNote&gt;&lt;Cite&gt;&lt;Author&gt;Liu&lt;/Author&gt;&lt;Year&gt;2025&lt;/Year&gt;&lt;RecNum&gt;10&lt;/RecNum&gt;&lt;DisplayText&gt;&lt;style face="superscript"&gt;[36]&lt;/style&gt;&lt;/DisplayText&gt;&lt;record&gt;&lt;rec-number&gt;10&lt;/rec-number&gt;&lt;foreign-keys&gt;&lt;key app="EN" db-id="vpa0aa9tcdtxrzeda2axfrfy5szfrt50v9xf" timestamp="1750762332"&gt;10&lt;/key&gt;&lt;/foreign-keys&gt;&lt;ref-type name="Journal Article"&gt;17&lt;/ref-type&gt;&lt;contributors&gt;&lt;authors&gt;&lt;author&gt;Liu, Tiancun&lt;/author&gt;&lt;author&gt;Huang, Gangyong&lt;/author&gt;&lt;author&gt;Wei, Zhonghua&lt;/author&gt;&lt;author&gt;Zheng, Lu&lt;/author&gt;&lt;author&gt;Sun, Zhubing&lt;/author&gt;&lt;author&gt;Wang, Xusheng&lt;/author&gt;&lt;author&gt;guo, chaofei&lt;/author&gt;&lt;/authors&gt;&lt;/contributors&gt;&lt;titles&gt;&lt;title&gt;Relieving interface corrosion and inducing planar Zn plating achieved by </w:instrText>
            </w:r>
            <w:r>
              <w:rPr>
                <w:rFonts w:ascii="Times New Roman" w:hAnsi="Times New Roman" w:cs="Times New Roman" w:hint="eastAsia"/>
                <w:color w:val="0000FF"/>
                <w:szCs w:val="21"/>
              </w:rPr>
              <w:instrText>γ</w:instrText>
            </w:r>
            <w:r>
              <w:rPr>
                <w:rFonts w:ascii="Times New Roman" w:hAnsi="Times New Roman" w:cs="Times New Roman" w:hint="eastAsia"/>
                <w:color w:val="0000FF"/>
                <w:szCs w:val="21"/>
              </w:rPr>
              <w:instrText>-aminobutyric acid towards stable and high-performance Zn ion batteries&lt;/title&gt;&lt;secondary-title&gt;New Journal of Chemistry&lt;/secondary-title&gt;&lt;/titles&gt;&lt;periodical&gt;&lt;full-title&gt;New Journal of Chemistry&lt;/full-title&gt;&lt;/periodical&gt;&lt;pages&gt;10928-10935&lt;/pages&gt;&lt;volume&gt;49&lt;/volume&gt;&lt;dates&gt;&lt;year&gt;2025&lt;/year&gt;&lt;pub-dates&gt;&lt;date&gt;2025/05/29&lt;/date&gt;&lt;/pub-dates&gt;&lt;/dates&gt;&lt;urls&gt;&lt;related-urls&gt;&lt;url&gt;http://dx.doi.org/10.1039/d5nj01320h&lt;/url&gt;&lt;/related-urls&gt;&lt;/urls&gt;&lt;electronic-resource-num&gt;10.1039/d5nj01320h&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[36]</w:t>
            </w:r>
            <w:r>
              <w:rPr>
                <w:rFonts w:ascii="Times New Roman" w:hAnsi="Times New Roman" w:cs="Times New Roman"/>
                <w:color w:val="0000FF"/>
                <w:szCs w:val="21"/>
              </w:rPr>
              <w:fldChar w:fldCharType="end"/>
            </w:r>
          </w:p>
        </w:tc>
      </w:tr>
    </w:tbl>
    <w:p w14:paraId="7BA0C4C3" w14:textId="77777777" w:rsidR="00536E8D" w:rsidRDefault="00536E8D">
      <w:pPr>
        <w:spacing w:line="300" w:lineRule="auto"/>
        <w:jc w:val="left"/>
        <w:rPr>
          <w:rFonts w:ascii="Times New Roman" w:hAnsi="Times New Roman" w:cs="Times New Roman"/>
          <w:szCs w:val="21"/>
          <w:highlight w:val="yellow"/>
        </w:rPr>
      </w:pPr>
    </w:p>
    <w:p w14:paraId="61A95B82" w14:textId="77777777" w:rsidR="00536E8D" w:rsidRDefault="00B21C59" w:rsidP="00D02DF7">
      <w:pPr>
        <w:spacing w:beforeLines="50" w:before="156" w:afterLines="50" w:after="156" w:line="300" w:lineRule="auto"/>
        <w:jc w:val="left"/>
        <w:rPr>
          <w:rFonts w:ascii="Times New Roman" w:hAnsi="Times New Roman" w:cs="Times New Roman"/>
          <w:b/>
          <w:bCs/>
          <w:sz w:val="36"/>
          <w:szCs w:val="36"/>
        </w:rPr>
      </w:pPr>
      <w:r>
        <w:rPr>
          <w:rFonts w:ascii="Times New Roman" w:hAnsi="Times New Roman" w:cs="Times New Roman"/>
          <w:b/>
          <w:bCs/>
          <w:sz w:val="24"/>
          <w:szCs w:val="24"/>
        </w:rPr>
        <w:lastRenderedPageBreak/>
        <w:t>Table S</w:t>
      </w:r>
      <w:r>
        <w:rPr>
          <w:rFonts w:ascii="Times New Roman" w:hAnsi="Times New Roman" w:cs="Times New Roman" w:hint="eastAsia"/>
          <w:b/>
          <w:bCs/>
          <w:sz w:val="24"/>
          <w:szCs w:val="24"/>
        </w:rPr>
        <w:t>3</w:t>
      </w:r>
      <w:r>
        <w:rPr>
          <w:rFonts w:ascii="Times New Roman" w:hAnsi="Times New Roman" w:cs="Times New Roman"/>
          <w:b/>
          <w:bCs/>
          <w:sz w:val="24"/>
          <w:szCs w:val="24"/>
        </w:rPr>
        <w:t>.</w:t>
      </w:r>
      <w:r>
        <w:rPr>
          <w:rFonts w:ascii="Times New Roman" w:hAnsi="Times New Roman" w:cs="Times New Roman" w:hint="eastAsia"/>
          <w:b/>
          <w:bCs/>
          <w:sz w:val="24"/>
          <w:szCs w:val="24"/>
        </w:rPr>
        <w:t xml:space="preserve"> The performance comparison of full cell in AZIBs with artificial SEI</w:t>
      </w:r>
    </w:p>
    <w:tbl>
      <w:tblPr>
        <w:tblStyle w:val="a9"/>
        <w:tblW w:w="5000" w:type="pct"/>
        <w:jc w:val="center"/>
        <w:tblLook w:val="04A0" w:firstRow="1" w:lastRow="0" w:firstColumn="1" w:lastColumn="0" w:noHBand="0" w:noVBand="1"/>
      </w:tblPr>
      <w:tblGrid>
        <w:gridCol w:w="1510"/>
        <w:gridCol w:w="1234"/>
        <w:gridCol w:w="1431"/>
        <w:gridCol w:w="951"/>
        <w:gridCol w:w="2521"/>
        <w:gridCol w:w="659"/>
      </w:tblGrid>
      <w:tr w:rsidR="00536E8D" w14:paraId="32C4199A" w14:textId="77777777" w:rsidTr="00D02DF7">
        <w:trPr>
          <w:trHeight w:val="1519"/>
          <w:jc w:val="center"/>
        </w:trPr>
        <w:tc>
          <w:tcPr>
            <w:tcW w:w="912" w:type="pct"/>
            <w:tcBorders>
              <w:top w:val="single" w:sz="12" w:space="0" w:color="000000"/>
              <w:left w:val="nil"/>
              <w:bottom w:val="single" w:sz="4" w:space="0" w:color="000000"/>
              <w:right w:val="nil"/>
              <w:tl2br w:val="nil"/>
            </w:tcBorders>
            <w:shd w:val="clear" w:color="auto" w:fill="FFFFFF"/>
            <w:vAlign w:val="center"/>
          </w:tcPr>
          <w:p w14:paraId="39286F01"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宋体" w:hAnsi="Times New Roman" w:cs="Times New Roman"/>
                <w:color w:val="000000"/>
                <w:kern w:val="0"/>
                <w:szCs w:val="21"/>
                <w:lang w:bidi="ar"/>
              </w:rPr>
              <w:t>Material</w:t>
            </w:r>
            <w:r>
              <w:rPr>
                <w:rFonts w:ascii="Times New Roman" w:eastAsia="宋体" w:hAnsi="Times New Roman" w:cs="Times New Roman" w:hint="eastAsia"/>
                <w:color w:val="000000"/>
                <w:kern w:val="0"/>
                <w:szCs w:val="21"/>
                <w:lang w:bidi="ar"/>
              </w:rPr>
              <w:t>s</w:t>
            </w:r>
          </w:p>
        </w:tc>
        <w:tc>
          <w:tcPr>
            <w:tcW w:w="746" w:type="pct"/>
            <w:tcBorders>
              <w:top w:val="single" w:sz="12" w:space="0" w:color="000000"/>
              <w:left w:val="nil"/>
              <w:bottom w:val="single" w:sz="4" w:space="0" w:color="000000"/>
              <w:right w:val="nil"/>
            </w:tcBorders>
            <w:shd w:val="clear" w:color="auto" w:fill="FFFFFF"/>
            <w:vAlign w:val="center"/>
          </w:tcPr>
          <w:p w14:paraId="5F375EF7" w14:textId="77777777" w:rsidR="00536E8D" w:rsidRDefault="00B21C59">
            <w:pPr>
              <w:widowControl/>
              <w:jc w:val="center"/>
              <w:textAlignment w:val="center"/>
              <w:rPr>
                <w:rFonts w:ascii="Times New Roman" w:eastAsia="等线" w:hAnsi="Times New Roman" w:cs="Times New Roman"/>
                <w:color w:val="000000"/>
                <w:kern w:val="0"/>
                <w:szCs w:val="21"/>
                <w:lang w:bidi="ar"/>
              </w:rPr>
            </w:pPr>
            <w:r>
              <w:rPr>
                <w:rFonts w:ascii="Times New Roman" w:eastAsia="等线" w:hAnsi="Times New Roman" w:cs="Times New Roman"/>
                <w:color w:val="000000"/>
                <w:kern w:val="0"/>
                <w:szCs w:val="21"/>
                <w:lang w:bidi="ar"/>
              </w:rPr>
              <w:t>Current density</w:t>
            </w:r>
          </w:p>
          <w:p w14:paraId="6A430F42"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(mA cm</w:t>
            </w:r>
            <w:r>
              <w:rPr>
                <w:rFonts w:ascii="Times New Roman" w:eastAsia="等线" w:hAnsi="Times New Roman" w:cs="Times New Roman"/>
                <w:color w:val="000000"/>
                <w:kern w:val="0"/>
                <w:szCs w:val="21"/>
                <w:vertAlign w:val="superscript"/>
                <w:lang w:bidi="ar"/>
              </w:rPr>
              <w:t>-2</w:t>
            </w:r>
            <w:r>
              <w:rPr>
                <w:rFonts w:ascii="Times New Roman" w:eastAsia="等线" w:hAnsi="Times New Roman" w:cs="Times New Roman"/>
                <w:color w:val="000000"/>
                <w:kern w:val="0"/>
                <w:szCs w:val="21"/>
                <w:lang w:bidi="ar"/>
              </w:rPr>
              <w:t>)</w:t>
            </w:r>
          </w:p>
        </w:tc>
        <w:tc>
          <w:tcPr>
            <w:tcW w:w="864" w:type="pct"/>
            <w:tcBorders>
              <w:top w:val="single" w:sz="12" w:space="0" w:color="000000"/>
              <w:left w:val="nil"/>
              <w:bottom w:val="single" w:sz="4" w:space="0" w:color="000000"/>
              <w:right w:val="nil"/>
            </w:tcBorders>
            <w:shd w:val="clear" w:color="auto" w:fill="FFFFFF"/>
            <w:vAlign w:val="center"/>
          </w:tcPr>
          <w:p w14:paraId="29AD358A" w14:textId="77777777" w:rsidR="00536E8D" w:rsidRDefault="00B21C59">
            <w:pPr>
              <w:widowControl/>
              <w:jc w:val="center"/>
              <w:textAlignment w:val="center"/>
              <w:rPr>
                <w:rFonts w:ascii="Times New Roman" w:eastAsia="宋体" w:hAnsi="Times New Roman" w:cs="Times New Roman"/>
                <w:color w:val="000000"/>
                <w:szCs w:val="21"/>
              </w:rPr>
            </w:pPr>
            <w:r>
              <w:rPr>
                <w:rStyle w:val="font11"/>
                <w:rFonts w:eastAsia="宋体" w:hint="eastAsia"/>
                <w:sz w:val="21"/>
                <w:szCs w:val="21"/>
                <w:lang w:bidi="ar"/>
              </w:rPr>
              <w:t>Areal c</w:t>
            </w:r>
            <w:r>
              <w:rPr>
                <w:rStyle w:val="font11"/>
                <w:rFonts w:eastAsia="宋体"/>
                <w:sz w:val="21"/>
                <w:szCs w:val="21"/>
                <w:lang w:bidi="ar"/>
              </w:rPr>
              <w:t>apacity (</w:t>
            </w:r>
            <w:proofErr w:type="spellStart"/>
            <w:r>
              <w:rPr>
                <w:rStyle w:val="font11"/>
                <w:rFonts w:eastAsia="宋体"/>
                <w:sz w:val="21"/>
                <w:szCs w:val="21"/>
                <w:lang w:bidi="ar"/>
              </w:rPr>
              <w:t>mAh</w:t>
            </w:r>
            <w:proofErr w:type="spellEnd"/>
            <w:r>
              <w:rPr>
                <w:rStyle w:val="font11"/>
                <w:rFonts w:eastAsia="宋体"/>
                <w:sz w:val="21"/>
                <w:szCs w:val="21"/>
                <w:lang w:bidi="ar"/>
              </w:rPr>
              <w:t xml:space="preserve"> cm</w:t>
            </w:r>
            <w:r>
              <w:rPr>
                <w:rStyle w:val="font21"/>
                <w:rFonts w:eastAsia="宋体"/>
                <w:sz w:val="21"/>
                <w:szCs w:val="21"/>
                <w:lang w:bidi="ar"/>
              </w:rPr>
              <w:t>-2</w:t>
            </w:r>
            <w:r>
              <w:rPr>
                <w:rStyle w:val="font11"/>
                <w:rFonts w:eastAsia="宋体"/>
                <w:sz w:val="21"/>
                <w:szCs w:val="21"/>
                <w:lang w:bidi="ar"/>
              </w:rPr>
              <w:t>)</w:t>
            </w:r>
          </w:p>
        </w:tc>
        <w:tc>
          <w:tcPr>
            <w:tcW w:w="559" w:type="pct"/>
            <w:tcBorders>
              <w:top w:val="single" w:sz="12" w:space="0" w:color="000000"/>
              <w:left w:val="nil"/>
              <w:bottom w:val="single" w:sz="4" w:space="0" w:color="000000"/>
              <w:right w:val="nil"/>
            </w:tcBorders>
            <w:shd w:val="clear" w:color="auto" w:fill="FFFFFF"/>
            <w:vAlign w:val="center"/>
          </w:tcPr>
          <w:p w14:paraId="74EBAB72" w14:textId="77777777" w:rsidR="00536E8D" w:rsidRDefault="00B21C59">
            <w:pPr>
              <w:widowControl/>
              <w:jc w:val="center"/>
              <w:textAlignment w:val="center"/>
              <w:rPr>
                <w:rFonts w:ascii="Times New Roman" w:eastAsia="等线" w:hAnsi="Times New Roman" w:cs="Times New Roman"/>
                <w:color w:val="000000"/>
                <w:kern w:val="0"/>
                <w:szCs w:val="21"/>
                <w:lang w:bidi="ar"/>
              </w:rPr>
            </w:pPr>
            <w:r>
              <w:rPr>
                <w:rFonts w:ascii="Times New Roman" w:eastAsia="等线" w:hAnsi="Times New Roman" w:cs="Times New Roman"/>
                <w:color w:val="000000"/>
                <w:kern w:val="0"/>
                <w:szCs w:val="21"/>
                <w:lang w:bidi="ar"/>
              </w:rPr>
              <w:t>Lifespan</w:t>
            </w:r>
          </w:p>
          <w:p w14:paraId="101D3D16"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w:t>
            </w:r>
            <w:r>
              <w:rPr>
                <w:rFonts w:ascii="Times New Roman" w:eastAsia="等线" w:hAnsi="Times New Roman" w:cs="Times New Roman" w:hint="eastAsia"/>
                <w:color w:val="000000"/>
                <w:kern w:val="0"/>
                <w:szCs w:val="21"/>
                <w:lang w:bidi="ar"/>
              </w:rPr>
              <w:t>h</w:t>
            </w:r>
            <w:r>
              <w:rPr>
                <w:rFonts w:ascii="Times New Roman" w:eastAsia="等线" w:hAnsi="Times New Roman" w:cs="Times New Roman"/>
                <w:color w:val="000000"/>
                <w:kern w:val="0"/>
                <w:szCs w:val="21"/>
                <w:lang w:bidi="ar"/>
              </w:rPr>
              <w:t>)</w:t>
            </w:r>
          </w:p>
        </w:tc>
        <w:tc>
          <w:tcPr>
            <w:tcW w:w="1520" w:type="pct"/>
            <w:tcBorders>
              <w:top w:val="single" w:sz="12" w:space="0" w:color="000000"/>
              <w:left w:val="nil"/>
              <w:bottom w:val="single" w:sz="4" w:space="0" w:color="000000"/>
              <w:right w:val="nil"/>
            </w:tcBorders>
            <w:shd w:val="clear" w:color="auto" w:fill="FFFFFF"/>
            <w:vAlign w:val="center"/>
          </w:tcPr>
          <w:p w14:paraId="4CBD3475"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Journal, Year</w:t>
            </w:r>
          </w:p>
        </w:tc>
        <w:tc>
          <w:tcPr>
            <w:tcW w:w="399" w:type="pct"/>
            <w:tcBorders>
              <w:top w:val="single" w:sz="12" w:space="0" w:color="000000"/>
              <w:left w:val="nil"/>
              <w:bottom w:val="single" w:sz="4" w:space="0" w:color="000000"/>
              <w:right w:val="nil"/>
            </w:tcBorders>
            <w:shd w:val="clear" w:color="auto" w:fill="FFFFFF"/>
            <w:vAlign w:val="center"/>
          </w:tcPr>
          <w:p w14:paraId="11924094" w14:textId="77777777" w:rsidR="00536E8D" w:rsidRDefault="00B21C59">
            <w:pPr>
              <w:widowControl/>
              <w:jc w:val="center"/>
              <w:textAlignment w:val="center"/>
              <w:rPr>
                <w:rFonts w:ascii="Times New Roman" w:eastAsia="等线" w:hAnsi="Times New Roman" w:cs="Times New Roman"/>
                <w:color w:val="000000"/>
                <w:szCs w:val="21"/>
              </w:rPr>
            </w:pPr>
            <w:r>
              <w:rPr>
                <w:rFonts w:ascii="Times New Roman" w:eastAsia="等线" w:hAnsi="Times New Roman" w:cs="Times New Roman"/>
                <w:color w:val="000000"/>
                <w:kern w:val="0"/>
                <w:szCs w:val="21"/>
                <w:lang w:bidi="ar"/>
              </w:rPr>
              <w:t>Ref</w:t>
            </w:r>
            <w:r>
              <w:rPr>
                <w:rFonts w:ascii="Times New Roman" w:eastAsia="等线" w:hAnsi="Times New Roman" w:cs="Times New Roman" w:hint="eastAsia"/>
                <w:color w:val="000000"/>
                <w:kern w:val="0"/>
                <w:szCs w:val="21"/>
                <w:lang w:bidi="ar"/>
              </w:rPr>
              <w:t>.</w:t>
            </w:r>
          </w:p>
        </w:tc>
      </w:tr>
      <w:tr w:rsidR="00536E8D" w14:paraId="2F0A2356" w14:textId="77777777" w:rsidTr="00D02DF7">
        <w:trPr>
          <w:trHeight w:val="738"/>
          <w:jc w:val="center"/>
        </w:trPr>
        <w:tc>
          <w:tcPr>
            <w:tcW w:w="912" w:type="pct"/>
            <w:tcBorders>
              <w:top w:val="single" w:sz="4" w:space="0" w:color="000000"/>
              <w:left w:val="nil"/>
              <w:bottom w:val="nil"/>
              <w:right w:val="nil"/>
            </w:tcBorders>
            <w:shd w:val="clear" w:color="auto" w:fill="FFFFFF"/>
            <w:vAlign w:val="center"/>
          </w:tcPr>
          <w:p w14:paraId="2816E663" w14:textId="77777777" w:rsidR="00536E8D" w:rsidRDefault="00086AE9">
            <w:pPr>
              <w:widowControl/>
              <w:jc w:val="center"/>
              <w:textAlignment w:val="center"/>
              <w:rPr>
                <w:rFonts w:ascii="Times New Roman" w:eastAsia="宋体" w:hAnsi="Times New Roman" w:cs="Times New Roman"/>
                <w:color w:val="000000"/>
                <w:szCs w:val="21"/>
              </w:rPr>
            </w:pPr>
            <w:hyperlink r:id="rId10" w:tooltip="mailto:HB-ZnHCF@Zn" w:history="1">
              <w:r w:rsidR="00B21C59">
                <w:rPr>
                  <w:rStyle w:val="aa"/>
                  <w:rFonts w:ascii="Times New Roman" w:eastAsia="宋体" w:hAnsi="Times New Roman" w:cs="Times New Roman"/>
                  <w:color w:val="000000"/>
                  <w:szCs w:val="21"/>
                  <w:u w:val="none"/>
                </w:rPr>
                <w:t>HB-ZnHCF@Zn</w:t>
              </w:r>
            </w:hyperlink>
          </w:p>
        </w:tc>
        <w:tc>
          <w:tcPr>
            <w:tcW w:w="746" w:type="pct"/>
            <w:tcBorders>
              <w:top w:val="single" w:sz="4" w:space="0" w:color="000000"/>
              <w:left w:val="nil"/>
              <w:bottom w:val="nil"/>
              <w:right w:val="nil"/>
            </w:tcBorders>
            <w:shd w:val="clear" w:color="auto" w:fill="FFFFFF"/>
            <w:vAlign w:val="center"/>
          </w:tcPr>
          <w:p w14:paraId="11913BB6"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64" w:type="pct"/>
            <w:tcBorders>
              <w:top w:val="single" w:sz="4" w:space="0" w:color="000000"/>
              <w:left w:val="nil"/>
              <w:bottom w:val="nil"/>
              <w:right w:val="nil"/>
            </w:tcBorders>
            <w:shd w:val="clear" w:color="auto" w:fill="FFFFFF"/>
            <w:vAlign w:val="center"/>
          </w:tcPr>
          <w:p w14:paraId="0BAC5D2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559" w:type="pct"/>
            <w:tcBorders>
              <w:top w:val="single" w:sz="4" w:space="0" w:color="000000"/>
              <w:left w:val="nil"/>
              <w:bottom w:val="nil"/>
              <w:right w:val="nil"/>
            </w:tcBorders>
            <w:shd w:val="clear" w:color="auto" w:fill="FFFFFF"/>
            <w:vAlign w:val="center"/>
          </w:tcPr>
          <w:p w14:paraId="6E7D94AD"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5800</w:t>
            </w:r>
          </w:p>
        </w:tc>
        <w:tc>
          <w:tcPr>
            <w:tcW w:w="1520" w:type="pct"/>
            <w:tcBorders>
              <w:top w:val="single" w:sz="4" w:space="0" w:color="000000"/>
              <w:left w:val="nil"/>
              <w:bottom w:val="nil"/>
              <w:right w:val="nil"/>
            </w:tcBorders>
            <w:shd w:val="clear" w:color="auto" w:fill="FFFFFF"/>
            <w:vAlign w:val="center"/>
          </w:tcPr>
          <w:p w14:paraId="62BD9AF2" w14:textId="21AD934A"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Angew</w:t>
            </w:r>
            <w:proofErr w:type="spellEnd"/>
            <w:r>
              <w:rPr>
                <w:rFonts w:ascii="Times New Roman" w:hAnsi="Times New Roman" w:cs="Times New Roman"/>
                <w:color w:val="000000"/>
                <w:szCs w:val="21"/>
              </w:rPr>
              <w:t>.</w:t>
            </w:r>
            <w:r w:rsidR="0077130F">
              <w:rPr>
                <w:rFonts w:ascii="Times New Roman" w:hAnsi="Times New Roman" w:cs="Times New Roman" w:hint="eastAsia"/>
                <w:color w:val="000000"/>
                <w:szCs w:val="21"/>
              </w:rPr>
              <w:t xml:space="preserve"> </w:t>
            </w:r>
            <w:r>
              <w:rPr>
                <w:rFonts w:ascii="Times New Roman" w:hAnsi="Times New Roman" w:cs="Times New Roman"/>
                <w:color w:val="000000"/>
                <w:szCs w:val="21"/>
              </w:rPr>
              <w:t>Chem. Int. Ed., 2023</w:t>
            </w:r>
          </w:p>
        </w:tc>
        <w:tc>
          <w:tcPr>
            <w:tcW w:w="399" w:type="pct"/>
            <w:tcBorders>
              <w:top w:val="single" w:sz="4" w:space="0" w:color="000000"/>
              <w:left w:val="nil"/>
              <w:bottom w:val="nil"/>
              <w:right w:val="nil"/>
            </w:tcBorders>
            <w:shd w:val="clear" w:color="auto" w:fill="FFFFFF"/>
            <w:vAlign w:val="center"/>
          </w:tcPr>
          <w:p w14:paraId="1EEE178C"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&lt;EndNote&gt;&lt;Cite&gt;&lt;Author&gt;Liu&lt;/Author&gt;&lt;Year&gt;2023&lt;/Year&gt;&lt;RecNum&gt;8&lt;/RecNum&gt;&lt;DisplayText&gt;&lt;style face="superscript"&gt;[24]&lt;/style&gt;&lt;/DisplayText&gt;&lt;record&gt;&lt;rec-number&gt;8&lt;/rec-number&gt;&lt;foreign-keys&gt;&lt;key app="EN" db-id="9rsfdxzandzf9le2rs7pswdy5t2xa9x2eadd" timestamp="1750760485"&gt;8&lt;/key&gt;&lt;/foreign-keys&gt;&lt;ref-type name="Journal Article"&gt;17&lt;/ref-type&gt;&lt;contributors&gt;&lt;authors&gt;&lt;author&gt;Liu, Mengyu&lt;/author&gt;&lt;author&gt;Yuan, Wentao&lt;/author&gt;&lt;author&gt;Ma, Guoqiang&lt;/author&gt;&lt;author&gt;Qiu, Kaiyue&lt;/author&gt;&lt;author&gt;Nie, Xueyu&lt;/author&gt;&lt;author&gt;Liu, Yongchang&lt;/author&gt;&lt;author&gt;Shen, Shigang&lt;/author&gt;&lt;author&gt;Zhang, Ning&lt;/author&gt;&lt;/authors&gt;&lt;/contributors&gt;&lt;titles&gt;&lt;title&gt;In-Situ Integration of a Hydrophobic and Fast-Zn2+-Conductive Inorganic Interphase to Stabilize Zn Metal Anodes&lt;/title&gt;&lt;secondary-title&gt;Angewandte Chemie International Edition&lt;/secondary-title&gt;&lt;/titles&gt;&lt;periodical&gt;&lt;full-title&gt;Angewandte Chemie International Edition&lt;/full-title&gt;&lt;/periodical&gt;&lt;pages&gt;e202304444&lt;/pages&gt;&lt;volume&gt;62&lt;/volume&gt;&lt;number&gt;27&lt;/number&gt;&lt;dates&gt;&lt;year&gt;2023&lt;/year&gt;&lt;/dates&gt;&lt;isbn&gt;1433-7851&lt;/isbn&gt;&lt;urls&gt;&lt;related-urls&gt;&lt;url&gt;https://onlinelibrary.wiley.com/doi/abs/10.1002/anie.202304444&lt;/url&gt;&lt;/related-urls&gt;&lt;/urls&gt;&lt;electronic-resource-num&gt;https://doi.org/10.1002/anie.202304444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[24]</w:t>
            </w:r>
            <w:r>
              <w:rPr>
                <w:rFonts w:ascii="Times New Roman" w:hAnsi="Times New Roman" w:cs="Times New Roman"/>
                <w:color w:val="0000FF"/>
                <w:szCs w:val="21"/>
              </w:rPr>
              <w:fldChar w:fldCharType="end"/>
            </w:r>
          </w:p>
        </w:tc>
      </w:tr>
      <w:tr w:rsidR="00536E8D" w14:paraId="7DE6BFA5" w14:textId="77777777" w:rsidTr="00D02DF7">
        <w:trPr>
          <w:trHeight w:val="696"/>
          <w:jc w:val="center"/>
        </w:trPr>
        <w:tc>
          <w:tcPr>
            <w:tcW w:w="912" w:type="pct"/>
            <w:tcBorders>
              <w:top w:val="nil"/>
              <w:left w:val="nil"/>
              <w:bottom w:val="nil"/>
              <w:right w:val="nil"/>
            </w:tcBorders>
            <w:shd w:val="clear" w:color="auto" w:fill="FFFFFF"/>
            <w:vAlign w:val="center"/>
          </w:tcPr>
          <w:p w14:paraId="32FA6D0A" w14:textId="77777777" w:rsidR="00536E8D" w:rsidRDefault="00086AE9">
            <w:pPr>
              <w:widowControl/>
              <w:jc w:val="center"/>
              <w:textAlignment w:val="center"/>
              <w:rPr>
                <w:rFonts w:ascii="Times New Roman" w:eastAsia="宋体" w:hAnsi="Times New Roman" w:cs="Times New Roman"/>
                <w:color w:val="000000"/>
                <w:szCs w:val="21"/>
              </w:rPr>
            </w:pPr>
            <w:hyperlink r:id="rId11" w:tooltip="mailto:ZF@F-TiO2" w:history="1">
              <w:r w:rsidR="00B21C59">
                <w:rPr>
                  <w:rStyle w:val="aa"/>
                  <w:rFonts w:ascii="Times New Roman" w:eastAsia="宋体" w:hAnsi="Times New Roman" w:cs="Times New Roman"/>
                  <w:color w:val="000000"/>
                  <w:szCs w:val="21"/>
                  <w:u w:val="none"/>
                </w:rPr>
                <w:t>ZF@F-TiO</w:t>
              </w:r>
              <w:r w:rsidR="00B21C59">
                <w:rPr>
                  <w:rStyle w:val="aa"/>
                  <w:rFonts w:ascii="Times New Roman" w:eastAsia="宋体" w:hAnsi="Times New Roman" w:cs="Times New Roman"/>
                  <w:color w:val="000000"/>
                  <w:szCs w:val="21"/>
                  <w:u w:val="none"/>
                  <w:vertAlign w:val="subscript"/>
                </w:rPr>
                <w:t>2</w:t>
              </w:r>
            </w:hyperlink>
          </w:p>
        </w:tc>
        <w:tc>
          <w:tcPr>
            <w:tcW w:w="746" w:type="pct"/>
            <w:tcBorders>
              <w:top w:val="nil"/>
              <w:left w:val="nil"/>
              <w:bottom w:val="nil"/>
              <w:right w:val="nil"/>
            </w:tcBorders>
            <w:shd w:val="clear" w:color="auto" w:fill="FFFFFF"/>
            <w:vAlign w:val="center"/>
          </w:tcPr>
          <w:p w14:paraId="4C35E775"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64" w:type="pct"/>
            <w:tcBorders>
              <w:top w:val="nil"/>
              <w:left w:val="nil"/>
              <w:bottom w:val="nil"/>
              <w:right w:val="nil"/>
            </w:tcBorders>
            <w:shd w:val="clear" w:color="auto" w:fill="FFFFFF"/>
            <w:vAlign w:val="center"/>
          </w:tcPr>
          <w:p w14:paraId="4AFD50A4"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559" w:type="pct"/>
            <w:tcBorders>
              <w:top w:val="nil"/>
              <w:left w:val="nil"/>
              <w:bottom w:val="nil"/>
              <w:right w:val="nil"/>
            </w:tcBorders>
            <w:shd w:val="clear" w:color="auto" w:fill="FFFFFF"/>
            <w:vAlign w:val="center"/>
          </w:tcPr>
          <w:p w14:paraId="730B74F3"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225</w:t>
            </w:r>
          </w:p>
        </w:tc>
        <w:tc>
          <w:tcPr>
            <w:tcW w:w="1520" w:type="pct"/>
            <w:tcBorders>
              <w:top w:val="nil"/>
              <w:left w:val="nil"/>
              <w:bottom w:val="nil"/>
              <w:right w:val="nil"/>
            </w:tcBorders>
            <w:shd w:val="clear" w:color="auto" w:fill="FFFFFF"/>
            <w:vAlign w:val="center"/>
          </w:tcPr>
          <w:p w14:paraId="19927229" w14:textId="3D5C86D6"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Nat.</w:t>
            </w:r>
            <w:r w:rsidR="0077130F">
              <w:rPr>
                <w:rFonts w:ascii="Times New Roman" w:hAnsi="Times New Roman" w:cs="Times New Roman" w:hint="eastAsia"/>
                <w:color w:val="000000"/>
                <w:szCs w:val="21"/>
              </w:rPr>
              <w:t xml:space="preserve"> </w:t>
            </w:r>
            <w:proofErr w:type="spellStart"/>
            <w:r>
              <w:rPr>
                <w:rFonts w:ascii="Times New Roman" w:hAnsi="Times New Roman" w:cs="Times New Roman" w:hint="eastAsia"/>
                <w:color w:val="000000"/>
                <w:szCs w:val="21"/>
              </w:rPr>
              <w:t>Commun</w:t>
            </w:r>
            <w:proofErr w:type="spellEnd"/>
            <w:r>
              <w:rPr>
                <w:rFonts w:ascii="Times New Roman" w:hAnsi="Times New Roman" w:cs="Times New Roman" w:hint="eastAsia"/>
                <w:color w:val="000000"/>
                <w:szCs w:val="21"/>
              </w:rPr>
              <w:t>.</w:t>
            </w:r>
            <w:r>
              <w:rPr>
                <w:rFonts w:ascii="Times New Roman" w:hAnsi="Times New Roman" w:cs="Times New Roman"/>
                <w:color w:val="000000"/>
                <w:szCs w:val="21"/>
              </w:rPr>
              <w:t>, 2020</w:t>
            </w:r>
          </w:p>
        </w:tc>
        <w:tc>
          <w:tcPr>
            <w:tcW w:w="399" w:type="pct"/>
            <w:tcBorders>
              <w:top w:val="nil"/>
              <w:left w:val="nil"/>
              <w:bottom w:val="nil"/>
              <w:right w:val="nil"/>
            </w:tcBorders>
            <w:shd w:val="clear" w:color="auto" w:fill="FFFFFF"/>
            <w:vAlign w:val="center"/>
          </w:tcPr>
          <w:p w14:paraId="22324751"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&lt;EndNote&gt;&lt;Cite&gt;&lt;Author&gt;Zhang&lt;/Author&gt;&lt;Year&gt;2020&lt;/Year&gt;&lt;RecNum&gt;9&lt;/RecNum&gt;&lt;DisplayText&gt;&lt;style face="superscript"&gt;[2]&lt;/style&gt;&lt;/DisplayText&gt;&lt;record&gt;&lt;rec-number&gt;9&lt;/rec-number&gt;&lt;foreign-keys&gt;&lt;key app="EN" db-id="9rsfdxzandzf9le2rs7pswdy5t2xa9x2eadd" timestamp="1750760532"&gt;9&lt;/key&gt;&lt;/foreign-keys&gt;&lt;ref-type name="Journal Article"&gt;17&lt;/ref-type&gt;&lt;contributors&gt;&lt;authors&gt;&lt;author&gt;Zhang, Qi&lt;/author&gt;&lt;author&gt;Luan, Jingyi&lt;/author&gt;&lt;author&gt;Huang, Xiaobing&lt;/author&gt;&lt;author&gt;Wang, Qi&lt;/author&gt;&lt;author&gt;Sun, Dan&lt;/author&gt;&lt;author&gt;Tang, Yougen&lt;/author&gt;&lt;author&gt;Ji, Xiaobo&lt;/author&gt;&lt;author&gt;Wang, Haiyan&lt;/author&gt;&lt;/authors&gt;&lt;/contributors&gt;&lt;titles&gt;&lt;title&gt;Revealing the role of crystal orientation of protective layers for stable zinc anode&lt;/title&gt;&lt;secondary-title&gt;Nature Communications&lt;/secondary-title&gt;&lt;/titles&gt;&lt;periodical&gt;&lt;full-title&gt;Nature Communications&lt;/full-title&gt;&lt;/periodical&gt;&lt;pages&gt;3961&lt;/pages&gt;&lt;volume&gt;11&lt;/volume&gt;&lt;number&gt;1&lt;/number&gt;&lt;dates&gt;&lt;year&gt;2020&lt;/year&gt;&lt;pub-dates&gt;&lt;date&gt;2020/08/07&lt;/date&gt;&lt;/pub-dates&gt;&lt;/dates&gt;&lt;isbn&gt;2041-1723&lt;/isbn&gt;&lt;urls&gt;&lt;related-urls&gt;&lt;url&gt;https://doi.org/10.1038/s41467-020-17752-x&lt;/url&gt;&lt;/related-urls&gt;&lt;/urls&gt;&lt;electronic-resource-num&gt;10.1038/s41467-020-17752-x&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w:t>
            </w:r>
            <w:r>
              <w:rPr>
                <w:rFonts w:ascii="Times New Roman" w:hAnsi="Times New Roman" w:cs="Times New Roman"/>
                <w:color w:val="0000FF"/>
                <w:szCs w:val="21"/>
              </w:rPr>
              <w:fldChar w:fldCharType="end"/>
            </w:r>
          </w:p>
        </w:tc>
      </w:tr>
      <w:tr w:rsidR="00536E8D" w14:paraId="7C072BBB" w14:textId="77777777" w:rsidTr="00D02DF7">
        <w:trPr>
          <w:trHeight w:val="696"/>
          <w:jc w:val="center"/>
        </w:trPr>
        <w:tc>
          <w:tcPr>
            <w:tcW w:w="912" w:type="pct"/>
            <w:tcBorders>
              <w:top w:val="nil"/>
              <w:left w:val="nil"/>
              <w:bottom w:val="nil"/>
              <w:right w:val="nil"/>
            </w:tcBorders>
            <w:shd w:val="clear" w:color="auto" w:fill="FFFFFF"/>
            <w:vAlign w:val="center"/>
          </w:tcPr>
          <w:p w14:paraId="18531940" w14:textId="77777777" w:rsidR="00536E8D" w:rsidRDefault="00086AE9">
            <w:pPr>
              <w:widowControl/>
              <w:jc w:val="center"/>
              <w:textAlignment w:val="center"/>
              <w:rPr>
                <w:rFonts w:ascii="Times New Roman" w:eastAsia="宋体" w:hAnsi="Times New Roman" w:cs="Times New Roman"/>
                <w:color w:val="000000"/>
                <w:szCs w:val="21"/>
              </w:rPr>
            </w:pPr>
            <w:hyperlink r:id="rId12" w:history="1">
              <w:r w:rsidR="00B21C59">
                <w:rPr>
                  <w:rStyle w:val="aa"/>
                  <w:rFonts w:ascii="Times New Roman" w:eastAsia="宋体" w:hAnsi="Times New Roman" w:cs="Times New Roman"/>
                  <w:color w:val="000000"/>
                  <w:szCs w:val="21"/>
                  <w:u w:val="none"/>
                </w:rPr>
                <w:t>ZnS@Zn</w:t>
              </w:r>
            </w:hyperlink>
          </w:p>
        </w:tc>
        <w:tc>
          <w:tcPr>
            <w:tcW w:w="746" w:type="pct"/>
            <w:tcBorders>
              <w:top w:val="nil"/>
              <w:left w:val="nil"/>
              <w:bottom w:val="nil"/>
              <w:right w:val="nil"/>
            </w:tcBorders>
            <w:shd w:val="clear" w:color="auto" w:fill="FFFFFF"/>
            <w:vAlign w:val="center"/>
          </w:tcPr>
          <w:p w14:paraId="46FC6CEA"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864" w:type="pct"/>
            <w:tcBorders>
              <w:top w:val="nil"/>
              <w:left w:val="nil"/>
              <w:bottom w:val="nil"/>
              <w:right w:val="nil"/>
            </w:tcBorders>
            <w:shd w:val="clear" w:color="auto" w:fill="FFFFFF"/>
            <w:vAlign w:val="center"/>
          </w:tcPr>
          <w:p w14:paraId="5CEB1D7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559" w:type="pct"/>
            <w:tcBorders>
              <w:top w:val="nil"/>
              <w:left w:val="nil"/>
              <w:bottom w:val="nil"/>
              <w:right w:val="nil"/>
            </w:tcBorders>
            <w:shd w:val="clear" w:color="auto" w:fill="FFFFFF"/>
            <w:vAlign w:val="center"/>
          </w:tcPr>
          <w:p w14:paraId="42D6D4A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550</w:t>
            </w:r>
          </w:p>
        </w:tc>
        <w:tc>
          <w:tcPr>
            <w:tcW w:w="1520" w:type="pct"/>
            <w:tcBorders>
              <w:top w:val="nil"/>
              <w:left w:val="nil"/>
              <w:bottom w:val="nil"/>
              <w:right w:val="nil"/>
            </w:tcBorders>
            <w:shd w:val="clear" w:color="auto" w:fill="FFFFFF"/>
            <w:vAlign w:val="center"/>
          </w:tcPr>
          <w:p w14:paraId="46A98DEB"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Adv. Mater.</w:t>
            </w:r>
            <w:r>
              <w:rPr>
                <w:rFonts w:ascii="Times New Roman" w:hAnsi="Times New Roman" w:cs="Times New Roman"/>
                <w:color w:val="000000"/>
                <w:szCs w:val="21"/>
              </w:rPr>
              <w:t>, 2020</w:t>
            </w:r>
          </w:p>
        </w:tc>
        <w:tc>
          <w:tcPr>
            <w:tcW w:w="399" w:type="pct"/>
            <w:tcBorders>
              <w:top w:val="nil"/>
              <w:left w:val="nil"/>
              <w:bottom w:val="nil"/>
              <w:right w:val="nil"/>
            </w:tcBorders>
            <w:shd w:val="clear" w:color="auto" w:fill="FFFFFF"/>
            <w:vAlign w:val="center"/>
          </w:tcPr>
          <w:p w14:paraId="71B65C7D"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&lt;EndNote&gt;&lt;Cite&gt;&lt;Author&gt;Hao&lt;/Author&gt;&lt;Year&gt;2020&lt;/Year&gt;&lt;RecNum&gt;10&lt;/RecNum&gt;&lt;DisplayText&gt;&lt;style face="superscript"&gt;[25]&lt;/style&gt;&lt;/DisplayText&gt;&lt;record&gt;&lt;rec-number&gt;10&lt;/rec-number&gt;&lt;foreign-keys&gt;&lt;key app="EN" db-id="9rsfdxzandzf9le2rs7pswdy5t2xa9x2eadd" timestamp="1750760706"&gt;10&lt;/key&gt;&lt;/foreign-keys&gt;&lt;ref-type name="Journal Article"&gt;17&lt;/ref-type&gt;&lt;contributors&gt;&lt;authors&gt;&lt;author&gt;Hao, Junnan&lt;/author&gt;&lt;author&gt;Li, Bo&lt;/author&gt;&lt;author&gt;Li, Xiaolong&lt;/author&gt;&lt;author&gt;Zeng, Xiaohui&lt;/author&gt;&lt;author&gt;Zhang, Shilin&lt;/author&gt;&lt;author&gt;Yang, Fuhua&lt;/author&gt;&lt;author&gt;Liu, Sailin&lt;/author&gt;&lt;author&gt;Li, Dan&lt;/author&gt;&lt;author&gt;Wu, Chao&lt;/author&gt;&lt;author&gt;Guo, Zaiping&lt;/author&gt;&lt;/authors&gt;&lt;/contributors&gt;&lt;titles&gt;&lt;title&gt;An In-Depth Study of Zn Metal Surface Chemistry for Advanced Aqueous Zn-Ion Batteries&lt;/title&gt;&lt;secondary-title&gt;Advanced Materials&lt;/secondary-title&gt;&lt;/titles&gt;&lt;periodical&gt;&lt;full-title&gt;Advanced Materials&lt;/full-title&gt;&lt;/periodical&gt;&lt;pages&gt;2003021&lt;/pages&gt;&lt;volume&gt;32&lt;/volume&gt;&lt;number&gt;34&lt;/number&gt;&lt;dates&gt;&lt;year&gt;2020&lt;/year&gt;&lt;/dates&gt;&lt;isbn&gt;0935-9648&lt;/isbn&gt;&lt;urls&gt;&lt;related-urls&gt;&lt;url&gt;https://advanced.onlinelibrary.wiley.com/doi/abs/10.1002/adma.202003021&lt;/url&gt;&lt;/related-urls&gt;&lt;/urls&gt;&lt;electronic-resource-num&gt;https://doi.org/10.1002/adma.202003021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[25]</w:t>
            </w:r>
            <w:r>
              <w:rPr>
                <w:rFonts w:ascii="Times New Roman" w:hAnsi="Times New Roman" w:cs="Times New Roman"/>
                <w:color w:val="0000FF"/>
                <w:szCs w:val="21"/>
              </w:rPr>
              <w:fldChar w:fldCharType="end"/>
            </w:r>
          </w:p>
        </w:tc>
      </w:tr>
      <w:tr w:rsidR="00536E8D" w14:paraId="7C743428" w14:textId="77777777" w:rsidTr="00D02DF7">
        <w:trPr>
          <w:trHeight w:val="696"/>
          <w:jc w:val="center"/>
        </w:trPr>
        <w:tc>
          <w:tcPr>
            <w:tcW w:w="912" w:type="pct"/>
            <w:tcBorders>
              <w:top w:val="nil"/>
              <w:left w:val="nil"/>
              <w:bottom w:val="nil"/>
              <w:right w:val="nil"/>
            </w:tcBorders>
            <w:shd w:val="clear" w:color="auto" w:fill="FFFFFF"/>
            <w:vAlign w:val="center"/>
          </w:tcPr>
          <w:p w14:paraId="3A259CBF" w14:textId="77777777" w:rsidR="00536E8D" w:rsidRDefault="00086AE9">
            <w:pPr>
              <w:widowControl/>
              <w:jc w:val="center"/>
              <w:textAlignment w:val="center"/>
              <w:rPr>
                <w:rFonts w:ascii="Times New Roman" w:hAnsi="Times New Roman" w:cs="Times New Roman"/>
                <w:color w:val="000000"/>
                <w:szCs w:val="21"/>
              </w:rPr>
            </w:pPr>
            <w:hyperlink r:id="rId13" w:history="1">
              <w:r w:rsidR="00B21C59">
                <w:rPr>
                  <w:rStyle w:val="aa"/>
                  <w:rFonts w:ascii="Times New Roman" w:eastAsia="宋体" w:hAnsi="Times New Roman" w:cs="Times New Roman"/>
                  <w:color w:val="000000"/>
                  <w:szCs w:val="21"/>
                  <w:u w:val="none"/>
                </w:rPr>
                <w:t>BTO@Zn</w:t>
              </w:r>
            </w:hyperlink>
          </w:p>
        </w:tc>
        <w:tc>
          <w:tcPr>
            <w:tcW w:w="746" w:type="pct"/>
            <w:tcBorders>
              <w:top w:val="nil"/>
              <w:left w:val="nil"/>
              <w:bottom w:val="nil"/>
              <w:right w:val="nil"/>
            </w:tcBorders>
            <w:shd w:val="clear" w:color="auto" w:fill="FFFFFF"/>
            <w:vAlign w:val="center"/>
          </w:tcPr>
          <w:p w14:paraId="4FFB0FF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64" w:type="pct"/>
            <w:tcBorders>
              <w:top w:val="nil"/>
              <w:left w:val="nil"/>
              <w:bottom w:val="nil"/>
              <w:right w:val="nil"/>
            </w:tcBorders>
            <w:shd w:val="clear" w:color="auto" w:fill="FFFFFF"/>
            <w:vAlign w:val="center"/>
          </w:tcPr>
          <w:p w14:paraId="6D9F987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559" w:type="pct"/>
            <w:tcBorders>
              <w:top w:val="nil"/>
              <w:left w:val="nil"/>
              <w:bottom w:val="nil"/>
              <w:right w:val="nil"/>
            </w:tcBorders>
            <w:shd w:val="clear" w:color="auto" w:fill="FFFFFF"/>
            <w:vAlign w:val="center"/>
          </w:tcPr>
          <w:p w14:paraId="1EA9207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1000</w:t>
            </w:r>
          </w:p>
        </w:tc>
        <w:tc>
          <w:tcPr>
            <w:tcW w:w="1520" w:type="pct"/>
            <w:tcBorders>
              <w:top w:val="nil"/>
              <w:left w:val="nil"/>
              <w:bottom w:val="nil"/>
              <w:right w:val="nil"/>
            </w:tcBorders>
            <w:shd w:val="clear" w:color="auto" w:fill="FFFFFF"/>
            <w:vAlign w:val="center"/>
          </w:tcPr>
          <w:p w14:paraId="594F4C39"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Nano Micro Lett.</w:t>
            </w:r>
            <w:r>
              <w:rPr>
                <w:rFonts w:ascii="Times New Roman" w:hAnsi="Times New Roman" w:cs="Times New Roman"/>
                <w:color w:val="000000"/>
                <w:szCs w:val="21"/>
              </w:rPr>
              <w:t>, 2021</w:t>
            </w:r>
          </w:p>
        </w:tc>
        <w:tc>
          <w:tcPr>
            <w:tcW w:w="399" w:type="pct"/>
            <w:tcBorders>
              <w:top w:val="nil"/>
              <w:left w:val="nil"/>
              <w:bottom w:val="nil"/>
              <w:right w:val="nil"/>
            </w:tcBorders>
            <w:shd w:val="clear" w:color="auto" w:fill="FFFFFF"/>
            <w:vAlign w:val="center"/>
          </w:tcPr>
          <w:p w14:paraId="522BFC20"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&lt;EndNote&gt;&lt;Cite&gt;&lt;Author&gt;Wu&lt;/Author&gt;&lt;Year&gt;2021&lt;/Year&gt;&lt;RecNum&gt;1&lt;/RecNum&gt;&lt;DisplayText&gt;&lt;style face="superscript"&gt;[26]&lt;/style&gt;&lt;/DisplayText&gt;&lt;record&gt;&lt;rec-number&gt;1&lt;/rec-number&gt;&lt;foreign-keys&gt;&lt;key app="EN" db-id="rzr9af2pcv5e5fevvff5pwf0pa2aa90rt5w9" timestamp="1750760792"&gt;1&lt;/key&gt;&lt;/foreign-keys&gt;&lt;ref-type name="Journal Article"&gt;17&lt;/ref-type&gt;&lt;contributors&gt;&lt;authors&gt;&lt;author&gt;Wu, Kai&lt;/author&gt;&lt;author&gt;Yi, Jin&lt;/author&gt;&lt;author&gt;Liu, Xiaoyu&lt;/author&gt;&lt;author&gt;Sun, Yang&lt;/author&gt;&lt;author&gt;Cui, Jin&lt;/author&gt;&lt;author&gt;Xie, Yihua&lt;/author&gt;&lt;author&gt;Liu, Yuyu&lt;/author&gt;&lt;author&gt;Xia, Yongyao&lt;/author&gt;&lt;author&gt;Zhang, Jiujun&lt;/author&gt;&lt;/authors&gt;&lt;/contributors&gt;&lt;titles&gt;&lt;title&gt;Regulating Zn Deposition via an Artificial Solid</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Electrolyte Interface with Aligned Dipoles for Long Life Zn Anode&lt;/title&gt;&lt;secondary-title&gt;Nano-Micro Letters&lt;/secondary-title&gt;&lt;/titles&gt;&lt;periodical&gt;&lt;full-title&gt;Nano-Micro Letters&lt;/full-title&gt;&lt;/periodical&gt;&lt;pages&gt;79&lt;/pages&gt;&lt;volume&gt;13&lt;/volume&gt;&lt;number&gt;1&lt;/number&gt;&lt;dates&gt;&lt;year&gt;2021&lt;/year&gt;&lt;pub-dates&gt;&lt;date&gt;2021/02/23&lt;/date&gt;&lt;/pub-dates&gt;&lt;/dates&gt;&lt;isbn&gt;2150-5551&lt;/isbn&gt;&lt;urls&gt;&lt;related-urls&gt;&lt;url&gt;https://doi.org/10.1007/s40820-021-00599-2&lt;/url&gt;&lt;/related-urls&gt;&lt;/urls&gt;&lt;electronic-resource-num&gt;10.1007/s40820-021-00599-2&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[26]</w:t>
            </w:r>
            <w:r>
              <w:rPr>
                <w:rFonts w:ascii="Times New Roman" w:hAnsi="Times New Roman" w:cs="Times New Roman"/>
                <w:color w:val="0000FF"/>
                <w:szCs w:val="21"/>
              </w:rPr>
              <w:fldChar w:fldCharType="end"/>
            </w:r>
          </w:p>
        </w:tc>
      </w:tr>
      <w:tr w:rsidR="00536E8D" w14:paraId="543CCC49" w14:textId="77777777" w:rsidTr="00D02DF7">
        <w:trPr>
          <w:trHeight w:val="696"/>
          <w:jc w:val="center"/>
        </w:trPr>
        <w:tc>
          <w:tcPr>
            <w:tcW w:w="912" w:type="pct"/>
            <w:tcBorders>
              <w:top w:val="nil"/>
              <w:left w:val="nil"/>
              <w:bottom w:val="nil"/>
              <w:right w:val="nil"/>
            </w:tcBorders>
            <w:shd w:val="clear" w:color="auto" w:fill="FFFFFF"/>
            <w:vAlign w:val="center"/>
          </w:tcPr>
          <w:p w14:paraId="1101EF40"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DCZ-gel</w:t>
            </w:r>
          </w:p>
        </w:tc>
        <w:tc>
          <w:tcPr>
            <w:tcW w:w="746" w:type="pct"/>
            <w:tcBorders>
              <w:top w:val="nil"/>
              <w:left w:val="nil"/>
              <w:bottom w:val="nil"/>
              <w:right w:val="nil"/>
            </w:tcBorders>
            <w:shd w:val="clear" w:color="auto" w:fill="FFFFFF"/>
            <w:vAlign w:val="center"/>
          </w:tcPr>
          <w:p w14:paraId="12442286"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864" w:type="pct"/>
            <w:tcBorders>
              <w:top w:val="nil"/>
              <w:left w:val="nil"/>
              <w:bottom w:val="nil"/>
              <w:right w:val="nil"/>
            </w:tcBorders>
            <w:shd w:val="clear" w:color="auto" w:fill="FFFFFF"/>
            <w:vAlign w:val="center"/>
          </w:tcPr>
          <w:p w14:paraId="5AED31F7"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559" w:type="pct"/>
            <w:tcBorders>
              <w:top w:val="nil"/>
              <w:left w:val="nil"/>
              <w:bottom w:val="nil"/>
              <w:right w:val="nil"/>
            </w:tcBorders>
            <w:shd w:val="clear" w:color="auto" w:fill="FFFFFF"/>
            <w:vAlign w:val="center"/>
          </w:tcPr>
          <w:p w14:paraId="58A2AEEA"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2000</w:t>
            </w:r>
          </w:p>
        </w:tc>
        <w:tc>
          <w:tcPr>
            <w:tcW w:w="1520" w:type="pct"/>
            <w:tcBorders>
              <w:top w:val="nil"/>
              <w:left w:val="nil"/>
              <w:bottom w:val="nil"/>
              <w:right w:val="nil"/>
            </w:tcBorders>
            <w:shd w:val="clear" w:color="auto" w:fill="FFFFFF"/>
            <w:vAlign w:val="center"/>
          </w:tcPr>
          <w:p w14:paraId="741D2D35"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Nano Micro Lett.</w:t>
            </w:r>
            <w:r>
              <w:rPr>
                <w:rFonts w:ascii="Times New Roman" w:hAnsi="Times New Roman" w:cs="Times New Roman"/>
                <w:color w:val="000000"/>
                <w:szCs w:val="21"/>
              </w:rPr>
              <w:t>, 2024</w:t>
            </w:r>
          </w:p>
        </w:tc>
        <w:tc>
          <w:tcPr>
            <w:tcW w:w="399" w:type="pct"/>
            <w:tcBorders>
              <w:top w:val="nil"/>
              <w:left w:val="nil"/>
              <w:bottom w:val="nil"/>
              <w:right w:val="nil"/>
            </w:tcBorders>
            <w:shd w:val="clear" w:color="auto" w:fill="FFFFFF"/>
            <w:vAlign w:val="center"/>
          </w:tcPr>
          <w:p w14:paraId="1E5C412B"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&lt;EndNote&gt;&lt;Cite&gt;&lt;Author&gt;Zhang&lt;/Author&gt;&lt;Year&gt;2024&lt;/Year&gt;&lt;RecNum&gt;2&lt;/RecNum&gt;&lt;DisplayText&gt;&lt;style face="superscript"&gt;[1]&lt;/style&gt;&lt;/DisplayText&gt;&lt;record&gt;&lt;rec-number&gt;2&lt;/rec-number&gt;&lt;foreign-keys&gt;&lt;key app="EN" db-id="rzr9af2pcv5e5fevvff5pwf0pa2aa90rt5w9" timestamp="1750760857"&gt;2&lt;/key&gt;&lt;/foreign-keys&gt;&lt;ref-type name="Journal Article"&gt;17&lt;/ref-type&gt;&lt;contributors&gt;&lt;authors&gt;&lt;author&gt;Zhang, Haodong&lt;/author&gt;&lt;author&gt;Gan, Xiaotang&lt;/author&gt;&lt;author&gt;Yan, Yuyang&lt;/author&gt;&lt;author&gt;Zhou, Jinping&lt;/author&gt;&lt;/authors&gt;&lt;/contributors&gt;&lt;titles&gt;&lt;title&gt;A Sustainable Dual Cross-Linked Cellulose Hydrogel Electrolyte for High-Performance Zinc-Metal Batteries&lt;/title&gt;&lt;secondary-title&gt;Nano-Micro Letters&lt;/secondary-title&gt;&lt;/titles&gt;&lt;periodical&gt;&lt;full-title&gt;Nano-Micro Letters&lt;/full-title&gt;&lt;/periodical&gt;&lt;pages&gt;106&lt;/pages&gt;&lt;volume&gt;16&lt;/volume&gt;&lt;number&gt;1&lt;/number&gt;&lt;dates&gt;&lt;year&gt;2024&lt;/year&gt;&lt;pub-dates&gt;&lt;date&gt;2024/02/02&lt;/date&gt;&lt;/pub-dates&gt;&lt;/dates&gt;&lt;isbn&gt;2150-5551&lt;/isbn&gt;&lt;urls&gt;&lt;related-urls&gt;&lt;url&gt;https://doi.org/10.1007/s40820-024-01329-0&lt;/url&gt;&lt;/related-urls&gt;&lt;/urls&gt;&lt;electronic-resource-num&gt;10.1007/s40820-024-01329-0&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[1]</w:t>
            </w:r>
            <w:r>
              <w:rPr>
                <w:rFonts w:ascii="Times New Roman" w:hAnsi="Times New Roman" w:cs="Times New Roman"/>
                <w:color w:val="0000FF"/>
                <w:szCs w:val="21"/>
              </w:rPr>
              <w:fldChar w:fldCharType="end"/>
            </w:r>
          </w:p>
        </w:tc>
      </w:tr>
      <w:tr w:rsidR="00536E8D" w14:paraId="70A5ADFF" w14:textId="77777777" w:rsidTr="00D02DF7">
        <w:trPr>
          <w:trHeight w:val="696"/>
          <w:jc w:val="center"/>
        </w:trPr>
        <w:tc>
          <w:tcPr>
            <w:tcW w:w="912" w:type="pct"/>
            <w:tcBorders>
              <w:top w:val="nil"/>
              <w:left w:val="nil"/>
              <w:bottom w:val="nil"/>
              <w:right w:val="nil"/>
            </w:tcBorders>
            <w:shd w:val="clear" w:color="auto" w:fill="FFFFFF"/>
            <w:vAlign w:val="center"/>
          </w:tcPr>
          <w:p w14:paraId="3B75F92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Zeolite-Zn</w:t>
            </w:r>
          </w:p>
        </w:tc>
        <w:tc>
          <w:tcPr>
            <w:tcW w:w="746" w:type="pct"/>
            <w:tcBorders>
              <w:top w:val="nil"/>
              <w:left w:val="nil"/>
              <w:bottom w:val="nil"/>
              <w:right w:val="nil"/>
            </w:tcBorders>
            <w:shd w:val="clear" w:color="auto" w:fill="FFFFFF"/>
            <w:vAlign w:val="center"/>
          </w:tcPr>
          <w:p w14:paraId="37E4A8A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2.5</w:t>
            </w:r>
          </w:p>
        </w:tc>
        <w:tc>
          <w:tcPr>
            <w:tcW w:w="864" w:type="pct"/>
            <w:tcBorders>
              <w:top w:val="nil"/>
              <w:left w:val="nil"/>
              <w:bottom w:val="nil"/>
              <w:right w:val="nil"/>
            </w:tcBorders>
            <w:shd w:val="clear" w:color="auto" w:fill="FFFFFF"/>
            <w:vAlign w:val="center"/>
          </w:tcPr>
          <w:p w14:paraId="5A2629AA"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2.5</w:t>
            </w:r>
          </w:p>
        </w:tc>
        <w:tc>
          <w:tcPr>
            <w:tcW w:w="559" w:type="pct"/>
            <w:tcBorders>
              <w:top w:val="nil"/>
              <w:left w:val="nil"/>
              <w:bottom w:val="nil"/>
              <w:right w:val="nil"/>
            </w:tcBorders>
            <w:shd w:val="clear" w:color="auto" w:fill="FFFFFF"/>
            <w:vAlign w:val="center"/>
          </w:tcPr>
          <w:p w14:paraId="05193E4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225</w:t>
            </w:r>
          </w:p>
        </w:tc>
        <w:tc>
          <w:tcPr>
            <w:tcW w:w="1520" w:type="pct"/>
            <w:tcBorders>
              <w:top w:val="nil"/>
              <w:left w:val="nil"/>
              <w:bottom w:val="nil"/>
              <w:right w:val="nil"/>
            </w:tcBorders>
            <w:shd w:val="clear" w:color="auto" w:fill="FFFFFF"/>
            <w:vAlign w:val="center"/>
          </w:tcPr>
          <w:p w14:paraId="34778D6D"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Nano Micro Lett.</w:t>
            </w:r>
            <w:r>
              <w:rPr>
                <w:rFonts w:ascii="Times New Roman" w:hAnsi="Times New Roman" w:cs="Times New Roman"/>
                <w:color w:val="000000"/>
                <w:szCs w:val="21"/>
              </w:rPr>
              <w:t>, 2022</w:t>
            </w:r>
          </w:p>
        </w:tc>
        <w:tc>
          <w:tcPr>
            <w:tcW w:w="399" w:type="pct"/>
            <w:tcBorders>
              <w:top w:val="nil"/>
              <w:left w:val="nil"/>
              <w:bottom w:val="nil"/>
              <w:right w:val="nil"/>
            </w:tcBorders>
            <w:shd w:val="clear" w:color="auto" w:fill="FFFFFF"/>
            <w:vAlign w:val="center"/>
          </w:tcPr>
          <w:p w14:paraId="697961B1"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&lt;EndNote&gt;&lt;Cite&gt;&lt;Author&gt;Shang&lt;/Author&gt;&lt;Year&gt;2022&lt;/Year&gt;&lt;RecNum&gt;3&lt;/RecNum&gt;&lt;DisplayText&gt;&lt;style face="superscript"&gt;[27]&lt;/style&gt;&lt;/DisplayText&gt;&lt;record&gt;&lt;rec-number&gt;3&lt;/rec-number&gt;&lt;foreign-keys&gt;&lt;key app="EN" db-id="rzr9af2pcv5e5fevvff5pwf0pa2aa90rt5w9" timestamp="1750760916"&gt;3&lt;/key&gt;&lt;/foreign-keys&gt;&lt;ref-type name="Journal Article"&gt;17&lt;/ref-type&gt;&lt;contributors&gt;&lt;authors&gt;&lt;author&gt;Shang, Wenshuo&lt;/author&gt;&lt;author&gt;Li, Qiang&lt;/author&gt;&lt;author&gt;Jiang, Fuyi&lt;/author&gt;&lt;author&gt;Huang, Bingkun&lt;/author&gt;&lt;author&gt;Song, Jisheng&lt;/author&gt;&lt;author&gt;Yun, Shan&lt;/author&gt;&lt;author&gt;Liu, Xuan&lt;/author&gt;&lt;author&gt;Kimura, Hideo&lt;/author&gt;&lt;author&gt;Liu, Jianjun&lt;/author&gt;&lt;author&gt;Kang, Litao&lt;/author&gt;&lt;/authors&gt;&lt;/contributors&gt;&lt;titles&gt;&lt;title&gt;Boosting Zn||I2 Battery</w:instrText>
            </w:r>
            <w:r>
              <w:rPr>
                <w:rFonts w:ascii="Times New Roman" w:hAnsi="Times New Roman" w:cs="Times New Roman" w:hint="eastAsia"/>
                <w:color w:val="0000FF"/>
                <w:szCs w:val="21"/>
              </w:rPr>
              <w:instrText>’</w:instrText>
            </w:r>
            <w:r>
              <w:rPr>
                <w:rFonts w:ascii="Times New Roman" w:hAnsi="Times New Roman" w:cs="Times New Roman" w:hint="eastAsia"/>
                <w:color w:val="0000FF"/>
                <w:szCs w:val="21"/>
              </w:rPr>
              <w:instrText>s Performance by Coating a Zeolite-Based Cation-Exchange Protecting Layer&lt;/title&gt;&lt;secondary-title&gt;Nano-Micro Letters&lt;/secondary-title&gt;&lt;/titles&gt;&lt;periodical&gt;&lt;full-title&gt;Nano-Micro Letters&lt;/full-title&gt;&lt;/periodical&gt;&lt;pages&gt;82&lt;/pages&gt;&lt;volume&gt;14&lt;/volume&gt;&lt;number&gt;1&lt;/number&gt;&lt;dates&gt;&lt;year&gt;2022&lt;/year&gt;&lt;pub-dates&gt;&lt;date&gt;2022/03/25&lt;/date&gt;&lt;/pub-dates&gt;&lt;/dates&gt;&lt;isbn&gt;2150-5551&lt;/isbn&gt;&lt;urls&gt;&lt;related-urls&gt;&lt;url&gt;https://doi.org/10.1007/s40820-022-00825-5&lt;/url&gt;&lt;/related-urls&gt;&lt;/urls&gt;&lt;electronic-resource-num&gt;10.1007/s40820-022-00825-5&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[27]</w:t>
            </w:r>
            <w:r>
              <w:rPr>
                <w:rFonts w:ascii="Times New Roman" w:hAnsi="Times New Roman" w:cs="Times New Roman"/>
                <w:color w:val="0000FF"/>
                <w:szCs w:val="21"/>
              </w:rPr>
              <w:fldChar w:fldCharType="end"/>
            </w:r>
          </w:p>
        </w:tc>
      </w:tr>
      <w:tr w:rsidR="00536E8D" w14:paraId="4A316BF7" w14:textId="77777777" w:rsidTr="00D02DF7">
        <w:trPr>
          <w:trHeight w:val="696"/>
          <w:jc w:val="center"/>
        </w:trPr>
        <w:tc>
          <w:tcPr>
            <w:tcW w:w="912" w:type="pct"/>
            <w:tcBorders>
              <w:top w:val="nil"/>
              <w:left w:val="nil"/>
              <w:bottom w:val="nil"/>
              <w:right w:val="nil"/>
            </w:tcBorders>
            <w:shd w:val="clear" w:color="auto" w:fill="FFFFFF"/>
            <w:vAlign w:val="center"/>
          </w:tcPr>
          <w:p w14:paraId="1F1102A7"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GSLE</w:t>
            </w:r>
          </w:p>
        </w:tc>
        <w:tc>
          <w:tcPr>
            <w:tcW w:w="746" w:type="pct"/>
            <w:tcBorders>
              <w:top w:val="nil"/>
              <w:left w:val="nil"/>
              <w:bottom w:val="nil"/>
              <w:right w:val="nil"/>
            </w:tcBorders>
            <w:shd w:val="clear" w:color="auto" w:fill="FFFFFF"/>
            <w:vAlign w:val="center"/>
          </w:tcPr>
          <w:p w14:paraId="6A9F939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64" w:type="pct"/>
            <w:tcBorders>
              <w:top w:val="nil"/>
              <w:left w:val="nil"/>
              <w:bottom w:val="nil"/>
              <w:right w:val="nil"/>
            </w:tcBorders>
            <w:shd w:val="clear" w:color="auto" w:fill="FFFFFF"/>
            <w:vAlign w:val="center"/>
          </w:tcPr>
          <w:p w14:paraId="06EECACD"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0.2</w:t>
            </w:r>
          </w:p>
        </w:tc>
        <w:tc>
          <w:tcPr>
            <w:tcW w:w="559" w:type="pct"/>
            <w:tcBorders>
              <w:top w:val="nil"/>
              <w:left w:val="nil"/>
              <w:bottom w:val="nil"/>
              <w:right w:val="nil"/>
            </w:tcBorders>
            <w:shd w:val="clear" w:color="auto" w:fill="FFFFFF"/>
            <w:vAlign w:val="center"/>
          </w:tcPr>
          <w:p w14:paraId="11E6C902"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3500</w:t>
            </w:r>
          </w:p>
        </w:tc>
        <w:tc>
          <w:tcPr>
            <w:tcW w:w="1520" w:type="pct"/>
            <w:tcBorders>
              <w:top w:val="nil"/>
              <w:left w:val="nil"/>
              <w:bottom w:val="nil"/>
              <w:right w:val="nil"/>
            </w:tcBorders>
            <w:shd w:val="clear" w:color="auto" w:fill="FFFFFF"/>
            <w:vAlign w:val="center"/>
          </w:tcPr>
          <w:p w14:paraId="5DB9FD7C" w14:textId="77777777"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ACS Appl. Mater. Interfaces</w:t>
            </w:r>
            <w:r>
              <w:rPr>
                <w:rFonts w:ascii="Times New Roman" w:hAnsi="Times New Roman" w:cs="Times New Roman"/>
                <w:color w:val="000000"/>
                <w:szCs w:val="21"/>
              </w:rPr>
              <w:t>, 2025</w:t>
            </w:r>
          </w:p>
        </w:tc>
        <w:tc>
          <w:tcPr>
            <w:tcW w:w="399" w:type="pct"/>
            <w:tcBorders>
              <w:top w:val="nil"/>
              <w:left w:val="nil"/>
              <w:bottom w:val="nil"/>
              <w:right w:val="nil"/>
            </w:tcBorders>
            <w:shd w:val="clear" w:color="auto" w:fill="FFFFFF"/>
            <w:vAlign w:val="center"/>
          </w:tcPr>
          <w:p w14:paraId="433E5AE2"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&lt;EndNote&gt;&lt;Cite&gt;&lt;Author&gt;Li&lt;/Author&gt;&lt;Year&gt;2025&lt;/Year&gt;&lt;RecNum&gt;1&lt;/RecNum&gt;&lt;DisplayText&gt;&lt;style face="superscript"&gt;[28]&lt;/style&gt;&lt;/DisplayText&gt;&lt;record&gt;&lt;rec-number&gt;1&lt;/rec-number&gt;&lt;foreign-keys&gt;&lt;key app="EN" db-id="vpa0aa9tcdtxrzeda2axfrfy5szfrt50v9xf" timestamp="1750761282"&gt;1&lt;/key&gt;&lt;/foreign-keys&gt;&lt;ref-type name="Journal Article"&gt;17&lt;/ref-type&gt;&lt;contributors&gt;&lt;authors&gt;&lt;author&gt;Li, Qiufen&lt;/author&gt;&lt;author&gt;Bai, Mengxi&lt;/author&gt;&lt;author&gt;Wang, Xiang&lt;/author&gt;&lt;author&gt;Li, Jiashuai&lt;/author&gt;&lt;author&gt;Lin, Xiaoyan&lt;/author&gt;&lt;author&gt;Shao, Siyuan&lt;/author&gt;&lt;author&gt;Li, Dongze&lt;/author&gt;&lt;author&gt;Wang, Ziqi&lt;/author&gt;&lt;/authors&gt;&lt;/contributors&gt;&lt;titles&gt;&lt;title&gt;A Gradient Solid-like Electrolyte Stabilizing Zn Anodes by In Situ Formation of a ZnSe Interphase&lt;/title&gt;&lt;secondary-title&gt;ACS Applied Materials &amp;amp; Interfaces&lt;/secondary-title&gt;&lt;/titles&gt;&lt;periodical&gt;&lt;full-title&gt;ACS Applied Materials &amp;amp; Interfaces&lt;/full-title&gt;&lt;/periodical&gt;&lt;volume&gt;17&lt;/volume&gt;&lt;number&gt;8&lt;/number&gt;&lt;section&gt;12218-12226&lt;/section&gt;&lt;dates&gt;&lt;year&gt;2025&lt;/year&gt;&lt;pub-dates&gt;&lt;date&gt;2025/02/13&lt;/date&gt;&lt;/pub-dates&gt;&lt;/dates&gt;&lt;urls&gt;&lt;related-urls&gt;&lt;url&gt;http://dx.doi.org/10.1021/acsami.4c21312&lt;/url&gt;&lt;/related-urls&gt;&lt;/urls&gt;&lt;electronic-resource-num&gt;10.1021/acsami.4c21312&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[28]</w:t>
            </w:r>
            <w:r>
              <w:rPr>
                <w:rFonts w:ascii="Times New Roman" w:hAnsi="Times New Roman" w:cs="Times New Roman"/>
                <w:color w:val="0000FF"/>
                <w:szCs w:val="21"/>
              </w:rPr>
              <w:fldChar w:fldCharType="end"/>
            </w:r>
          </w:p>
        </w:tc>
      </w:tr>
      <w:tr w:rsidR="00536E8D" w14:paraId="2F22CA4E" w14:textId="77777777" w:rsidTr="00D02DF7">
        <w:trPr>
          <w:trHeight w:val="696"/>
          <w:jc w:val="center"/>
        </w:trPr>
        <w:tc>
          <w:tcPr>
            <w:tcW w:w="912" w:type="pct"/>
            <w:tcBorders>
              <w:top w:val="nil"/>
              <w:left w:val="nil"/>
              <w:bottom w:val="nil"/>
              <w:right w:val="nil"/>
            </w:tcBorders>
            <w:shd w:val="clear" w:color="auto" w:fill="FFFFFF"/>
            <w:vAlign w:val="center"/>
          </w:tcPr>
          <w:p w14:paraId="6507B0B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CPL-Additive</w:t>
            </w:r>
          </w:p>
        </w:tc>
        <w:tc>
          <w:tcPr>
            <w:tcW w:w="746" w:type="pct"/>
            <w:tcBorders>
              <w:top w:val="nil"/>
              <w:left w:val="nil"/>
              <w:bottom w:val="nil"/>
              <w:right w:val="nil"/>
            </w:tcBorders>
            <w:shd w:val="clear" w:color="auto" w:fill="FFFFFF"/>
            <w:vAlign w:val="center"/>
          </w:tcPr>
          <w:p w14:paraId="7313D324"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64" w:type="pct"/>
            <w:tcBorders>
              <w:top w:val="nil"/>
              <w:left w:val="nil"/>
              <w:bottom w:val="nil"/>
              <w:right w:val="nil"/>
            </w:tcBorders>
            <w:shd w:val="clear" w:color="auto" w:fill="FFFFFF"/>
            <w:vAlign w:val="center"/>
          </w:tcPr>
          <w:p w14:paraId="5A980AC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559" w:type="pct"/>
            <w:tcBorders>
              <w:top w:val="nil"/>
              <w:left w:val="nil"/>
              <w:bottom w:val="nil"/>
              <w:right w:val="nil"/>
            </w:tcBorders>
            <w:shd w:val="clear" w:color="auto" w:fill="FFFFFF"/>
            <w:vAlign w:val="center"/>
          </w:tcPr>
          <w:p w14:paraId="15E27A7E"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2100</w:t>
            </w:r>
          </w:p>
        </w:tc>
        <w:tc>
          <w:tcPr>
            <w:tcW w:w="1520" w:type="pct"/>
            <w:tcBorders>
              <w:top w:val="nil"/>
              <w:left w:val="nil"/>
              <w:bottom w:val="nil"/>
              <w:right w:val="nil"/>
            </w:tcBorders>
            <w:shd w:val="clear" w:color="auto" w:fill="FFFFFF"/>
            <w:vAlign w:val="center"/>
          </w:tcPr>
          <w:p w14:paraId="2C81F377" w14:textId="71E17154" w:rsidR="00536E8D" w:rsidRDefault="00B21C59">
            <w:pPr>
              <w:jc w:val="center"/>
              <w:rPr>
                <w:rFonts w:ascii="Times New Roman" w:hAnsi="Times New Roman" w:cs="Times New Roman"/>
                <w:color w:val="000000"/>
                <w:szCs w:val="21"/>
              </w:rPr>
            </w:pPr>
            <w:r>
              <w:rPr>
                <w:rFonts w:ascii="Times New Roman" w:hAnsi="Times New Roman" w:cs="Times New Roman"/>
                <w:color w:val="000000"/>
                <w:szCs w:val="21"/>
              </w:rPr>
              <w:t>J. Alloys Compd.</w:t>
            </w:r>
            <w:r w:rsidR="00AE7E04">
              <w:rPr>
                <w:rFonts w:ascii="Times New Roman" w:hAnsi="Times New Roman" w:cs="Times New Roman" w:hint="eastAsia"/>
                <w:color w:val="000000"/>
                <w:szCs w:val="21"/>
              </w:rPr>
              <w:t>,</w:t>
            </w:r>
            <w:r>
              <w:rPr>
                <w:rFonts w:ascii="Times New Roman" w:hAnsi="Times New Roman" w:cs="Times New Roman"/>
                <w:color w:val="000000"/>
                <w:szCs w:val="21"/>
              </w:rPr>
              <w:t xml:space="preserve"> 2024</w:t>
            </w:r>
          </w:p>
        </w:tc>
        <w:tc>
          <w:tcPr>
            <w:tcW w:w="399" w:type="pct"/>
            <w:tcBorders>
              <w:top w:val="nil"/>
              <w:left w:val="nil"/>
              <w:bottom w:val="nil"/>
              <w:right w:val="nil"/>
            </w:tcBorders>
            <w:shd w:val="clear" w:color="auto" w:fill="FFFFFF"/>
            <w:vAlign w:val="center"/>
          </w:tcPr>
          <w:p w14:paraId="1065DED8"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&lt;EndNote&gt;&lt;Cite&gt;&lt;Author&gt;Yin&lt;/Author&gt;&lt;Year&gt;2024&lt;/Year&gt;&lt;RecNum&gt;2&lt;/RecNum&gt;&lt;DisplayText&gt;&lt;style face="superscript"&gt;[29]&lt;/style&gt;&lt;/DisplayText&gt;&lt;record&gt;&lt;rec-number&gt;2&lt;/rec-number&gt;&lt;foreign-keys&gt;&lt;key app="EN" db-id="vpa0aa9tcdtxrzeda2axfrfy5szfrt50v9xf" timestamp="1750761691"&gt;2&lt;/key&gt;&lt;/foreign-keys&gt;&lt;ref-type name="Journal Article"&gt;17&lt;/ref-type&gt;&lt;contributors&gt;&lt;authors&gt;&lt;author&gt;Yin, Junyi&lt;/author&gt;&lt;author&gt;Li, Mingyan&lt;/author&gt;&lt;author&gt;Feng, Xiang&lt;/author&gt;&lt;author&gt;Cui, Tianyi&lt;/author&gt;&lt;author&gt;Sun, Weiyu&lt;/author&gt;&lt;author&gt;Wang, Minghui&lt;/author&gt;&lt;author&gt;Shi, Weichen&lt;/author&gt;&lt;author&gt;Ding, Shujiang&lt;/author&gt;&lt;author&gt;Cheng, Yonghong&lt;/author&gt;&lt;author&gt;Xu, Xin&lt;/author&gt;&lt;author&gt;Wang, Jianhua&lt;/author&gt;&lt;/authors&gt;&lt;/contributors&gt;&lt;titles&gt;&lt;title&gt;Comprehensive protection of Zn metal anode via caprolactam towards highly stable aqueous zinc ions batteries&lt;/title&gt;&lt;secondary-title&gt;Journal of Alloys and Compounds&lt;/secondary-title&gt;&lt;/titles&gt;&lt;periodical&gt;&lt;full-title&gt;Journal of Alloys and Compounds&lt;/full-title&gt;&lt;/periodical&gt;&lt;pages&gt;172785&lt;/pages&gt;&lt;volume&gt;971&lt;/volume&gt;&lt;keywords&gt;&lt;keyword&gt;Multifunctional electrolyte additive&lt;/keyword&gt;&lt;keyword&gt;Preferential adsorption&lt;/keyword&gt;&lt;keyword&gt;Steric effect&lt;/keyword&gt;&lt;keyword&gt;Solvation structures&lt;/keyword&gt;&lt;/keywords&gt;&lt;dates&gt;&lt;year&gt;2024&lt;/year&gt;&lt;pub-dates&gt;&lt;date&gt;2024/01/15/&lt;/date&gt;&lt;/pub-dates&gt;&lt;/dates&gt;&lt;isbn&gt;0925-8388&lt;/isbn&gt;&lt;urls&gt;&lt;related-urls&gt;&lt;url&gt;https://www.sciencedirect.com/science/article/pii/S0925838823040884&lt;/url&gt;&lt;/related-urls&gt;&lt;/urls&gt;&lt;electronic-resource-num&gt;https://doi.org/10.1016/j.jallcom.2023.172785&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[29]</w:t>
            </w:r>
            <w:r>
              <w:rPr>
                <w:rFonts w:ascii="Times New Roman" w:hAnsi="Times New Roman" w:cs="Times New Roman"/>
                <w:color w:val="0000FF"/>
                <w:szCs w:val="21"/>
              </w:rPr>
              <w:fldChar w:fldCharType="end"/>
            </w:r>
          </w:p>
        </w:tc>
      </w:tr>
      <w:tr w:rsidR="00536E8D" w14:paraId="71202A82" w14:textId="77777777" w:rsidTr="00D02DF7">
        <w:trPr>
          <w:trHeight w:val="696"/>
          <w:jc w:val="center"/>
        </w:trPr>
        <w:tc>
          <w:tcPr>
            <w:tcW w:w="912" w:type="pct"/>
            <w:tcBorders>
              <w:top w:val="nil"/>
              <w:left w:val="nil"/>
              <w:bottom w:val="nil"/>
              <w:right w:val="nil"/>
            </w:tcBorders>
            <w:shd w:val="clear" w:color="auto" w:fill="FFFFFF"/>
            <w:vAlign w:val="center"/>
          </w:tcPr>
          <w:p w14:paraId="64B7D0E6" w14:textId="77777777" w:rsidR="00536E8D" w:rsidRDefault="00B21C59">
            <w:pPr>
              <w:widowControl/>
              <w:jc w:val="center"/>
              <w:textAlignment w:val="center"/>
              <w:rPr>
                <w:rFonts w:ascii="Times New Roman" w:hAnsi="Times New Roman" w:cs="Times New Roman"/>
                <w:color w:val="000000"/>
                <w:szCs w:val="21"/>
              </w:rPr>
            </w:pPr>
            <w:proofErr w:type="spellStart"/>
            <w:r>
              <w:rPr>
                <w:rFonts w:ascii="Times New Roman" w:eastAsia="宋体" w:hAnsi="Times New Roman" w:cs="Times New Roman"/>
                <w:color w:val="000000"/>
                <w:kern w:val="0"/>
                <w:szCs w:val="21"/>
                <w:lang w:bidi="ar"/>
              </w:rPr>
              <w:t>StHEI</w:t>
            </w:r>
            <w:proofErr w:type="spellEnd"/>
            <w:r>
              <w:rPr>
                <w:rFonts w:ascii="Times New Roman" w:eastAsia="宋体" w:hAnsi="Times New Roman" w:cs="Times New Roman"/>
                <w:color w:val="000000"/>
                <w:kern w:val="0"/>
                <w:szCs w:val="21"/>
                <w:lang w:bidi="ar"/>
              </w:rPr>
              <w:t>-Zn</w:t>
            </w:r>
          </w:p>
        </w:tc>
        <w:tc>
          <w:tcPr>
            <w:tcW w:w="746" w:type="pct"/>
            <w:tcBorders>
              <w:top w:val="nil"/>
              <w:left w:val="nil"/>
              <w:bottom w:val="nil"/>
              <w:right w:val="nil"/>
            </w:tcBorders>
            <w:shd w:val="clear" w:color="auto" w:fill="FFFFFF"/>
            <w:vAlign w:val="center"/>
          </w:tcPr>
          <w:p w14:paraId="7AD5FB17"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64" w:type="pct"/>
            <w:tcBorders>
              <w:top w:val="nil"/>
              <w:left w:val="nil"/>
              <w:bottom w:val="nil"/>
              <w:right w:val="nil"/>
            </w:tcBorders>
            <w:shd w:val="clear" w:color="auto" w:fill="FFFFFF"/>
            <w:vAlign w:val="center"/>
          </w:tcPr>
          <w:p w14:paraId="7E0EA500"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559" w:type="pct"/>
            <w:tcBorders>
              <w:top w:val="nil"/>
              <w:left w:val="nil"/>
              <w:bottom w:val="nil"/>
              <w:right w:val="nil"/>
            </w:tcBorders>
            <w:shd w:val="clear" w:color="auto" w:fill="FFFFFF"/>
            <w:vAlign w:val="center"/>
          </w:tcPr>
          <w:p w14:paraId="12DCF6C0"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3000</w:t>
            </w:r>
          </w:p>
        </w:tc>
        <w:tc>
          <w:tcPr>
            <w:tcW w:w="1520" w:type="pct"/>
            <w:tcBorders>
              <w:top w:val="nil"/>
              <w:left w:val="nil"/>
              <w:bottom w:val="nil"/>
              <w:right w:val="nil"/>
            </w:tcBorders>
            <w:shd w:val="clear" w:color="auto" w:fill="FFFFFF"/>
            <w:vAlign w:val="center"/>
          </w:tcPr>
          <w:p w14:paraId="41F2E011" w14:textId="70C5872B"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Angew</w:t>
            </w:r>
            <w:proofErr w:type="spellEnd"/>
            <w:r>
              <w:rPr>
                <w:rFonts w:ascii="Times New Roman" w:hAnsi="Times New Roman" w:cs="Times New Roman"/>
                <w:color w:val="000000"/>
                <w:szCs w:val="21"/>
              </w:rPr>
              <w:t>. Chem. Int. Ed.</w:t>
            </w:r>
            <w:r w:rsidR="00AE7E04">
              <w:rPr>
                <w:rFonts w:ascii="Times New Roman" w:hAnsi="Times New Roman" w:cs="Times New Roman" w:hint="eastAsia"/>
                <w:color w:val="000000"/>
                <w:szCs w:val="21"/>
              </w:rPr>
              <w:t>,</w:t>
            </w:r>
            <w:r>
              <w:rPr>
                <w:rFonts w:ascii="Times New Roman" w:hAnsi="Times New Roman" w:cs="Times New Roman"/>
                <w:color w:val="000000"/>
                <w:szCs w:val="21"/>
              </w:rPr>
              <w:t xml:space="preserve"> 2024</w:t>
            </w:r>
          </w:p>
        </w:tc>
        <w:tc>
          <w:tcPr>
            <w:tcW w:w="399" w:type="pct"/>
            <w:tcBorders>
              <w:top w:val="nil"/>
              <w:left w:val="nil"/>
              <w:bottom w:val="nil"/>
              <w:right w:val="nil"/>
            </w:tcBorders>
            <w:shd w:val="clear" w:color="auto" w:fill="FFFFFF"/>
            <w:vAlign w:val="center"/>
          </w:tcPr>
          <w:p w14:paraId="1D8ACE7C"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&lt;EndNote&gt;&lt;Cite&gt;&lt;Author&gt;Zhao&lt;/Author&gt;&lt;Year&gt;2025&lt;/Year&gt;&lt;RecNum&gt;3&lt;/RecNum&gt;&lt;DisplayText&gt;&lt;style face="superscript"&gt;[30]&lt;/style&gt;&lt;/DisplayText&gt;&lt;record&gt;&lt;rec-number&gt;3&lt;/rec-number&gt;&lt;foreign-keys&gt;&lt;key app="EN" db-id="vpa0aa9tcdtxrzeda2axfrfy5szfrt50v9xf" timestamp="1750761768"&gt;3&lt;/key&gt;&lt;/foreign-keys&gt;&lt;ref-type name="Journal Article"&gt;17&lt;/ref-type&gt;&lt;contributors&gt;&lt;authors&gt;&lt;author&gt;Zhao, Yifan&lt;/author&gt;&lt;author&gt;Chen, Zhiyuan&lt;/author&gt;&lt;author&gt;Gao, Xuan&lt;/author&gt;&lt;author&gt;Dong, Haobo&lt;/author&gt;&lt;author&gt;Zhao, Xiaoyu&lt;/author&gt;&lt;author&gt;He, Guanjie&lt;/author&gt;&lt;author&gt;Yang, Hui&lt;/author&gt;&lt;/authors&gt;&lt;/contributors&gt;&lt;titles&gt;&lt;title&gt;In-Situ Self-Respiratory Solid-to-Hydrogel Electrolyte Interface Evoked Well-Distributed Deposition on Zinc Anode for Highly Reversible Zinc-Ion Batteries&lt;/title&gt;&lt;secondary-title&gt;Angewandte Chemie International Edition&lt;/secondary-title&gt;&lt;/titles&gt;&lt;periodical&gt;&lt;full-title&gt;Angewandte Chemie International Edition&lt;/full-title&gt;&lt;/periodical&gt;&lt;pages&gt;e202415251&lt;/pages&gt;&lt;volume&gt;64&lt;/volume&gt;&lt;number&gt;3&lt;/number&gt;&lt;dates&gt;&lt;year&gt;2025&lt;/year&gt;&lt;/dates&gt;&lt;isbn&gt;1433-7851&lt;/isbn&gt;&lt;urls&gt;&lt;related-urls&gt;&lt;url&gt;https://onlinelibrary.wiley.com/doi/abs/10.1002/anie.202415251&lt;/url&gt;&lt;/related-urls&gt;&lt;/urls&gt;&lt;electronic-resource-num&gt;https://doi.org/10.1002/anie.202415251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[30]</w:t>
            </w:r>
            <w:r>
              <w:rPr>
                <w:rFonts w:ascii="Times New Roman" w:hAnsi="Times New Roman" w:cs="Times New Roman"/>
                <w:color w:val="0000FF"/>
                <w:szCs w:val="21"/>
              </w:rPr>
              <w:fldChar w:fldCharType="end"/>
            </w:r>
          </w:p>
        </w:tc>
      </w:tr>
      <w:tr w:rsidR="00536E8D" w14:paraId="45377947" w14:textId="77777777" w:rsidTr="00D02DF7">
        <w:trPr>
          <w:trHeight w:val="696"/>
          <w:jc w:val="center"/>
        </w:trPr>
        <w:tc>
          <w:tcPr>
            <w:tcW w:w="912" w:type="pct"/>
            <w:tcBorders>
              <w:top w:val="nil"/>
              <w:left w:val="nil"/>
              <w:bottom w:val="nil"/>
              <w:right w:val="nil"/>
            </w:tcBorders>
            <w:shd w:val="clear" w:color="auto" w:fill="FFFFFF"/>
            <w:vAlign w:val="center"/>
          </w:tcPr>
          <w:p w14:paraId="7A0BB7A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Zn-PDPTT</w:t>
            </w:r>
          </w:p>
        </w:tc>
        <w:tc>
          <w:tcPr>
            <w:tcW w:w="746" w:type="pct"/>
            <w:tcBorders>
              <w:top w:val="nil"/>
              <w:left w:val="nil"/>
              <w:bottom w:val="nil"/>
              <w:right w:val="nil"/>
            </w:tcBorders>
            <w:shd w:val="clear" w:color="auto" w:fill="FFFFFF"/>
            <w:vAlign w:val="center"/>
          </w:tcPr>
          <w:p w14:paraId="2E91A0BE"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864" w:type="pct"/>
            <w:tcBorders>
              <w:top w:val="nil"/>
              <w:left w:val="nil"/>
              <w:bottom w:val="nil"/>
              <w:right w:val="nil"/>
            </w:tcBorders>
            <w:shd w:val="clear" w:color="auto" w:fill="FFFFFF"/>
            <w:vAlign w:val="center"/>
          </w:tcPr>
          <w:p w14:paraId="23D0647A"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0.5</w:t>
            </w:r>
          </w:p>
        </w:tc>
        <w:tc>
          <w:tcPr>
            <w:tcW w:w="559" w:type="pct"/>
            <w:tcBorders>
              <w:top w:val="nil"/>
              <w:left w:val="nil"/>
              <w:bottom w:val="nil"/>
              <w:right w:val="nil"/>
            </w:tcBorders>
            <w:shd w:val="clear" w:color="auto" w:fill="FFFFFF"/>
            <w:vAlign w:val="center"/>
          </w:tcPr>
          <w:p w14:paraId="0CAB72C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4300</w:t>
            </w:r>
          </w:p>
        </w:tc>
        <w:tc>
          <w:tcPr>
            <w:tcW w:w="1520" w:type="pct"/>
            <w:tcBorders>
              <w:top w:val="nil"/>
              <w:left w:val="nil"/>
              <w:bottom w:val="nil"/>
              <w:right w:val="nil"/>
            </w:tcBorders>
            <w:shd w:val="clear" w:color="auto" w:fill="FFFFFF"/>
            <w:vAlign w:val="center"/>
          </w:tcPr>
          <w:p w14:paraId="285F7A63" w14:textId="64DF6CF0"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Angew</w:t>
            </w:r>
            <w:proofErr w:type="spellEnd"/>
            <w:r>
              <w:rPr>
                <w:rFonts w:ascii="Times New Roman" w:hAnsi="Times New Roman" w:cs="Times New Roman"/>
                <w:color w:val="000000"/>
                <w:szCs w:val="21"/>
              </w:rPr>
              <w:t>. Chem. Int. Ed.</w:t>
            </w:r>
            <w:r w:rsidR="00AE7E04">
              <w:rPr>
                <w:rFonts w:ascii="Times New Roman" w:hAnsi="Times New Roman" w:cs="Times New Roman" w:hint="eastAsia"/>
                <w:color w:val="000000"/>
                <w:szCs w:val="21"/>
              </w:rPr>
              <w:t>,</w:t>
            </w:r>
            <w:r>
              <w:rPr>
                <w:rFonts w:ascii="Times New Roman" w:hAnsi="Times New Roman" w:cs="Times New Roman"/>
                <w:color w:val="000000"/>
                <w:szCs w:val="21"/>
              </w:rPr>
              <w:t xml:space="preserve"> 2024</w:t>
            </w:r>
          </w:p>
        </w:tc>
        <w:tc>
          <w:tcPr>
            <w:tcW w:w="399" w:type="pct"/>
            <w:tcBorders>
              <w:top w:val="nil"/>
              <w:left w:val="nil"/>
              <w:bottom w:val="nil"/>
              <w:right w:val="nil"/>
            </w:tcBorders>
            <w:shd w:val="clear" w:color="auto" w:fill="FFFFFF"/>
            <w:vAlign w:val="center"/>
          </w:tcPr>
          <w:p w14:paraId="71E6FAFC"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&lt;EndNote&gt;&lt;Cite&gt;&lt;Author&gt;Chen&lt;/Author&gt;&lt;Year&gt;2024&lt;/Year&gt;&lt;RecNum&gt;4&lt;/RecNum&gt;&lt;DisplayText&gt;&lt;style face="superscript"&gt;[31]&lt;/style&gt;&lt;/DisplayText&gt;&lt;record&gt;&lt;rec-number&gt;4&lt;/rec-number&gt;&lt;foreign-keys&gt;&lt;key app="EN" db-id="vpa0aa9tcdtxrzeda2axfrfy5szfrt50v9xf" timestamp="1750761880"&gt;4&lt;/key&gt;&lt;/foreign-keys&gt;&lt;ref-type name="Journal Article"&gt;17&lt;/ref-type&gt;&lt;contributors&gt;&lt;authors&gt;&lt;author&gt;Chen, Ming&lt;/author&gt;&lt;author&gt;Guo, Xiaojun&lt;/author&gt;&lt;author&gt;Jiang, Xiao&lt;/author&gt;&lt;author&gt;Farhadi, Bita&lt;/author&gt;&lt;author&gt;Guo, Xin&lt;/author&gt;&lt;author&gt;Zhu, Yan&lt;/author&gt;&lt;author&gt;Zhang, Haoxiang&lt;/author&gt;&lt;author&gt;Liu, Shengzhong&lt;/author&gt;&lt;/authors&gt;&lt;/contributors&gt;&lt;titles&gt;&lt;title&gt;Multi-Group Polymer Coating on Zn Anode for High Overall Conversion Efficiency Photorechargeable Zinc-Ion Batteries&lt;/title&gt;&lt;secondary-title&gt;Angewandte Chemie International Edition&lt;/secondary-title&gt;&lt;/titles&gt;&lt;periodical&gt;&lt;full-title&gt;Angewandte Chemie International Edition&lt;/full-title&gt;&lt;/periodical&gt;&lt;pages&gt;e202410011&lt;/pages&gt;&lt;volume&gt;63&lt;/volume&gt;&lt;number&gt;39&lt;/number&gt;&lt;dates&gt;&lt;year&gt;2024&lt;/year&gt;&lt;/dates&gt;&lt;isbn&gt;1433-7851&lt;/isbn&gt;&lt;urls&gt;&lt;related-urls&gt;&lt;url&gt;https://onlinelibrary.wiley.com/doi/abs/10.1002/anie.202410011&lt;/url&gt;&lt;/related-urls&gt;&lt;/urls&gt;&lt;electronic-resource-num&gt;https://doi.org/10.1002/anie.202410011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[31]</w:t>
            </w:r>
            <w:r>
              <w:rPr>
                <w:rFonts w:ascii="Times New Roman" w:hAnsi="Times New Roman" w:cs="Times New Roman"/>
                <w:color w:val="0000FF"/>
                <w:szCs w:val="21"/>
              </w:rPr>
              <w:fldChar w:fldCharType="end"/>
            </w:r>
          </w:p>
        </w:tc>
      </w:tr>
      <w:tr w:rsidR="00536E8D" w14:paraId="2A3872B4" w14:textId="77777777" w:rsidTr="00D02DF7">
        <w:trPr>
          <w:trHeight w:val="696"/>
          <w:jc w:val="center"/>
        </w:trPr>
        <w:tc>
          <w:tcPr>
            <w:tcW w:w="912" w:type="pct"/>
            <w:tcBorders>
              <w:top w:val="nil"/>
              <w:left w:val="nil"/>
              <w:bottom w:val="nil"/>
              <w:right w:val="nil"/>
            </w:tcBorders>
            <w:shd w:val="clear" w:color="auto" w:fill="FFFFFF"/>
            <w:vAlign w:val="center"/>
          </w:tcPr>
          <w:p w14:paraId="7C3469A3"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SCP-Additive</w:t>
            </w:r>
          </w:p>
        </w:tc>
        <w:tc>
          <w:tcPr>
            <w:tcW w:w="746" w:type="pct"/>
            <w:tcBorders>
              <w:top w:val="nil"/>
              <w:left w:val="nil"/>
              <w:bottom w:val="nil"/>
              <w:right w:val="nil"/>
            </w:tcBorders>
            <w:shd w:val="clear" w:color="auto" w:fill="FFFFFF"/>
            <w:vAlign w:val="center"/>
          </w:tcPr>
          <w:p w14:paraId="01C5920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864" w:type="pct"/>
            <w:tcBorders>
              <w:top w:val="nil"/>
              <w:left w:val="nil"/>
              <w:bottom w:val="nil"/>
              <w:right w:val="nil"/>
            </w:tcBorders>
            <w:shd w:val="clear" w:color="auto" w:fill="FFFFFF"/>
            <w:vAlign w:val="center"/>
          </w:tcPr>
          <w:p w14:paraId="13808558"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559" w:type="pct"/>
            <w:tcBorders>
              <w:top w:val="nil"/>
              <w:left w:val="nil"/>
              <w:bottom w:val="nil"/>
              <w:right w:val="nil"/>
            </w:tcBorders>
            <w:shd w:val="clear" w:color="auto" w:fill="FFFFFF"/>
            <w:vAlign w:val="center"/>
          </w:tcPr>
          <w:p w14:paraId="4488302D"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1500</w:t>
            </w:r>
          </w:p>
        </w:tc>
        <w:tc>
          <w:tcPr>
            <w:tcW w:w="1520" w:type="pct"/>
            <w:tcBorders>
              <w:top w:val="nil"/>
              <w:left w:val="nil"/>
              <w:bottom w:val="nil"/>
              <w:right w:val="nil"/>
            </w:tcBorders>
            <w:shd w:val="clear" w:color="auto" w:fill="FFFFFF"/>
            <w:vAlign w:val="center"/>
          </w:tcPr>
          <w:p w14:paraId="37AD0976" w14:textId="260AFD79"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 xml:space="preserve">Iran. J. </w:t>
            </w:r>
            <w:proofErr w:type="spellStart"/>
            <w:r>
              <w:rPr>
                <w:rFonts w:ascii="Times New Roman" w:hAnsi="Times New Roman" w:cs="Times New Roman" w:hint="eastAsia"/>
                <w:color w:val="000000"/>
                <w:szCs w:val="21"/>
              </w:rPr>
              <w:t>Polym</w:t>
            </w:r>
            <w:proofErr w:type="spellEnd"/>
            <w:r>
              <w:rPr>
                <w:rFonts w:ascii="Times New Roman" w:hAnsi="Times New Roman" w:cs="Times New Roman" w:hint="eastAsia"/>
                <w:color w:val="000000"/>
                <w:szCs w:val="21"/>
              </w:rPr>
              <w:t xml:space="preserve"> Sci. Technol.</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2025</w:t>
            </w:r>
          </w:p>
        </w:tc>
        <w:tc>
          <w:tcPr>
            <w:tcW w:w="399" w:type="pct"/>
            <w:tcBorders>
              <w:top w:val="nil"/>
              <w:left w:val="nil"/>
              <w:bottom w:val="nil"/>
              <w:right w:val="nil"/>
            </w:tcBorders>
            <w:shd w:val="clear" w:color="auto" w:fill="FFFFFF"/>
            <w:vAlign w:val="center"/>
          </w:tcPr>
          <w:p w14:paraId="0450C8EA"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&lt;EndNote&gt;&lt;Cite&gt;&lt;Author&gt;Zhang&lt;/Author&gt;&lt;Year&gt;2025&lt;/Year&gt;&lt;RecNum&gt;5&lt;/RecNum&gt;&lt;DisplayText&gt;&lt;style face="superscript"&gt;[32]&lt;/style&gt;&lt;/DisplayText&gt;&lt;record&gt;&lt;rec-number&gt;5&lt;/rec-number&gt;&lt;foreign-keys&gt;&lt;key app="EN" db-id="vpa0aa9tcdtxrzeda2axfrfy5szfrt50v9xf" timestamp="1750761923"&gt;5&lt;/key&gt;&lt;/foreign-keys&gt;&lt;ref-type name="Journal Article"&gt;17&lt;/ref-type&gt;&lt;contributors&gt;&lt;authors&gt;&lt;author&gt;Zhang, Jinlong&lt;/author&gt;&lt;author&gt;Wei, Xueyao&lt;/author&gt;&lt;author&gt;Wu, Qing&lt;/author&gt;&lt;author&gt;Liu, Xiude&lt;/author&gt;&lt;author&gt;Yang, Song&lt;/author&gt;&lt;author&gt;Luo, Fusheng&lt;/author&gt;&lt;author&gt;Yan, Zeyu&lt;/author&gt;&lt;author&gt;Huang, Jun&lt;/author&gt;&lt;author&gt;Chen, Yiwang&lt;/author&gt;&lt;/authors&gt;&lt;/contributors&gt;&lt;titles&gt;&lt;title&gt;Molecule-Adsorption-Induced Interface Micro-environment Regulating for Highly Stable Aqueous Zinc Ion Batteries&lt;/title&gt;&lt;secondary-title&gt;Polymer Science &amp;amp; Technology&lt;/secondary-title&gt;&lt;/titles&gt;&lt;periodical&gt;&lt;full-title&gt;Polymer Science &amp;amp; Technology&lt;/full-title&gt;&lt;/periodical&gt;&lt;dates&gt;&lt;year&gt;2025&lt;/year&gt;&lt;pub-dates&gt;&lt;date&gt;2025/01/21&lt;/date&gt;&lt;/pub-dates&gt;&lt;/dates&gt;&lt;publisher&gt;American Chemical Society&lt;/publisher&gt;&lt;urls&gt;&lt;related-urls&gt;&lt;url&gt;https://doi.org/10.1021/polymscitech.4c00034&lt;/url&gt;&lt;/related-urls&gt;&lt;/urls&gt;&lt;electronic-resource-num&gt;10.1021/polymscitech.4c00034&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[32]</w:t>
            </w:r>
            <w:r>
              <w:rPr>
                <w:rFonts w:ascii="Times New Roman" w:hAnsi="Times New Roman" w:cs="Times New Roman"/>
                <w:color w:val="0000FF"/>
                <w:szCs w:val="21"/>
              </w:rPr>
              <w:fldChar w:fldCharType="end"/>
            </w:r>
          </w:p>
        </w:tc>
      </w:tr>
      <w:tr w:rsidR="00536E8D" w14:paraId="2A206832" w14:textId="77777777" w:rsidTr="00D02DF7">
        <w:trPr>
          <w:trHeight w:val="1045"/>
          <w:jc w:val="center"/>
        </w:trPr>
        <w:tc>
          <w:tcPr>
            <w:tcW w:w="912" w:type="pct"/>
            <w:tcBorders>
              <w:top w:val="nil"/>
              <w:left w:val="nil"/>
              <w:bottom w:val="nil"/>
              <w:right w:val="nil"/>
            </w:tcBorders>
            <w:shd w:val="clear" w:color="auto" w:fill="FFFFFF"/>
            <w:vAlign w:val="center"/>
          </w:tcPr>
          <w:p w14:paraId="529537FC"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TCOF-S</w:t>
            </w:r>
          </w:p>
        </w:tc>
        <w:tc>
          <w:tcPr>
            <w:tcW w:w="746" w:type="pct"/>
            <w:tcBorders>
              <w:top w:val="nil"/>
              <w:left w:val="nil"/>
              <w:bottom w:val="nil"/>
              <w:right w:val="nil"/>
            </w:tcBorders>
            <w:shd w:val="clear" w:color="auto" w:fill="FFFFFF"/>
            <w:vAlign w:val="center"/>
          </w:tcPr>
          <w:p w14:paraId="41919B29"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864" w:type="pct"/>
            <w:tcBorders>
              <w:top w:val="nil"/>
              <w:left w:val="nil"/>
              <w:bottom w:val="nil"/>
              <w:right w:val="nil"/>
            </w:tcBorders>
            <w:shd w:val="clear" w:color="auto" w:fill="FFFFFF"/>
            <w:vAlign w:val="center"/>
          </w:tcPr>
          <w:p w14:paraId="09FA3AD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559" w:type="pct"/>
            <w:tcBorders>
              <w:top w:val="nil"/>
              <w:left w:val="nil"/>
              <w:bottom w:val="nil"/>
              <w:right w:val="nil"/>
            </w:tcBorders>
            <w:shd w:val="clear" w:color="auto" w:fill="FFFFFF"/>
            <w:vAlign w:val="center"/>
          </w:tcPr>
          <w:p w14:paraId="5FB0978F"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1200</w:t>
            </w:r>
          </w:p>
        </w:tc>
        <w:tc>
          <w:tcPr>
            <w:tcW w:w="1520" w:type="pct"/>
            <w:tcBorders>
              <w:top w:val="nil"/>
              <w:left w:val="nil"/>
              <w:bottom w:val="nil"/>
              <w:right w:val="nil"/>
            </w:tcBorders>
            <w:shd w:val="clear" w:color="auto" w:fill="FFFFFF"/>
            <w:vAlign w:val="center"/>
          </w:tcPr>
          <w:p w14:paraId="14B3250A" w14:textId="0EAACFD2"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hint="eastAsia"/>
                <w:color w:val="000000"/>
                <w:szCs w:val="21"/>
              </w:rPr>
              <w:t>Angew</w:t>
            </w:r>
            <w:proofErr w:type="spellEnd"/>
            <w:r>
              <w:rPr>
                <w:rFonts w:ascii="Times New Roman" w:hAnsi="Times New Roman" w:cs="Times New Roman" w:hint="eastAsia"/>
                <w:color w:val="000000"/>
                <w:szCs w:val="21"/>
              </w:rPr>
              <w:t>. Chem. Int. Ed.</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2024</w:t>
            </w:r>
          </w:p>
        </w:tc>
        <w:tc>
          <w:tcPr>
            <w:tcW w:w="399" w:type="pct"/>
            <w:tcBorders>
              <w:top w:val="nil"/>
              <w:left w:val="nil"/>
              <w:bottom w:val="nil"/>
              <w:right w:val="nil"/>
            </w:tcBorders>
            <w:shd w:val="clear" w:color="auto" w:fill="FFFFFF"/>
            <w:vAlign w:val="center"/>
          </w:tcPr>
          <w:p w14:paraId="37A0AD2D"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&lt;EndNote&gt;&lt;Cite&gt;&lt;Author&gt;Wu&lt;/Author&gt;&lt;Year&gt;2024&lt;/Year&gt;&lt;RecNum&gt;6&lt;/RecNum&gt;&lt;DisplayText&gt;&lt;style face="superscript"&gt;[33]&lt;/style&gt;&lt;/DisplayText&gt;&lt;record&gt;&lt;rec-number&gt;6&lt;/rec-number&gt;&lt;foreign-keys&gt;&lt;key app="EN" db-id="vpa0aa9tcdtxrzeda2axfrfy5szfrt50v9xf" timestamp="1750761972"&gt;6&lt;/key&gt;&lt;/foreign-keys&gt;&lt;ref-type name="Journal Article"&gt;17&lt;/ref-type&gt;&lt;contributors&gt;&lt;authors&gt;&lt;author&gt;Wu, Qing&lt;/author&gt;&lt;author&gt;Huang, Jun&lt;/author&gt;&lt;author&gt;Zhang, Jinlong&lt;/author&gt;&lt;author&gt;Yang, Song&lt;/author&gt;&lt;author&gt;Li, Yue&lt;/author&gt;&lt;author&gt;Luo, Fusheng&lt;/author&gt;&lt;author&gt;You, Yang&lt;/author&gt;&lt;author&gt;Li, Yunqi&lt;/author&gt;&lt;author&gt;Xie, Haibo&lt;/author&gt;&lt;author&gt;Chen, Yiwang&lt;/author&gt;&lt;/authors&gt;&lt;/contributors&gt;&lt;titles&gt;&lt;title&gt;Multifunctional Cellulose Nanocrystals Electrolyte Additive Enable Ultrahigh-Rate and Dendrite-Free Zn Anodes for Rechargeable Aqueous Zinc Batteries&lt;/title&gt;&lt;secondary-title&gt;Angewandte Chemie International Edition&lt;/secondary-title&gt;&lt;/titles&gt;&lt;periodical&gt;&lt;full-title&gt;Angewandte Chemie International Edition&lt;/full-title&gt;&lt;/periodical&gt;&lt;pages&gt;e202319051&lt;/pages&gt;&lt;volume&gt;63&lt;/volume&gt;&lt;number&gt;14&lt;/number&gt;&lt;dates&gt;&lt;year&gt;2024&lt;/year&gt;&lt;/dates&gt;&lt;isbn&gt;1433-7851&lt;/isbn&gt;&lt;urls&gt;&lt;related-urls&gt;&lt;url&gt;https://onlinelibrary.wiley.com/doi/abs/10.1002/anie.202319051&lt;/url&gt;&lt;/related-urls&gt;&lt;/urls&gt;&lt;electronic-resource-num&gt;https://doi.org/10.1002/anie.202319051&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[33]</w:t>
            </w:r>
            <w:r>
              <w:rPr>
                <w:rFonts w:ascii="Times New Roman" w:hAnsi="Times New Roman" w:cs="Times New Roman"/>
                <w:color w:val="0000FF"/>
                <w:szCs w:val="21"/>
              </w:rPr>
              <w:fldChar w:fldCharType="end"/>
            </w:r>
          </w:p>
        </w:tc>
      </w:tr>
      <w:tr w:rsidR="00536E8D" w14:paraId="6C396008" w14:textId="77777777" w:rsidTr="00D02DF7">
        <w:trPr>
          <w:trHeight w:val="696"/>
          <w:jc w:val="center"/>
        </w:trPr>
        <w:tc>
          <w:tcPr>
            <w:tcW w:w="912" w:type="pct"/>
            <w:tcBorders>
              <w:top w:val="nil"/>
              <w:left w:val="nil"/>
              <w:bottom w:val="nil"/>
              <w:right w:val="nil"/>
            </w:tcBorders>
            <w:shd w:val="clear" w:color="auto" w:fill="FFFFFF"/>
            <w:vAlign w:val="center"/>
          </w:tcPr>
          <w:p w14:paraId="384A1FA1"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3D-C-Zn</w:t>
            </w:r>
          </w:p>
        </w:tc>
        <w:tc>
          <w:tcPr>
            <w:tcW w:w="746" w:type="pct"/>
            <w:tcBorders>
              <w:top w:val="nil"/>
              <w:left w:val="nil"/>
              <w:bottom w:val="nil"/>
              <w:right w:val="nil"/>
            </w:tcBorders>
            <w:shd w:val="clear" w:color="auto" w:fill="FFFFFF"/>
            <w:vAlign w:val="center"/>
          </w:tcPr>
          <w:p w14:paraId="0EAC38AF"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5</w:t>
            </w:r>
          </w:p>
        </w:tc>
        <w:tc>
          <w:tcPr>
            <w:tcW w:w="864" w:type="pct"/>
            <w:tcBorders>
              <w:top w:val="nil"/>
              <w:left w:val="nil"/>
              <w:bottom w:val="nil"/>
              <w:right w:val="nil"/>
            </w:tcBorders>
            <w:shd w:val="clear" w:color="auto" w:fill="FFFFFF"/>
            <w:vAlign w:val="center"/>
          </w:tcPr>
          <w:p w14:paraId="00075936"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w:t>
            </w:r>
          </w:p>
        </w:tc>
        <w:tc>
          <w:tcPr>
            <w:tcW w:w="559" w:type="pct"/>
            <w:tcBorders>
              <w:top w:val="nil"/>
              <w:left w:val="nil"/>
              <w:bottom w:val="nil"/>
              <w:right w:val="nil"/>
            </w:tcBorders>
            <w:shd w:val="clear" w:color="auto" w:fill="FFFFFF"/>
            <w:vAlign w:val="center"/>
          </w:tcPr>
          <w:p w14:paraId="34F6129B"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880</w:t>
            </w:r>
          </w:p>
        </w:tc>
        <w:tc>
          <w:tcPr>
            <w:tcW w:w="1520" w:type="pct"/>
            <w:tcBorders>
              <w:top w:val="nil"/>
              <w:left w:val="nil"/>
              <w:bottom w:val="nil"/>
              <w:right w:val="nil"/>
            </w:tcBorders>
            <w:shd w:val="clear" w:color="auto" w:fill="FFFFFF"/>
            <w:vAlign w:val="center"/>
          </w:tcPr>
          <w:p w14:paraId="5F34A1AB" w14:textId="49F35BFE" w:rsidR="00536E8D" w:rsidRDefault="00B21C59">
            <w:pPr>
              <w:jc w:val="center"/>
              <w:rPr>
                <w:rFonts w:ascii="Times New Roman" w:hAnsi="Times New Roman" w:cs="Times New Roman"/>
                <w:color w:val="000000"/>
                <w:szCs w:val="21"/>
              </w:rPr>
            </w:pPr>
            <w:proofErr w:type="spellStart"/>
            <w:r>
              <w:rPr>
                <w:rFonts w:ascii="Times New Roman" w:hAnsi="Times New Roman" w:cs="Times New Roman"/>
                <w:color w:val="000000"/>
                <w:szCs w:val="21"/>
              </w:rPr>
              <w:t>ChemNanoMat</w:t>
            </w:r>
            <w:proofErr w:type="spellEnd"/>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2021</w:t>
            </w:r>
          </w:p>
        </w:tc>
        <w:tc>
          <w:tcPr>
            <w:tcW w:w="399" w:type="pct"/>
            <w:tcBorders>
              <w:top w:val="nil"/>
              <w:left w:val="nil"/>
              <w:bottom w:val="nil"/>
              <w:right w:val="nil"/>
            </w:tcBorders>
            <w:shd w:val="clear" w:color="auto" w:fill="FFFFFF"/>
            <w:vAlign w:val="center"/>
          </w:tcPr>
          <w:p w14:paraId="012B110A"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&lt;EndNote&gt;&lt;Cite&gt;&lt;Author&gt;Li&lt;/Author&gt;&lt;Year&gt;2021&lt;/Year&gt;&lt;RecNum&gt;7&lt;/RecNum&gt;&lt;DisplayText&gt;&lt;style face="superscript"&gt;[34]&lt;/style&gt;&lt;/DisplayText&gt;&lt;record&gt;&lt;rec-number&gt;7&lt;/rec-number&gt;&lt;foreign-keys&gt;&lt;key app="EN" db-id="vpa0aa9tcdtxrzeda2axfrfy5szfrt50v9xf" timestamp="1750762046"&gt;7&lt;/key&gt;&lt;/foreign-keys&gt;&lt;ref-type name="Journal Article"&gt;17&lt;/ref-type&gt;&lt;contributors&gt;&lt;authors&gt;&lt;author&gt;Li, Xin&lt;/author&gt;&lt;author&gt;Zeng, Jiaming&lt;/author&gt;&lt;author&gt;Yao, Hong&lt;/author&gt;&lt;author&gt;Yuan, Du&lt;/author&gt;&lt;author&gt;Zhang, Liping&lt;/author&gt;&lt;/authors&gt;&lt;/contributors&gt;&lt;titles&gt;&lt;title&gt;Current Advances on Zn Anodes for Aqueous Zinc-Ion Batteries&lt;/title&gt;&lt;secondary-title&gt;ChemNanoMat&lt;/secondary-title&gt;&lt;/titles&gt;&lt;periodical&gt;&lt;full-title&gt;ChemNanoMat&lt;/full-title&gt;&lt;/periodical&gt;&lt;pages&gt;1162-1176&lt;/pages&gt;&lt;volume&gt;7&lt;/volume&gt;&lt;number&gt;11&lt;/number&gt;&lt;dates&gt;&lt;year&gt;2021&lt;/year&gt;&lt;/dates&gt;&lt;isbn&gt;2199-692X&lt;/isbn&gt;&lt;urls&gt;&lt;related-urls&gt;&lt;url&gt;https://aces.onlinelibrary.wiley.com/doi/abs/10.1002/cnma.202100267&lt;/url&gt;&lt;/related-urls&gt;&lt;/urls&gt;&lt;electronic-resource-num&gt;https://doi.org/10.1002/cnma.202100267&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[34]</w:t>
            </w:r>
            <w:r>
              <w:rPr>
                <w:rFonts w:ascii="Times New Roman" w:hAnsi="Times New Roman" w:cs="Times New Roman"/>
                <w:color w:val="0000FF"/>
                <w:szCs w:val="21"/>
              </w:rPr>
              <w:fldChar w:fldCharType="end"/>
            </w:r>
          </w:p>
        </w:tc>
      </w:tr>
      <w:tr w:rsidR="00536E8D" w14:paraId="0E15BF3D" w14:textId="77777777" w:rsidTr="00D02DF7">
        <w:trPr>
          <w:trHeight w:val="696"/>
          <w:jc w:val="center"/>
        </w:trPr>
        <w:tc>
          <w:tcPr>
            <w:tcW w:w="912" w:type="pct"/>
            <w:tcBorders>
              <w:top w:val="nil"/>
              <w:left w:val="nil"/>
              <w:bottom w:val="nil"/>
              <w:right w:val="nil"/>
            </w:tcBorders>
            <w:shd w:val="clear" w:color="auto" w:fill="FFFFFF"/>
            <w:vAlign w:val="center"/>
          </w:tcPr>
          <w:p w14:paraId="702603F9"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DCD-Additive</w:t>
            </w:r>
          </w:p>
        </w:tc>
        <w:tc>
          <w:tcPr>
            <w:tcW w:w="746" w:type="pct"/>
            <w:tcBorders>
              <w:top w:val="nil"/>
              <w:left w:val="nil"/>
              <w:bottom w:val="nil"/>
              <w:right w:val="nil"/>
            </w:tcBorders>
            <w:shd w:val="clear" w:color="auto" w:fill="FFFFFF"/>
            <w:vAlign w:val="center"/>
          </w:tcPr>
          <w:p w14:paraId="7D735094"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5</w:t>
            </w:r>
          </w:p>
        </w:tc>
        <w:tc>
          <w:tcPr>
            <w:tcW w:w="864" w:type="pct"/>
            <w:tcBorders>
              <w:top w:val="nil"/>
              <w:left w:val="nil"/>
              <w:bottom w:val="nil"/>
              <w:right w:val="nil"/>
            </w:tcBorders>
            <w:shd w:val="clear" w:color="auto" w:fill="FFFFFF"/>
            <w:vAlign w:val="center"/>
          </w:tcPr>
          <w:p w14:paraId="4BE737F9"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559" w:type="pct"/>
            <w:tcBorders>
              <w:top w:val="nil"/>
              <w:left w:val="nil"/>
              <w:bottom w:val="nil"/>
              <w:right w:val="nil"/>
            </w:tcBorders>
            <w:shd w:val="clear" w:color="auto" w:fill="FFFFFF"/>
            <w:vAlign w:val="center"/>
          </w:tcPr>
          <w:p w14:paraId="005B2F31"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3000</w:t>
            </w:r>
          </w:p>
        </w:tc>
        <w:tc>
          <w:tcPr>
            <w:tcW w:w="1520" w:type="pct"/>
            <w:tcBorders>
              <w:top w:val="nil"/>
              <w:left w:val="nil"/>
              <w:bottom w:val="nil"/>
              <w:right w:val="nil"/>
            </w:tcBorders>
            <w:shd w:val="clear" w:color="auto" w:fill="FFFFFF"/>
            <w:vAlign w:val="center"/>
          </w:tcPr>
          <w:p w14:paraId="452E1536" w14:textId="181CFBAA"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J. Mater. Chem. A</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2025</w:t>
            </w:r>
          </w:p>
        </w:tc>
        <w:tc>
          <w:tcPr>
            <w:tcW w:w="399" w:type="pct"/>
            <w:tcBorders>
              <w:top w:val="nil"/>
              <w:left w:val="nil"/>
              <w:bottom w:val="nil"/>
              <w:right w:val="nil"/>
            </w:tcBorders>
            <w:shd w:val="clear" w:color="auto" w:fill="FFFFFF"/>
            <w:vAlign w:val="center"/>
          </w:tcPr>
          <w:p w14:paraId="13F08B1E"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&lt;EndNote&gt;&lt;Cite&gt;&lt;Author&gt;Liu&lt;/Author&gt;&lt;Year&gt;2025&lt;/Year&gt;&lt;RecNum&gt;8&lt;/RecNum&gt;&lt;DisplayText&gt;&lt;style face="superscript"&gt;[35]&lt;/style&gt;&lt;/DisplayText&gt;&lt;record&gt;&lt;rec-number&gt;8&lt;/rec-number&gt;&lt;foreign-keys&gt;&lt;key app="EN" db-id="vpa0aa9tcdtxrzeda2axfrfy5szfrt50v9xf" timestamp="1750762138"&gt;8&lt;/key&gt;&lt;/foreign-keys&gt;&lt;ref-type name="Journal Article"&gt;17&lt;/ref-type&gt;&lt;contributors&gt;&lt;authors&gt;&lt;author&gt;Liu, Dajin&lt;/author&gt;&lt;author&gt;Lv, Bangdi&lt;/author&gt;&lt;author&gt;Liu, Zihao&lt;/author&gt;&lt;author&gt;Cheng, Lu&lt;/author&gt;&lt;author&gt;Deng, Yu&lt;/author&gt;&lt;author&gt;Song, Xinchun&lt;/author&gt;&lt;author&gt;Jiang, Zhipeng&lt;/author&gt;&lt;/authors&gt;&lt;/contributors&gt;&lt;titles&gt;&lt;title&gt;Molecular anchoring-induced proton adsorption effect achieves stable zinc metal anodes&lt;/title&gt;&lt;secondary-title&gt;Journal of Materials Chemistry A&lt;/secondary-title&gt;&lt;/titles&gt;&lt;periodical&gt;&lt;full-title&gt;Journal of Materials Chemistry A&lt;/full-title&gt;&lt;/periodical&gt;&lt;dates&gt;&lt;year&gt;2025&lt;/year&gt;&lt;pub-dates&gt;&lt;date&gt;2025/06/02&lt;/date&gt;&lt;/pub-dates&gt;&lt;/dates&gt;&lt;urls&gt;&lt;related-urls&gt;&lt;url&gt;http://dx.doi.org/10.1039/d5ta02312b&lt;/url&gt;&lt;/related-urls&gt;&lt;/urls&gt;&lt;electronic-resource-num&gt;10.1039/d5ta02312b&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[35]</w:t>
            </w:r>
            <w:r>
              <w:rPr>
                <w:rFonts w:ascii="Times New Roman" w:hAnsi="Times New Roman" w:cs="Times New Roman"/>
                <w:color w:val="0000FF"/>
                <w:szCs w:val="21"/>
              </w:rPr>
              <w:fldChar w:fldCharType="end"/>
            </w:r>
          </w:p>
        </w:tc>
      </w:tr>
      <w:tr w:rsidR="00536E8D" w14:paraId="0F0A0B56" w14:textId="77777777" w:rsidTr="00D02DF7">
        <w:trPr>
          <w:trHeight w:val="821"/>
          <w:jc w:val="center"/>
        </w:trPr>
        <w:tc>
          <w:tcPr>
            <w:tcW w:w="912" w:type="pct"/>
            <w:tcBorders>
              <w:top w:val="nil"/>
              <w:left w:val="nil"/>
              <w:bottom w:val="single" w:sz="12" w:space="0" w:color="000000"/>
              <w:right w:val="nil"/>
            </w:tcBorders>
            <w:shd w:val="clear" w:color="auto" w:fill="FFFFFF"/>
            <w:vAlign w:val="center"/>
          </w:tcPr>
          <w:p w14:paraId="7356499E" w14:textId="77777777" w:rsidR="00536E8D" w:rsidRDefault="00B21C59">
            <w:pPr>
              <w:widowControl/>
              <w:jc w:val="center"/>
              <w:textAlignment w:val="center"/>
              <w:rPr>
                <w:rFonts w:ascii="Times New Roman" w:eastAsia="宋体" w:hAnsi="Times New Roman" w:cs="Times New Roman"/>
                <w:color w:val="000000"/>
                <w:kern w:val="0"/>
                <w:szCs w:val="21"/>
                <w:lang w:bidi="ar"/>
              </w:rPr>
            </w:pPr>
            <w:r>
              <w:rPr>
                <w:rFonts w:ascii="Times New Roman" w:eastAsia="宋体" w:hAnsi="Times New Roman" w:cs="Times New Roman"/>
                <w:color w:val="000000"/>
                <w:kern w:val="0"/>
                <w:szCs w:val="21"/>
                <w:lang w:bidi="ar"/>
              </w:rPr>
              <w:t>GABA-Additive</w:t>
            </w:r>
          </w:p>
        </w:tc>
        <w:tc>
          <w:tcPr>
            <w:tcW w:w="746" w:type="pct"/>
            <w:tcBorders>
              <w:top w:val="nil"/>
              <w:left w:val="nil"/>
              <w:bottom w:val="single" w:sz="12" w:space="0" w:color="000000"/>
              <w:right w:val="nil"/>
            </w:tcBorders>
            <w:shd w:val="clear" w:color="auto" w:fill="FFFFFF"/>
            <w:vAlign w:val="center"/>
          </w:tcPr>
          <w:p w14:paraId="50533705"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3</w:t>
            </w:r>
          </w:p>
        </w:tc>
        <w:tc>
          <w:tcPr>
            <w:tcW w:w="864" w:type="pct"/>
            <w:tcBorders>
              <w:top w:val="nil"/>
              <w:left w:val="nil"/>
              <w:bottom w:val="single" w:sz="12" w:space="0" w:color="000000"/>
              <w:right w:val="nil"/>
            </w:tcBorders>
            <w:shd w:val="clear" w:color="auto" w:fill="FFFFFF"/>
            <w:vAlign w:val="center"/>
          </w:tcPr>
          <w:p w14:paraId="2372A824"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1</w:t>
            </w:r>
          </w:p>
        </w:tc>
        <w:tc>
          <w:tcPr>
            <w:tcW w:w="559" w:type="pct"/>
            <w:tcBorders>
              <w:top w:val="nil"/>
              <w:left w:val="nil"/>
              <w:bottom w:val="single" w:sz="12" w:space="0" w:color="000000"/>
              <w:right w:val="nil"/>
            </w:tcBorders>
            <w:shd w:val="clear" w:color="auto" w:fill="FFFFFF"/>
            <w:vAlign w:val="center"/>
          </w:tcPr>
          <w:p w14:paraId="00A92115" w14:textId="77777777" w:rsidR="00536E8D" w:rsidRDefault="00B21C59">
            <w:pPr>
              <w:widowControl/>
              <w:jc w:val="center"/>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lang w:bidi="ar"/>
              </w:rPr>
              <w:t>2000</w:t>
            </w:r>
          </w:p>
        </w:tc>
        <w:tc>
          <w:tcPr>
            <w:tcW w:w="1520" w:type="pct"/>
            <w:tcBorders>
              <w:top w:val="nil"/>
              <w:left w:val="nil"/>
              <w:bottom w:val="single" w:sz="12" w:space="0" w:color="000000"/>
              <w:right w:val="nil"/>
            </w:tcBorders>
            <w:shd w:val="clear" w:color="auto" w:fill="FFFFFF"/>
            <w:vAlign w:val="center"/>
          </w:tcPr>
          <w:p w14:paraId="7366D85A" w14:textId="2AEF5AD0" w:rsidR="00536E8D" w:rsidRDefault="00B21C59">
            <w:pPr>
              <w:jc w:val="center"/>
              <w:rPr>
                <w:rFonts w:ascii="Times New Roman" w:hAnsi="Times New Roman" w:cs="Times New Roman"/>
                <w:color w:val="000000"/>
                <w:szCs w:val="21"/>
              </w:rPr>
            </w:pPr>
            <w:r>
              <w:rPr>
                <w:rFonts w:ascii="Times New Roman" w:hAnsi="Times New Roman" w:cs="Times New Roman" w:hint="eastAsia"/>
                <w:color w:val="000000"/>
                <w:szCs w:val="21"/>
              </w:rPr>
              <w:t>New J. Chem.</w:t>
            </w:r>
            <w:r>
              <w:rPr>
                <w:rFonts w:ascii="Times New Roman" w:hAnsi="Times New Roman" w:cs="Times New Roman"/>
                <w:color w:val="000000"/>
                <w:szCs w:val="21"/>
              </w:rPr>
              <w:t>,</w:t>
            </w:r>
            <w:r w:rsidR="00AE7E04">
              <w:rPr>
                <w:rFonts w:ascii="Times New Roman" w:hAnsi="Times New Roman" w:cs="Times New Roman" w:hint="eastAsia"/>
                <w:color w:val="000000"/>
                <w:szCs w:val="21"/>
              </w:rPr>
              <w:t xml:space="preserve"> </w:t>
            </w:r>
            <w:r>
              <w:rPr>
                <w:rFonts w:ascii="Times New Roman" w:hAnsi="Times New Roman" w:cs="Times New Roman"/>
                <w:color w:val="000000"/>
                <w:szCs w:val="21"/>
              </w:rPr>
              <w:t>2025</w:t>
            </w:r>
          </w:p>
        </w:tc>
        <w:tc>
          <w:tcPr>
            <w:tcW w:w="399" w:type="pct"/>
            <w:tcBorders>
              <w:top w:val="nil"/>
              <w:left w:val="nil"/>
              <w:bottom w:val="single" w:sz="12" w:space="0" w:color="000000"/>
              <w:right w:val="nil"/>
            </w:tcBorders>
            <w:shd w:val="clear" w:color="auto" w:fill="FFFFFF"/>
            <w:vAlign w:val="center"/>
          </w:tcPr>
          <w:p w14:paraId="4B86D79A" w14:textId="77777777" w:rsidR="00536E8D" w:rsidRDefault="00B21C59">
            <w:pPr>
              <w:jc w:val="center"/>
              <w:rPr>
                <w:rFonts w:ascii="Times New Roman" w:hAnsi="Times New Roman" w:cs="Times New Roman"/>
                <w:color w:val="000000"/>
                <w:szCs w:val="21"/>
              </w:rPr>
            </w:pPr>
            <w:r>
              <w:rPr>
                <w:rFonts w:ascii="Times New Roman" w:hAnsi="Times New Roman" w:cs="Times New Roman"/>
                <w:color w:val="0000FF"/>
                <w:szCs w:val="21"/>
              </w:rPr>
              <w:fldChar w:fldCharType="begin"/>
            </w:r>
            <w:r>
              <w:rPr>
                <w:rFonts w:ascii="Times New Roman" w:hAnsi="Times New Roman" w:cs="Times New Roman" w:hint="eastAsia"/>
                <w:color w:val="0000FF"/>
                <w:szCs w:val="21"/>
              </w:rPr>
              <w:instrText xml:space="preserve"> ADDIN EN.CITE &lt;EndNote&gt;&lt;Cite&gt;&lt;Author&gt;Liu&lt;/Author&gt;&lt;Year&gt;2025&lt;/Year&gt;&lt;RecNum&gt;10&lt;/RecNum&gt;&lt;DisplayText&gt;&lt;style face="superscript"&gt;[36]&lt;/style&gt;&lt;/DisplayText&gt;&lt;record&gt;&lt;rec-number&gt;10&lt;/rec-number&gt;&lt;foreign-keys&gt;&lt;key app="EN" db-id="vpa0aa9tcdtxrzeda2axfrfy5szfrt50v9xf" timestamp="1750762332"&gt;10&lt;/key&gt;&lt;/foreign-keys&gt;&lt;ref-type name="Journal Article"&gt;17&lt;/ref-type&gt;&lt;contributors&gt;&lt;authors&gt;&lt;author&gt;Liu, Tiancun&lt;/author&gt;&lt;author&gt;Huang, Gangyong&lt;/author&gt;&lt;author&gt;Wei, Zhonghua&lt;/author&gt;&lt;author&gt;Zheng, Lu&lt;/author&gt;&lt;author&gt;Sun, Zhubing&lt;/author&gt;&lt;author&gt;Wang, Xusheng&lt;/author&gt;&lt;author&gt;guo, chaofei&lt;/author&gt;&lt;/authors&gt;&lt;/contributors&gt;&lt;titles&gt;&lt;title&gt;Relieving interface corrosion and inducing planar Zn plating achieved by </w:instrText>
            </w:r>
            <w:r>
              <w:rPr>
                <w:rFonts w:ascii="Times New Roman" w:hAnsi="Times New Roman" w:cs="Times New Roman" w:hint="eastAsia"/>
                <w:color w:val="0000FF"/>
                <w:szCs w:val="21"/>
              </w:rPr>
              <w:instrText>γ</w:instrText>
            </w:r>
            <w:r>
              <w:rPr>
                <w:rFonts w:ascii="Times New Roman" w:hAnsi="Times New Roman" w:cs="Times New Roman" w:hint="eastAsia"/>
                <w:color w:val="0000FF"/>
                <w:szCs w:val="21"/>
              </w:rPr>
              <w:instrText>-aminobutyric acid towards stable and high-performance Zn ion batteries&lt;/title&gt;&lt;secondary-title&gt;New Journal of Chemistry&lt;/secondary-title&gt;&lt;/titles&gt;&lt;periodical&gt;&lt;full-title&gt;New Journal of Chemistry&lt;/full-title&gt;&lt;/periodical&gt;&lt;pages&gt;10928-10935&lt;/pages&gt;&lt;volume&gt;49&lt;/volume&gt;&lt;dates&gt;&lt;year&gt;2025&lt;/year&gt;&lt;pub-dates&gt;&lt;date&gt;2025/05/29&lt;/date&gt;&lt;/pub-dates&gt;&lt;/dates&gt;&lt;urls&gt;&lt;related-urls&gt;&lt;url&gt;http://dx.doi.org/10.1039/d5nj01320h&lt;/url&gt;&lt;/related-urls&gt;&lt;/urls&gt;&lt;electronic-resource-num&gt;10.1039/d5nj01320h&lt;/electronic-resource-num&gt;&lt;/record&gt;&lt;/Cite&gt;&lt;/EndNote&gt;</w:instrText>
            </w:r>
            <w:r>
              <w:rPr>
                <w:rFonts w:ascii="Times New Roman" w:hAnsi="Times New Roman" w:cs="Times New Roman"/>
                <w:color w:val="0000FF"/>
                <w:szCs w:val="21"/>
              </w:rPr>
              <w:fldChar w:fldCharType="separate"/>
            </w:r>
            <w:r>
              <w:rPr>
                <w:rFonts w:ascii="Times New Roman" w:hAnsi="Times New Roman" w:cs="Times New Roman" w:hint="eastAsia"/>
                <w:color w:val="0000FF"/>
                <w:szCs w:val="21"/>
              </w:rPr>
              <w:t>[36]</w:t>
            </w:r>
            <w:r>
              <w:rPr>
                <w:rFonts w:ascii="Times New Roman" w:hAnsi="Times New Roman" w:cs="Times New Roman"/>
                <w:color w:val="0000FF"/>
                <w:szCs w:val="21"/>
              </w:rPr>
              <w:fldChar w:fldCharType="end"/>
            </w:r>
          </w:p>
        </w:tc>
      </w:tr>
    </w:tbl>
    <w:p w14:paraId="0F61944C" w14:textId="77777777" w:rsidR="00536E8D" w:rsidRDefault="00B21C59">
      <w:pPr>
        <w:rPr>
          <w:rFonts w:ascii="Times New Roman" w:hAnsi="Times New Roman" w:cs="Times New Roman"/>
          <w:b/>
          <w:bCs/>
          <w:sz w:val="28"/>
          <w:szCs w:val="28"/>
        </w:rPr>
      </w:pPr>
      <w:r>
        <w:rPr>
          <w:rFonts w:ascii="Times New Roman" w:hAnsi="Times New Roman" w:cs="Times New Roman"/>
          <w:b/>
          <w:bCs/>
          <w:sz w:val="28"/>
          <w:szCs w:val="28"/>
        </w:rPr>
        <w:br w:type="page"/>
      </w:r>
    </w:p>
    <w:p w14:paraId="2D82E7F9" w14:textId="77777777" w:rsidR="00536E8D" w:rsidRDefault="00B21C59">
      <w:pPr>
        <w:jc w:val="left"/>
        <w:rPr>
          <w:rFonts w:ascii="Times New Roman" w:hAnsi="Times New Roman" w:cs="Times New Roman"/>
          <w:b/>
          <w:bCs/>
          <w:sz w:val="28"/>
          <w:szCs w:val="28"/>
        </w:rPr>
      </w:pPr>
      <w:r>
        <w:rPr>
          <w:rFonts w:ascii="Times New Roman" w:hAnsi="Times New Roman" w:cs="Times New Roman"/>
          <w:b/>
          <w:bCs/>
          <w:sz w:val="28"/>
          <w:szCs w:val="28"/>
        </w:rPr>
        <w:lastRenderedPageBreak/>
        <w:t>Reference</w:t>
      </w:r>
    </w:p>
    <w:p w14:paraId="120A166C" w14:textId="0406D3A0"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ADDIN EN.REFLIST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tab/>
        <w:t xml:space="preserve">Zhang H, Gan X, Yan Y, et al. A </w:t>
      </w:r>
      <w:r w:rsidR="009A2704">
        <w:rPr>
          <w:rFonts w:ascii="Times New Roman" w:hAnsi="Times New Roman" w:cs="Times New Roman"/>
          <w:sz w:val="21"/>
          <w:szCs w:val="21"/>
        </w:rPr>
        <w:t>s</w:t>
      </w:r>
      <w:r>
        <w:rPr>
          <w:rFonts w:ascii="Times New Roman" w:hAnsi="Times New Roman" w:cs="Times New Roman"/>
          <w:sz w:val="21"/>
          <w:szCs w:val="21"/>
        </w:rPr>
        <w:t xml:space="preserve">ustainable </w:t>
      </w:r>
      <w:r w:rsidR="009A2704">
        <w:rPr>
          <w:rFonts w:ascii="Times New Roman" w:hAnsi="Times New Roman" w:cs="Times New Roman"/>
          <w:sz w:val="21"/>
          <w:szCs w:val="21"/>
        </w:rPr>
        <w:t>d</w:t>
      </w:r>
      <w:r>
        <w:rPr>
          <w:rFonts w:ascii="Times New Roman" w:hAnsi="Times New Roman" w:cs="Times New Roman"/>
          <w:sz w:val="21"/>
          <w:szCs w:val="21"/>
        </w:rPr>
        <w:t xml:space="preserve">ual </w:t>
      </w:r>
      <w:r w:rsidR="009A2704">
        <w:rPr>
          <w:rFonts w:ascii="Times New Roman" w:hAnsi="Times New Roman" w:cs="Times New Roman"/>
          <w:sz w:val="21"/>
          <w:szCs w:val="21"/>
        </w:rPr>
        <w:t>c</w:t>
      </w:r>
      <w:r>
        <w:rPr>
          <w:rFonts w:ascii="Times New Roman" w:hAnsi="Times New Roman" w:cs="Times New Roman"/>
          <w:sz w:val="21"/>
          <w:szCs w:val="21"/>
        </w:rPr>
        <w:t>ross-</w:t>
      </w:r>
      <w:r w:rsidR="009A2704">
        <w:rPr>
          <w:rFonts w:ascii="Times New Roman" w:hAnsi="Times New Roman" w:cs="Times New Roman"/>
          <w:sz w:val="21"/>
          <w:szCs w:val="21"/>
        </w:rPr>
        <w:t>l</w:t>
      </w:r>
      <w:r>
        <w:rPr>
          <w:rFonts w:ascii="Times New Roman" w:hAnsi="Times New Roman" w:cs="Times New Roman"/>
          <w:sz w:val="21"/>
          <w:szCs w:val="21"/>
        </w:rPr>
        <w:t xml:space="preserve">inked </w:t>
      </w:r>
      <w:r w:rsidR="009A2704">
        <w:rPr>
          <w:rFonts w:ascii="Times New Roman" w:hAnsi="Times New Roman" w:cs="Times New Roman"/>
          <w:sz w:val="21"/>
          <w:szCs w:val="21"/>
        </w:rPr>
        <w:t>c</w:t>
      </w:r>
      <w:r>
        <w:rPr>
          <w:rFonts w:ascii="Times New Roman" w:hAnsi="Times New Roman" w:cs="Times New Roman"/>
          <w:sz w:val="21"/>
          <w:szCs w:val="21"/>
        </w:rPr>
        <w:t xml:space="preserve">ellulose </w:t>
      </w:r>
      <w:r w:rsidR="009A2704">
        <w:rPr>
          <w:rFonts w:ascii="Times New Roman" w:hAnsi="Times New Roman" w:cs="Times New Roman"/>
          <w:sz w:val="21"/>
          <w:szCs w:val="21"/>
        </w:rPr>
        <w:t>h</w:t>
      </w:r>
      <w:r>
        <w:rPr>
          <w:rFonts w:ascii="Times New Roman" w:hAnsi="Times New Roman" w:cs="Times New Roman"/>
          <w:sz w:val="21"/>
          <w:szCs w:val="21"/>
        </w:rPr>
        <w:t xml:space="preserve">ydrogel </w:t>
      </w:r>
      <w:r w:rsidR="009A2704">
        <w:rPr>
          <w:rFonts w:ascii="Times New Roman" w:hAnsi="Times New Roman" w:cs="Times New Roman"/>
          <w:sz w:val="21"/>
          <w:szCs w:val="21"/>
        </w:rPr>
        <w:t>e</w:t>
      </w:r>
      <w:r>
        <w:rPr>
          <w:rFonts w:ascii="Times New Roman" w:hAnsi="Times New Roman" w:cs="Times New Roman"/>
          <w:sz w:val="21"/>
          <w:szCs w:val="21"/>
        </w:rPr>
        <w:t xml:space="preserve">lectrolyte for </w:t>
      </w:r>
      <w:r w:rsidR="009A2704">
        <w:rPr>
          <w:rFonts w:ascii="Times New Roman" w:hAnsi="Times New Roman" w:cs="Times New Roman"/>
          <w:sz w:val="21"/>
          <w:szCs w:val="21"/>
        </w:rPr>
        <w:t>h</w:t>
      </w:r>
      <w:r>
        <w:rPr>
          <w:rFonts w:ascii="Times New Roman" w:hAnsi="Times New Roman" w:cs="Times New Roman"/>
          <w:sz w:val="21"/>
          <w:szCs w:val="21"/>
        </w:rPr>
        <w:t>igh-</w:t>
      </w:r>
      <w:r w:rsidR="009A2704">
        <w:rPr>
          <w:rFonts w:ascii="Times New Roman" w:hAnsi="Times New Roman" w:cs="Times New Roman"/>
          <w:sz w:val="21"/>
          <w:szCs w:val="21"/>
        </w:rPr>
        <w:t>p</w:t>
      </w:r>
      <w:r>
        <w:rPr>
          <w:rFonts w:ascii="Times New Roman" w:hAnsi="Times New Roman" w:cs="Times New Roman"/>
          <w:sz w:val="21"/>
          <w:szCs w:val="21"/>
        </w:rPr>
        <w:t xml:space="preserve">erformance </w:t>
      </w:r>
      <w:r w:rsidR="009A2704">
        <w:rPr>
          <w:rFonts w:ascii="Times New Roman" w:hAnsi="Times New Roman" w:cs="Times New Roman"/>
          <w:sz w:val="21"/>
          <w:szCs w:val="21"/>
        </w:rPr>
        <w:t>z</w:t>
      </w:r>
      <w:r>
        <w:rPr>
          <w:rFonts w:ascii="Times New Roman" w:hAnsi="Times New Roman" w:cs="Times New Roman"/>
          <w:sz w:val="21"/>
          <w:szCs w:val="21"/>
        </w:rPr>
        <w:t>inc-</w:t>
      </w:r>
      <w:r w:rsidR="009A2704">
        <w:rPr>
          <w:rFonts w:ascii="Times New Roman" w:hAnsi="Times New Roman" w:cs="Times New Roman"/>
          <w:sz w:val="21"/>
          <w:szCs w:val="21"/>
        </w:rPr>
        <w:t>m</w:t>
      </w:r>
      <w:r>
        <w:rPr>
          <w:rFonts w:ascii="Times New Roman" w:hAnsi="Times New Roman" w:cs="Times New Roman"/>
          <w:sz w:val="21"/>
          <w:szCs w:val="21"/>
        </w:rPr>
        <w:t xml:space="preserve">etal </w:t>
      </w:r>
      <w:r w:rsidR="009A2704">
        <w:rPr>
          <w:rFonts w:ascii="Times New Roman" w:hAnsi="Times New Roman" w:cs="Times New Roman"/>
          <w:sz w:val="21"/>
          <w:szCs w:val="21"/>
        </w:rPr>
        <w:t>b</w:t>
      </w:r>
      <w:r>
        <w:rPr>
          <w:rFonts w:ascii="Times New Roman" w:hAnsi="Times New Roman" w:cs="Times New Roman"/>
          <w:sz w:val="21"/>
          <w:szCs w:val="21"/>
        </w:rPr>
        <w:t>atteries. Nano-Micro Letters, 2024, 16(1): 106.</w:t>
      </w:r>
    </w:p>
    <w:p w14:paraId="280AF458"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w:t>
      </w:r>
      <w:r>
        <w:rPr>
          <w:rFonts w:ascii="Times New Roman" w:hAnsi="Times New Roman" w:cs="Times New Roman"/>
          <w:sz w:val="21"/>
          <w:szCs w:val="21"/>
        </w:rPr>
        <w:tab/>
        <w:t>Zhang Q, Luan J, Huang X, et al. Revealing the role of crystal orientation of protective layers for stable zinc anode. Nature Communications, 2020, 11(1): 3961.</w:t>
      </w:r>
    </w:p>
    <w:p w14:paraId="474C95E8"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[3]</w:t>
      </w:r>
      <w:r>
        <w:rPr>
          <w:rFonts w:ascii="Times New Roman" w:hAnsi="Times New Roman" w:cs="Times New Roman"/>
          <w:sz w:val="21"/>
          <w:szCs w:val="21"/>
        </w:rPr>
        <w:tab/>
        <w:t>Zhao Z, Zhao J, Hu Z, et al. Long-life and deeply rechargeable aqueous Zn anodes enabled by a multifunctional brightener-inspired interphase†. Energy &amp; Environmental Science, 2019, 12(1): 1938-1949.</w:t>
      </w:r>
    </w:p>
    <w:p w14:paraId="601FB920"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[4]</w:t>
      </w:r>
      <w:r>
        <w:rPr>
          <w:rFonts w:ascii="Times New Roman" w:hAnsi="Times New Roman" w:cs="Times New Roman"/>
          <w:sz w:val="21"/>
          <w:szCs w:val="21"/>
        </w:rPr>
        <w:tab/>
        <w:t>Wang H, Luo C, Qian Y, et al. Upcycling of phosphogypsum waste for efficient zinc-ion batteries. Journal of Energy Chemistry, 2023, 81: 157-166.</w:t>
      </w:r>
    </w:p>
    <w:p w14:paraId="3C0DE448"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[5]</w:t>
      </w:r>
      <w:r>
        <w:rPr>
          <w:rFonts w:ascii="Times New Roman" w:hAnsi="Times New Roman" w:cs="Times New Roman"/>
          <w:sz w:val="21"/>
          <w:szCs w:val="21"/>
        </w:rPr>
        <w:tab/>
        <w:t>Jianbo D, Guolang Z, Wenhao D, et al. Machine learning-assisted benign transformation of three zinc states in zinc ion batteries. Energy &amp; Environmental Science, 2025, 18: 4872-4882.</w:t>
      </w:r>
    </w:p>
    <w:p w14:paraId="7BFB67F5" w14:textId="3E00926F"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[6]</w:t>
      </w:r>
      <w:r>
        <w:rPr>
          <w:rFonts w:ascii="Times New Roman" w:hAnsi="Times New Roman" w:cs="Times New Roman"/>
          <w:sz w:val="21"/>
          <w:szCs w:val="21"/>
        </w:rPr>
        <w:tab/>
        <w:t xml:space="preserve">Liang P, Yi J, Liu X, et al. Highly </w:t>
      </w:r>
      <w:r w:rsidR="009A2704">
        <w:rPr>
          <w:rFonts w:ascii="Times New Roman" w:hAnsi="Times New Roman" w:cs="Times New Roman"/>
          <w:sz w:val="21"/>
          <w:szCs w:val="21"/>
        </w:rPr>
        <w:t>r</w:t>
      </w:r>
      <w:r>
        <w:rPr>
          <w:rFonts w:ascii="Times New Roman" w:hAnsi="Times New Roman" w:cs="Times New Roman"/>
          <w:sz w:val="21"/>
          <w:szCs w:val="21"/>
        </w:rPr>
        <w:t xml:space="preserve">eversible Zn </w:t>
      </w:r>
      <w:r w:rsidR="009A2704">
        <w:rPr>
          <w:rFonts w:ascii="Times New Roman" w:hAnsi="Times New Roman" w:cs="Times New Roman"/>
          <w:sz w:val="21"/>
          <w:szCs w:val="21"/>
        </w:rPr>
        <w:t>a</w:t>
      </w:r>
      <w:r>
        <w:rPr>
          <w:rFonts w:ascii="Times New Roman" w:hAnsi="Times New Roman" w:cs="Times New Roman"/>
          <w:sz w:val="21"/>
          <w:szCs w:val="21"/>
        </w:rPr>
        <w:t xml:space="preserve">node </w:t>
      </w:r>
      <w:r w:rsidR="009A2704">
        <w:rPr>
          <w:rFonts w:ascii="Times New Roman" w:hAnsi="Times New Roman" w:cs="Times New Roman"/>
          <w:sz w:val="21"/>
          <w:szCs w:val="21"/>
        </w:rPr>
        <w:t>e</w:t>
      </w:r>
      <w:r>
        <w:rPr>
          <w:rFonts w:ascii="Times New Roman" w:hAnsi="Times New Roman" w:cs="Times New Roman"/>
          <w:sz w:val="21"/>
          <w:szCs w:val="21"/>
        </w:rPr>
        <w:t xml:space="preserve">nabled by </w:t>
      </w:r>
      <w:r w:rsidR="009A2704">
        <w:rPr>
          <w:rFonts w:ascii="Times New Roman" w:hAnsi="Times New Roman" w:cs="Times New Roman"/>
          <w:sz w:val="21"/>
          <w:szCs w:val="21"/>
        </w:rPr>
        <w:t>c</w:t>
      </w:r>
      <w:r>
        <w:rPr>
          <w:rFonts w:ascii="Times New Roman" w:hAnsi="Times New Roman" w:cs="Times New Roman"/>
          <w:sz w:val="21"/>
          <w:szCs w:val="21"/>
        </w:rPr>
        <w:t xml:space="preserve">ontrollable </w:t>
      </w:r>
      <w:r w:rsidR="009A2704">
        <w:rPr>
          <w:rFonts w:ascii="Times New Roman" w:hAnsi="Times New Roman" w:cs="Times New Roman"/>
          <w:sz w:val="21"/>
          <w:szCs w:val="21"/>
        </w:rPr>
        <w:t>f</w:t>
      </w:r>
      <w:r>
        <w:rPr>
          <w:rFonts w:ascii="Times New Roman" w:hAnsi="Times New Roman" w:cs="Times New Roman"/>
          <w:sz w:val="21"/>
          <w:szCs w:val="21"/>
        </w:rPr>
        <w:t xml:space="preserve">ormation of </w:t>
      </w:r>
      <w:r w:rsidR="009A2704">
        <w:rPr>
          <w:rFonts w:ascii="Times New Roman" w:hAnsi="Times New Roman" w:cs="Times New Roman"/>
          <w:sz w:val="21"/>
          <w:szCs w:val="21"/>
        </w:rPr>
        <w:t>n</w:t>
      </w:r>
      <w:r>
        <w:rPr>
          <w:rFonts w:ascii="Times New Roman" w:hAnsi="Times New Roman" w:cs="Times New Roman"/>
          <w:sz w:val="21"/>
          <w:szCs w:val="21"/>
        </w:rPr>
        <w:t xml:space="preserve">ucleation </w:t>
      </w:r>
      <w:r w:rsidR="009A2704">
        <w:rPr>
          <w:rFonts w:ascii="Times New Roman" w:hAnsi="Times New Roman" w:cs="Times New Roman"/>
          <w:sz w:val="21"/>
          <w:szCs w:val="21"/>
        </w:rPr>
        <w:t>s</w:t>
      </w:r>
      <w:r>
        <w:rPr>
          <w:rFonts w:ascii="Times New Roman" w:hAnsi="Times New Roman" w:cs="Times New Roman"/>
          <w:sz w:val="21"/>
          <w:szCs w:val="21"/>
        </w:rPr>
        <w:t>ites for Zn-</w:t>
      </w:r>
      <w:r w:rsidR="009A2704">
        <w:rPr>
          <w:rFonts w:ascii="Times New Roman" w:hAnsi="Times New Roman" w:cs="Times New Roman"/>
          <w:sz w:val="21"/>
          <w:szCs w:val="21"/>
        </w:rPr>
        <w:t>b</w:t>
      </w:r>
      <w:r>
        <w:rPr>
          <w:rFonts w:ascii="Times New Roman" w:hAnsi="Times New Roman" w:cs="Times New Roman"/>
          <w:sz w:val="21"/>
          <w:szCs w:val="21"/>
        </w:rPr>
        <w:t xml:space="preserve">ased </w:t>
      </w:r>
      <w:r w:rsidR="009A2704">
        <w:rPr>
          <w:rFonts w:ascii="Times New Roman" w:hAnsi="Times New Roman" w:cs="Times New Roman"/>
          <w:sz w:val="21"/>
          <w:szCs w:val="21"/>
        </w:rPr>
        <w:t>b</w:t>
      </w:r>
      <w:r>
        <w:rPr>
          <w:rFonts w:ascii="Times New Roman" w:hAnsi="Times New Roman" w:cs="Times New Roman"/>
          <w:sz w:val="21"/>
          <w:szCs w:val="21"/>
        </w:rPr>
        <w:t>atteries. Advanced Functional Materials, 2020, 30(13): 1908528.</w:t>
      </w:r>
    </w:p>
    <w:p w14:paraId="76D01EFB"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[7]</w:t>
      </w:r>
      <w:r>
        <w:rPr>
          <w:rFonts w:ascii="Times New Roman" w:hAnsi="Times New Roman" w:cs="Times New Roman"/>
          <w:sz w:val="21"/>
          <w:szCs w:val="21"/>
        </w:rPr>
        <w:tab/>
        <w:t>Hieu L T, So S, Kim I T, et al. Zn anode with flexible β-PVDF coating for aqueous Zn-ion batteries with long cycle life. Chemical Engineering Journal, 2021, 411: 128584.</w:t>
      </w:r>
    </w:p>
    <w:p w14:paraId="2941827D"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[8]</w:t>
      </w:r>
      <w:r>
        <w:rPr>
          <w:rFonts w:ascii="Times New Roman" w:hAnsi="Times New Roman" w:cs="Times New Roman"/>
          <w:sz w:val="21"/>
          <w:szCs w:val="21"/>
        </w:rPr>
        <w:tab/>
        <w:t>Wang Y, Li Q, Hong H, et al. Lean-water hydrogel electrolyte for zinc ion batteries. Nature Communications, 2023, 14(1): 3890.</w:t>
      </w:r>
    </w:p>
    <w:p w14:paraId="5137C043"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[9]</w:t>
      </w:r>
      <w:r>
        <w:rPr>
          <w:rFonts w:ascii="Times New Roman" w:hAnsi="Times New Roman" w:cs="Times New Roman"/>
          <w:sz w:val="21"/>
          <w:szCs w:val="21"/>
        </w:rPr>
        <w:tab/>
        <w:t>Huang J, Chi X, Wu J, et al. High-concentration dual-complex electrolyte enabled a neutral aqueous zinc-manganese electrolytic battery with superior stability. Chemical Engineering Journal, 2022, 430: 133058.</w:t>
      </w:r>
    </w:p>
    <w:p w14:paraId="62D7B5C9"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[10]</w:t>
      </w:r>
      <w:r>
        <w:rPr>
          <w:rFonts w:ascii="Times New Roman" w:hAnsi="Times New Roman" w:cs="Times New Roman"/>
          <w:sz w:val="21"/>
          <w:szCs w:val="21"/>
        </w:rPr>
        <w:tab/>
        <w:t>Liang Y, Xie L, Zhang W, et al. Interfacial modulation via cationic electrostatic shielding effect for reversible and durable Zn anodes in hydrogel electrolytes. Journal of Alloys and Compounds, 2024, 976: 173118.</w:t>
      </w:r>
    </w:p>
    <w:p w14:paraId="0865CBFF" w14:textId="24030F0D"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[11]</w:t>
      </w:r>
      <w:r>
        <w:rPr>
          <w:rFonts w:ascii="Times New Roman" w:hAnsi="Times New Roman" w:cs="Times New Roman"/>
          <w:sz w:val="21"/>
          <w:szCs w:val="21"/>
        </w:rPr>
        <w:tab/>
        <w:t xml:space="preserve">Tang H, Hu N, Ma L, et al. Interfacial </w:t>
      </w:r>
      <w:r w:rsidR="009A2704">
        <w:rPr>
          <w:rFonts w:ascii="Times New Roman" w:hAnsi="Times New Roman" w:cs="Times New Roman"/>
          <w:sz w:val="21"/>
          <w:szCs w:val="21"/>
        </w:rPr>
        <w:t>d</w:t>
      </w:r>
      <w:r>
        <w:rPr>
          <w:rFonts w:ascii="Times New Roman" w:hAnsi="Times New Roman" w:cs="Times New Roman"/>
          <w:sz w:val="21"/>
          <w:szCs w:val="21"/>
        </w:rPr>
        <w:t>ual-</w:t>
      </w:r>
      <w:r w:rsidR="009A2704">
        <w:rPr>
          <w:rFonts w:ascii="Times New Roman" w:hAnsi="Times New Roman" w:cs="Times New Roman"/>
          <w:sz w:val="21"/>
          <w:szCs w:val="21"/>
        </w:rPr>
        <w:t>m</w:t>
      </w:r>
      <w:r>
        <w:rPr>
          <w:rFonts w:ascii="Times New Roman" w:hAnsi="Times New Roman" w:cs="Times New Roman"/>
          <w:sz w:val="21"/>
          <w:szCs w:val="21"/>
        </w:rPr>
        <w:t xml:space="preserve">odulation via </w:t>
      </w:r>
      <w:r w:rsidR="009A2704">
        <w:rPr>
          <w:rFonts w:ascii="Times New Roman" w:hAnsi="Times New Roman" w:cs="Times New Roman"/>
          <w:sz w:val="21"/>
          <w:szCs w:val="21"/>
        </w:rPr>
        <w:t>c</w:t>
      </w:r>
      <w:r>
        <w:rPr>
          <w:rFonts w:ascii="Times New Roman" w:hAnsi="Times New Roman" w:cs="Times New Roman"/>
          <w:sz w:val="21"/>
          <w:szCs w:val="21"/>
        </w:rPr>
        <w:t xml:space="preserve">ationic </w:t>
      </w:r>
      <w:r w:rsidR="009A2704">
        <w:rPr>
          <w:rFonts w:ascii="Times New Roman" w:hAnsi="Times New Roman" w:cs="Times New Roman"/>
          <w:sz w:val="21"/>
          <w:szCs w:val="21"/>
        </w:rPr>
        <w:t>e</w:t>
      </w:r>
      <w:r>
        <w:rPr>
          <w:rFonts w:ascii="Times New Roman" w:hAnsi="Times New Roman" w:cs="Times New Roman"/>
          <w:sz w:val="21"/>
          <w:szCs w:val="21"/>
        </w:rPr>
        <w:t xml:space="preserve">lectrostatic </w:t>
      </w:r>
      <w:r w:rsidR="009A2704">
        <w:rPr>
          <w:rFonts w:ascii="Times New Roman" w:hAnsi="Times New Roman" w:cs="Times New Roman"/>
          <w:sz w:val="21"/>
          <w:szCs w:val="21"/>
        </w:rPr>
        <w:t>s</w:t>
      </w:r>
      <w:r>
        <w:rPr>
          <w:rFonts w:ascii="Times New Roman" w:hAnsi="Times New Roman" w:cs="Times New Roman"/>
          <w:sz w:val="21"/>
          <w:szCs w:val="21"/>
        </w:rPr>
        <w:t xml:space="preserve">hielding and </w:t>
      </w:r>
      <w:r w:rsidR="009A2704">
        <w:rPr>
          <w:rFonts w:ascii="Times New Roman" w:hAnsi="Times New Roman" w:cs="Times New Roman"/>
          <w:sz w:val="21"/>
          <w:szCs w:val="21"/>
        </w:rPr>
        <w:t>a</w:t>
      </w:r>
      <w:r>
        <w:rPr>
          <w:rFonts w:ascii="Times New Roman" w:hAnsi="Times New Roman" w:cs="Times New Roman"/>
          <w:sz w:val="21"/>
          <w:szCs w:val="21"/>
        </w:rPr>
        <w:t xml:space="preserve">nionic </w:t>
      </w:r>
      <w:r w:rsidR="009A2704">
        <w:rPr>
          <w:rFonts w:ascii="Times New Roman" w:hAnsi="Times New Roman" w:cs="Times New Roman"/>
          <w:sz w:val="21"/>
          <w:szCs w:val="21"/>
        </w:rPr>
        <w:t>p</w:t>
      </w:r>
      <w:r>
        <w:rPr>
          <w:rFonts w:ascii="Times New Roman" w:hAnsi="Times New Roman" w:cs="Times New Roman"/>
          <w:sz w:val="21"/>
          <w:szCs w:val="21"/>
        </w:rPr>
        <w:t xml:space="preserve">referential </w:t>
      </w:r>
      <w:r w:rsidR="009A2704">
        <w:rPr>
          <w:rFonts w:ascii="Times New Roman" w:hAnsi="Times New Roman" w:cs="Times New Roman"/>
          <w:sz w:val="21"/>
          <w:szCs w:val="21"/>
        </w:rPr>
        <w:t>a</w:t>
      </w:r>
      <w:r>
        <w:rPr>
          <w:rFonts w:ascii="Times New Roman" w:hAnsi="Times New Roman" w:cs="Times New Roman"/>
          <w:sz w:val="21"/>
          <w:szCs w:val="21"/>
        </w:rPr>
        <w:t xml:space="preserve">dsorption toward </w:t>
      </w:r>
      <w:r w:rsidR="009A2704">
        <w:rPr>
          <w:rFonts w:ascii="Times New Roman" w:hAnsi="Times New Roman" w:cs="Times New Roman"/>
          <w:sz w:val="21"/>
          <w:szCs w:val="21"/>
        </w:rPr>
        <w:t>p</w:t>
      </w:r>
      <w:r>
        <w:rPr>
          <w:rFonts w:ascii="Times New Roman" w:hAnsi="Times New Roman" w:cs="Times New Roman"/>
          <w:sz w:val="21"/>
          <w:szCs w:val="21"/>
        </w:rPr>
        <w:t xml:space="preserve">lanar and </w:t>
      </w:r>
      <w:r w:rsidR="009A2704">
        <w:rPr>
          <w:rFonts w:ascii="Times New Roman" w:hAnsi="Times New Roman" w:cs="Times New Roman"/>
          <w:sz w:val="21"/>
          <w:szCs w:val="21"/>
        </w:rPr>
        <w:t>r</w:t>
      </w:r>
      <w:r>
        <w:rPr>
          <w:rFonts w:ascii="Times New Roman" w:hAnsi="Times New Roman" w:cs="Times New Roman"/>
          <w:sz w:val="21"/>
          <w:szCs w:val="21"/>
        </w:rPr>
        <w:t xml:space="preserve">eversible </w:t>
      </w:r>
      <w:r w:rsidR="009A2704">
        <w:rPr>
          <w:rFonts w:ascii="Times New Roman" w:hAnsi="Times New Roman" w:cs="Times New Roman"/>
          <w:sz w:val="21"/>
          <w:szCs w:val="21"/>
        </w:rPr>
        <w:t>z</w:t>
      </w:r>
      <w:r>
        <w:rPr>
          <w:rFonts w:ascii="Times New Roman" w:hAnsi="Times New Roman" w:cs="Times New Roman"/>
          <w:sz w:val="21"/>
          <w:szCs w:val="21"/>
        </w:rPr>
        <w:t xml:space="preserve">inc </w:t>
      </w:r>
      <w:r w:rsidR="009A2704">
        <w:rPr>
          <w:rFonts w:ascii="Times New Roman" w:hAnsi="Times New Roman" w:cs="Times New Roman"/>
          <w:sz w:val="21"/>
          <w:szCs w:val="21"/>
        </w:rPr>
        <w:t>e</w:t>
      </w:r>
      <w:r>
        <w:rPr>
          <w:rFonts w:ascii="Times New Roman" w:hAnsi="Times New Roman" w:cs="Times New Roman"/>
          <w:sz w:val="21"/>
          <w:szCs w:val="21"/>
        </w:rPr>
        <w:t>lectrodeposition. Advanced Functional Materials, 2024, 34(38): 2402484.</w:t>
      </w:r>
    </w:p>
    <w:p w14:paraId="444F9F4C" w14:textId="1B54385D"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lastRenderedPageBreak/>
        <w:t>[12]</w:t>
      </w:r>
      <w:r>
        <w:rPr>
          <w:rFonts w:ascii="Times New Roman" w:hAnsi="Times New Roman" w:cs="Times New Roman"/>
          <w:sz w:val="21"/>
          <w:szCs w:val="21"/>
        </w:rPr>
        <w:tab/>
        <w:t xml:space="preserve">Gao X, Dong H, Carmalt C J, et al. Recent </w:t>
      </w:r>
      <w:r w:rsidR="009A2704">
        <w:rPr>
          <w:rFonts w:ascii="Times New Roman" w:hAnsi="Times New Roman" w:cs="Times New Roman"/>
          <w:sz w:val="21"/>
          <w:szCs w:val="21"/>
        </w:rPr>
        <w:t>a</w:t>
      </w:r>
      <w:r>
        <w:rPr>
          <w:rFonts w:ascii="Times New Roman" w:hAnsi="Times New Roman" w:cs="Times New Roman"/>
          <w:sz w:val="21"/>
          <w:szCs w:val="21"/>
        </w:rPr>
        <w:t xml:space="preserve">dvances of </w:t>
      </w:r>
      <w:r w:rsidR="009A2704">
        <w:rPr>
          <w:rFonts w:ascii="Times New Roman" w:hAnsi="Times New Roman" w:cs="Times New Roman"/>
          <w:sz w:val="21"/>
          <w:szCs w:val="21"/>
        </w:rPr>
        <w:t>a</w:t>
      </w:r>
      <w:r>
        <w:rPr>
          <w:rFonts w:ascii="Times New Roman" w:hAnsi="Times New Roman" w:cs="Times New Roman"/>
          <w:sz w:val="21"/>
          <w:szCs w:val="21"/>
        </w:rPr>
        <w:t xml:space="preserve">queous </w:t>
      </w:r>
      <w:r w:rsidR="009A2704">
        <w:rPr>
          <w:rFonts w:ascii="Times New Roman" w:hAnsi="Times New Roman" w:cs="Times New Roman"/>
          <w:sz w:val="21"/>
          <w:szCs w:val="21"/>
        </w:rPr>
        <w:t>e</w:t>
      </w:r>
      <w:r>
        <w:rPr>
          <w:rFonts w:ascii="Times New Roman" w:hAnsi="Times New Roman" w:cs="Times New Roman"/>
          <w:sz w:val="21"/>
          <w:szCs w:val="21"/>
        </w:rPr>
        <w:t xml:space="preserve">lectrolytes for </w:t>
      </w:r>
      <w:r w:rsidR="009A2704">
        <w:rPr>
          <w:rFonts w:ascii="Times New Roman" w:hAnsi="Times New Roman" w:cs="Times New Roman"/>
          <w:sz w:val="21"/>
          <w:szCs w:val="21"/>
        </w:rPr>
        <w:t>z</w:t>
      </w:r>
      <w:r>
        <w:rPr>
          <w:rFonts w:ascii="Times New Roman" w:hAnsi="Times New Roman" w:cs="Times New Roman"/>
          <w:sz w:val="21"/>
          <w:szCs w:val="21"/>
        </w:rPr>
        <w:t>inc-</w:t>
      </w:r>
      <w:r w:rsidR="009A2704">
        <w:rPr>
          <w:rFonts w:ascii="Times New Roman" w:hAnsi="Times New Roman" w:cs="Times New Roman"/>
          <w:sz w:val="21"/>
          <w:szCs w:val="21"/>
        </w:rPr>
        <w:t>i</w:t>
      </w:r>
      <w:r>
        <w:rPr>
          <w:rFonts w:ascii="Times New Roman" w:hAnsi="Times New Roman" w:cs="Times New Roman"/>
          <w:sz w:val="21"/>
          <w:szCs w:val="21"/>
        </w:rPr>
        <w:t xml:space="preserve">on </w:t>
      </w:r>
      <w:r w:rsidR="009A2704">
        <w:rPr>
          <w:rFonts w:ascii="Times New Roman" w:hAnsi="Times New Roman" w:cs="Times New Roman"/>
          <w:sz w:val="21"/>
          <w:szCs w:val="21"/>
        </w:rPr>
        <w:t>b</w:t>
      </w:r>
      <w:r>
        <w:rPr>
          <w:rFonts w:ascii="Times New Roman" w:hAnsi="Times New Roman" w:cs="Times New Roman"/>
          <w:sz w:val="21"/>
          <w:szCs w:val="21"/>
        </w:rPr>
        <w:t xml:space="preserve">atteries to </w:t>
      </w:r>
      <w:r w:rsidR="009A2704">
        <w:rPr>
          <w:rFonts w:ascii="Times New Roman" w:hAnsi="Times New Roman" w:cs="Times New Roman"/>
          <w:sz w:val="21"/>
          <w:szCs w:val="21"/>
        </w:rPr>
        <w:t>m</w:t>
      </w:r>
      <w:r>
        <w:rPr>
          <w:rFonts w:ascii="Times New Roman" w:hAnsi="Times New Roman" w:cs="Times New Roman"/>
          <w:sz w:val="21"/>
          <w:szCs w:val="21"/>
        </w:rPr>
        <w:t xml:space="preserve">itigate </w:t>
      </w:r>
      <w:r w:rsidR="009A2704">
        <w:rPr>
          <w:rFonts w:ascii="Times New Roman" w:hAnsi="Times New Roman" w:cs="Times New Roman"/>
          <w:sz w:val="21"/>
          <w:szCs w:val="21"/>
        </w:rPr>
        <w:t>s</w:t>
      </w:r>
      <w:r>
        <w:rPr>
          <w:rFonts w:ascii="Times New Roman" w:hAnsi="Times New Roman" w:cs="Times New Roman"/>
          <w:sz w:val="21"/>
          <w:szCs w:val="21"/>
        </w:rPr>
        <w:t xml:space="preserve">ide </w:t>
      </w:r>
      <w:r w:rsidR="009A2704">
        <w:rPr>
          <w:rFonts w:ascii="Times New Roman" w:hAnsi="Times New Roman" w:cs="Times New Roman"/>
          <w:sz w:val="21"/>
          <w:szCs w:val="21"/>
        </w:rPr>
        <w:t>r</w:t>
      </w:r>
      <w:r>
        <w:rPr>
          <w:rFonts w:ascii="Times New Roman" w:hAnsi="Times New Roman" w:cs="Times New Roman"/>
          <w:sz w:val="21"/>
          <w:szCs w:val="21"/>
        </w:rPr>
        <w:t xml:space="preserve">eactions: A </w:t>
      </w:r>
      <w:r w:rsidR="009A2704">
        <w:rPr>
          <w:rFonts w:ascii="Times New Roman" w:hAnsi="Times New Roman" w:cs="Times New Roman"/>
          <w:sz w:val="21"/>
          <w:szCs w:val="21"/>
        </w:rPr>
        <w:t>r</w:t>
      </w:r>
      <w:r>
        <w:rPr>
          <w:rFonts w:ascii="Times New Roman" w:hAnsi="Times New Roman" w:cs="Times New Roman"/>
          <w:sz w:val="21"/>
          <w:szCs w:val="21"/>
        </w:rPr>
        <w:t>eview. ChemElectroChem, 2023, 10(19): e202300200.</w:t>
      </w:r>
    </w:p>
    <w:p w14:paraId="3D9F0026" w14:textId="469263D4"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[13]</w:t>
      </w:r>
      <w:r>
        <w:rPr>
          <w:rFonts w:ascii="Times New Roman" w:hAnsi="Times New Roman" w:cs="Times New Roman"/>
          <w:sz w:val="21"/>
          <w:szCs w:val="21"/>
        </w:rPr>
        <w:tab/>
        <w:t xml:space="preserve">Lyu Y, Yuwono J A, Wang P, et al. Organic pH </w:t>
      </w:r>
      <w:r w:rsidR="009A2704">
        <w:rPr>
          <w:rFonts w:ascii="Times New Roman" w:hAnsi="Times New Roman" w:cs="Times New Roman"/>
          <w:sz w:val="21"/>
          <w:szCs w:val="21"/>
        </w:rPr>
        <w:t>b</w:t>
      </w:r>
      <w:r>
        <w:rPr>
          <w:rFonts w:ascii="Times New Roman" w:hAnsi="Times New Roman" w:cs="Times New Roman"/>
          <w:sz w:val="21"/>
          <w:szCs w:val="21"/>
        </w:rPr>
        <w:t xml:space="preserve">uffer for </w:t>
      </w:r>
      <w:r w:rsidR="009A2704">
        <w:rPr>
          <w:rFonts w:ascii="Times New Roman" w:hAnsi="Times New Roman" w:cs="Times New Roman"/>
          <w:sz w:val="21"/>
          <w:szCs w:val="21"/>
        </w:rPr>
        <w:t>d</w:t>
      </w:r>
      <w:r>
        <w:rPr>
          <w:rFonts w:ascii="Times New Roman" w:hAnsi="Times New Roman" w:cs="Times New Roman"/>
          <w:sz w:val="21"/>
          <w:szCs w:val="21"/>
        </w:rPr>
        <w:t>endrite-</w:t>
      </w:r>
      <w:r w:rsidR="009A2704">
        <w:rPr>
          <w:rFonts w:ascii="Times New Roman" w:hAnsi="Times New Roman" w:cs="Times New Roman"/>
          <w:sz w:val="21"/>
          <w:szCs w:val="21"/>
        </w:rPr>
        <w:t>f</w:t>
      </w:r>
      <w:r>
        <w:rPr>
          <w:rFonts w:ascii="Times New Roman" w:hAnsi="Times New Roman" w:cs="Times New Roman"/>
          <w:sz w:val="21"/>
          <w:szCs w:val="21"/>
        </w:rPr>
        <w:t xml:space="preserve">ree and </w:t>
      </w:r>
      <w:r w:rsidR="009A2704">
        <w:rPr>
          <w:rFonts w:ascii="Times New Roman" w:hAnsi="Times New Roman" w:cs="Times New Roman"/>
          <w:sz w:val="21"/>
          <w:szCs w:val="21"/>
        </w:rPr>
        <w:t>s</w:t>
      </w:r>
      <w:r>
        <w:rPr>
          <w:rFonts w:ascii="Times New Roman" w:hAnsi="Times New Roman" w:cs="Times New Roman"/>
          <w:sz w:val="21"/>
          <w:szCs w:val="21"/>
        </w:rPr>
        <w:t>huttle-</w:t>
      </w:r>
      <w:r w:rsidR="009A2704">
        <w:rPr>
          <w:rFonts w:ascii="Times New Roman" w:hAnsi="Times New Roman" w:cs="Times New Roman"/>
          <w:sz w:val="21"/>
          <w:szCs w:val="21"/>
        </w:rPr>
        <w:t>f</w:t>
      </w:r>
      <w:r>
        <w:rPr>
          <w:rFonts w:ascii="Times New Roman" w:hAnsi="Times New Roman" w:cs="Times New Roman"/>
          <w:sz w:val="21"/>
          <w:szCs w:val="21"/>
        </w:rPr>
        <w:t xml:space="preserve">ree Zn-I2 </w:t>
      </w:r>
      <w:r w:rsidR="009A2704">
        <w:rPr>
          <w:rFonts w:ascii="Times New Roman" w:hAnsi="Times New Roman" w:cs="Times New Roman"/>
          <w:sz w:val="21"/>
          <w:szCs w:val="21"/>
        </w:rPr>
        <w:t>b</w:t>
      </w:r>
      <w:r>
        <w:rPr>
          <w:rFonts w:ascii="Times New Roman" w:hAnsi="Times New Roman" w:cs="Times New Roman"/>
          <w:sz w:val="21"/>
          <w:szCs w:val="21"/>
        </w:rPr>
        <w:t>atteries. Angewandte Chemie International Edition, 2023, 62(21): e202303011.</w:t>
      </w:r>
    </w:p>
    <w:p w14:paraId="17D58DF8" w14:textId="13C69AA8"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[14]</w:t>
      </w:r>
      <w:r>
        <w:rPr>
          <w:rFonts w:ascii="Times New Roman" w:hAnsi="Times New Roman" w:cs="Times New Roman"/>
          <w:sz w:val="21"/>
          <w:szCs w:val="21"/>
        </w:rPr>
        <w:tab/>
        <w:t>Dong H, Hu X, Liu R, et al. Bio-</w:t>
      </w:r>
      <w:r w:rsidR="009A2704">
        <w:rPr>
          <w:rFonts w:ascii="Times New Roman" w:hAnsi="Times New Roman" w:cs="Times New Roman"/>
          <w:sz w:val="21"/>
          <w:szCs w:val="21"/>
        </w:rPr>
        <w:t>i</w:t>
      </w:r>
      <w:r>
        <w:rPr>
          <w:rFonts w:ascii="Times New Roman" w:hAnsi="Times New Roman" w:cs="Times New Roman"/>
          <w:sz w:val="21"/>
          <w:szCs w:val="21"/>
        </w:rPr>
        <w:t xml:space="preserve">nspired </w:t>
      </w:r>
      <w:r w:rsidR="009A2704">
        <w:rPr>
          <w:rFonts w:ascii="Times New Roman" w:hAnsi="Times New Roman" w:cs="Times New Roman"/>
          <w:sz w:val="21"/>
          <w:szCs w:val="21"/>
        </w:rPr>
        <w:t>p</w:t>
      </w:r>
      <w:r>
        <w:rPr>
          <w:rFonts w:ascii="Times New Roman" w:hAnsi="Times New Roman" w:cs="Times New Roman"/>
          <w:sz w:val="21"/>
          <w:szCs w:val="21"/>
        </w:rPr>
        <w:t xml:space="preserve">olyanionic </w:t>
      </w:r>
      <w:r w:rsidR="009A2704">
        <w:rPr>
          <w:rFonts w:ascii="Times New Roman" w:hAnsi="Times New Roman" w:cs="Times New Roman"/>
          <w:sz w:val="21"/>
          <w:szCs w:val="21"/>
        </w:rPr>
        <w:t>e</w:t>
      </w:r>
      <w:r>
        <w:rPr>
          <w:rFonts w:ascii="Times New Roman" w:hAnsi="Times New Roman" w:cs="Times New Roman"/>
          <w:sz w:val="21"/>
          <w:szCs w:val="21"/>
        </w:rPr>
        <w:t xml:space="preserve">lectrolytes for </w:t>
      </w:r>
      <w:r w:rsidR="009A2704">
        <w:rPr>
          <w:rFonts w:ascii="Times New Roman" w:hAnsi="Times New Roman" w:cs="Times New Roman"/>
          <w:sz w:val="21"/>
          <w:szCs w:val="21"/>
        </w:rPr>
        <w:t>h</w:t>
      </w:r>
      <w:r>
        <w:rPr>
          <w:rFonts w:ascii="Times New Roman" w:hAnsi="Times New Roman" w:cs="Times New Roman"/>
          <w:sz w:val="21"/>
          <w:szCs w:val="21"/>
        </w:rPr>
        <w:t xml:space="preserve">ighly </w:t>
      </w:r>
      <w:r w:rsidR="009A2704">
        <w:rPr>
          <w:rFonts w:ascii="Times New Roman" w:hAnsi="Times New Roman" w:cs="Times New Roman"/>
          <w:sz w:val="21"/>
          <w:szCs w:val="21"/>
        </w:rPr>
        <w:t>s</w:t>
      </w:r>
      <w:r>
        <w:rPr>
          <w:rFonts w:ascii="Times New Roman" w:hAnsi="Times New Roman" w:cs="Times New Roman"/>
          <w:sz w:val="21"/>
          <w:szCs w:val="21"/>
        </w:rPr>
        <w:t xml:space="preserve">table </w:t>
      </w:r>
      <w:r w:rsidR="009A2704">
        <w:rPr>
          <w:rFonts w:ascii="Times New Roman" w:hAnsi="Times New Roman" w:cs="Times New Roman"/>
          <w:sz w:val="21"/>
          <w:szCs w:val="21"/>
        </w:rPr>
        <w:t>z</w:t>
      </w:r>
      <w:r>
        <w:rPr>
          <w:rFonts w:ascii="Times New Roman" w:hAnsi="Times New Roman" w:cs="Times New Roman"/>
          <w:sz w:val="21"/>
          <w:szCs w:val="21"/>
        </w:rPr>
        <w:t>inc-</w:t>
      </w:r>
      <w:r w:rsidR="009A2704">
        <w:rPr>
          <w:rFonts w:ascii="Times New Roman" w:hAnsi="Times New Roman" w:cs="Times New Roman"/>
          <w:sz w:val="21"/>
          <w:szCs w:val="21"/>
        </w:rPr>
        <w:t>i</w:t>
      </w:r>
      <w:r>
        <w:rPr>
          <w:rFonts w:ascii="Times New Roman" w:hAnsi="Times New Roman" w:cs="Times New Roman"/>
          <w:sz w:val="21"/>
          <w:szCs w:val="21"/>
        </w:rPr>
        <w:t xml:space="preserve">on </w:t>
      </w:r>
      <w:r w:rsidR="009A2704">
        <w:rPr>
          <w:rFonts w:ascii="Times New Roman" w:hAnsi="Times New Roman" w:cs="Times New Roman"/>
          <w:sz w:val="21"/>
          <w:szCs w:val="21"/>
        </w:rPr>
        <w:t>b</w:t>
      </w:r>
      <w:r>
        <w:rPr>
          <w:rFonts w:ascii="Times New Roman" w:hAnsi="Times New Roman" w:cs="Times New Roman"/>
          <w:sz w:val="21"/>
          <w:szCs w:val="21"/>
        </w:rPr>
        <w:t>atteries. Angewandte Chemie International Edition, 2023, 62(41): e202311268.</w:t>
      </w:r>
    </w:p>
    <w:p w14:paraId="76B4269A" w14:textId="2D810ACD"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[15]</w:t>
      </w:r>
      <w:r>
        <w:rPr>
          <w:rFonts w:ascii="Times New Roman" w:hAnsi="Times New Roman" w:cs="Times New Roman"/>
          <w:sz w:val="21"/>
          <w:szCs w:val="21"/>
        </w:rPr>
        <w:tab/>
        <w:t xml:space="preserve">Huang Y, Zhuang Y, Guo L, et al. Stabilizing </w:t>
      </w:r>
      <w:r w:rsidR="009A2704">
        <w:rPr>
          <w:rFonts w:ascii="Times New Roman" w:hAnsi="Times New Roman" w:cs="Times New Roman"/>
          <w:sz w:val="21"/>
          <w:szCs w:val="21"/>
        </w:rPr>
        <w:t>a</w:t>
      </w:r>
      <w:r>
        <w:rPr>
          <w:rFonts w:ascii="Times New Roman" w:hAnsi="Times New Roman" w:cs="Times New Roman"/>
          <w:sz w:val="21"/>
          <w:szCs w:val="21"/>
        </w:rPr>
        <w:t>node-</w:t>
      </w:r>
      <w:r w:rsidR="009A2704">
        <w:rPr>
          <w:rFonts w:ascii="Times New Roman" w:hAnsi="Times New Roman" w:cs="Times New Roman"/>
          <w:sz w:val="21"/>
          <w:szCs w:val="21"/>
        </w:rPr>
        <w:t>e</w:t>
      </w:r>
      <w:r>
        <w:rPr>
          <w:rFonts w:ascii="Times New Roman" w:hAnsi="Times New Roman" w:cs="Times New Roman"/>
          <w:sz w:val="21"/>
          <w:szCs w:val="21"/>
        </w:rPr>
        <w:t xml:space="preserve">lectrolyte </w:t>
      </w:r>
      <w:r w:rsidR="009A2704">
        <w:rPr>
          <w:rFonts w:ascii="Times New Roman" w:hAnsi="Times New Roman" w:cs="Times New Roman"/>
          <w:sz w:val="21"/>
          <w:szCs w:val="21"/>
        </w:rPr>
        <w:t>i</w:t>
      </w:r>
      <w:r>
        <w:rPr>
          <w:rFonts w:ascii="Times New Roman" w:hAnsi="Times New Roman" w:cs="Times New Roman"/>
          <w:sz w:val="21"/>
          <w:szCs w:val="21"/>
        </w:rPr>
        <w:t xml:space="preserve">nterface for </w:t>
      </w:r>
      <w:r w:rsidR="009A2704">
        <w:rPr>
          <w:rFonts w:ascii="Times New Roman" w:hAnsi="Times New Roman" w:cs="Times New Roman"/>
          <w:sz w:val="21"/>
          <w:szCs w:val="21"/>
        </w:rPr>
        <w:t>d</w:t>
      </w:r>
      <w:r>
        <w:rPr>
          <w:rFonts w:ascii="Times New Roman" w:hAnsi="Times New Roman" w:cs="Times New Roman"/>
          <w:sz w:val="21"/>
          <w:szCs w:val="21"/>
        </w:rPr>
        <w:t>endrite-</w:t>
      </w:r>
      <w:r w:rsidR="009A2704">
        <w:rPr>
          <w:rFonts w:ascii="Times New Roman" w:hAnsi="Times New Roman" w:cs="Times New Roman"/>
          <w:sz w:val="21"/>
          <w:szCs w:val="21"/>
        </w:rPr>
        <w:t>f</w:t>
      </w:r>
      <w:r>
        <w:rPr>
          <w:rFonts w:ascii="Times New Roman" w:hAnsi="Times New Roman" w:cs="Times New Roman"/>
          <w:sz w:val="21"/>
          <w:szCs w:val="21"/>
        </w:rPr>
        <w:t>ree Zn-</w:t>
      </w:r>
      <w:r w:rsidR="009A2704">
        <w:rPr>
          <w:rFonts w:ascii="Times New Roman" w:hAnsi="Times New Roman" w:cs="Times New Roman"/>
          <w:sz w:val="21"/>
          <w:szCs w:val="21"/>
        </w:rPr>
        <w:t>i</w:t>
      </w:r>
      <w:r>
        <w:rPr>
          <w:rFonts w:ascii="Times New Roman" w:hAnsi="Times New Roman" w:cs="Times New Roman"/>
          <w:sz w:val="21"/>
          <w:szCs w:val="21"/>
        </w:rPr>
        <w:t xml:space="preserve">on </w:t>
      </w:r>
      <w:r w:rsidR="009A2704">
        <w:rPr>
          <w:rFonts w:ascii="Times New Roman" w:hAnsi="Times New Roman" w:cs="Times New Roman"/>
          <w:sz w:val="21"/>
          <w:szCs w:val="21"/>
        </w:rPr>
        <w:t>b</w:t>
      </w:r>
      <w:r>
        <w:rPr>
          <w:rFonts w:ascii="Times New Roman" w:hAnsi="Times New Roman" w:cs="Times New Roman"/>
          <w:sz w:val="21"/>
          <w:szCs w:val="21"/>
        </w:rPr>
        <w:t xml:space="preserve">atteries </w:t>
      </w:r>
      <w:r w:rsidR="009A2704">
        <w:rPr>
          <w:rFonts w:ascii="Times New Roman" w:hAnsi="Times New Roman" w:cs="Times New Roman"/>
          <w:sz w:val="21"/>
          <w:szCs w:val="21"/>
        </w:rPr>
        <w:t>t</w:t>
      </w:r>
      <w:r>
        <w:rPr>
          <w:rFonts w:ascii="Times New Roman" w:hAnsi="Times New Roman" w:cs="Times New Roman"/>
          <w:sz w:val="21"/>
          <w:szCs w:val="21"/>
        </w:rPr>
        <w:t xml:space="preserve">hrough </w:t>
      </w:r>
      <w:r w:rsidR="009A2704">
        <w:rPr>
          <w:rFonts w:ascii="Times New Roman" w:hAnsi="Times New Roman" w:cs="Times New Roman"/>
          <w:sz w:val="21"/>
          <w:szCs w:val="21"/>
        </w:rPr>
        <w:t>o</w:t>
      </w:r>
      <w:r>
        <w:rPr>
          <w:rFonts w:ascii="Times New Roman" w:hAnsi="Times New Roman" w:cs="Times New Roman"/>
          <w:sz w:val="21"/>
          <w:szCs w:val="21"/>
        </w:rPr>
        <w:t xml:space="preserve">rientational </w:t>
      </w:r>
      <w:r w:rsidR="009A2704">
        <w:rPr>
          <w:rFonts w:ascii="Times New Roman" w:hAnsi="Times New Roman" w:cs="Times New Roman"/>
          <w:sz w:val="21"/>
          <w:szCs w:val="21"/>
        </w:rPr>
        <w:t>p</w:t>
      </w:r>
      <w:r>
        <w:rPr>
          <w:rFonts w:ascii="Times New Roman" w:hAnsi="Times New Roman" w:cs="Times New Roman"/>
          <w:sz w:val="21"/>
          <w:szCs w:val="21"/>
        </w:rPr>
        <w:t xml:space="preserve">lating with </w:t>
      </w:r>
      <w:r w:rsidR="009A2704">
        <w:rPr>
          <w:rFonts w:ascii="Times New Roman" w:hAnsi="Times New Roman" w:cs="Times New Roman"/>
          <w:sz w:val="21"/>
          <w:szCs w:val="21"/>
        </w:rPr>
        <w:t>z</w:t>
      </w:r>
      <w:r>
        <w:rPr>
          <w:rFonts w:ascii="Times New Roman" w:hAnsi="Times New Roman" w:cs="Times New Roman"/>
          <w:sz w:val="21"/>
          <w:szCs w:val="21"/>
        </w:rPr>
        <w:t xml:space="preserve">inc </w:t>
      </w:r>
      <w:r w:rsidR="009A2704">
        <w:rPr>
          <w:rFonts w:ascii="Times New Roman" w:hAnsi="Times New Roman" w:cs="Times New Roman"/>
          <w:sz w:val="21"/>
          <w:szCs w:val="21"/>
        </w:rPr>
        <w:t>a</w:t>
      </w:r>
      <w:r>
        <w:rPr>
          <w:rFonts w:ascii="Times New Roman" w:hAnsi="Times New Roman" w:cs="Times New Roman"/>
          <w:sz w:val="21"/>
          <w:szCs w:val="21"/>
        </w:rPr>
        <w:t xml:space="preserve">spartate </w:t>
      </w:r>
      <w:r w:rsidR="009A2704">
        <w:rPr>
          <w:rFonts w:ascii="Times New Roman" w:hAnsi="Times New Roman" w:cs="Times New Roman"/>
          <w:sz w:val="21"/>
          <w:szCs w:val="21"/>
        </w:rPr>
        <w:t>a</w:t>
      </w:r>
      <w:r>
        <w:rPr>
          <w:rFonts w:ascii="Times New Roman" w:hAnsi="Times New Roman" w:cs="Times New Roman"/>
          <w:sz w:val="21"/>
          <w:szCs w:val="21"/>
        </w:rPr>
        <w:t>dditive. Small, 2024, 20(10): 2306211.</w:t>
      </w:r>
    </w:p>
    <w:p w14:paraId="7839D508" w14:textId="159E75CD"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[16]</w:t>
      </w:r>
      <w:r>
        <w:rPr>
          <w:rFonts w:ascii="Times New Roman" w:hAnsi="Times New Roman" w:cs="Times New Roman"/>
          <w:sz w:val="21"/>
          <w:szCs w:val="21"/>
        </w:rPr>
        <w:tab/>
        <w:t>Bu F, Gao Y, Zhao W, et al. Bio-</w:t>
      </w:r>
      <w:r w:rsidR="009A2704">
        <w:rPr>
          <w:rFonts w:ascii="Times New Roman" w:hAnsi="Times New Roman" w:cs="Times New Roman"/>
          <w:sz w:val="21"/>
          <w:szCs w:val="21"/>
        </w:rPr>
        <w:t>i</w:t>
      </w:r>
      <w:r>
        <w:rPr>
          <w:rFonts w:ascii="Times New Roman" w:hAnsi="Times New Roman" w:cs="Times New Roman"/>
          <w:sz w:val="21"/>
          <w:szCs w:val="21"/>
        </w:rPr>
        <w:t xml:space="preserve">nspired </w:t>
      </w:r>
      <w:r w:rsidR="009A2704">
        <w:rPr>
          <w:rFonts w:ascii="Times New Roman" w:hAnsi="Times New Roman" w:cs="Times New Roman"/>
          <w:sz w:val="21"/>
          <w:szCs w:val="21"/>
        </w:rPr>
        <w:t>t</w:t>
      </w:r>
      <w:r>
        <w:rPr>
          <w:rFonts w:ascii="Times New Roman" w:hAnsi="Times New Roman" w:cs="Times New Roman"/>
          <w:sz w:val="21"/>
          <w:szCs w:val="21"/>
        </w:rPr>
        <w:t xml:space="preserve">race </w:t>
      </w:r>
      <w:r w:rsidR="009A2704">
        <w:rPr>
          <w:rFonts w:ascii="Times New Roman" w:hAnsi="Times New Roman" w:cs="Times New Roman"/>
          <w:sz w:val="21"/>
          <w:szCs w:val="21"/>
        </w:rPr>
        <w:t>h</w:t>
      </w:r>
      <w:r>
        <w:rPr>
          <w:rFonts w:ascii="Times New Roman" w:hAnsi="Times New Roman" w:cs="Times New Roman"/>
          <w:sz w:val="21"/>
          <w:szCs w:val="21"/>
        </w:rPr>
        <w:t>ydroxyl-</w:t>
      </w:r>
      <w:r w:rsidR="009A2704">
        <w:rPr>
          <w:rFonts w:ascii="Times New Roman" w:hAnsi="Times New Roman" w:cs="Times New Roman"/>
          <w:sz w:val="21"/>
          <w:szCs w:val="21"/>
        </w:rPr>
        <w:t>r</w:t>
      </w:r>
      <w:r>
        <w:rPr>
          <w:rFonts w:ascii="Times New Roman" w:hAnsi="Times New Roman" w:cs="Times New Roman"/>
          <w:sz w:val="21"/>
          <w:szCs w:val="21"/>
        </w:rPr>
        <w:t xml:space="preserve">ich </w:t>
      </w:r>
      <w:r w:rsidR="009A2704">
        <w:rPr>
          <w:rFonts w:ascii="Times New Roman" w:hAnsi="Times New Roman" w:cs="Times New Roman"/>
          <w:sz w:val="21"/>
          <w:szCs w:val="21"/>
        </w:rPr>
        <w:t>e</w:t>
      </w:r>
      <w:r>
        <w:rPr>
          <w:rFonts w:ascii="Times New Roman" w:hAnsi="Times New Roman" w:cs="Times New Roman"/>
          <w:sz w:val="21"/>
          <w:szCs w:val="21"/>
        </w:rPr>
        <w:t xml:space="preserve">lectrolyte </w:t>
      </w:r>
      <w:r w:rsidR="009A2704">
        <w:rPr>
          <w:rFonts w:ascii="Times New Roman" w:hAnsi="Times New Roman" w:cs="Times New Roman"/>
          <w:sz w:val="21"/>
          <w:szCs w:val="21"/>
        </w:rPr>
        <w:t>a</w:t>
      </w:r>
      <w:r>
        <w:rPr>
          <w:rFonts w:ascii="Times New Roman" w:hAnsi="Times New Roman" w:cs="Times New Roman"/>
          <w:sz w:val="21"/>
          <w:szCs w:val="21"/>
        </w:rPr>
        <w:t xml:space="preserve">dditives for </w:t>
      </w:r>
      <w:r w:rsidR="009A2704">
        <w:rPr>
          <w:rFonts w:ascii="Times New Roman" w:hAnsi="Times New Roman" w:cs="Times New Roman"/>
          <w:sz w:val="21"/>
          <w:szCs w:val="21"/>
        </w:rPr>
        <w:t>h</w:t>
      </w:r>
      <w:r>
        <w:rPr>
          <w:rFonts w:ascii="Times New Roman" w:hAnsi="Times New Roman" w:cs="Times New Roman"/>
          <w:sz w:val="21"/>
          <w:szCs w:val="21"/>
        </w:rPr>
        <w:t>igh-</w:t>
      </w:r>
      <w:r w:rsidR="009A2704">
        <w:rPr>
          <w:rFonts w:ascii="Times New Roman" w:hAnsi="Times New Roman" w:cs="Times New Roman"/>
          <w:sz w:val="21"/>
          <w:szCs w:val="21"/>
        </w:rPr>
        <w:t>r</w:t>
      </w:r>
      <w:r>
        <w:rPr>
          <w:rFonts w:ascii="Times New Roman" w:hAnsi="Times New Roman" w:cs="Times New Roman"/>
          <w:sz w:val="21"/>
          <w:szCs w:val="21"/>
        </w:rPr>
        <w:t xml:space="preserve">ate and </w:t>
      </w:r>
      <w:r w:rsidR="009A2704">
        <w:rPr>
          <w:rFonts w:ascii="Times New Roman" w:hAnsi="Times New Roman" w:cs="Times New Roman"/>
          <w:sz w:val="21"/>
          <w:szCs w:val="21"/>
        </w:rPr>
        <w:t>s</w:t>
      </w:r>
      <w:r>
        <w:rPr>
          <w:rFonts w:ascii="Times New Roman" w:hAnsi="Times New Roman" w:cs="Times New Roman"/>
          <w:sz w:val="21"/>
          <w:szCs w:val="21"/>
        </w:rPr>
        <w:t>table Zn-</w:t>
      </w:r>
      <w:r w:rsidR="009A2704">
        <w:rPr>
          <w:rFonts w:ascii="Times New Roman" w:hAnsi="Times New Roman" w:cs="Times New Roman"/>
          <w:sz w:val="21"/>
          <w:szCs w:val="21"/>
        </w:rPr>
        <w:t>i</w:t>
      </w:r>
      <w:r>
        <w:rPr>
          <w:rFonts w:ascii="Times New Roman" w:hAnsi="Times New Roman" w:cs="Times New Roman"/>
          <w:sz w:val="21"/>
          <w:szCs w:val="21"/>
        </w:rPr>
        <w:t xml:space="preserve">on </w:t>
      </w:r>
      <w:r w:rsidR="009A2704">
        <w:rPr>
          <w:rFonts w:ascii="Times New Roman" w:hAnsi="Times New Roman" w:cs="Times New Roman"/>
          <w:sz w:val="21"/>
          <w:szCs w:val="21"/>
        </w:rPr>
        <w:t>b</w:t>
      </w:r>
      <w:r>
        <w:rPr>
          <w:rFonts w:ascii="Times New Roman" w:hAnsi="Times New Roman" w:cs="Times New Roman"/>
          <w:sz w:val="21"/>
          <w:szCs w:val="21"/>
        </w:rPr>
        <w:t xml:space="preserve">atteries at </w:t>
      </w:r>
      <w:r w:rsidR="009A2704">
        <w:rPr>
          <w:rFonts w:ascii="Times New Roman" w:hAnsi="Times New Roman" w:cs="Times New Roman"/>
          <w:sz w:val="21"/>
          <w:szCs w:val="21"/>
        </w:rPr>
        <w:t>l</w:t>
      </w:r>
      <w:r>
        <w:rPr>
          <w:rFonts w:ascii="Times New Roman" w:hAnsi="Times New Roman" w:cs="Times New Roman"/>
          <w:sz w:val="21"/>
          <w:szCs w:val="21"/>
        </w:rPr>
        <w:t xml:space="preserve">ow </w:t>
      </w:r>
      <w:r w:rsidR="009A2704">
        <w:rPr>
          <w:rFonts w:ascii="Times New Roman" w:hAnsi="Times New Roman" w:cs="Times New Roman"/>
          <w:sz w:val="21"/>
          <w:szCs w:val="21"/>
        </w:rPr>
        <w:t>t</w:t>
      </w:r>
      <w:r>
        <w:rPr>
          <w:rFonts w:ascii="Times New Roman" w:hAnsi="Times New Roman" w:cs="Times New Roman"/>
          <w:sz w:val="21"/>
          <w:szCs w:val="21"/>
        </w:rPr>
        <w:t>emperatures. Angewandte Chemie International Edition, 2024, 63(9): e202318496.</w:t>
      </w:r>
    </w:p>
    <w:p w14:paraId="5DAE941B" w14:textId="0D12F3C0"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[17]</w:t>
      </w:r>
      <w:r>
        <w:rPr>
          <w:rFonts w:ascii="Times New Roman" w:hAnsi="Times New Roman" w:cs="Times New Roman"/>
          <w:sz w:val="21"/>
          <w:szCs w:val="21"/>
        </w:rPr>
        <w:tab/>
        <w:t xml:space="preserve">He W, Li X, Dai X, et al. Redox </w:t>
      </w:r>
      <w:r w:rsidR="009A2704">
        <w:rPr>
          <w:rFonts w:ascii="Times New Roman" w:hAnsi="Times New Roman" w:cs="Times New Roman"/>
          <w:sz w:val="21"/>
          <w:szCs w:val="21"/>
        </w:rPr>
        <w:t>c</w:t>
      </w:r>
      <w:r>
        <w:rPr>
          <w:rFonts w:ascii="Times New Roman" w:hAnsi="Times New Roman" w:cs="Times New Roman"/>
          <w:sz w:val="21"/>
          <w:szCs w:val="21"/>
        </w:rPr>
        <w:t xml:space="preserve">oncomitant </w:t>
      </w:r>
      <w:r w:rsidR="009A2704">
        <w:rPr>
          <w:rFonts w:ascii="Times New Roman" w:hAnsi="Times New Roman" w:cs="Times New Roman"/>
          <w:sz w:val="21"/>
          <w:szCs w:val="21"/>
        </w:rPr>
        <w:t>f</w:t>
      </w:r>
      <w:r>
        <w:rPr>
          <w:rFonts w:ascii="Times New Roman" w:hAnsi="Times New Roman" w:cs="Times New Roman"/>
          <w:sz w:val="21"/>
          <w:szCs w:val="21"/>
        </w:rPr>
        <w:t xml:space="preserve">ormation </w:t>
      </w:r>
      <w:r w:rsidR="009A2704">
        <w:rPr>
          <w:rFonts w:ascii="Times New Roman" w:hAnsi="Times New Roman" w:cs="Times New Roman"/>
          <w:sz w:val="21"/>
          <w:szCs w:val="21"/>
        </w:rPr>
        <w:t>m</w:t>
      </w:r>
      <w:r>
        <w:rPr>
          <w:rFonts w:ascii="Times New Roman" w:hAnsi="Times New Roman" w:cs="Times New Roman"/>
          <w:sz w:val="21"/>
          <w:szCs w:val="21"/>
        </w:rPr>
        <w:t xml:space="preserve">ethod for </w:t>
      </w:r>
      <w:r w:rsidR="009A2704">
        <w:rPr>
          <w:rFonts w:ascii="Times New Roman" w:hAnsi="Times New Roman" w:cs="Times New Roman"/>
          <w:sz w:val="21"/>
          <w:szCs w:val="21"/>
        </w:rPr>
        <w:t>f</w:t>
      </w:r>
      <w:r>
        <w:rPr>
          <w:rFonts w:ascii="Times New Roman" w:hAnsi="Times New Roman" w:cs="Times New Roman"/>
          <w:sz w:val="21"/>
          <w:szCs w:val="21"/>
        </w:rPr>
        <w:t>abrication of Cu(I)−MOF/</w:t>
      </w:r>
      <w:r w:rsidR="009A2704">
        <w:rPr>
          <w:rFonts w:ascii="Times New Roman" w:hAnsi="Times New Roman" w:cs="Times New Roman"/>
          <w:sz w:val="21"/>
          <w:szCs w:val="21"/>
        </w:rPr>
        <w:t>p</w:t>
      </w:r>
      <w:r>
        <w:rPr>
          <w:rFonts w:ascii="Times New Roman" w:hAnsi="Times New Roman" w:cs="Times New Roman"/>
          <w:sz w:val="21"/>
          <w:szCs w:val="21"/>
        </w:rPr>
        <w:t xml:space="preserve">olymer </w:t>
      </w:r>
      <w:r w:rsidR="009A2704">
        <w:rPr>
          <w:rFonts w:ascii="Times New Roman" w:hAnsi="Times New Roman" w:cs="Times New Roman"/>
          <w:sz w:val="21"/>
          <w:szCs w:val="21"/>
        </w:rPr>
        <w:t>c</w:t>
      </w:r>
      <w:r>
        <w:rPr>
          <w:rFonts w:ascii="Times New Roman" w:hAnsi="Times New Roman" w:cs="Times New Roman"/>
          <w:sz w:val="21"/>
          <w:szCs w:val="21"/>
        </w:rPr>
        <w:t xml:space="preserve">omposites with </w:t>
      </w:r>
      <w:r w:rsidR="009A2704">
        <w:rPr>
          <w:rFonts w:ascii="Times New Roman" w:hAnsi="Times New Roman" w:cs="Times New Roman"/>
          <w:sz w:val="21"/>
          <w:szCs w:val="21"/>
        </w:rPr>
        <w:t>a</w:t>
      </w:r>
      <w:r>
        <w:rPr>
          <w:rFonts w:ascii="Times New Roman" w:hAnsi="Times New Roman" w:cs="Times New Roman"/>
          <w:sz w:val="21"/>
          <w:szCs w:val="21"/>
        </w:rPr>
        <w:t xml:space="preserve">ntifouling </w:t>
      </w:r>
      <w:r w:rsidR="009A2704">
        <w:rPr>
          <w:rFonts w:ascii="Times New Roman" w:hAnsi="Times New Roman" w:cs="Times New Roman"/>
          <w:sz w:val="21"/>
          <w:szCs w:val="21"/>
        </w:rPr>
        <w:t>p</w:t>
      </w:r>
      <w:r>
        <w:rPr>
          <w:rFonts w:ascii="Times New Roman" w:hAnsi="Times New Roman" w:cs="Times New Roman"/>
          <w:sz w:val="21"/>
          <w:szCs w:val="21"/>
        </w:rPr>
        <w:t>roperties. Angewandte Chemie International Edition, 2024, 63(44): e202411539.</w:t>
      </w:r>
    </w:p>
    <w:p w14:paraId="0D74C7EC" w14:textId="1216168C"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[18]</w:t>
      </w:r>
      <w:r>
        <w:rPr>
          <w:rFonts w:ascii="Times New Roman" w:hAnsi="Times New Roman" w:cs="Times New Roman"/>
          <w:sz w:val="21"/>
          <w:szCs w:val="21"/>
        </w:rPr>
        <w:tab/>
        <w:t xml:space="preserve">Wang B, Zheng R, Yang W, et al. Synergistic </w:t>
      </w:r>
      <w:r w:rsidR="009A2704">
        <w:rPr>
          <w:rFonts w:ascii="Times New Roman" w:hAnsi="Times New Roman" w:cs="Times New Roman"/>
          <w:sz w:val="21"/>
          <w:szCs w:val="21"/>
        </w:rPr>
        <w:t>s</w:t>
      </w:r>
      <w:r>
        <w:rPr>
          <w:rFonts w:ascii="Times New Roman" w:hAnsi="Times New Roman" w:cs="Times New Roman"/>
          <w:sz w:val="21"/>
          <w:szCs w:val="21"/>
        </w:rPr>
        <w:t xml:space="preserve">olvation and </w:t>
      </w:r>
      <w:r w:rsidR="009A2704">
        <w:rPr>
          <w:rFonts w:ascii="Times New Roman" w:hAnsi="Times New Roman" w:cs="Times New Roman"/>
          <w:sz w:val="21"/>
          <w:szCs w:val="21"/>
        </w:rPr>
        <w:t>i</w:t>
      </w:r>
      <w:r>
        <w:rPr>
          <w:rFonts w:ascii="Times New Roman" w:hAnsi="Times New Roman" w:cs="Times New Roman"/>
          <w:sz w:val="21"/>
          <w:szCs w:val="21"/>
        </w:rPr>
        <w:t xml:space="preserve">nterface </w:t>
      </w:r>
      <w:r w:rsidR="009A2704">
        <w:rPr>
          <w:rFonts w:ascii="Times New Roman" w:hAnsi="Times New Roman" w:cs="Times New Roman"/>
          <w:sz w:val="21"/>
          <w:szCs w:val="21"/>
        </w:rPr>
        <w:t>r</w:t>
      </w:r>
      <w:r>
        <w:rPr>
          <w:rFonts w:ascii="Times New Roman" w:hAnsi="Times New Roman" w:cs="Times New Roman"/>
          <w:sz w:val="21"/>
          <w:szCs w:val="21"/>
        </w:rPr>
        <w:t xml:space="preserve">egulations of </w:t>
      </w:r>
      <w:r w:rsidR="009A2704">
        <w:rPr>
          <w:rFonts w:ascii="Times New Roman" w:hAnsi="Times New Roman" w:cs="Times New Roman"/>
          <w:sz w:val="21"/>
          <w:szCs w:val="21"/>
        </w:rPr>
        <w:t>e</w:t>
      </w:r>
      <w:r>
        <w:rPr>
          <w:rFonts w:ascii="Times New Roman" w:hAnsi="Times New Roman" w:cs="Times New Roman"/>
          <w:sz w:val="21"/>
          <w:szCs w:val="21"/>
        </w:rPr>
        <w:t>co-</w:t>
      </w:r>
      <w:r w:rsidR="009A2704">
        <w:rPr>
          <w:rFonts w:ascii="Times New Roman" w:hAnsi="Times New Roman" w:cs="Times New Roman"/>
          <w:sz w:val="21"/>
          <w:szCs w:val="21"/>
        </w:rPr>
        <w:t>f</w:t>
      </w:r>
      <w:r>
        <w:rPr>
          <w:rFonts w:ascii="Times New Roman" w:hAnsi="Times New Roman" w:cs="Times New Roman"/>
          <w:sz w:val="21"/>
          <w:szCs w:val="21"/>
        </w:rPr>
        <w:t xml:space="preserve">riendly </w:t>
      </w:r>
      <w:r w:rsidR="009A2704">
        <w:rPr>
          <w:rFonts w:ascii="Times New Roman" w:hAnsi="Times New Roman" w:cs="Times New Roman"/>
          <w:sz w:val="21"/>
          <w:szCs w:val="21"/>
        </w:rPr>
        <w:t>s</w:t>
      </w:r>
      <w:r>
        <w:rPr>
          <w:rFonts w:ascii="Times New Roman" w:hAnsi="Times New Roman" w:cs="Times New Roman"/>
          <w:sz w:val="21"/>
          <w:szCs w:val="21"/>
        </w:rPr>
        <w:t xml:space="preserve">ilk </w:t>
      </w:r>
      <w:r w:rsidR="009A2704">
        <w:rPr>
          <w:rFonts w:ascii="Times New Roman" w:hAnsi="Times New Roman" w:cs="Times New Roman"/>
          <w:sz w:val="21"/>
          <w:szCs w:val="21"/>
        </w:rPr>
        <w:t>p</w:t>
      </w:r>
      <w:r>
        <w:rPr>
          <w:rFonts w:ascii="Times New Roman" w:hAnsi="Times New Roman" w:cs="Times New Roman"/>
          <w:sz w:val="21"/>
          <w:szCs w:val="21"/>
        </w:rPr>
        <w:t xml:space="preserve">eptide </w:t>
      </w:r>
      <w:r w:rsidR="009A2704">
        <w:rPr>
          <w:rFonts w:ascii="Times New Roman" w:hAnsi="Times New Roman" w:cs="Times New Roman"/>
          <w:sz w:val="21"/>
          <w:szCs w:val="21"/>
        </w:rPr>
        <w:t>a</w:t>
      </w:r>
      <w:r>
        <w:rPr>
          <w:rFonts w:ascii="Times New Roman" w:hAnsi="Times New Roman" w:cs="Times New Roman"/>
          <w:sz w:val="21"/>
          <w:szCs w:val="21"/>
        </w:rPr>
        <w:t xml:space="preserve">dditive </w:t>
      </w:r>
      <w:r w:rsidR="009A2704">
        <w:rPr>
          <w:rFonts w:ascii="Times New Roman" w:hAnsi="Times New Roman" w:cs="Times New Roman"/>
          <w:sz w:val="21"/>
          <w:szCs w:val="21"/>
        </w:rPr>
        <w:t>e</w:t>
      </w:r>
      <w:r>
        <w:rPr>
          <w:rFonts w:ascii="Times New Roman" w:hAnsi="Times New Roman" w:cs="Times New Roman"/>
          <w:sz w:val="21"/>
          <w:szCs w:val="21"/>
        </w:rPr>
        <w:t xml:space="preserve">nabling </w:t>
      </w:r>
      <w:r w:rsidR="009A2704">
        <w:rPr>
          <w:rFonts w:ascii="Times New Roman" w:hAnsi="Times New Roman" w:cs="Times New Roman"/>
          <w:sz w:val="21"/>
          <w:szCs w:val="21"/>
        </w:rPr>
        <w:t>s</w:t>
      </w:r>
      <w:r>
        <w:rPr>
          <w:rFonts w:ascii="Times New Roman" w:hAnsi="Times New Roman" w:cs="Times New Roman"/>
          <w:sz w:val="21"/>
          <w:szCs w:val="21"/>
        </w:rPr>
        <w:t xml:space="preserve">table </w:t>
      </w:r>
      <w:r w:rsidR="009A2704">
        <w:rPr>
          <w:rFonts w:ascii="Times New Roman" w:hAnsi="Times New Roman" w:cs="Times New Roman"/>
          <w:sz w:val="21"/>
          <w:szCs w:val="21"/>
        </w:rPr>
        <w:t>a</w:t>
      </w:r>
      <w:r>
        <w:rPr>
          <w:rFonts w:ascii="Times New Roman" w:hAnsi="Times New Roman" w:cs="Times New Roman"/>
          <w:sz w:val="21"/>
          <w:szCs w:val="21"/>
        </w:rPr>
        <w:t xml:space="preserve">queous </w:t>
      </w:r>
      <w:r w:rsidR="009A2704">
        <w:rPr>
          <w:rFonts w:ascii="Times New Roman" w:hAnsi="Times New Roman" w:cs="Times New Roman"/>
          <w:sz w:val="21"/>
          <w:szCs w:val="21"/>
        </w:rPr>
        <w:t>z</w:t>
      </w:r>
      <w:r>
        <w:rPr>
          <w:rFonts w:ascii="Times New Roman" w:hAnsi="Times New Roman" w:cs="Times New Roman"/>
          <w:sz w:val="21"/>
          <w:szCs w:val="21"/>
        </w:rPr>
        <w:t>inc-</w:t>
      </w:r>
      <w:r w:rsidR="009A2704">
        <w:rPr>
          <w:rFonts w:ascii="Times New Roman" w:hAnsi="Times New Roman" w:cs="Times New Roman"/>
          <w:sz w:val="21"/>
          <w:szCs w:val="21"/>
        </w:rPr>
        <w:t>i</w:t>
      </w:r>
      <w:r>
        <w:rPr>
          <w:rFonts w:ascii="Times New Roman" w:hAnsi="Times New Roman" w:cs="Times New Roman"/>
          <w:sz w:val="21"/>
          <w:szCs w:val="21"/>
        </w:rPr>
        <w:t xml:space="preserve">on </w:t>
      </w:r>
      <w:r w:rsidR="009A2704">
        <w:rPr>
          <w:rFonts w:ascii="Times New Roman" w:hAnsi="Times New Roman" w:cs="Times New Roman"/>
          <w:sz w:val="21"/>
          <w:szCs w:val="21"/>
        </w:rPr>
        <w:t>b</w:t>
      </w:r>
      <w:r>
        <w:rPr>
          <w:rFonts w:ascii="Times New Roman" w:hAnsi="Times New Roman" w:cs="Times New Roman"/>
          <w:sz w:val="21"/>
          <w:szCs w:val="21"/>
        </w:rPr>
        <w:t>atteries. Advanced Functional Materials, 2022, 32(23): 2112693.</w:t>
      </w:r>
    </w:p>
    <w:p w14:paraId="542662BA"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[19]</w:t>
      </w:r>
      <w:r>
        <w:rPr>
          <w:rFonts w:ascii="Times New Roman" w:hAnsi="Times New Roman" w:cs="Times New Roman"/>
          <w:sz w:val="21"/>
          <w:szCs w:val="21"/>
        </w:rPr>
        <w:tab/>
        <w:t>Yuan X, He C, Wang J, et al. Inhibition of zinc dendrite growth in zinc-air batteries by alloying the anode with Ce and Yb. Journal of Alloys and Compounds, 2024, 970: 172523.</w:t>
      </w:r>
    </w:p>
    <w:p w14:paraId="5FA66A09"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[20]</w:t>
      </w:r>
      <w:r>
        <w:rPr>
          <w:rFonts w:ascii="Times New Roman" w:hAnsi="Times New Roman" w:cs="Times New Roman"/>
          <w:sz w:val="21"/>
          <w:szCs w:val="21"/>
        </w:rPr>
        <w:tab/>
        <w:t>Mu Y, Li Z, Wu B-K, et al. 3D hierarchical graphene matrices enable stable Zn anodes for aqueous Zn batteries. Nature Communications, 2023, 14(1): 4205.</w:t>
      </w:r>
    </w:p>
    <w:p w14:paraId="0E3ECDC3"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[21]</w:t>
      </w:r>
      <w:r>
        <w:rPr>
          <w:rFonts w:ascii="Times New Roman" w:hAnsi="Times New Roman" w:cs="Times New Roman"/>
          <w:sz w:val="21"/>
          <w:szCs w:val="21"/>
        </w:rPr>
        <w:tab/>
        <w:t>Cao Q, Gao Y, Pu J, et al. Materials and structural design for preferable Zn deposition behavior toward stable Zn anodes. SmartMat, 2024, 5(1): e1194.</w:t>
      </w:r>
    </w:p>
    <w:p w14:paraId="1A687A4C" w14:textId="195902CD"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[22]</w:t>
      </w:r>
      <w:r>
        <w:rPr>
          <w:rFonts w:ascii="Times New Roman" w:hAnsi="Times New Roman" w:cs="Times New Roman"/>
          <w:sz w:val="21"/>
          <w:szCs w:val="21"/>
        </w:rPr>
        <w:tab/>
        <w:t xml:space="preserve">Qian G, Zan G, Li J, et al. Structural, </w:t>
      </w:r>
      <w:r w:rsidR="003268AA">
        <w:rPr>
          <w:rFonts w:ascii="Times New Roman" w:hAnsi="Times New Roman" w:cs="Times New Roman"/>
          <w:sz w:val="21"/>
          <w:szCs w:val="21"/>
        </w:rPr>
        <w:t>d</w:t>
      </w:r>
      <w:r>
        <w:rPr>
          <w:rFonts w:ascii="Times New Roman" w:hAnsi="Times New Roman" w:cs="Times New Roman"/>
          <w:sz w:val="21"/>
          <w:szCs w:val="21"/>
        </w:rPr>
        <w:t xml:space="preserve">ynamic, and </w:t>
      </w:r>
      <w:r w:rsidR="003268AA">
        <w:rPr>
          <w:rFonts w:ascii="Times New Roman" w:hAnsi="Times New Roman" w:cs="Times New Roman"/>
          <w:sz w:val="21"/>
          <w:szCs w:val="21"/>
        </w:rPr>
        <w:t>c</w:t>
      </w:r>
      <w:r>
        <w:rPr>
          <w:rFonts w:ascii="Times New Roman" w:hAnsi="Times New Roman" w:cs="Times New Roman"/>
          <w:sz w:val="21"/>
          <w:szCs w:val="21"/>
        </w:rPr>
        <w:t xml:space="preserve">hemical </w:t>
      </w:r>
      <w:r w:rsidR="003268AA">
        <w:rPr>
          <w:rFonts w:ascii="Times New Roman" w:hAnsi="Times New Roman" w:cs="Times New Roman"/>
          <w:sz w:val="21"/>
          <w:szCs w:val="21"/>
        </w:rPr>
        <w:t>c</w:t>
      </w:r>
      <w:r>
        <w:rPr>
          <w:rFonts w:ascii="Times New Roman" w:hAnsi="Times New Roman" w:cs="Times New Roman"/>
          <w:sz w:val="21"/>
          <w:szCs w:val="21"/>
        </w:rPr>
        <w:t xml:space="preserve">omplexities in </w:t>
      </w:r>
      <w:r w:rsidR="003268AA">
        <w:rPr>
          <w:rFonts w:ascii="Times New Roman" w:hAnsi="Times New Roman" w:cs="Times New Roman"/>
          <w:sz w:val="21"/>
          <w:szCs w:val="21"/>
        </w:rPr>
        <w:t>z</w:t>
      </w:r>
      <w:r>
        <w:rPr>
          <w:rFonts w:ascii="Times New Roman" w:hAnsi="Times New Roman" w:cs="Times New Roman"/>
          <w:sz w:val="21"/>
          <w:szCs w:val="21"/>
        </w:rPr>
        <w:t xml:space="preserve">inc </w:t>
      </w:r>
      <w:r w:rsidR="003268AA">
        <w:rPr>
          <w:rFonts w:ascii="Times New Roman" w:hAnsi="Times New Roman" w:cs="Times New Roman"/>
          <w:sz w:val="21"/>
          <w:szCs w:val="21"/>
        </w:rPr>
        <w:t>a</w:t>
      </w:r>
      <w:r>
        <w:rPr>
          <w:rFonts w:ascii="Times New Roman" w:hAnsi="Times New Roman" w:cs="Times New Roman"/>
          <w:sz w:val="21"/>
          <w:szCs w:val="21"/>
        </w:rPr>
        <w:t>node of an</w:t>
      </w:r>
      <w:r w:rsidR="003268AA">
        <w:rPr>
          <w:rFonts w:ascii="Times New Roman" w:hAnsi="Times New Roman" w:cs="Times New Roman"/>
          <w:sz w:val="21"/>
          <w:szCs w:val="21"/>
        </w:rPr>
        <w:t xml:space="preserve"> o</w:t>
      </w:r>
      <w:r>
        <w:rPr>
          <w:rFonts w:ascii="Times New Roman" w:hAnsi="Times New Roman" w:cs="Times New Roman"/>
          <w:sz w:val="21"/>
          <w:szCs w:val="21"/>
        </w:rPr>
        <w:t xml:space="preserve">perating </w:t>
      </w:r>
      <w:r w:rsidR="003268AA">
        <w:rPr>
          <w:rFonts w:ascii="Times New Roman" w:hAnsi="Times New Roman" w:cs="Times New Roman"/>
          <w:sz w:val="21"/>
          <w:szCs w:val="21"/>
        </w:rPr>
        <w:t>a</w:t>
      </w:r>
      <w:r>
        <w:rPr>
          <w:rFonts w:ascii="Times New Roman" w:hAnsi="Times New Roman" w:cs="Times New Roman"/>
          <w:sz w:val="21"/>
          <w:szCs w:val="21"/>
        </w:rPr>
        <w:t>queous Zn-</w:t>
      </w:r>
      <w:r w:rsidR="003268AA">
        <w:rPr>
          <w:rFonts w:ascii="Times New Roman" w:hAnsi="Times New Roman" w:cs="Times New Roman"/>
          <w:sz w:val="21"/>
          <w:szCs w:val="21"/>
        </w:rPr>
        <w:t>i</w:t>
      </w:r>
      <w:r>
        <w:rPr>
          <w:rFonts w:ascii="Times New Roman" w:hAnsi="Times New Roman" w:cs="Times New Roman"/>
          <w:sz w:val="21"/>
          <w:szCs w:val="21"/>
        </w:rPr>
        <w:t xml:space="preserve">on </w:t>
      </w:r>
      <w:r w:rsidR="003268AA">
        <w:rPr>
          <w:rFonts w:ascii="Times New Roman" w:hAnsi="Times New Roman" w:cs="Times New Roman"/>
          <w:sz w:val="21"/>
          <w:szCs w:val="21"/>
        </w:rPr>
        <w:t>b</w:t>
      </w:r>
      <w:r>
        <w:rPr>
          <w:rFonts w:ascii="Times New Roman" w:hAnsi="Times New Roman" w:cs="Times New Roman"/>
          <w:sz w:val="21"/>
          <w:szCs w:val="21"/>
        </w:rPr>
        <w:t>attery. Advanced Energy Materials, 2022, 12(21): 2200255.</w:t>
      </w:r>
    </w:p>
    <w:p w14:paraId="352881E3" w14:textId="0B3513AA"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[23]</w:t>
      </w:r>
      <w:r>
        <w:rPr>
          <w:rFonts w:ascii="Times New Roman" w:hAnsi="Times New Roman" w:cs="Times New Roman"/>
          <w:sz w:val="21"/>
          <w:szCs w:val="21"/>
        </w:rPr>
        <w:tab/>
        <w:t xml:space="preserve">Cui Y, Zhao Q, Wu X, et al. An </w:t>
      </w:r>
      <w:r w:rsidR="003268AA">
        <w:rPr>
          <w:rFonts w:ascii="Times New Roman" w:hAnsi="Times New Roman" w:cs="Times New Roman"/>
          <w:sz w:val="21"/>
          <w:szCs w:val="21"/>
        </w:rPr>
        <w:t>i</w:t>
      </w:r>
      <w:r>
        <w:rPr>
          <w:rFonts w:ascii="Times New Roman" w:hAnsi="Times New Roman" w:cs="Times New Roman"/>
          <w:sz w:val="21"/>
          <w:szCs w:val="21"/>
        </w:rPr>
        <w:t>nterface-</w:t>
      </w:r>
      <w:r w:rsidR="003268AA">
        <w:rPr>
          <w:rFonts w:ascii="Times New Roman" w:hAnsi="Times New Roman" w:cs="Times New Roman"/>
          <w:sz w:val="21"/>
          <w:szCs w:val="21"/>
        </w:rPr>
        <w:t>b</w:t>
      </w:r>
      <w:r>
        <w:rPr>
          <w:rFonts w:ascii="Times New Roman" w:hAnsi="Times New Roman" w:cs="Times New Roman"/>
          <w:sz w:val="21"/>
          <w:szCs w:val="21"/>
        </w:rPr>
        <w:t xml:space="preserve">ridged </w:t>
      </w:r>
      <w:r w:rsidR="003268AA">
        <w:rPr>
          <w:rFonts w:ascii="Times New Roman" w:hAnsi="Times New Roman" w:cs="Times New Roman"/>
          <w:sz w:val="21"/>
          <w:szCs w:val="21"/>
        </w:rPr>
        <w:t>o</w:t>
      </w:r>
      <w:r>
        <w:rPr>
          <w:rFonts w:ascii="Times New Roman" w:hAnsi="Times New Roman" w:cs="Times New Roman"/>
          <w:sz w:val="21"/>
          <w:szCs w:val="21"/>
        </w:rPr>
        <w:t>rganic–</w:t>
      </w:r>
      <w:r w:rsidR="003268AA">
        <w:rPr>
          <w:rFonts w:ascii="Times New Roman" w:hAnsi="Times New Roman" w:cs="Times New Roman"/>
          <w:sz w:val="21"/>
          <w:szCs w:val="21"/>
        </w:rPr>
        <w:t>i</w:t>
      </w:r>
      <w:r>
        <w:rPr>
          <w:rFonts w:ascii="Times New Roman" w:hAnsi="Times New Roman" w:cs="Times New Roman"/>
          <w:sz w:val="21"/>
          <w:szCs w:val="21"/>
        </w:rPr>
        <w:t xml:space="preserve">norganic </w:t>
      </w:r>
      <w:r w:rsidR="003268AA">
        <w:rPr>
          <w:rFonts w:ascii="Times New Roman" w:hAnsi="Times New Roman" w:cs="Times New Roman"/>
          <w:sz w:val="21"/>
          <w:szCs w:val="21"/>
        </w:rPr>
        <w:t>l</w:t>
      </w:r>
      <w:r>
        <w:rPr>
          <w:rFonts w:ascii="Times New Roman" w:hAnsi="Times New Roman" w:cs="Times New Roman"/>
          <w:sz w:val="21"/>
          <w:szCs w:val="21"/>
        </w:rPr>
        <w:t xml:space="preserve">ayer that </w:t>
      </w:r>
      <w:r w:rsidR="003268AA">
        <w:rPr>
          <w:rFonts w:ascii="Times New Roman" w:hAnsi="Times New Roman" w:cs="Times New Roman"/>
          <w:sz w:val="21"/>
          <w:szCs w:val="21"/>
        </w:rPr>
        <w:t>s</w:t>
      </w:r>
      <w:r>
        <w:rPr>
          <w:rFonts w:ascii="Times New Roman" w:hAnsi="Times New Roman" w:cs="Times New Roman"/>
          <w:sz w:val="21"/>
          <w:szCs w:val="21"/>
        </w:rPr>
        <w:t xml:space="preserve">uppresses </w:t>
      </w:r>
      <w:r w:rsidR="003268AA">
        <w:rPr>
          <w:rFonts w:ascii="Times New Roman" w:hAnsi="Times New Roman" w:cs="Times New Roman"/>
          <w:sz w:val="21"/>
          <w:szCs w:val="21"/>
        </w:rPr>
        <w:t>d</w:t>
      </w:r>
      <w:r>
        <w:rPr>
          <w:rFonts w:ascii="Times New Roman" w:hAnsi="Times New Roman" w:cs="Times New Roman"/>
          <w:sz w:val="21"/>
          <w:szCs w:val="21"/>
        </w:rPr>
        <w:t xml:space="preserve">endrite </w:t>
      </w:r>
      <w:r w:rsidR="003268AA">
        <w:rPr>
          <w:rFonts w:ascii="Times New Roman" w:hAnsi="Times New Roman" w:cs="Times New Roman"/>
          <w:sz w:val="21"/>
          <w:szCs w:val="21"/>
        </w:rPr>
        <w:t>f</w:t>
      </w:r>
      <w:r>
        <w:rPr>
          <w:rFonts w:ascii="Times New Roman" w:hAnsi="Times New Roman" w:cs="Times New Roman"/>
          <w:sz w:val="21"/>
          <w:szCs w:val="21"/>
        </w:rPr>
        <w:t xml:space="preserve">ormation and </w:t>
      </w:r>
      <w:r w:rsidR="003268AA">
        <w:rPr>
          <w:rFonts w:ascii="Times New Roman" w:hAnsi="Times New Roman" w:cs="Times New Roman"/>
          <w:sz w:val="21"/>
          <w:szCs w:val="21"/>
        </w:rPr>
        <w:t>s</w:t>
      </w:r>
      <w:r>
        <w:rPr>
          <w:rFonts w:ascii="Times New Roman" w:hAnsi="Times New Roman" w:cs="Times New Roman"/>
          <w:sz w:val="21"/>
          <w:szCs w:val="21"/>
        </w:rPr>
        <w:t xml:space="preserve">ide </w:t>
      </w:r>
      <w:r w:rsidR="003268AA">
        <w:rPr>
          <w:rFonts w:ascii="Times New Roman" w:hAnsi="Times New Roman" w:cs="Times New Roman"/>
          <w:sz w:val="21"/>
          <w:szCs w:val="21"/>
        </w:rPr>
        <w:t>r</w:t>
      </w:r>
      <w:r>
        <w:rPr>
          <w:rFonts w:ascii="Times New Roman" w:hAnsi="Times New Roman" w:cs="Times New Roman"/>
          <w:sz w:val="21"/>
          <w:szCs w:val="21"/>
        </w:rPr>
        <w:t xml:space="preserve">eactions for </w:t>
      </w:r>
      <w:r w:rsidR="003268AA">
        <w:rPr>
          <w:rFonts w:ascii="Times New Roman" w:hAnsi="Times New Roman" w:cs="Times New Roman"/>
          <w:sz w:val="21"/>
          <w:szCs w:val="21"/>
        </w:rPr>
        <w:t>u</w:t>
      </w:r>
      <w:r>
        <w:rPr>
          <w:rFonts w:ascii="Times New Roman" w:hAnsi="Times New Roman" w:cs="Times New Roman"/>
          <w:sz w:val="21"/>
          <w:szCs w:val="21"/>
        </w:rPr>
        <w:t>ltra-</w:t>
      </w:r>
      <w:r w:rsidR="003268AA">
        <w:rPr>
          <w:rFonts w:ascii="Times New Roman" w:hAnsi="Times New Roman" w:cs="Times New Roman"/>
          <w:sz w:val="21"/>
          <w:szCs w:val="21"/>
        </w:rPr>
        <w:t>l</w:t>
      </w:r>
      <w:r>
        <w:rPr>
          <w:rFonts w:ascii="Times New Roman" w:hAnsi="Times New Roman" w:cs="Times New Roman"/>
          <w:sz w:val="21"/>
          <w:szCs w:val="21"/>
        </w:rPr>
        <w:t>ong-</w:t>
      </w:r>
      <w:r w:rsidR="003268AA">
        <w:rPr>
          <w:rFonts w:ascii="Times New Roman" w:hAnsi="Times New Roman" w:cs="Times New Roman"/>
          <w:sz w:val="21"/>
          <w:szCs w:val="21"/>
        </w:rPr>
        <w:t>l</w:t>
      </w:r>
      <w:r>
        <w:rPr>
          <w:rFonts w:ascii="Times New Roman" w:hAnsi="Times New Roman" w:cs="Times New Roman"/>
          <w:sz w:val="21"/>
          <w:szCs w:val="21"/>
        </w:rPr>
        <w:t xml:space="preserve">ife </w:t>
      </w:r>
      <w:r w:rsidR="003268AA">
        <w:rPr>
          <w:rFonts w:ascii="Times New Roman" w:hAnsi="Times New Roman" w:cs="Times New Roman"/>
          <w:sz w:val="21"/>
          <w:szCs w:val="21"/>
        </w:rPr>
        <w:t>a</w:t>
      </w:r>
      <w:r>
        <w:rPr>
          <w:rFonts w:ascii="Times New Roman" w:hAnsi="Times New Roman" w:cs="Times New Roman"/>
          <w:sz w:val="21"/>
          <w:szCs w:val="21"/>
        </w:rPr>
        <w:t xml:space="preserve">queous </w:t>
      </w:r>
      <w:r w:rsidR="003268AA">
        <w:rPr>
          <w:rFonts w:ascii="Times New Roman" w:hAnsi="Times New Roman" w:cs="Times New Roman"/>
          <w:sz w:val="21"/>
          <w:szCs w:val="21"/>
        </w:rPr>
        <w:t>z</w:t>
      </w:r>
      <w:r>
        <w:rPr>
          <w:rFonts w:ascii="Times New Roman" w:hAnsi="Times New Roman" w:cs="Times New Roman"/>
          <w:sz w:val="21"/>
          <w:szCs w:val="21"/>
        </w:rPr>
        <w:t xml:space="preserve">inc </w:t>
      </w:r>
      <w:r w:rsidR="003268AA">
        <w:rPr>
          <w:rFonts w:ascii="Times New Roman" w:hAnsi="Times New Roman" w:cs="Times New Roman"/>
          <w:sz w:val="21"/>
          <w:szCs w:val="21"/>
        </w:rPr>
        <w:t>m</w:t>
      </w:r>
      <w:r>
        <w:rPr>
          <w:rFonts w:ascii="Times New Roman" w:hAnsi="Times New Roman" w:cs="Times New Roman"/>
          <w:sz w:val="21"/>
          <w:szCs w:val="21"/>
        </w:rPr>
        <w:t xml:space="preserve">etal </w:t>
      </w:r>
      <w:r w:rsidR="003268AA">
        <w:rPr>
          <w:rFonts w:ascii="Times New Roman" w:hAnsi="Times New Roman" w:cs="Times New Roman"/>
          <w:sz w:val="21"/>
          <w:szCs w:val="21"/>
        </w:rPr>
        <w:t>a</w:t>
      </w:r>
      <w:r>
        <w:rPr>
          <w:rFonts w:ascii="Times New Roman" w:hAnsi="Times New Roman" w:cs="Times New Roman"/>
          <w:sz w:val="21"/>
          <w:szCs w:val="21"/>
        </w:rPr>
        <w:t>nodes. Angewandte Chemie International Edition, 2020, 59(38): 16594-16601.</w:t>
      </w:r>
    </w:p>
    <w:p w14:paraId="6E0BB7DB" w14:textId="4286691E"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lastRenderedPageBreak/>
        <w:t>[24]</w:t>
      </w:r>
      <w:r>
        <w:rPr>
          <w:rFonts w:ascii="Times New Roman" w:hAnsi="Times New Roman" w:cs="Times New Roman"/>
          <w:sz w:val="21"/>
          <w:szCs w:val="21"/>
        </w:rPr>
        <w:tab/>
        <w:t xml:space="preserve">Liu M, Yuan W, Ma G, et al. In-Situ Integration of a </w:t>
      </w:r>
      <w:r w:rsidR="003268AA">
        <w:rPr>
          <w:rFonts w:ascii="Times New Roman" w:hAnsi="Times New Roman" w:cs="Times New Roman"/>
          <w:sz w:val="21"/>
          <w:szCs w:val="21"/>
        </w:rPr>
        <w:t>h</w:t>
      </w:r>
      <w:r>
        <w:rPr>
          <w:rFonts w:ascii="Times New Roman" w:hAnsi="Times New Roman" w:cs="Times New Roman"/>
          <w:sz w:val="21"/>
          <w:szCs w:val="21"/>
        </w:rPr>
        <w:t xml:space="preserve">ydrophobic and </w:t>
      </w:r>
      <w:r w:rsidR="003268AA">
        <w:rPr>
          <w:rFonts w:ascii="Times New Roman" w:hAnsi="Times New Roman" w:cs="Times New Roman"/>
          <w:sz w:val="21"/>
          <w:szCs w:val="21"/>
        </w:rPr>
        <w:t>f</w:t>
      </w:r>
      <w:r>
        <w:rPr>
          <w:rFonts w:ascii="Times New Roman" w:hAnsi="Times New Roman" w:cs="Times New Roman"/>
          <w:sz w:val="21"/>
          <w:szCs w:val="21"/>
        </w:rPr>
        <w:t>ast-Zn</w:t>
      </w:r>
      <w:r w:rsidRPr="003268AA">
        <w:rPr>
          <w:rFonts w:ascii="Times New Roman" w:hAnsi="Times New Roman" w:cs="Times New Roman"/>
          <w:sz w:val="21"/>
          <w:szCs w:val="21"/>
          <w:vertAlign w:val="superscript"/>
        </w:rPr>
        <w:t>2+</w:t>
      </w:r>
      <w:r>
        <w:rPr>
          <w:rFonts w:ascii="Times New Roman" w:hAnsi="Times New Roman" w:cs="Times New Roman"/>
          <w:sz w:val="21"/>
          <w:szCs w:val="21"/>
        </w:rPr>
        <w:t>-</w:t>
      </w:r>
      <w:r w:rsidR="003268AA">
        <w:rPr>
          <w:rFonts w:ascii="Times New Roman" w:hAnsi="Times New Roman" w:cs="Times New Roman"/>
          <w:sz w:val="21"/>
          <w:szCs w:val="21"/>
        </w:rPr>
        <w:t>c</w:t>
      </w:r>
      <w:r>
        <w:rPr>
          <w:rFonts w:ascii="Times New Roman" w:hAnsi="Times New Roman" w:cs="Times New Roman"/>
          <w:sz w:val="21"/>
          <w:szCs w:val="21"/>
        </w:rPr>
        <w:t xml:space="preserve">onductive </w:t>
      </w:r>
      <w:r w:rsidR="003268AA">
        <w:rPr>
          <w:rFonts w:ascii="Times New Roman" w:hAnsi="Times New Roman" w:cs="Times New Roman"/>
          <w:sz w:val="21"/>
          <w:szCs w:val="21"/>
        </w:rPr>
        <w:t>i</w:t>
      </w:r>
      <w:r>
        <w:rPr>
          <w:rFonts w:ascii="Times New Roman" w:hAnsi="Times New Roman" w:cs="Times New Roman"/>
          <w:sz w:val="21"/>
          <w:szCs w:val="21"/>
        </w:rPr>
        <w:t xml:space="preserve">norganic </w:t>
      </w:r>
      <w:r w:rsidR="003268AA">
        <w:rPr>
          <w:rFonts w:ascii="Times New Roman" w:hAnsi="Times New Roman" w:cs="Times New Roman"/>
          <w:sz w:val="21"/>
          <w:szCs w:val="21"/>
        </w:rPr>
        <w:t>i</w:t>
      </w:r>
      <w:r>
        <w:rPr>
          <w:rFonts w:ascii="Times New Roman" w:hAnsi="Times New Roman" w:cs="Times New Roman"/>
          <w:sz w:val="21"/>
          <w:szCs w:val="21"/>
        </w:rPr>
        <w:t xml:space="preserve">nterphase to </w:t>
      </w:r>
      <w:r w:rsidR="003268AA">
        <w:rPr>
          <w:rFonts w:ascii="Times New Roman" w:hAnsi="Times New Roman" w:cs="Times New Roman"/>
          <w:sz w:val="21"/>
          <w:szCs w:val="21"/>
        </w:rPr>
        <w:t>s</w:t>
      </w:r>
      <w:r>
        <w:rPr>
          <w:rFonts w:ascii="Times New Roman" w:hAnsi="Times New Roman" w:cs="Times New Roman"/>
          <w:sz w:val="21"/>
          <w:szCs w:val="21"/>
        </w:rPr>
        <w:t xml:space="preserve">tabilize Zn </w:t>
      </w:r>
      <w:r w:rsidR="003268AA">
        <w:rPr>
          <w:rFonts w:ascii="Times New Roman" w:hAnsi="Times New Roman" w:cs="Times New Roman"/>
          <w:sz w:val="21"/>
          <w:szCs w:val="21"/>
        </w:rPr>
        <w:t>m</w:t>
      </w:r>
      <w:r>
        <w:rPr>
          <w:rFonts w:ascii="Times New Roman" w:hAnsi="Times New Roman" w:cs="Times New Roman"/>
          <w:sz w:val="21"/>
          <w:szCs w:val="21"/>
        </w:rPr>
        <w:t xml:space="preserve">etal </w:t>
      </w:r>
      <w:r w:rsidR="003268AA">
        <w:rPr>
          <w:rFonts w:ascii="Times New Roman" w:hAnsi="Times New Roman" w:cs="Times New Roman"/>
          <w:sz w:val="21"/>
          <w:szCs w:val="21"/>
        </w:rPr>
        <w:t>a</w:t>
      </w:r>
      <w:r>
        <w:rPr>
          <w:rFonts w:ascii="Times New Roman" w:hAnsi="Times New Roman" w:cs="Times New Roman"/>
          <w:sz w:val="21"/>
          <w:szCs w:val="21"/>
        </w:rPr>
        <w:t>nodes. Angewandte Chemie International Edition, 2023, 62(27): e202304444.</w:t>
      </w:r>
    </w:p>
    <w:p w14:paraId="529936F5" w14:textId="520745D2"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[25]</w:t>
      </w:r>
      <w:r>
        <w:rPr>
          <w:rFonts w:ascii="Times New Roman" w:hAnsi="Times New Roman" w:cs="Times New Roman"/>
          <w:sz w:val="21"/>
          <w:szCs w:val="21"/>
        </w:rPr>
        <w:tab/>
        <w:t xml:space="preserve">Hao J, Li B, Li X, et al. An </w:t>
      </w:r>
      <w:r w:rsidR="003268AA">
        <w:rPr>
          <w:rFonts w:ascii="Times New Roman" w:hAnsi="Times New Roman" w:cs="Times New Roman"/>
          <w:sz w:val="21"/>
          <w:szCs w:val="21"/>
        </w:rPr>
        <w:t>i</w:t>
      </w:r>
      <w:r>
        <w:rPr>
          <w:rFonts w:ascii="Times New Roman" w:hAnsi="Times New Roman" w:cs="Times New Roman"/>
          <w:sz w:val="21"/>
          <w:szCs w:val="21"/>
        </w:rPr>
        <w:t>n-</w:t>
      </w:r>
      <w:r w:rsidR="003268AA">
        <w:rPr>
          <w:rFonts w:ascii="Times New Roman" w:hAnsi="Times New Roman" w:cs="Times New Roman"/>
          <w:sz w:val="21"/>
          <w:szCs w:val="21"/>
        </w:rPr>
        <w:t>d</w:t>
      </w:r>
      <w:r>
        <w:rPr>
          <w:rFonts w:ascii="Times New Roman" w:hAnsi="Times New Roman" w:cs="Times New Roman"/>
          <w:sz w:val="21"/>
          <w:szCs w:val="21"/>
        </w:rPr>
        <w:t xml:space="preserve">epth </w:t>
      </w:r>
      <w:r w:rsidR="003268AA">
        <w:rPr>
          <w:rFonts w:ascii="Times New Roman" w:hAnsi="Times New Roman" w:cs="Times New Roman"/>
          <w:sz w:val="21"/>
          <w:szCs w:val="21"/>
        </w:rPr>
        <w:t>s</w:t>
      </w:r>
      <w:r>
        <w:rPr>
          <w:rFonts w:ascii="Times New Roman" w:hAnsi="Times New Roman" w:cs="Times New Roman"/>
          <w:sz w:val="21"/>
          <w:szCs w:val="21"/>
        </w:rPr>
        <w:t xml:space="preserve">tudy of Zn </w:t>
      </w:r>
      <w:r w:rsidR="003268AA">
        <w:rPr>
          <w:rFonts w:ascii="Times New Roman" w:hAnsi="Times New Roman" w:cs="Times New Roman"/>
          <w:sz w:val="21"/>
          <w:szCs w:val="21"/>
        </w:rPr>
        <w:t>m</w:t>
      </w:r>
      <w:r>
        <w:rPr>
          <w:rFonts w:ascii="Times New Roman" w:hAnsi="Times New Roman" w:cs="Times New Roman"/>
          <w:sz w:val="21"/>
          <w:szCs w:val="21"/>
        </w:rPr>
        <w:t xml:space="preserve">etal </w:t>
      </w:r>
      <w:r w:rsidR="003268AA">
        <w:rPr>
          <w:rFonts w:ascii="Times New Roman" w:hAnsi="Times New Roman" w:cs="Times New Roman"/>
          <w:sz w:val="21"/>
          <w:szCs w:val="21"/>
        </w:rPr>
        <w:t>s</w:t>
      </w:r>
      <w:r>
        <w:rPr>
          <w:rFonts w:ascii="Times New Roman" w:hAnsi="Times New Roman" w:cs="Times New Roman"/>
          <w:sz w:val="21"/>
          <w:szCs w:val="21"/>
        </w:rPr>
        <w:t xml:space="preserve">urface </w:t>
      </w:r>
      <w:r w:rsidR="003268AA">
        <w:rPr>
          <w:rFonts w:ascii="Times New Roman" w:hAnsi="Times New Roman" w:cs="Times New Roman"/>
          <w:sz w:val="21"/>
          <w:szCs w:val="21"/>
        </w:rPr>
        <w:t>c</w:t>
      </w:r>
      <w:r>
        <w:rPr>
          <w:rFonts w:ascii="Times New Roman" w:hAnsi="Times New Roman" w:cs="Times New Roman"/>
          <w:sz w:val="21"/>
          <w:szCs w:val="21"/>
        </w:rPr>
        <w:t xml:space="preserve">hemistry for </w:t>
      </w:r>
      <w:r w:rsidR="003268AA">
        <w:rPr>
          <w:rFonts w:ascii="Times New Roman" w:hAnsi="Times New Roman" w:cs="Times New Roman"/>
          <w:sz w:val="21"/>
          <w:szCs w:val="21"/>
        </w:rPr>
        <w:t>a</w:t>
      </w:r>
      <w:r>
        <w:rPr>
          <w:rFonts w:ascii="Times New Roman" w:hAnsi="Times New Roman" w:cs="Times New Roman"/>
          <w:sz w:val="21"/>
          <w:szCs w:val="21"/>
        </w:rPr>
        <w:t xml:space="preserve">dvanced </w:t>
      </w:r>
      <w:r w:rsidR="003268AA">
        <w:rPr>
          <w:rFonts w:ascii="Times New Roman" w:hAnsi="Times New Roman" w:cs="Times New Roman"/>
          <w:sz w:val="21"/>
          <w:szCs w:val="21"/>
        </w:rPr>
        <w:t>a</w:t>
      </w:r>
      <w:r>
        <w:rPr>
          <w:rFonts w:ascii="Times New Roman" w:hAnsi="Times New Roman" w:cs="Times New Roman"/>
          <w:sz w:val="21"/>
          <w:szCs w:val="21"/>
        </w:rPr>
        <w:t>queous Zn-</w:t>
      </w:r>
      <w:r w:rsidR="003268AA">
        <w:rPr>
          <w:rFonts w:ascii="Times New Roman" w:hAnsi="Times New Roman" w:cs="Times New Roman"/>
          <w:sz w:val="21"/>
          <w:szCs w:val="21"/>
        </w:rPr>
        <w:t>i</w:t>
      </w:r>
      <w:r>
        <w:rPr>
          <w:rFonts w:ascii="Times New Roman" w:hAnsi="Times New Roman" w:cs="Times New Roman"/>
          <w:sz w:val="21"/>
          <w:szCs w:val="21"/>
        </w:rPr>
        <w:t xml:space="preserve">on </w:t>
      </w:r>
      <w:r w:rsidR="003268AA">
        <w:rPr>
          <w:rFonts w:ascii="Times New Roman" w:hAnsi="Times New Roman" w:cs="Times New Roman"/>
          <w:sz w:val="21"/>
          <w:szCs w:val="21"/>
        </w:rPr>
        <w:t>b</w:t>
      </w:r>
      <w:r>
        <w:rPr>
          <w:rFonts w:ascii="Times New Roman" w:hAnsi="Times New Roman" w:cs="Times New Roman"/>
          <w:sz w:val="21"/>
          <w:szCs w:val="21"/>
        </w:rPr>
        <w:t>atteries. Advanced Materials, 2020, 32(34): 2003021.</w:t>
      </w:r>
    </w:p>
    <w:p w14:paraId="5ADE2C25" w14:textId="616690C3"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[26]</w:t>
      </w:r>
      <w:r>
        <w:rPr>
          <w:rFonts w:ascii="Times New Roman" w:hAnsi="Times New Roman" w:cs="Times New Roman"/>
          <w:sz w:val="21"/>
          <w:szCs w:val="21"/>
        </w:rPr>
        <w:tab/>
        <w:t xml:space="preserve">Wu K, Yi J, Liu X, et al. Regulating Zn </w:t>
      </w:r>
      <w:r w:rsidR="003268AA">
        <w:rPr>
          <w:rFonts w:ascii="Times New Roman" w:hAnsi="Times New Roman" w:cs="Times New Roman"/>
          <w:sz w:val="21"/>
          <w:szCs w:val="21"/>
        </w:rPr>
        <w:t>d</w:t>
      </w:r>
      <w:r>
        <w:rPr>
          <w:rFonts w:ascii="Times New Roman" w:hAnsi="Times New Roman" w:cs="Times New Roman"/>
          <w:sz w:val="21"/>
          <w:szCs w:val="21"/>
        </w:rPr>
        <w:t xml:space="preserve">eposition via an </w:t>
      </w:r>
      <w:r w:rsidR="003268AA">
        <w:rPr>
          <w:rFonts w:ascii="Times New Roman" w:hAnsi="Times New Roman" w:cs="Times New Roman"/>
          <w:sz w:val="21"/>
          <w:szCs w:val="21"/>
        </w:rPr>
        <w:t>a</w:t>
      </w:r>
      <w:r>
        <w:rPr>
          <w:rFonts w:ascii="Times New Roman" w:hAnsi="Times New Roman" w:cs="Times New Roman"/>
          <w:sz w:val="21"/>
          <w:szCs w:val="21"/>
        </w:rPr>
        <w:t xml:space="preserve">rtificial </w:t>
      </w:r>
      <w:r w:rsidR="003268AA">
        <w:rPr>
          <w:rFonts w:ascii="Times New Roman" w:hAnsi="Times New Roman" w:cs="Times New Roman"/>
          <w:sz w:val="21"/>
          <w:szCs w:val="21"/>
        </w:rPr>
        <w:t>s</w:t>
      </w:r>
      <w:r>
        <w:rPr>
          <w:rFonts w:ascii="Times New Roman" w:hAnsi="Times New Roman" w:cs="Times New Roman"/>
          <w:sz w:val="21"/>
          <w:szCs w:val="21"/>
        </w:rPr>
        <w:t>olid–</w:t>
      </w:r>
      <w:r w:rsidR="003268AA">
        <w:rPr>
          <w:rFonts w:ascii="Times New Roman" w:hAnsi="Times New Roman" w:cs="Times New Roman"/>
          <w:sz w:val="21"/>
          <w:szCs w:val="21"/>
        </w:rPr>
        <w:t>e</w:t>
      </w:r>
      <w:r>
        <w:rPr>
          <w:rFonts w:ascii="Times New Roman" w:hAnsi="Times New Roman" w:cs="Times New Roman"/>
          <w:sz w:val="21"/>
          <w:szCs w:val="21"/>
        </w:rPr>
        <w:t xml:space="preserve">lectrolyte </w:t>
      </w:r>
      <w:r w:rsidR="003268AA">
        <w:rPr>
          <w:rFonts w:ascii="Times New Roman" w:hAnsi="Times New Roman" w:cs="Times New Roman"/>
          <w:sz w:val="21"/>
          <w:szCs w:val="21"/>
        </w:rPr>
        <w:t>i</w:t>
      </w:r>
      <w:r>
        <w:rPr>
          <w:rFonts w:ascii="Times New Roman" w:hAnsi="Times New Roman" w:cs="Times New Roman"/>
          <w:sz w:val="21"/>
          <w:szCs w:val="21"/>
        </w:rPr>
        <w:t xml:space="preserve">nterface with </w:t>
      </w:r>
      <w:r w:rsidR="003268AA">
        <w:rPr>
          <w:rFonts w:ascii="Times New Roman" w:hAnsi="Times New Roman" w:cs="Times New Roman"/>
          <w:sz w:val="21"/>
          <w:szCs w:val="21"/>
        </w:rPr>
        <w:t>a</w:t>
      </w:r>
      <w:r>
        <w:rPr>
          <w:rFonts w:ascii="Times New Roman" w:hAnsi="Times New Roman" w:cs="Times New Roman"/>
          <w:sz w:val="21"/>
          <w:szCs w:val="21"/>
        </w:rPr>
        <w:t xml:space="preserve">ligned </w:t>
      </w:r>
      <w:r w:rsidR="003268AA">
        <w:rPr>
          <w:rFonts w:ascii="Times New Roman" w:hAnsi="Times New Roman" w:cs="Times New Roman"/>
          <w:sz w:val="21"/>
          <w:szCs w:val="21"/>
        </w:rPr>
        <w:t>d</w:t>
      </w:r>
      <w:r>
        <w:rPr>
          <w:rFonts w:ascii="Times New Roman" w:hAnsi="Times New Roman" w:cs="Times New Roman"/>
          <w:sz w:val="21"/>
          <w:szCs w:val="21"/>
        </w:rPr>
        <w:t xml:space="preserve">ipoles for </w:t>
      </w:r>
      <w:r w:rsidR="003268AA">
        <w:rPr>
          <w:rFonts w:ascii="Times New Roman" w:hAnsi="Times New Roman" w:cs="Times New Roman"/>
          <w:sz w:val="21"/>
          <w:szCs w:val="21"/>
        </w:rPr>
        <w:t>l</w:t>
      </w:r>
      <w:r>
        <w:rPr>
          <w:rFonts w:ascii="Times New Roman" w:hAnsi="Times New Roman" w:cs="Times New Roman"/>
          <w:sz w:val="21"/>
          <w:szCs w:val="21"/>
        </w:rPr>
        <w:t xml:space="preserve">ong </w:t>
      </w:r>
      <w:r w:rsidR="003268AA">
        <w:rPr>
          <w:rFonts w:ascii="Times New Roman" w:hAnsi="Times New Roman" w:cs="Times New Roman"/>
          <w:sz w:val="21"/>
          <w:szCs w:val="21"/>
        </w:rPr>
        <w:t>l</w:t>
      </w:r>
      <w:r>
        <w:rPr>
          <w:rFonts w:ascii="Times New Roman" w:hAnsi="Times New Roman" w:cs="Times New Roman"/>
          <w:sz w:val="21"/>
          <w:szCs w:val="21"/>
        </w:rPr>
        <w:t xml:space="preserve">ife Zn </w:t>
      </w:r>
      <w:r w:rsidR="003268AA">
        <w:rPr>
          <w:rFonts w:ascii="Times New Roman" w:hAnsi="Times New Roman" w:cs="Times New Roman"/>
          <w:sz w:val="21"/>
          <w:szCs w:val="21"/>
        </w:rPr>
        <w:t>a</w:t>
      </w:r>
      <w:r>
        <w:rPr>
          <w:rFonts w:ascii="Times New Roman" w:hAnsi="Times New Roman" w:cs="Times New Roman"/>
          <w:sz w:val="21"/>
          <w:szCs w:val="21"/>
        </w:rPr>
        <w:t>node. Nano-Micro Letters, 2021, 13(1): 79.</w:t>
      </w:r>
    </w:p>
    <w:p w14:paraId="18506ACD" w14:textId="6AC18799"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[27]</w:t>
      </w:r>
      <w:r>
        <w:rPr>
          <w:rFonts w:ascii="Times New Roman" w:hAnsi="Times New Roman" w:cs="Times New Roman"/>
          <w:sz w:val="21"/>
          <w:szCs w:val="21"/>
        </w:rPr>
        <w:tab/>
        <w:t>Shang W, Li Q, Jiang F, et al. Boosting Zn||I</w:t>
      </w:r>
      <w:r w:rsidRPr="003268AA">
        <w:rPr>
          <w:rFonts w:ascii="Times New Roman" w:hAnsi="Times New Roman" w:cs="Times New Roman"/>
          <w:sz w:val="21"/>
          <w:szCs w:val="21"/>
          <w:vertAlign w:val="subscript"/>
        </w:rPr>
        <w:t>2</w:t>
      </w:r>
      <w:r>
        <w:rPr>
          <w:rFonts w:ascii="Times New Roman" w:hAnsi="Times New Roman" w:cs="Times New Roman"/>
          <w:sz w:val="21"/>
          <w:szCs w:val="21"/>
        </w:rPr>
        <w:t xml:space="preserve"> </w:t>
      </w:r>
      <w:r w:rsidR="003268AA">
        <w:rPr>
          <w:rFonts w:ascii="Times New Roman" w:hAnsi="Times New Roman" w:cs="Times New Roman"/>
          <w:sz w:val="21"/>
          <w:szCs w:val="21"/>
        </w:rPr>
        <w:t>b</w:t>
      </w:r>
      <w:r>
        <w:rPr>
          <w:rFonts w:ascii="Times New Roman" w:hAnsi="Times New Roman" w:cs="Times New Roman"/>
          <w:sz w:val="21"/>
          <w:szCs w:val="21"/>
        </w:rPr>
        <w:t xml:space="preserve">attery’s </w:t>
      </w:r>
      <w:r w:rsidR="003268AA">
        <w:rPr>
          <w:rFonts w:ascii="Times New Roman" w:hAnsi="Times New Roman" w:cs="Times New Roman"/>
          <w:sz w:val="21"/>
          <w:szCs w:val="21"/>
        </w:rPr>
        <w:t>p</w:t>
      </w:r>
      <w:r>
        <w:rPr>
          <w:rFonts w:ascii="Times New Roman" w:hAnsi="Times New Roman" w:cs="Times New Roman"/>
          <w:sz w:val="21"/>
          <w:szCs w:val="21"/>
        </w:rPr>
        <w:t xml:space="preserve">erformance by </w:t>
      </w:r>
      <w:r w:rsidR="003268AA">
        <w:rPr>
          <w:rFonts w:ascii="Times New Roman" w:hAnsi="Times New Roman" w:cs="Times New Roman"/>
          <w:sz w:val="21"/>
          <w:szCs w:val="21"/>
        </w:rPr>
        <w:t>c</w:t>
      </w:r>
      <w:r>
        <w:rPr>
          <w:rFonts w:ascii="Times New Roman" w:hAnsi="Times New Roman" w:cs="Times New Roman"/>
          <w:sz w:val="21"/>
          <w:szCs w:val="21"/>
        </w:rPr>
        <w:t xml:space="preserve">oating a </w:t>
      </w:r>
      <w:r w:rsidR="003268AA">
        <w:rPr>
          <w:rFonts w:ascii="Times New Roman" w:hAnsi="Times New Roman" w:cs="Times New Roman"/>
          <w:sz w:val="21"/>
          <w:szCs w:val="21"/>
        </w:rPr>
        <w:t>z</w:t>
      </w:r>
      <w:r>
        <w:rPr>
          <w:rFonts w:ascii="Times New Roman" w:hAnsi="Times New Roman" w:cs="Times New Roman"/>
          <w:sz w:val="21"/>
          <w:szCs w:val="21"/>
        </w:rPr>
        <w:t>eolite-</w:t>
      </w:r>
      <w:r w:rsidR="003268AA">
        <w:rPr>
          <w:rFonts w:ascii="Times New Roman" w:hAnsi="Times New Roman" w:cs="Times New Roman"/>
          <w:sz w:val="21"/>
          <w:szCs w:val="21"/>
        </w:rPr>
        <w:t>b</w:t>
      </w:r>
      <w:r>
        <w:rPr>
          <w:rFonts w:ascii="Times New Roman" w:hAnsi="Times New Roman" w:cs="Times New Roman"/>
          <w:sz w:val="21"/>
          <w:szCs w:val="21"/>
        </w:rPr>
        <w:t xml:space="preserve">ased </w:t>
      </w:r>
      <w:r w:rsidR="003268AA">
        <w:rPr>
          <w:rFonts w:ascii="Times New Roman" w:hAnsi="Times New Roman" w:cs="Times New Roman"/>
          <w:sz w:val="21"/>
          <w:szCs w:val="21"/>
        </w:rPr>
        <w:t>c</w:t>
      </w:r>
      <w:r>
        <w:rPr>
          <w:rFonts w:ascii="Times New Roman" w:hAnsi="Times New Roman" w:cs="Times New Roman"/>
          <w:sz w:val="21"/>
          <w:szCs w:val="21"/>
        </w:rPr>
        <w:t>ation-</w:t>
      </w:r>
      <w:r w:rsidR="003268AA">
        <w:rPr>
          <w:rFonts w:ascii="Times New Roman" w:hAnsi="Times New Roman" w:cs="Times New Roman"/>
          <w:sz w:val="21"/>
          <w:szCs w:val="21"/>
        </w:rPr>
        <w:t>e</w:t>
      </w:r>
      <w:r>
        <w:rPr>
          <w:rFonts w:ascii="Times New Roman" w:hAnsi="Times New Roman" w:cs="Times New Roman"/>
          <w:sz w:val="21"/>
          <w:szCs w:val="21"/>
        </w:rPr>
        <w:t xml:space="preserve">xchange </w:t>
      </w:r>
      <w:r w:rsidR="003268AA">
        <w:rPr>
          <w:rFonts w:ascii="Times New Roman" w:hAnsi="Times New Roman" w:cs="Times New Roman"/>
          <w:sz w:val="21"/>
          <w:szCs w:val="21"/>
        </w:rPr>
        <w:t>p</w:t>
      </w:r>
      <w:r>
        <w:rPr>
          <w:rFonts w:ascii="Times New Roman" w:hAnsi="Times New Roman" w:cs="Times New Roman"/>
          <w:sz w:val="21"/>
          <w:szCs w:val="21"/>
        </w:rPr>
        <w:t xml:space="preserve">rotecting </w:t>
      </w:r>
      <w:r w:rsidR="003268AA">
        <w:rPr>
          <w:rFonts w:ascii="Times New Roman" w:hAnsi="Times New Roman" w:cs="Times New Roman"/>
          <w:sz w:val="21"/>
          <w:szCs w:val="21"/>
        </w:rPr>
        <w:t>l</w:t>
      </w:r>
      <w:r>
        <w:rPr>
          <w:rFonts w:ascii="Times New Roman" w:hAnsi="Times New Roman" w:cs="Times New Roman"/>
          <w:sz w:val="21"/>
          <w:szCs w:val="21"/>
        </w:rPr>
        <w:t>ayer. Nano-Micro Letters, 2022, 14(1): 82.</w:t>
      </w:r>
    </w:p>
    <w:p w14:paraId="601DE867" w14:textId="601B7698"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[28]</w:t>
      </w:r>
      <w:r>
        <w:rPr>
          <w:rFonts w:ascii="Times New Roman" w:hAnsi="Times New Roman" w:cs="Times New Roman"/>
          <w:sz w:val="21"/>
          <w:szCs w:val="21"/>
        </w:rPr>
        <w:tab/>
        <w:t xml:space="preserve">Li Q, Bai M, Wang X, et al. A </w:t>
      </w:r>
      <w:r w:rsidR="003268AA">
        <w:rPr>
          <w:rFonts w:ascii="Times New Roman" w:hAnsi="Times New Roman" w:cs="Times New Roman"/>
          <w:sz w:val="21"/>
          <w:szCs w:val="21"/>
        </w:rPr>
        <w:t>g</w:t>
      </w:r>
      <w:r>
        <w:rPr>
          <w:rFonts w:ascii="Times New Roman" w:hAnsi="Times New Roman" w:cs="Times New Roman"/>
          <w:sz w:val="21"/>
          <w:szCs w:val="21"/>
        </w:rPr>
        <w:t xml:space="preserve">radient </w:t>
      </w:r>
      <w:r w:rsidR="003268AA">
        <w:rPr>
          <w:rFonts w:ascii="Times New Roman" w:hAnsi="Times New Roman" w:cs="Times New Roman"/>
          <w:sz w:val="21"/>
          <w:szCs w:val="21"/>
        </w:rPr>
        <w:t>s</w:t>
      </w:r>
      <w:r>
        <w:rPr>
          <w:rFonts w:ascii="Times New Roman" w:hAnsi="Times New Roman" w:cs="Times New Roman"/>
          <w:sz w:val="21"/>
          <w:szCs w:val="21"/>
        </w:rPr>
        <w:t xml:space="preserve">olid-like </w:t>
      </w:r>
      <w:r w:rsidR="003268AA">
        <w:rPr>
          <w:rFonts w:ascii="Times New Roman" w:hAnsi="Times New Roman" w:cs="Times New Roman"/>
          <w:sz w:val="21"/>
          <w:szCs w:val="21"/>
        </w:rPr>
        <w:t>e</w:t>
      </w:r>
      <w:r>
        <w:rPr>
          <w:rFonts w:ascii="Times New Roman" w:hAnsi="Times New Roman" w:cs="Times New Roman"/>
          <w:sz w:val="21"/>
          <w:szCs w:val="21"/>
        </w:rPr>
        <w:t xml:space="preserve">lectrolyte </w:t>
      </w:r>
      <w:r w:rsidR="003268AA">
        <w:rPr>
          <w:rFonts w:ascii="Times New Roman" w:hAnsi="Times New Roman" w:cs="Times New Roman"/>
          <w:sz w:val="21"/>
          <w:szCs w:val="21"/>
        </w:rPr>
        <w:t>s</w:t>
      </w:r>
      <w:r>
        <w:rPr>
          <w:rFonts w:ascii="Times New Roman" w:hAnsi="Times New Roman" w:cs="Times New Roman"/>
          <w:sz w:val="21"/>
          <w:szCs w:val="21"/>
        </w:rPr>
        <w:t xml:space="preserve">tabilizing Zn </w:t>
      </w:r>
      <w:r w:rsidR="003268AA">
        <w:rPr>
          <w:rFonts w:ascii="Times New Roman" w:hAnsi="Times New Roman" w:cs="Times New Roman"/>
          <w:sz w:val="21"/>
          <w:szCs w:val="21"/>
        </w:rPr>
        <w:t>a</w:t>
      </w:r>
      <w:r>
        <w:rPr>
          <w:rFonts w:ascii="Times New Roman" w:hAnsi="Times New Roman" w:cs="Times New Roman"/>
          <w:sz w:val="21"/>
          <w:szCs w:val="21"/>
        </w:rPr>
        <w:t xml:space="preserve">nodes by </w:t>
      </w:r>
      <w:r w:rsidR="003268AA" w:rsidRPr="003268AA">
        <w:rPr>
          <w:rFonts w:ascii="Times New Roman" w:hAnsi="Times New Roman" w:cs="Times New Roman"/>
          <w:i/>
          <w:iCs/>
          <w:sz w:val="21"/>
          <w:szCs w:val="21"/>
        </w:rPr>
        <w:t>i</w:t>
      </w:r>
      <w:r w:rsidRPr="003268AA">
        <w:rPr>
          <w:rFonts w:ascii="Times New Roman" w:hAnsi="Times New Roman" w:cs="Times New Roman"/>
          <w:i/>
          <w:iCs/>
          <w:sz w:val="21"/>
          <w:szCs w:val="21"/>
        </w:rPr>
        <w:t>n</w:t>
      </w:r>
      <w:r>
        <w:rPr>
          <w:rFonts w:ascii="Times New Roman" w:hAnsi="Times New Roman" w:cs="Times New Roman"/>
          <w:sz w:val="21"/>
          <w:szCs w:val="21"/>
        </w:rPr>
        <w:t xml:space="preserve"> </w:t>
      </w:r>
      <w:r w:rsidR="003268AA" w:rsidRPr="003268AA">
        <w:rPr>
          <w:rFonts w:ascii="Times New Roman" w:hAnsi="Times New Roman" w:cs="Times New Roman"/>
          <w:i/>
          <w:iCs/>
          <w:sz w:val="21"/>
          <w:szCs w:val="21"/>
        </w:rPr>
        <w:t>s</w:t>
      </w:r>
      <w:r w:rsidRPr="003268AA">
        <w:rPr>
          <w:rFonts w:ascii="Times New Roman" w:hAnsi="Times New Roman" w:cs="Times New Roman"/>
          <w:i/>
          <w:iCs/>
          <w:sz w:val="21"/>
          <w:szCs w:val="21"/>
        </w:rPr>
        <w:t>itu</w:t>
      </w:r>
      <w:r>
        <w:rPr>
          <w:rFonts w:ascii="Times New Roman" w:hAnsi="Times New Roman" w:cs="Times New Roman"/>
          <w:sz w:val="21"/>
          <w:szCs w:val="21"/>
        </w:rPr>
        <w:t xml:space="preserve"> </w:t>
      </w:r>
      <w:r w:rsidR="003268AA">
        <w:rPr>
          <w:rFonts w:ascii="Times New Roman" w:hAnsi="Times New Roman" w:cs="Times New Roman"/>
          <w:sz w:val="21"/>
          <w:szCs w:val="21"/>
        </w:rPr>
        <w:t>f</w:t>
      </w:r>
      <w:r>
        <w:rPr>
          <w:rFonts w:ascii="Times New Roman" w:hAnsi="Times New Roman" w:cs="Times New Roman"/>
          <w:sz w:val="21"/>
          <w:szCs w:val="21"/>
        </w:rPr>
        <w:t xml:space="preserve">ormation of a </w:t>
      </w:r>
      <w:proofErr w:type="spellStart"/>
      <w:r>
        <w:rPr>
          <w:rFonts w:ascii="Times New Roman" w:hAnsi="Times New Roman" w:cs="Times New Roman"/>
          <w:sz w:val="21"/>
          <w:szCs w:val="21"/>
        </w:rPr>
        <w:t>ZnSe</w:t>
      </w:r>
      <w:proofErr w:type="spellEnd"/>
      <w:r>
        <w:rPr>
          <w:rFonts w:ascii="Times New Roman" w:hAnsi="Times New Roman" w:cs="Times New Roman"/>
          <w:sz w:val="21"/>
          <w:szCs w:val="21"/>
        </w:rPr>
        <w:t xml:space="preserve"> </w:t>
      </w:r>
      <w:r w:rsidR="003268AA">
        <w:rPr>
          <w:rFonts w:ascii="Times New Roman" w:hAnsi="Times New Roman" w:cs="Times New Roman"/>
          <w:sz w:val="21"/>
          <w:szCs w:val="21"/>
        </w:rPr>
        <w:t>i</w:t>
      </w:r>
      <w:r>
        <w:rPr>
          <w:rFonts w:ascii="Times New Roman" w:hAnsi="Times New Roman" w:cs="Times New Roman"/>
          <w:sz w:val="21"/>
          <w:szCs w:val="21"/>
        </w:rPr>
        <w:t>nterphase. ACS Applied Materials &amp; Interfaces, 2025, 17(8).</w:t>
      </w:r>
    </w:p>
    <w:p w14:paraId="76699E84"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[29]</w:t>
      </w:r>
      <w:r>
        <w:rPr>
          <w:rFonts w:ascii="Times New Roman" w:hAnsi="Times New Roman" w:cs="Times New Roman"/>
          <w:sz w:val="21"/>
          <w:szCs w:val="21"/>
        </w:rPr>
        <w:tab/>
        <w:t>Yin J, Li M, Feng X, et al. Comprehensive protection of Zn metal anode via caprolactam towards highly stable aqueous zinc ions batteries. Journal of Alloys and Compounds, 2024, 971: 172785.</w:t>
      </w:r>
    </w:p>
    <w:p w14:paraId="4CF32BC2" w14:textId="14BE8A8C"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[30]</w:t>
      </w:r>
      <w:r>
        <w:rPr>
          <w:rFonts w:ascii="Times New Roman" w:hAnsi="Times New Roman" w:cs="Times New Roman"/>
          <w:sz w:val="21"/>
          <w:szCs w:val="21"/>
        </w:rPr>
        <w:tab/>
        <w:t xml:space="preserve">Zhao Y, Chen Z, Gao X, et al. </w:t>
      </w:r>
      <w:r w:rsidRPr="003268AA">
        <w:rPr>
          <w:rFonts w:ascii="Times New Roman" w:hAnsi="Times New Roman" w:cs="Times New Roman"/>
          <w:i/>
          <w:iCs/>
          <w:sz w:val="21"/>
          <w:szCs w:val="21"/>
        </w:rPr>
        <w:t>In-</w:t>
      </w:r>
      <w:r w:rsidR="003268AA" w:rsidRPr="003268AA">
        <w:rPr>
          <w:rFonts w:ascii="Times New Roman" w:hAnsi="Times New Roman" w:cs="Times New Roman"/>
          <w:i/>
          <w:iCs/>
          <w:sz w:val="21"/>
          <w:szCs w:val="21"/>
        </w:rPr>
        <w:t>s</w:t>
      </w:r>
      <w:r w:rsidRPr="003268AA">
        <w:rPr>
          <w:rFonts w:ascii="Times New Roman" w:hAnsi="Times New Roman" w:cs="Times New Roman"/>
          <w:i/>
          <w:iCs/>
          <w:sz w:val="21"/>
          <w:szCs w:val="21"/>
        </w:rPr>
        <w:t>itu</w:t>
      </w:r>
      <w:r>
        <w:rPr>
          <w:rFonts w:ascii="Times New Roman" w:hAnsi="Times New Roman" w:cs="Times New Roman"/>
          <w:sz w:val="21"/>
          <w:szCs w:val="21"/>
        </w:rPr>
        <w:t xml:space="preserve"> </w:t>
      </w:r>
      <w:r w:rsidR="003268AA">
        <w:rPr>
          <w:rFonts w:ascii="Times New Roman" w:hAnsi="Times New Roman" w:cs="Times New Roman"/>
          <w:sz w:val="21"/>
          <w:szCs w:val="21"/>
        </w:rPr>
        <w:t>s</w:t>
      </w:r>
      <w:r>
        <w:rPr>
          <w:rFonts w:ascii="Times New Roman" w:hAnsi="Times New Roman" w:cs="Times New Roman"/>
          <w:sz w:val="21"/>
          <w:szCs w:val="21"/>
        </w:rPr>
        <w:t>elf-</w:t>
      </w:r>
      <w:r w:rsidR="003268AA">
        <w:rPr>
          <w:rFonts w:ascii="Times New Roman" w:hAnsi="Times New Roman" w:cs="Times New Roman"/>
          <w:sz w:val="21"/>
          <w:szCs w:val="21"/>
        </w:rPr>
        <w:t>r</w:t>
      </w:r>
      <w:r>
        <w:rPr>
          <w:rFonts w:ascii="Times New Roman" w:hAnsi="Times New Roman" w:cs="Times New Roman"/>
          <w:sz w:val="21"/>
          <w:szCs w:val="21"/>
        </w:rPr>
        <w:t xml:space="preserve">espiratory </w:t>
      </w:r>
      <w:r w:rsidR="003268AA">
        <w:rPr>
          <w:rFonts w:ascii="Times New Roman" w:hAnsi="Times New Roman" w:cs="Times New Roman"/>
          <w:sz w:val="21"/>
          <w:szCs w:val="21"/>
        </w:rPr>
        <w:t>s</w:t>
      </w:r>
      <w:r>
        <w:rPr>
          <w:rFonts w:ascii="Times New Roman" w:hAnsi="Times New Roman" w:cs="Times New Roman"/>
          <w:sz w:val="21"/>
          <w:szCs w:val="21"/>
        </w:rPr>
        <w:t>olid-to-</w:t>
      </w:r>
      <w:r w:rsidR="003268AA">
        <w:rPr>
          <w:rFonts w:ascii="Times New Roman" w:hAnsi="Times New Roman" w:cs="Times New Roman"/>
          <w:sz w:val="21"/>
          <w:szCs w:val="21"/>
        </w:rPr>
        <w:t>h</w:t>
      </w:r>
      <w:r>
        <w:rPr>
          <w:rFonts w:ascii="Times New Roman" w:hAnsi="Times New Roman" w:cs="Times New Roman"/>
          <w:sz w:val="21"/>
          <w:szCs w:val="21"/>
        </w:rPr>
        <w:t xml:space="preserve">ydrogel </w:t>
      </w:r>
      <w:r w:rsidR="003268AA">
        <w:rPr>
          <w:rFonts w:ascii="Times New Roman" w:hAnsi="Times New Roman" w:cs="Times New Roman"/>
          <w:sz w:val="21"/>
          <w:szCs w:val="21"/>
        </w:rPr>
        <w:t>e</w:t>
      </w:r>
      <w:r>
        <w:rPr>
          <w:rFonts w:ascii="Times New Roman" w:hAnsi="Times New Roman" w:cs="Times New Roman"/>
          <w:sz w:val="21"/>
          <w:szCs w:val="21"/>
        </w:rPr>
        <w:t xml:space="preserve">lectrolyte </w:t>
      </w:r>
      <w:r w:rsidR="003268AA">
        <w:rPr>
          <w:rFonts w:ascii="Times New Roman" w:hAnsi="Times New Roman" w:cs="Times New Roman"/>
          <w:sz w:val="21"/>
          <w:szCs w:val="21"/>
        </w:rPr>
        <w:t>i</w:t>
      </w:r>
      <w:r>
        <w:rPr>
          <w:rFonts w:ascii="Times New Roman" w:hAnsi="Times New Roman" w:cs="Times New Roman"/>
          <w:sz w:val="21"/>
          <w:szCs w:val="21"/>
        </w:rPr>
        <w:t xml:space="preserve">nterface </w:t>
      </w:r>
      <w:r w:rsidR="003268AA">
        <w:rPr>
          <w:rFonts w:ascii="Times New Roman" w:hAnsi="Times New Roman" w:cs="Times New Roman"/>
          <w:sz w:val="21"/>
          <w:szCs w:val="21"/>
        </w:rPr>
        <w:t>e</w:t>
      </w:r>
      <w:r>
        <w:rPr>
          <w:rFonts w:ascii="Times New Roman" w:hAnsi="Times New Roman" w:cs="Times New Roman"/>
          <w:sz w:val="21"/>
          <w:szCs w:val="21"/>
        </w:rPr>
        <w:t xml:space="preserve">voked </w:t>
      </w:r>
      <w:r w:rsidR="003268AA">
        <w:rPr>
          <w:rFonts w:ascii="Times New Roman" w:hAnsi="Times New Roman" w:cs="Times New Roman"/>
          <w:sz w:val="21"/>
          <w:szCs w:val="21"/>
        </w:rPr>
        <w:t>w</w:t>
      </w:r>
      <w:r>
        <w:rPr>
          <w:rFonts w:ascii="Times New Roman" w:hAnsi="Times New Roman" w:cs="Times New Roman"/>
          <w:sz w:val="21"/>
          <w:szCs w:val="21"/>
        </w:rPr>
        <w:t>ell-</w:t>
      </w:r>
      <w:r w:rsidR="003268AA">
        <w:rPr>
          <w:rFonts w:ascii="Times New Roman" w:hAnsi="Times New Roman" w:cs="Times New Roman"/>
          <w:sz w:val="21"/>
          <w:szCs w:val="21"/>
        </w:rPr>
        <w:t>d</w:t>
      </w:r>
      <w:r>
        <w:rPr>
          <w:rFonts w:ascii="Times New Roman" w:hAnsi="Times New Roman" w:cs="Times New Roman"/>
          <w:sz w:val="21"/>
          <w:szCs w:val="21"/>
        </w:rPr>
        <w:t xml:space="preserve">istributed </w:t>
      </w:r>
      <w:r w:rsidR="003268AA">
        <w:rPr>
          <w:rFonts w:ascii="Times New Roman" w:hAnsi="Times New Roman" w:cs="Times New Roman"/>
          <w:sz w:val="21"/>
          <w:szCs w:val="21"/>
        </w:rPr>
        <w:t>d</w:t>
      </w:r>
      <w:r>
        <w:rPr>
          <w:rFonts w:ascii="Times New Roman" w:hAnsi="Times New Roman" w:cs="Times New Roman"/>
          <w:sz w:val="21"/>
          <w:szCs w:val="21"/>
        </w:rPr>
        <w:t xml:space="preserve">eposition on </w:t>
      </w:r>
      <w:r w:rsidR="003268AA">
        <w:rPr>
          <w:rFonts w:ascii="Times New Roman" w:hAnsi="Times New Roman" w:cs="Times New Roman"/>
          <w:sz w:val="21"/>
          <w:szCs w:val="21"/>
        </w:rPr>
        <w:t>z</w:t>
      </w:r>
      <w:r>
        <w:rPr>
          <w:rFonts w:ascii="Times New Roman" w:hAnsi="Times New Roman" w:cs="Times New Roman"/>
          <w:sz w:val="21"/>
          <w:szCs w:val="21"/>
        </w:rPr>
        <w:t xml:space="preserve">inc </w:t>
      </w:r>
      <w:r w:rsidR="003268AA">
        <w:rPr>
          <w:rFonts w:ascii="Times New Roman" w:hAnsi="Times New Roman" w:cs="Times New Roman"/>
          <w:sz w:val="21"/>
          <w:szCs w:val="21"/>
        </w:rPr>
        <w:t>a</w:t>
      </w:r>
      <w:r>
        <w:rPr>
          <w:rFonts w:ascii="Times New Roman" w:hAnsi="Times New Roman" w:cs="Times New Roman"/>
          <w:sz w:val="21"/>
          <w:szCs w:val="21"/>
        </w:rPr>
        <w:t xml:space="preserve">node for </w:t>
      </w:r>
      <w:r w:rsidR="003268AA">
        <w:rPr>
          <w:rFonts w:ascii="Times New Roman" w:hAnsi="Times New Roman" w:cs="Times New Roman"/>
          <w:sz w:val="21"/>
          <w:szCs w:val="21"/>
        </w:rPr>
        <w:t>h</w:t>
      </w:r>
      <w:r>
        <w:rPr>
          <w:rFonts w:ascii="Times New Roman" w:hAnsi="Times New Roman" w:cs="Times New Roman"/>
          <w:sz w:val="21"/>
          <w:szCs w:val="21"/>
        </w:rPr>
        <w:t xml:space="preserve">ighly </w:t>
      </w:r>
      <w:r w:rsidR="003268AA">
        <w:rPr>
          <w:rFonts w:ascii="Times New Roman" w:hAnsi="Times New Roman" w:cs="Times New Roman"/>
          <w:sz w:val="21"/>
          <w:szCs w:val="21"/>
        </w:rPr>
        <w:t>r</w:t>
      </w:r>
      <w:r>
        <w:rPr>
          <w:rFonts w:ascii="Times New Roman" w:hAnsi="Times New Roman" w:cs="Times New Roman"/>
          <w:sz w:val="21"/>
          <w:szCs w:val="21"/>
        </w:rPr>
        <w:t xml:space="preserve">eversible </w:t>
      </w:r>
      <w:r w:rsidR="003268AA">
        <w:rPr>
          <w:rFonts w:ascii="Times New Roman" w:hAnsi="Times New Roman" w:cs="Times New Roman"/>
          <w:sz w:val="21"/>
          <w:szCs w:val="21"/>
        </w:rPr>
        <w:t>z</w:t>
      </w:r>
      <w:r>
        <w:rPr>
          <w:rFonts w:ascii="Times New Roman" w:hAnsi="Times New Roman" w:cs="Times New Roman"/>
          <w:sz w:val="21"/>
          <w:szCs w:val="21"/>
        </w:rPr>
        <w:t>inc-</w:t>
      </w:r>
      <w:r w:rsidR="003268AA">
        <w:rPr>
          <w:rFonts w:ascii="Times New Roman" w:hAnsi="Times New Roman" w:cs="Times New Roman"/>
          <w:sz w:val="21"/>
          <w:szCs w:val="21"/>
        </w:rPr>
        <w:t>i</w:t>
      </w:r>
      <w:r>
        <w:rPr>
          <w:rFonts w:ascii="Times New Roman" w:hAnsi="Times New Roman" w:cs="Times New Roman"/>
          <w:sz w:val="21"/>
          <w:szCs w:val="21"/>
        </w:rPr>
        <w:t>on Batteries. Angewandte Chemie International Edition, 2025, 64(3): e202415251.</w:t>
      </w:r>
    </w:p>
    <w:p w14:paraId="27E28A6B" w14:textId="12D9A9E6"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[31]</w:t>
      </w:r>
      <w:r>
        <w:rPr>
          <w:rFonts w:ascii="Times New Roman" w:hAnsi="Times New Roman" w:cs="Times New Roman"/>
          <w:sz w:val="21"/>
          <w:szCs w:val="21"/>
        </w:rPr>
        <w:tab/>
        <w:t xml:space="preserve">Chen M, Guo X, Jiang X, et al. </w:t>
      </w:r>
      <w:proofErr w:type="gramStart"/>
      <w:r>
        <w:rPr>
          <w:rFonts w:ascii="Times New Roman" w:hAnsi="Times New Roman" w:cs="Times New Roman"/>
          <w:sz w:val="21"/>
          <w:szCs w:val="21"/>
        </w:rPr>
        <w:t>Multi-</w:t>
      </w:r>
      <w:r w:rsidR="003268AA">
        <w:rPr>
          <w:rFonts w:ascii="Times New Roman" w:hAnsi="Times New Roman" w:cs="Times New Roman"/>
          <w:sz w:val="21"/>
          <w:szCs w:val="21"/>
        </w:rPr>
        <w:t>g</w:t>
      </w:r>
      <w:r>
        <w:rPr>
          <w:rFonts w:ascii="Times New Roman" w:hAnsi="Times New Roman" w:cs="Times New Roman"/>
          <w:sz w:val="21"/>
          <w:szCs w:val="21"/>
        </w:rPr>
        <w:t>roup</w:t>
      </w:r>
      <w:proofErr w:type="gramEnd"/>
      <w:r>
        <w:rPr>
          <w:rFonts w:ascii="Times New Roman" w:hAnsi="Times New Roman" w:cs="Times New Roman"/>
          <w:sz w:val="21"/>
          <w:szCs w:val="21"/>
        </w:rPr>
        <w:t xml:space="preserve"> </w:t>
      </w:r>
      <w:r w:rsidR="003268AA">
        <w:rPr>
          <w:rFonts w:ascii="Times New Roman" w:hAnsi="Times New Roman" w:cs="Times New Roman"/>
          <w:sz w:val="21"/>
          <w:szCs w:val="21"/>
        </w:rPr>
        <w:t>p</w:t>
      </w:r>
      <w:r>
        <w:rPr>
          <w:rFonts w:ascii="Times New Roman" w:hAnsi="Times New Roman" w:cs="Times New Roman"/>
          <w:sz w:val="21"/>
          <w:szCs w:val="21"/>
        </w:rPr>
        <w:t xml:space="preserve">olymer </w:t>
      </w:r>
      <w:r w:rsidR="003268AA">
        <w:rPr>
          <w:rFonts w:ascii="Times New Roman" w:hAnsi="Times New Roman" w:cs="Times New Roman"/>
          <w:sz w:val="21"/>
          <w:szCs w:val="21"/>
        </w:rPr>
        <w:t>c</w:t>
      </w:r>
      <w:r>
        <w:rPr>
          <w:rFonts w:ascii="Times New Roman" w:hAnsi="Times New Roman" w:cs="Times New Roman"/>
          <w:sz w:val="21"/>
          <w:szCs w:val="21"/>
        </w:rPr>
        <w:t xml:space="preserve">oating on Zn </w:t>
      </w:r>
      <w:r w:rsidR="003268AA">
        <w:rPr>
          <w:rFonts w:ascii="Times New Roman" w:hAnsi="Times New Roman" w:cs="Times New Roman"/>
          <w:sz w:val="21"/>
          <w:szCs w:val="21"/>
        </w:rPr>
        <w:t>a</w:t>
      </w:r>
      <w:r>
        <w:rPr>
          <w:rFonts w:ascii="Times New Roman" w:hAnsi="Times New Roman" w:cs="Times New Roman"/>
          <w:sz w:val="21"/>
          <w:szCs w:val="21"/>
        </w:rPr>
        <w:t xml:space="preserve">node for </w:t>
      </w:r>
      <w:r w:rsidR="003268AA">
        <w:rPr>
          <w:rFonts w:ascii="Times New Roman" w:hAnsi="Times New Roman" w:cs="Times New Roman"/>
          <w:sz w:val="21"/>
          <w:szCs w:val="21"/>
        </w:rPr>
        <w:t>h</w:t>
      </w:r>
      <w:r>
        <w:rPr>
          <w:rFonts w:ascii="Times New Roman" w:hAnsi="Times New Roman" w:cs="Times New Roman"/>
          <w:sz w:val="21"/>
          <w:szCs w:val="21"/>
        </w:rPr>
        <w:t xml:space="preserve">igh </w:t>
      </w:r>
      <w:r w:rsidR="003268AA">
        <w:rPr>
          <w:rFonts w:ascii="Times New Roman" w:hAnsi="Times New Roman" w:cs="Times New Roman"/>
          <w:sz w:val="21"/>
          <w:szCs w:val="21"/>
        </w:rPr>
        <w:t>o</w:t>
      </w:r>
      <w:r>
        <w:rPr>
          <w:rFonts w:ascii="Times New Roman" w:hAnsi="Times New Roman" w:cs="Times New Roman"/>
          <w:sz w:val="21"/>
          <w:szCs w:val="21"/>
        </w:rPr>
        <w:t xml:space="preserve">verall </w:t>
      </w:r>
      <w:r w:rsidR="003268AA">
        <w:rPr>
          <w:rFonts w:ascii="Times New Roman" w:hAnsi="Times New Roman" w:cs="Times New Roman"/>
          <w:sz w:val="21"/>
          <w:szCs w:val="21"/>
        </w:rPr>
        <w:t>c</w:t>
      </w:r>
      <w:r>
        <w:rPr>
          <w:rFonts w:ascii="Times New Roman" w:hAnsi="Times New Roman" w:cs="Times New Roman"/>
          <w:sz w:val="21"/>
          <w:szCs w:val="21"/>
        </w:rPr>
        <w:t xml:space="preserve">onversion </w:t>
      </w:r>
      <w:r w:rsidR="003268AA">
        <w:rPr>
          <w:rFonts w:ascii="Times New Roman" w:hAnsi="Times New Roman" w:cs="Times New Roman"/>
          <w:sz w:val="21"/>
          <w:szCs w:val="21"/>
        </w:rPr>
        <w:t>e</w:t>
      </w:r>
      <w:r>
        <w:rPr>
          <w:rFonts w:ascii="Times New Roman" w:hAnsi="Times New Roman" w:cs="Times New Roman"/>
          <w:sz w:val="21"/>
          <w:szCs w:val="21"/>
        </w:rPr>
        <w:t xml:space="preserve">fficiency </w:t>
      </w:r>
      <w:proofErr w:type="spellStart"/>
      <w:r w:rsidR="003268AA">
        <w:rPr>
          <w:rFonts w:ascii="Times New Roman" w:hAnsi="Times New Roman" w:cs="Times New Roman"/>
          <w:sz w:val="21"/>
          <w:szCs w:val="21"/>
        </w:rPr>
        <w:t>p</w:t>
      </w:r>
      <w:r>
        <w:rPr>
          <w:rFonts w:ascii="Times New Roman" w:hAnsi="Times New Roman" w:cs="Times New Roman"/>
          <w:sz w:val="21"/>
          <w:szCs w:val="21"/>
        </w:rPr>
        <w:t>hotorechargeable</w:t>
      </w:r>
      <w:proofErr w:type="spellEnd"/>
      <w:r>
        <w:rPr>
          <w:rFonts w:ascii="Times New Roman" w:hAnsi="Times New Roman" w:cs="Times New Roman"/>
          <w:sz w:val="21"/>
          <w:szCs w:val="21"/>
        </w:rPr>
        <w:t xml:space="preserve"> </w:t>
      </w:r>
      <w:r w:rsidR="003268AA">
        <w:rPr>
          <w:rFonts w:ascii="Times New Roman" w:hAnsi="Times New Roman" w:cs="Times New Roman"/>
          <w:sz w:val="21"/>
          <w:szCs w:val="21"/>
        </w:rPr>
        <w:t>z</w:t>
      </w:r>
      <w:r>
        <w:rPr>
          <w:rFonts w:ascii="Times New Roman" w:hAnsi="Times New Roman" w:cs="Times New Roman"/>
          <w:sz w:val="21"/>
          <w:szCs w:val="21"/>
        </w:rPr>
        <w:t>inc-</w:t>
      </w:r>
      <w:r w:rsidR="003268AA">
        <w:rPr>
          <w:rFonts w:ascii="Times New Roman" w:hAnsi="Times New Roman" w:cs="Times New Roman"/>
          <w:sz w:val="21"/>
          <w:szCs w:val="21"/>
        </w:rPr>
        <w:t>i</w:t>
      </w:r>
      <w:r>
        <w:rPr>
          <w:rFonts w:ascii="Times New Roman" w:hAnsi="Times New Roman" w:cs="Times New Roman"/>
          <w:sz w:val="21"/>
          <w:szCs w:val="21"/>
        </w:rPr>
        <w:t xml:space="preserve">on </w:t>
      </w:r>
      <w:r w:rsidR="003268AA">
        <w:rPr>
          <w:rFonts w:ascii="Times New Roman" w:hAnsi="Times New Roman" w:cs="Times New Roman"/>
          <w:sz w:val="21"/>
          <w:szCs w:val="21"/>
        </w:rPr>
        <w:t>b</w:t>
      </w:r>
      <w:r>
        <w:rPr>
          <w:rFonts w:ascii="Times New Roman" w:hAnsi="Times New Roman" w:cs="Times New Roman"/>
          <w:sz w:val="21"/>
          <w:szCs w:val="21"/>
        </w:rPr>
        <w:t>atteries. Angewandte Chemie International Edition, 2024, 63(39): e202410011.</w:t>
      </w:r>
    </w:p>
    <w:p w14:paraId="38E4F5A6" w14:textId="2A991344"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[32]</w:t>
      </w:r>
      <w:r>
        <w:rPr>
          <w:rFonts w:ascii="Times New Roman" w:hAnsi="Times New Roman" w:cs="Times New Roman"/>
          <w:sz w:val="21"/>
          <w:szCs w:val="21"/>
        </w:rPr>
        <w:tab/>
        <w:t>Zhang J, Wei X, Wu Q, et al. Molecule-</w:t>
      </w:r>
      <w:r w:rsidR="003268AA">
        <w:rPr>
          <w:rFonts w:ascii="Times New Roman" w:hAnsi="Times New Roman" w:cs="Times New Roman"/>
          <w:sz w:val="21"/>
          <w:szCs w:val="21"/>
        </w:rPr>
        <w:t>a</w:t>
      </w:r>
      <w:r>
        <w:rPr>
          <w:rFonts w:ascii="Times New Roman" w:hAnsi="Times New Roman" w:cs="Times New Roman"/>
          <w:sz w:val="21"/>
          <w:szCs w:val="21"/>
        </w:rPr>
        <w:t>dsorption-</w:t>
      </w:r>
      <w:r w:rsidR="003268AA">
        <w:rPr>
          <w:rFonts w:ascii="Times New Roman" w:hAnsi="Times New Roman" w:cs="Times New Roman"/>
          <w:sz w:val="21"/>
          <w:szCs w:val="21"/>
        </w:rPr>
        <w:t>i</w:t>
      </w:r>
      <w:r>
        <w:rPr>
          <w:rFonts w:ascii="Times New Roman" w:hAnsi="Times New Roman" w:cs="Times New Roman"/>
          <w:sz w:val="21"/>
          <w:szCs w:val="21"/>
        </w:rPr>
        <w:t xml:space="preserve">nduced </w:t>
      </w:r>
      <w:r w:rsidR="003268AA">
        <w:rPr>
          <w:rFonts w:ascii="Times New Roman" w:hAnsi="Times New Roman" w:cs="Times New Roman"/>
          <w:sz w:val="21"/>
          <w:szCs w:val="21"/>
        </w:rPr>
        <w:t>i</w:t>
      </w:r>
      <w:r>
        <w:rPr>
          <w:rFonts w:ascii="Times New Roman" w:hAnsi="Times New Roman" w:cs="Times New Roman"/>
          <w:sz w:val="21"/>
          <w:szCs w:val="21"/>
        </w:rPr>
        <w:t xml:space="preserve">nterface </w:t>
      </w:r>
      <w:r w:rsidR="003268AA">
        <w:rPr>
          <w:rFonts w:ascii="Times New Roman" w:hAnsi="Times New Roman" w:cs="Times New Roman"/>
          <w:sz w:val="21"/>
          <w:szCs w:val="21"/>
        </w:rPr>
        <w:t>m</w:t>
      </w:r>
      <w:r>
        <w:rPr>
          <w:rFonts w:ascii="Times New Roman" w:hAnsi="Times New Roman" w:cs="Times New Roman"/>
          <w:sz w:val="21"/>
          <w:szCs w:val="21"/>
        </w:rPr>
        <w:t xml:space="preserve">icro-environment </w:t>
      </w:r>
      <w:r w:rsidR="003268AA">
        <w:rPr>
          <w:rFonts w:ascii="Times New Roman" w:hAnsi="Times New Roman" w:cs="Times New Roman"/>
          <w:sz w:val="21"/>
          <w:szCs w:val="21"/>
        </w:rPr>
        <w:t>r</w:t>
      </w:r>
      <w:r>
        <w:rPr>
          <w:rFonts w:ascii="Times New Roman" w:hAnsi="Times New Roman" w:cs="Times New Roman"/>
          <w:sz w:val="21"/>
          <w:szCs w:val="21"/>
        </w:rPr>
        <w:t xml:space="preserve">egulating for </w:t>
      </w:r>
      <w:r w:rsidR="003268AA">
        <w:rPr>
          <w:rFonts w:ascii="Times New Roman" w:hAnsi="Times New Roman" w:cs="Times New Roman"/>
          <w:sz w:val="21"/>
          <w:szCs w:val="21"/>
        </w:rPr>
        <w:t>h</w:t>
      </w:r>
      <w:r>
        <w:rPr>
          <w:rFonts w:ascii="Times New Roman" w:hAnsi="Times New Roman" w:cs="Times New Roman"/>
          <w:sz w:val="21"/>
          <w:szCs w:val="21"/>
        </w:rPr>
        <w:t xml:space="preserve">ighly </w:t>
      </w:r>
      <w:r w:rsidR="003268AA">
        <w:rPr>
          <w:rFonts w:ascii="Times New Roman" w:hAnsi="Times New Roman" w:cs="Times New Roman"/>
          <w:sz w:val="21"/>
          <w:szCs w:val="21"/>
        </w:rPr>
        <w:t>s</w:t>
      </w:r>
      <w:r>
        <w:rPr>
          <w:rFonts w:ascii="Times New Roman" w:hAnsi="Times New Roman" w:cs="Times New Roman"/>
          <w:sz w:val="21"/>
          <w:szCs w:val="21"/>
        </w:rPr>
        <w:t xml:space="preserve">table </w:t>
      </w:r>
      <w:r w:rsidR="003268AA">
        <w:rPr>
          <w:rFonts w:ascii="Times New Roman" w:hAnsi="Times New Roman" w:cs="Times New Roman"/>
          <w:sz w:val="21"/>
          <w:szCs w:val="21"/>
        </w:rPr>
        <w:t>a</w:t>
      </w:r>
      <w:r>
        <w:rPr>
          <w:rFonts w:ascii="Times New Roman" w:hAnsi="Times New Roman" w:cs="Times New Roman"/>
          <w:sz w:val="21"/>
          <w:szCs w:val="21"/>
        </w:rPr>
        <w:t xml:space="preserve">queous </w:t>
      </w:r>
      <w:r w:rsidR="003268AA">
        <w:rPr>
          <w:rFonts w:ascii="Times New Roman" w:hAnsi="Times New Roman" w:cs="Times New Roman"/>
          <w:sz w:val="21"/>
          <w:szCs w:val="21"/>
        </w:rPr>
        <w:t>z</w:t>
      </w:r>
      <w:r>
        <w:rPr>
          <w:rFonts w:ascii="Times New Roman" w:hAnsi="Times New Roman" w:cs="Times New Roman"/>
          <w:sz w:val="21"/>
          <w:szCs w:val="21"/>
        </w:rPr>
        <w:t xml:space="preserve">inc </w:t>
      </w:r>
      <w:r w:rsidR="003268AA">
        <w:rPr>
          <w:rFonts w:ascii="Times New Roman" w:hAnsi="Times New Roman" w:cs="Times New Roman"/>
          <w:sz w:val="21"/>
          <w:szCs w:val="21"/>
        </w:rPr>
        <w:t>i</w:t>
      </w:r>
      <w:r>
        <w:rPr>
          <w:rFonts w:ascii="Times New Roman" w:hAnsi="Times New Roman" w:cs="Times New Roman"/>
          <w:sz w:val="21"/>
          <w:szCs w:val="21"/>
        </w:rPr>
        <w:t xml:space="preserve">on </w:t>
      </w:r>
      <w:r w:rsidR="003268AA">
        <w:rPr>
          <w:rFonts w:ascii="Times New Roman" w:hAnsi="Times New Roman" w:cs="Times New Roman"/>
          <w:sz w:val="21"/>
          <w:szCs w:val="21"/>
        </w:rPr>
        <w:t>b</w:t>
      </w:r>
      <w:r>
        <w:rPr>
          <w:rFonts w:ascii="Times New Roman" w:hAnsi="Times New Roman" w:cs="Times New Roman"/>
          <w:sz w:val="21"/>
          <w:szCs w:val="21"/>
        </w:rPr>
        <w:t>atteries. Polymer Science &amp; Technology, 2025.</w:t>
      </w:r>
    </w:p>
    <w:p w14:paraId="42B0C5C9" w14:textId="7E01E7A9"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[33]</w:t>
      </w:r>
      <w:r>
        <w:rPr>
          <w:rFonts w:ascii="Times New Roman" w:hAnsi="Times New Roman" w:cs="Times New Roman"/>
          <w:sz w:val="21"/>
          <w:szCs w:val="21"/>
        </w:rPr>
        <w:tab/>
        <w:t xml:space="preserve">Wu Q, Huang J, Zhang J, et al. Multifunctional </w:t>
      </w:r>
      <w:r w:rsidR="003268AA">
        <w:rPr>
          <w:rFonts w:ascii="Times New Roman" w:hAnsi="Times New Roman" w:cs="Times New Roman"/>
          <w:sz w:val="21"/>
          <w:szCs w:val="21"/>
        </w:rPr>
        <w:t>c</w:t>
      </w:r>
      <w:r>
        <w:rPr>
          <w:rFonts w:ascii="Times New Roman" w:hAnsi="Times New Roman" w:cs="Times New Roman"/>
          <w:sz w:val="21"/>
          <w:szCs w:val="21"/>
        </w:rPr>
        <w:t xml:space="preserve">ellulose </w:t>
      </w:r>
      <w:r w:rsidR="003268AA">
        <w:rPr>
          <w:rFonts w:ascii="Times New Roman" w:hAnsi="Times New Roman" w:cs="Times New Roman"/>
          <w:sz w:val="21"/>
          <w:szCs w:val="21"/>
        </w:rPr>
        <w:t>n</w:t>
      </w:r>
      <w:r>
        <w:rPr>
          <w:rFonts w:ascii="Times New Roman" w:hAnsi="Times New Roman" w:cs="Times New Roman"/>
          <w:sz w:val="21"/>
          <w:szCs w:val="21"/>
        </w:rPr>
        <w:t xml:space="preserve">anocrystals </w:t>
      </w:r>
      <w:r w:rsidR="003268AA">
        <w:rPr>
          <w:rFonts w:ascii="Times New Roman" w:hAnsi="Times New Roman" w:cs="Times New Roman"/>
          <w:sz w:val="21"/>
          <w:szCs w:val="21"/>
        </w:rPr>
        <w:t>e</w:t>
      </w:r>
      <w:r>
        <w:rPr>
          <w:rFonts w:ascii="Times New Roman" w:hAnsi="Times New Roman" w:cs="Times New Roman"/>
          <w:sz w:val="21"/>
          <w:szCs w:val="21"/>
        </w:rPr>
        <w:t xml:space="preserve">lectrolyte </w:t>
      </w:r>
      <w:r w:rsidR="003268AA">
        <w:rPr>
          <w:rFonts w:ascii="Times New Roman" w:hAnsi="Times New Roman" w:cs="Times New Roman"/>
          <w:sz w:val="21"/>
          <w:szCs w:val="21"/>
        </w:rPr>
        <w:t>a</w:t>
      </w:r>
      <w:r>
        <w:rPr>
          <w:rFonts w:ascii="Times New Roman" w:hAnsi="Times New Roman" w:cs="Times New Roman"/>
          <w:sz w:val="21"/>
          <w:szCs w:val="21"/>
        </w:rPr>
        <w:t xml:space="preserve">dditive </w:t>
      </w:r>
      <w:r w:rsidR="003268AA">
        <w:rPr>
          <w:rFonts w:ascii="Times New Roman" w:hAnsi="Times New Roman" w:cs="Times New Roman"/>
          <w:sz w:val="21"/>
          <w:szCs w:val="21"/>
        </w:rPr>
        <w:t>e</w:t>
      </w:r>
      <w:r>
        <w:rPr>
          <w:rFonts w:ascii="Times New Roman" w:hAnsi="Times New Roman" w:cs="Times New Roman"/>
          <w:sz w:val="21"/>
          <w:szCs w:val="21"/>
        </w:rPr>
        <w:t xml:space="preserve">nable </w:t>
      </w:r>
      <w:r w:rsidR="003268AA">
        <w:rPr>
          <w:rFonts w:ascii="Times New Roman" w:hAnsi="Times New Roman" w:cs="Times New Roman"/>
          <w:sz w:val="21"/>
          <w:szCs w:val="21"/>
        </w:rPr>
        <w:t>u</w:t>
      </w:r>
      <w:r>
        <w:rPr>
          <w:rFonts w:ascii="Times New Roman" w:hAnsi="Times New Roman" w:cs="Times New Roman"/>
          <w:sz w:val="21"/>
          <w:szCs w:val="21"/>
        </w:rPr>
        <w:t>ltrahigh-</w:t>
      </w:r>
      <w:r w:rsidR="003268AA">
        <w:rPr>
          <w:rFonts w:ascii="Times New Roman" w:hAnsi="Times New Roman" w:cs="Times New Roman"/>
          <w:sz w:val="21"/>
          <w:szCs w:val="21"/>
        </w:rPr>
        <w:t>r</w:t>
      </w:r>
      <w:r>
        <w:rPr>
          <w:rFonts w:ascii="Times New Roman" w:hAnsi="Times New Roman" w:cs="Times New Roman"/>
          <w:sz w:val="21"/>
          <w:szCs w:val="21"/>
        </w:rPr>
        <w:t xml:space="preserve">ate and </w:t>
      </w:r>
      <w:r w:rsidR="003268AA">
        <w:rPr>
          <w:rFonts w:ascii="Times New Roman" w:hAnsi="Times New Roman" w:cs="Times New Roman"/>
          <w:sz w:val="21"/>
          <w:szCs w:val="21"/>
        </w:rPr>
        <w:t>d</w:t>
      </w:r>
      <w:r>
        <w:rPr>
          <w:rFonts w:ascii="Times New Roman" w:hAnsi="Times New Roman" w:cs="Times New Roman"/>
          <w:sz w:val="21"/>
          <w:szCs w:val="21"/>
        </w:rPr>
        <w:t>endrite-</w:t>
      </w:r>
      <w:r w:rsidR="003268AA">
        <w:rPr>
          <w:rFonts w:ascii="Times New Roman" w:hAnsi="Times New Roman" w:cs="Times New Roman"/>
          <w:sz w:val="21"/>
          <w:szCs w:val="21"/>
        </w:rPr>
        <w:t>f</w:t>
      </w:r>
      <w:r>
        <w:rPr>
          <w:rFonts w:ascii="Times New Roman" w:hAnsi="Times New Roman" w:cs="Times New Roman"/>
          <w:sz w:val="21"/>
          <w:szCs w:val="21"/>
        </w:rPr>
        <w:t xml:space="preserve">ree Zn </w:t>
      </w:r>
      <w:r w:rsidR="003268AA">
        <w:rPr>
          <w:rFonts w:ascii="Times New Roman" w:hAnsi="Times New Roman" w:cs="Times New Roman"/>
          <w:sz w:val="21"/>
          <w:szCs w:val="21"/>
        </w:rPr>
        <w:t>a</w:t>
      </w:r>
      <w:r>
        <w:rPr>
          <w:rFonts w:ascii="Times New Roman" w:hAnsi="Times New Roman" w:cs="Times New Roman"/>
          <w:sz w:val="21"/>
          <w:szCs w:val="21"/>
        </w:rPr>
        <w:t xml:space="preserve">nodes for </w:t>
      </w:r>
      <w:r w:rsidR="003268AA">
        <w:rPr>
          <w:rFonts w:ascii="Times New Roman" w:hAnsi="Times New Roman" w:cs="Times New Roman"/>
          <w:sz w:val="21"/>
          <w:szCs w:val="21"/>
        </w:rPr>
        <w:t>r</w:t>
      </w:r>
      <w:r>
        <w:rPr>
          <w:rFonts w:ascii="Times New Roman" w:hAnsi="Times New Roman" w:cs="Times New Roman"/>
          <w:sz w:val="21"/>
          <w:szCs w:val="21"/>
        </w:rPr>
        <w:t xml:space="preserve">echargeable </w:t>
      </w:r>
      <w:r w:rsidR="003268AA">
        <w:rPr>
          <w:rFonts w:ascii="Times New Roman" w:hAnsi="Times New Roman" w:cs="Times New Roman"/>
          <w:sz w:val="21"/>
          <w:szCs w:val="21"/>
        </w:rPr>
        <w:t>a</w:t>
      </w:r>
      <w:r>
        <w:rPr>
          <w:rFonts w:ascii="Times New Roman" w:hAnsi="Times New Roman" w:cs="Times New Roman"/>
          <w:sz w:val="21"/>
          <w:szCs w:val="21"/>
        </w:rPr>
        <w:t xml:space="preserve">queous </w:t>
      </w:r>
      <w:r w:rsidR="003268AA">
        <w:rPr>
          <w:rFonts w:ascii="Times New Roman" w:hAnsi="Times New Roman" w:cs="Times New Roman"/>
          <w:sz w:val="21"/>
          <w:szCs w:val="21"/>
        </w:rPr>
        <w:t>z</w:t>
      </w:r>
      <w:r>
        <w:rPr>
          <w:rFonts w:ascii="Times New Roman" w:hAnsi="Times New Roman" w:cs="Times New Roman"/>
          <w:sz w:val="21"/>
          <w:szCs w:val="21"/>
        </w:rPr>
        <w:t xml:space="preserve">inc </w:t>
      </w:r>
      <w:r w:rsidR="003268AA">
        <w:rPr>
          <w:rFonts w:ascii="Times New Roman" w:hAnsi="Times New Roman" w:cs="Times New Roman"/>
          <w:sz w:val="21"/>
          <w:szCs w:val="21"/>
        </w:rPr>
        <w:t>b</w:t>
      </w:r>
      <w:r>
        <w:rPr>
          <w:rFonts w:ascii="Times New Roman" w:hAnsi="Times New Roman" w:cs="Times New Roman"/>
          <w:sz w:val="21"/>
          <w:szCs w:val="21"/>
        </w:rPr>
        <w:t>atteries. Angewandte Chemie International Edition, 2024, 63(14): e202319051.</w:t>
      </w:r>
    </w:p>
    <w:p w14:paraId="12A079C1" w14:textId="3F24198E"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[34]</w:t>
      </w:r>
      <w:r>
        <w:rPr>
          <w:rFonts w:ascii="Times New Roman" w:hAnsi="Times New Roman" w:cs="Times New Roman"/>
          <w:sz w:val="21"/>
          <w:szCs w:val="21"/>
        </w:rPr>
        <w:tab/>
        <w:t xml:space="preserve">Li X, Zeng J, Yao H, et al. Current </w:t>
      </w:r>
      <w:r w:rsidR="003268AA">
        <w:rPr>
          <w:rFonts w:ascii="Times New Roman" w:hAnsi="Times New Roman" w:cs="Times New Roman"/>
          <w:sz w:val="21"/>
          <w:szCs w:val="21"/>
        </w:rPr>
        <w:t>a</w:t>
      </w:r>
      <w:r>
        <w:rPr>
          <w:rFonts w:ascii="Times New Roman" w:hAnsi="Times New Roman" w:cs="Times New Roman"/>
          <w:sz w:val="21"/>
          <w:szCs w:val="21"/>
        </w:rPr>
        <w:t xml:space="preserve">dvances on Zn </w:t>
      </w:r>
      <w:r w:rsidR="003268AA">
        <w:rPr>
          <w:rFonts w:ascii="Times New Roman" w:hAnsi="Times New Roman" w:cs="Times New Roman"/>
          <w:sz w:val="21"/>
          <w:szCs w:val="21"/>
        </w:rPr>
        <w:t>a</w:t>
      </w:r>
      <w:r>
        <w:rPr>
          <w:rFonts w:ascii="Times New Roman" w:hAnsi="Times New Roman" w:cs="Times New Roman"/>
          <w:sz w:val="21"/>
          <w:szCs w:val="21"/>
        </w:rPr>
        <w:t xml:space="preserve">nodes for </w:t>
      </w:r>
      <w:r w:rsidR="003268AA">
        <w:rPr>
          <w:rFonts w:ascii="Times New Roman" w:hAnsi="Times New Roman" w:cs="Times New Roman"/>
          <w:sz w:val="21"/>
          <w:szCs w:val="21"/>
        </w:rPr>
        <w:t>a</w:t>
      </w:r>
      <w:r>
        <w:rPr>
          <w:rFonts w:ascii="Times New Roman" w:hAnsi="Times New Roman" w:cs="Times New Roman"/>
          <w:sz w:val="21"/>
          <w:szCs w:val="21"/>
        </w:rPr>
        <w:t xml:space="preserve">queous </w:t>
      </w:r>
      <w:r w:rsidR="003268AA">
        <w:rPr>
          <w:rFonts w:ascii="Times New Roman" w:hAnsi="Times New Roman" w:cs="Times New Roman"/>
          <w:sz w:val="21"/>
          <w:szCs w:val="21"/>
        </w:rPr>
        <w:t>z</w:t>
      </w:r>
      <w:r>
        <w:rPr>
          <w:rFonts w:ascii="Times New Roman" w:hAnsi="Times New Roman" w:cs="Times New Roman"/>
          <w:sz w:val="21"/>
          <w:szCs w:val="21"/>
        </w:rPr>
        <w:t>inc-</w:t>
      </w:r>
      <w:r w:rsidR="003268AA">
        <w:rPr>
          <w:rFonts w:ascii="Times New Roman" w:hAnsi="Times New Roman" w:cs="Times New Roman"/>
          <w:sz w:val="21"/>
          <w:szCs w:val="21"/>
        </w:rPr>
        <w:t>i</w:t>
      </w:r>
      <w:r>
        <w:rPr>
          <w:rFonts w:ascii="Times New Roman" w:hAnsi="Times New Roman" w:cs="Times New Roman"/>
          <w:sz w:val="21"/>
          <w:szCs w:val="21"/>
        </w:rPr>
        <w:t xml:space="preserve">on </w:t>
      </w:r>
      <w:r w:rsidR="003268AA">
        <w:rPr>
          <w:rFonts w:ascii="Times New Roman" w:hAnsi="Times New Roman" w:cs="Times New Roman"/>
          <w:sz w:val="21"/>
          <w:szCs w:val="21"/>
        </w:rPr>
        <w:t>b</w:t>
      </w:r>
      <w:r>
        <w:rPr>
          <w:rFonts w:ascii="Times New Roman" w:hAnsi="Times New Roman" w:cs="Times New Roman"/>
          <w:sz w:val="21"/>
          <w:szCs w:val="21"/>
        </w:rPr>
        <w:t>atteries. ChemNanoMat, 2021, 7(11): 1162-1176.</w:t>
      </w:r>
    </w:p>
    <w:p w14:paraId="316B8A66"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t>[35]</w:t>
      </w:r>
      <w:r>
        <w:rPr>
          <w:rFonts w:ascii="Times New Roman" w:hAnsi="Times New Roman" w:cs="Times New Roman"/>
          <w:sz w:val="21"/>
          <w:szCs w:val="21"/>
        </w:rPr>
        <w:tab/>
        <w:t>Liu D, Lv B, Liu Z, et al. Molecular anchoring-induced proton adsorption effect achieves stable zinc metal anodes. Journal of Materials Chemistry A, 2025.</w:t>
      </w:r>
    </w:p>
    <w:p w14:paraId="05A9481F" w14:textId="77777777" w:rsidR="00536E8D" w:rsidRDefault="00B21C59" w:rsidP="0077130F">
      <w:pPr>
        <w:pStyle w:val="EndNoteBibliography"/>
        <w:spacing w:line="360" w:lineRule="auto"/>
        <w:ind w:left="720" w:hanging="720"/>
        <w:jc w:val="both"/>
        <w:rPr>
          <w:rFonts w:ascii="Times New Roman" w:hAnsi="Times New Roman" w:cs="Times New Roman"/>
          <w:sz w:val="21"/>
          <w:szCs w:val="21"/>
        </w:rPr>
      </w:pPr>
      <w:r>
        <w:rPr>
          <w:rFonts w:ascii="Times New Roman" w:hAnsi="Times New Roman" w:cs="Times New Roman"/>
          <w:sz w:val="21"/>
          <w:szCs w:val="21"/>
        </w:rPr>
        <w:lastRenderedPageBreak/>
        <w:t>[36]</w:t>
      </w:r>
      <w:r>
        <w:rPr>
          <w:rFonts w:ascii="Times New Roman" w:hAnsi="Times New Roman" w:cs="Times New Roman"/>
          <w:sz w:val="21"/>
          <w:szCs w:val="21"/>
        </w:rPr>
        <w:tab/>
        <w:t>Liu T, Huang G, Wei Z, et al. Relieving interface corrosion and inducing planar Zn plating achieved by γ-aminobutyric acid towards stable and high-performance Zn ion batteries. New Journal of Chemistry, 2025, 49: 10928-10935.</w:t>
      </w:r>
    </w:p>
    <w:p w14:paraId="4A40714D" w14:textId="62D3FD8F" w:rsidR="00536E8D" w:rsidRDefault="00B21C59">
      <w:pPr>
        <w:rPr>
          <w:rFonts w:ascii="Times New Roman" w:hAnsi="Times New Roman" w:cs="Times New Roman"/>
          <w:sz w:val="28"/>
          <w:szCs w:val="28"/>
        </w:rPr>
      </w:pPr>
      <w:r>
        <w:rPr>
          <w:rFonts w:ascii="Times New Roman" w:hAnsi="Times New Roman" w:cs="Times New Roman"/>
          <w:szCs w:val="21"/>
        </w:rPr>
        <w:fldChar w:fldCharType="end"/>
      </w:r>
    </w:p>
    <w:sectPr w:rsidR="00536E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14A1D" w14:textId="77777777" w:rsidR="00086AE9" w:rsidRDefault="00086AE9">
      <w:r>
        <w:separator/>
      </w:r>
    </w:p>
  </w:endnote>
  <w:endnote w:type="continuationSeparator" w:id="0">
    <w:p w14:paraId="7A293002" w14:textId="77777777" w:rsidR="00086AE9" w:rsidRDefault="0008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5C997" w14:textId="77777777" w:rsidR="00086AE9" w:rsidRDefault="00086AE9">
      <w:r>
        <w:separator/>
      </w:r>
    </w:p>
  </w:footnote>
  <w:footnote w:type="continuationSeparator" w:id="0">
    <w:p w14:paraId="5FBCCCE7" w14:textId="77777777" w:rsidR="00086AE9" w:rsidRDefault="00086A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inese Std GBT7714 (numeric) CopyHYT二改&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rsfdxzandzf9le2rs7pswdy5t2xa9x2eadd&quot;&gt;My EndNote Library24&lt;record-ids&gt;&lt;item&gt;1&lt;/item&gt;&lt;item&gt;2&lt;/item&gt;&lt;item&gt;3&lt;/item&gt;&lt;item&gt;4&lt;/item&gt;&lt;item&gt;5&lt;/item&gt;&lt;item&gt;6&lt;/item&gt;&lt;item&gt;7&lt;/item&gt;&lt;item&gt;8&lt;/item&gt;&lt;item&gt;9&lt;/item&gt;&lt;item&gt;10&lt;/item&gt;&lt;/record-ids&gt;&lt;/item&gt;&lt;item db-id=&quot;rv0af5f27ft598evr2jv0p98razt50wxawar&quot;&gt;My EndNote Library21&lt;record-ids&gt;&lt;item&gt;1&lt;/item&gt;&lt;item&gt;2&lt;/item&gt;&lt;item&gt;3&lt;/item&gt;&lt;item&gt;4&lt;/item&gt;&lt;item&gt;5&lt;/item&gt;&lt;item&gt;6&lt;/item&gt;&lt;item&gt;7&lt;/item&gt;&lt;item&gt;8&lt;/item&gt;&lt;item&gt;9&lt;/item&gt;&lt;item&gt;10&lt;/item&gt;&lt;/record-ids&gt;&lt;/item&gt;&lt;item db-id=&quot;rzr9af2pcv5e5fevvff5pwf0pa2aa90rt5w9&quot;&gt;My EndNote Library25&lt;record-ids&gt;&lt;item&gt;1&lt;/item&gt;&lt;item&gt;2&lt;/item&gt;&lt;item&gt;3&lt;/item&gt;&lt;/record-ids&gt;&lt;/item&gt;&lt;item db-id=&quot;vpa0aa9tcdtxrzeda2axfrfy5szfrt50v9xf&quot;&gt;My EndNote Library27&lt;record-ids&gt;&lt;item&gt;1&lt;/item&gt;&lt;item&gt;2&lt;/item&gt;&lt;item&gt;3&lt;/item&gt;&lt;item&gt;4&lt;/item&gt;&lt;item&gt;5&lt;/item&gt;&lt;item&gt;6&lt;/item&gt;&lt;item&gt;7&lt;/item&gt;&lt;item&gt;8&lt;/item&gt;&lt;item&gt;10&lt;/item&gt;&lt;/record-ids&gt;&lt;/item&gt;&lt;/Libraries&gt;"/>
  </w:docVars>
  <w:rsids>
    <w:rsidRoot w:val="00CF28F9"/>
    <w:rsid w:val="00013E00"/>
    <w:rsid w:val="00025844"/>
    <w:rsid w:val="00036E67"/>
    <w:rsid w:val="00043801"/>
    <w:rsid w:val="00045600"/>
    <w:rsid w:val="00086302"/>
    <w:rsid w:val="00086AE9"/>
    <w:rsid w:val="00097A6C"/>
    <w:rsid w:val="000B0A60"/>
    <w:rsid w:val="000C2E4E"/>
    <w:rsid w:val="000C52EF"/>
    <w:rsid w:val="001165CC"/>
    <w:rsid w:val="00124927"/>
    <w:rsid w:val="0012614F"/>
    <w:rsid w:val="001301C8"/>
    <w:rsid w:val="00141759"/>
    <w:rsid w:val="001610CF"/>
    <w:rsid w:val="00186CC5"/>
    <w:rsid w:val="00192822"/>
    <w:rsid w:val="001961BB"/>
    <w:rsid w:val="001A3878"/>
    <w:rsid w:val="001A38DA"/>
    <w:rsid w:val="001B361A"/>
    <w:rsid w:val="001B61FB"/>
    <w:rsid w:val="001C2414"/>
    <w:rsid w:val="001D2D6D"/>
    <w:rsid w:val="001F1F7D"/>
    <w:rsid w:val="00206A17"/>
    <w:rsid w:val="00207466"/>
    <w:rsid w:val="00234BAC"/>
    <w:rsid w:val="00240618"/>
    <w:rsid w:val="00254349"/>
    <w:rsid w:val="00292B58"/>
    <w:rsid w:val="00293C57"/>
    <w:rsid w:val="00295876"/>
    <w:rsid w:val="00296266"/>
    <w:rsid w:val="00297ADF"/>
    <w:rsid w:val="002B1E3B"/>
    <w:rsid w:val="002C0CA4"/>
    <w:rsid w:val="002C46DE"/>
    <w:rsid w:val="002C5446"/>
    <w:rsid w:val="002D5B3C"/>
    <w:rsid w:val="003024D9"/>
    <w:rsid w:val="003268AA"/>
    <w:rsid w:val="0035537B"/>
    <w:rsid w:val="003569E8"/>
    <w:rsid w:val="0036564C"/>
    <w:rsid w:val="00373F7F"/>
    <w:rsid w:val="003757DD"/>
    <w:rsid w:val="003846AF"/>
    <w:rsid w:val="003A3A10"/>
    <w:rsid w:val="003B21A5"/>
    <w:rsid w:val="003B5E3B"/>
    <w:rsid w:val="003F1E3A"/>
    <w:rsid w:val="00412973"/>
    <w:rsid w:val="00430449"/>
    <w:rsid w:val="0043451E"/>
    <w:rsid w:val="00441C22"/>
    <w:rsid w:val="00462FB0"/>
    <w:rsid w:val="00471F36"/>
    <w:rsid w:val="00477AB6"/>
    <w:rsid w:val="00480913"/>
    <w:rsid w:val="004849E4"/>
    <w:rsid w:val="00491693"/>
    <w:rsid w:val="004B0C2E"/>
    <w:rsid w:val="004B3616"/>
    <w:rsid w:val="004F1D59"/>
    <w:rsid w:val="005249F6"/>
    <w:rsid w:val="0052581D"/>
    <w:rsid w:val="005279CD"/>
    <w:rsid w:val="00531F1A"/>
    <w:rsid w:val="005367C7"/>
    <w:rsid w:val="00536E8D"/>
    <w:rsid w:val="0055791C"/>
    <w:rsid w:val="005725C0"/>
    <w:rsid w:val="0058496E"/>
    <w:rsid w:val="00592D8B"/>
    <w:rsid w:val="005946F1"/>
    <w:rsid w:val="005B7A98"/>
    <w:rsid w:val="005C6784"/>
    <w:rsid w:val="005E2750"/>
    <w:rsid w:val="006176CC"/>
    <w:rsid w:val="00625D9F"/>
    <w:rsid w:val="00635060"/>
    <w:rsid w:val="00644881"/>
    <w:rsid w:val="00655291"/>
    <w:rsid w:val="006552C7"/>
    <w:rsid w:val="00655D7E"/>
    <w:rsid w:val="00675F46"/>
    <w:rsid w:val="006826DC"/>
    <w:rsid w:val="006D2537"/>
    <w:rsid w:val="006E70A4"/>
    <w:rsid w:val="0071002B"/>
    <w:rsid w:val="0071561D"/>
    <w:rsid w:val="00747676"/>
    <w:rsid w:val="00756809"/>
    <w:rsid w:val="0077130F"/>
    <w:rsid w:val="0077587C"/>
    <w:rsid w:val="007C32FA"/>
    <w:rsid w:val="007F6869"/>
    <w:rsid w:val="00804D80"/>
    <w:rsid w:val="00816D7E"/>
    <w:rsid w:val="00823A4D"/>
    <w:rsid w:val="008250BB"/>
    <w:rsid w:val="0083057F"/>
    <w:rsid w:val="00870190"/>
    <w:rsid w:val="00886357"/>
    <w:rsid w:val="008A3DF8"/>
    <w:rsid w:val="008A4A27"/>
    <w:rsid w:val="008A5B9B"/>
    <w:rsid w:val="008A5BF3"/>
    <w:rsid w:val="008B0873"/>
    <w:rsid w:val="008E29FC"/>
    <w:rsid w:val="00906DB0"/>
    <w:rsid w:val="00912212"/>
    <w:rsid w:val="009130CE"/>
    <w:rsid w:val="00921E75"/>
    <w:rsid w:val="00930DE4"/>
    <w:rsid w:val="00944101"/>
    <w:rsid w:val="00961673"/>
    <w:rsid w:val="00982A90"/>
    <w:rsid w:val="0099249B"/>
    <w:rsid w:val="00992F64"/>
    <w:rsid w:val="009947DD"/>
    <w:rsid w:val="0099589E"/>
    <w:rsid w:val="00996CE1"/>
    <w:rsid w:val="009A2704"/>
    <w:rsid w:val="009A6AD9"/>
    <w:rsid w:val="009B541A"/>
    <w:rsid w:val="009C32C8"/>
    <w:rsid w:val="009C7EE4"/>
    <w:rsid w:val="009D4AE5"/>
    <w:rsid w:val="009F6A9F"/>
    <w:rsid w:val="00A044D2"/>
    <w:rsid w:val="00A0566B"/>
    <w:rsid w:val="00A37C8A"/>
    <w:rsid w:val="00A714D1"/>
    <w:rsid w:val="00AA4D26"/>
    <w:rsid w:val="00AB50C5"/>
    <w:rsid w:val="00AC597F"/>
    <w:rsid w:val="00AE7E04"/>
    <w:rsid w:val="00B0436C"/>
    <w:rsid w:val="00B21C59"/>
    <w:rsid w:val="00B378F0"/>
    <w:rsid w:val="00B54F06"/>
    <w:rsid w:val="00B60891"/>
    <w:rsid w:val="00B677A5"/>
    <w:rsid w:val="00B75292"/>
    <w:rsid w:val="00B93296"/>
    <w:rsid w:val="00BA437E"/>
    <w:rsid w:val="00BB1C6B"/>
    <w:rsid w:val="00BD524A"/>
    <w:rsid w:val="00BD6710"/>
    <w:rsid w:val="00BE1B24"/>
    <w:rsid w:val="00BF6203"/>
    <w:rsid w:val="00C3315D"/>
    <w:rsid w:val="00C556FA"/>
    <w:rsid w:val="00C5715A"/>
    <w:rsid w:val="00C6656D"/>
    <w:rsid w:val="00C71E72"/>
    <w:rsid w:val="00C728B8"/>
    <w:rsid w:val="00C763EA"/>
    <w:rsid w:val="00C81CB7"/>
    <w:rsid w:val="00C86589"/>
    <w:rsid w:val="00CA02B4"/>
    <w:rsid w:val="00CD025A"/>
    <w:rsid w:val="00CD1320"/>
    <w:rsid w:val="00CD7C89"/>
    <w:rsid w:val="00CE252B"/>
    <w:rsid w:val="00CE35E5"/>
    <w:rsid w:val="00CF28F9"/>
    <w:rsid w:val="00D02DF7"/>
    <w:rsid w:val="00D055A1"/>
    <w:rsid w:val="00D221EB"/>
    <w:rsid w:val="00D34C23"/>
    <w:rsid w:val="00D603E0"/>
    <w:rsid w:val="00D714FB"/>
    <w:rsid w:val="00D71FE7"/>
    <w:rsid w:val="00D8118E"/>
    <w:rsid w:val="00D90F7F"/>
    <w:rsid w:val="00E01084"/>
    <w:rsid w:val="00E0690D"/>
    <w:rsid w:val="00E548AA"/>
    <w:rsid w:val="00E731DA"/>
    <w:rsid w:val="00E73376"/>
    <w:rsid w:val="00ED5164"/>
    <w:rsid w:val="00ED587B"/>
    <w:rsid w:val="00F15527"/>
    <w:rsid w:val="00F53872"/>
    <w:rsid w:val="00F53D47"/>
    <w:rsid w:val="00F562CE"/>
    <w:rsid w:val="00F57A44"/>
    <w:rsid w:val="00FB2BCA"/>
    <w:rsid w:val="00FB2EB0"/>
    <w:rsid w:val="00FB5BE0"/>
    <w:rsid w:val="00FB7C06"/>
    <w:rsid w:val="00FC4D84"/>
    <w:rsid w:val="00FD19B0"/>
    <w:rsid w:val="00FE3380"/>
    <w:rsid w:val="00FE3DB1"/>
    <w:rsid w:val="08426DFB"/>
    <w:rsid w:val="13AD22D8"/>
    <w:rsid w:val="3A3D39D8"/>
    <w:rsid w:val="3A955E68"/>
    <w:rsid w:val="419B396D"/>
    <w:rsid w:val="6A3323D1"/>
    <w:rsid w:val="6BAC08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85A706"/>
  <w15:docId w15:val="{A39D46BD-A5FA-4A58-9D4F-EDFD8522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
    <w:link w:val="30"/>
    <w:uiPriority w:val="9"/>
    <w:unhideWhenUsed/>
    <w:qFormat/>
    <w:pPr>
      <w:keepNext/>
      <w:keepLines/>
      <w:spacing w:before="480" w:after="120"/>
      <w:jc w:val="left"/>
      <w:outlineLvl w:val="2"/>
    </w:pPr>
    <w:rPr>
      <w:rFonts w:ascii="Times New Roman" w:eastAsia="宋体" w:hAnsi="Times New Roman" w:cs="Times New Roman"/>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widowControl/>
      <w:spacing w:after="200"/>
      <w:jc w:val="left"/>
    </w:pPr>
    <w:rPr>
      <w:kern w:val="0"/>
      <w:sz w:val="20"/>
      <w:szCs w:val="20"/>
      <w:lang w:val="en-GB" w:eastAsia="en-US"/>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000FF" w:themeColor="hyperlink"/>
      <w:u w:val="single"/>
    </w:rPr>
  </w:style>
  <w:style w:type="character" w:styleId="ab">
    <w:name w:val="annotation reference"/>
    <w:basedOn w:val="a0"/>
    <w:uiPriority w:val="99"/>
    <w:semiHidden/>
    <w:unhideWhenUsed/>
    <w:qFormat/>
    <w:rPr>
      <w:sz w:val="16"/>
      <w:szCs w:val="16"/>
    </w:rPr>
  </w:style>
  <w:style w:type="character" w:styleId="ac">
    <w:name w:val="footnote reference"/>
    <w:uiPriority w:val="99"/>
    <w:unhideWhenUsed/>
    <w:qFormat/>
    <w:rPr>
      <w:vertAlign w:val="superscript"/>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customStyle="1" w:styleId="RSCH01PaperTitle">
    <w:name w:val="RSC H01 Paper Title"/>
    <w:basedOn w:val="a"/>
    <w:next w:val="a"/>
    <w:link w:val="RSCH01PaperTitleChar"/>
    <w:qFormat/>
    <w:pPr>
      <w:widowControl/>
      <w:tabs>
        <w:tab w:val="left" w:pos="284"/>
      </w:tabs>
      <w:spacing w:before="400" w:after="160"/>
      <w:jc w:val="left"/>
    </w:pPr>
    <w:rPr>
      <w:rFonts w:cs="Times New Roman"/>
      <w:b/>
      <w:kern w:val="0"/>
      <w:sz w:val="29"/>
      <w:szCs w:val="32"/>
      <w:lang w:val="en-GB" w:eastAsia="en-US"/>
    </w:rPr>
  </w:style>
  <w:style w:type="character" w:customStyle="1" w:styleId="RSCH01PaperTitleChar">
    <w:name w:val="RSC H01 Paper Title Char"/>
    <w:basedOn w:val="a0"/>
    <w:link w:val="RSCH01PaperTitle"/>
    <w:qFormat/>
    <w:rPr>
      <w:rFonts w:cs="Times New Roman"/>
      <w:b/>
      <w:kern w:val="0"/>
      <w:sz w:val="29"/>
      <w:szCs w:val="32"/>
      <w:lang w:val="en-GB" w:eastAsia="en-US"/>
    </w:rPr>
  </w:style>
  <w:style w:type="paragraph" w:customStyle="1" w:styleId="RSCB04AHeadingSection">
    <w:name w:val="RSC B04 A Heading (Section)"/>
    <w:basedOn w:val="a"/>
    <w:link w:val="RSCB04AHeadingSectionChar"/>
    <w:qFormat/>
    <w:pPr>
      <w:widowControl/>
      <w:spacing w:before="400" w:after="80"/>
      <w:jc w:val="left"/>
    </w:pPr>
    <w:rPr>
      <w:b/>
      <w:kern w:val="0"/>
      <w:sz w:val="24"/>
      <w:lang w:val="en-GB" w:eastAsia="en-US"/>
    </w:rPr>
  </w:style>
  <w:style w:type="character" w:customStyle="1" w:styleId="RSCB04AHeadingSectionChar">
    <w:name w:val="RSC B04 A Heading (Section) Char"/>
    <w:basedOn w:val="a0"/>
    <w:link w:val="RSCB04AHeadingSection"/>
    <w:qFormat/>
    <w:rPr>
      <w:b/>
      <w:kern w:val="0"/>
      <w:sz w:val="24"/>
      <w:lang w:val="en-GB" w:eastAsia="en-US"/>
    </w:rPr>
  </w:style>
  <w:style w:type="paragraph" w:customStyle="1" w:styleId="RSCB06BHeadingSub-Section">
    <w:name w:val="RSC B06 B Heading (Sub-Section)"/>
    <w:link w:val="RSCB06BHeadingSub-SectionChar"/>
    <w:qFormat/>
    <w:pPr>
      <w:spacing w:after="80" w:line="240" w:lineRule="exact"/>
    </w:pPr>
    <w:rPr>
      <w:b/>
      <w:sz w:val="18"/>
      <w:szCs w:val="22"/>
      <w:lang w:val="en-GB" w:eastAsia="en-US"/>
    </w:rPr>
  </w:style>
  <w:style w:type="character" w:customStyle="1" w:styleId="RSCB06BHeadingSub-SectionChar">
    <w:name w:val="RSC B06 B Heading (Sub-Section) Char"/>
    <w:basedOn w:val="a0"/>
    <w:link w:val="RSCB06BHeadingSub-Section"/>
    <w:qFormat/>
    <w:rPr>
      <w:b/>
      <w:kern w:val="0"/>
      <w:sz w:val="18"/>
      <w:lang w:val="en-GB" w:eastAsia="en-US"/>
    </w:rPr>
  </w:style>
  <w:style w:type="character" w:styleId="ad">
    <w:name w:val="Placeholder Text"/>
    <w:basedOn w:val="a0"/>
    <w:uiPriority w:val="99"/>
    <w:semiHidden/>
    <w:qFormat/>
    <w:rPr>
      <w:color w:val="666666"/>
    </w:rPr>
  </w:style>
  <w:style w:type="character" w:customStyle="1" w:styleId="1">
    <w:name w:val="未处理的提及1"/>
    <w:basedOn w:val="a0"/>
    <w:uiPriority w:val="99"/>
    <w:semiHidden/>
    <w:unhideWhenUsed/>
    <w:rPr>
      <w:color w:val="605E5C"/>
      <w:shd w:val="clear" w:color="auto" w:fill="E1DFDD"/>
    </w:rPr>
  </w:style>
  <w:style w:type="paragraph" w:customStyle="1" w:styleId="EndNoteBibliographyTitle">
    <w:name w:val="EndNote Bibliography Title"/>
    <w:basedOn w:val="a"/>
    <w:link w:val="EndNoteBibliographyTitle0"/>
    <w:qFormat/>
    <w:pPr>
      <w:jc w:val="center"/>
    </w:pPr>
    <w:rPr>
      <w:rFonts w:ascii="Calibri" w:hAnsi="Calibri" w:cs="Calibri"/>
      <w:sz w:val="20"/>
    </w:rPr>
  </w:style>
  <w:style w:type="character" w:customStyle="1" w:styleId="EndNoteBibliographyTitle0">
    <w:name w:val="EndNote Bibliography Title 字符"/>
    <w:basedOn w:val="a0"/>
    <w:link w:val="EndNoteBibliographyTitle"/>
    <w:qFormat/>
    <w:rPr>
      <w:rFonts w:ascii="Calibri" w:hAnsi="Calibri" w:cs="Calibri"/>
      <w:sz w:val="20"/>
    </w:rPr>
  </w:style>
  <w:style w:type="paragraph" w:customStyle="1" w:styleId="EndNoteBibliography">
    <w:name w:val="EndNote Bibliography"/>
    <w:basedOn w:val="a"/>
    <w:link w:val="EndNoteBibliography0"/>
    <w:qFormat/>
    <w:pPr>
      <w:jc w:val="center"/>
    </w:pPr>
    <w:rPr>
      <w:rFonts w:ascii="Calibri" w:hAnsi="Calibri" w:cs="Calibri"/>
      <w:sz w:val="20"/>
    </w:rPr>
  </w:style>
  <w:style w:type="character" w:customStyle="1" w:styleId="EndNoteBibliography0">
    <w:name w:val="EndNote Bibliography 字符"/>
    <w:basedOn w:val="a0"/>
    <w:link w:val="EndNoteBibliography"/>
    <w:qFormat/>
    <w:rPr>
      <w:rFonts w:ascii="Calibri" w:hAnsi="Calibri" w:cs="Calibri"/>
      <w:sz w:val="20"/>
    </w:rPr>
  </w:style>
  <w:style w:type="paragraph" w:customStyle="1" w:styleId="RSCB01ARTAbstract">
    <w:name w:val="RSC B01 ART Abstract"/>
    <w:basedOn w:val="a"/>
    <w:link w:val="RSCB01ARTAbstractChar"/>
    <w:qFormat/>
    <w:pPr>
      <w:widowControl/>
      <w:spacing w:after="200" w:line="240" w:lineRule="exact"/>
    </w:pPr>
    <w:rPr>
      <w:kern w:val="0"/>
      <w:sz w:val="16"/>
      <w:lang w:val="en-GB" w:eastAsia="en-GB"/>
    </w:rPr>
  </w:style>
  <w:style w:type="character" w:customStyle="1" w:styleId="RSCB01ARTAbstractChar">
    <w:name w:val="RSC B01 ART Abstract Char"/>
    <w:basedOn w:val="a0"/>
    <w:link w:val="RSCB01ARTAbstract"/>
    <w:qFormat/>
    <w:rPr>
      <w:kern w:val="0"/>
      <w:sz w:val="16"/>
      <w:lang w:val="en-GB" w:eastAsia="en-GB"/>
    </w:rPr>
  </w:style>
  <w:style w:type="character" w:customStyle="1" w:styleId="a4">
    <w:name w:val="批注文字 字符"/>
    <w:basedOn w:val="a0"/>
    <w:link w:val="a3"/>
    <w:uiPriority w:val="99"/>
    <w:qFormat/>
    <w:rPr>
      <w:kern w:val="0"/>
      <w:sz w:val="20"/>
      <w:szCs w:val="20"/>
      <w:lang w:val="en-GB" w:eastAsia="en-US"/>
    </w:rPr>
  </w:style>
  <w:style w:type="paragraph" w:styleId="ae">
    <w:name w:val="List Paragraph"/>
    <w:basedOn w:val="a"/>
    <w:uiPriority w:val="34"/>
    <w:qFormat/>
    <w:pPr>
      <w:ind w:firstLineChars="200" w:firstLine="420"/>
    </w:pPr>
  </w:style>
  <w:style w:type="character" w:customStyle="1" w:styleId="30">
    <w:name w:val="标题 3 字符"/>
    <w:basedOn w:val="a0"/>
    <w:link w:val="3"/>
    <w:uiPriority w:val="9"/>
    <w:qFormat/>
    <w:rPr>
      <w:rFonts w:ascii="Times New Roman" w:eastAsia="宋体" w:hAnsi="Times New Roman" w:cs="Times New Roman"/>
      <w:b/>
      <w:bCs/>
      <w:sz w:val="30"/>
      <w:szCs w:val="32"/>
    </w:rPr>
  </w:style>
  <w:style w:type="character" w:customStyle="1" w:styleId="font11">
    <w:name w:val="font11"/>
    <w:basedOn w:val="a0"/>
    <w:qFormat/>
    <w:rPr>
      <w:rFonts w:ascii="Times New Roman" w:hAnsi="Times New Roman" w:cs="Times New Roman" w:hint="default"/>
      <w:color w:val="000000"/>
      <w:sz w:val="28"/>
      <w:szCs w:val="28"/>
      <w:u w:val="none"/>
    </w:rPr>
  </w:style>
  <w:style w:type="character" w:customStyle="1" w:styleId="font21">
    <w:name w:val="font21"/>
    <w:basedOn w:val="a0"/>
    <w:qFormat/>
    <w:rPr>
      <w:rFonts w:ascii="Times New Roman" w:hAnsi="Times New Roman" w:cs="Times New Roman" w:hint="default"/>
      <w:color w:val="000000"/>
      <w:sz w:val="28"/>
      <w:szCs w:val="28"/>
      <w:u w:val="non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nS@Zn" TargetMode="External"/><Relationship Id="rId13" Type="http://schemas.openxmlformats.org/officeDocument/2006/relationships/hyperlink" Target="mailto:BTO@Zn" TargetMode="External"/><Relationship Id="rId3" Type="http://schemas.openxmlformats.org/officeDocument/2006/relationships/webSettings" Target="webSettings.xml"/><Relationship Id="rId7" Type="http://schemas.openxmlformats.org/officeDocument/2006/relationships/hyperlink" Target="mailto:ZF@F-TiO2" TargetMode="External"/><Relationship Id="rId12" Type="http://schemas.openxmlformats.org/officeDocument/2006/relationships/hyperlink" Target="mailto:ZnS@Z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B-ZnHCF@Zn" TargetMode="External"/><Relationship Id="rId11" Type="http://schemas.openxmlformats.org/officeDocument/2006/relationships/hyperlink" Target="mailto:ZF@F-TiO2"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HB-ZnHCF@Zn" TargetMode="External"/><Relationship Id="rId4" Type="http://schemas.openxmlformats.org/officeDocument/2006/relationships/footnotes" Target="footnotes.xml"/><Relationship Id="rId9" Type="http://schemas.openxmlformats.org/officeDocument/2006/relationships/hyperlink" Target="mailto:BTO@Zn"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14400</Words>
  <Characters>79061</Characters>
  <Application>Microsoft Office Word</Application>
  <DocSecurity>0</DocSecurity>
  <Lines>4650</Lines>
  <Paragraphs>4063</Paragraphs>
  <ScaleCrop>false</ScaleCrop>
  <Company>HP</Company>
  <LinksUpToDate>false</LinksUpToDate>
  <CharactersWithSpaces>89398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钰洁 申</dc:creator>
  <cp:lastModifiedBy>Xiaoyan</cp:lastModifiedBy>
  <cp:revision>3</cp:revision>
  <dcterms:created xsi:type="dcterms:W3CDTF">2025-07-10T09:15:00Z</dcterms:created>
  <dcterms:modified xsi:type="dcterms:W3CDTF">2025-07-29T08:03:00Z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eyJoZGlkIjoiN2ZkN2U0NTE2ZWZjNGNkOGYwMTY5ODIwZjEyYjUxNGMiLCJ1c2VySWQiOiIzNTkwNjk1NTgifQ==</vt:lpwstr>
  </property>
  <property fmtid="{D5CDD505-2E9C-101B-9397-08002B2CF9AE}" pid="3" name="KSOProductBuildVer">
    <vt:lpwstr>2052-12.1.0.21541</vt:lpwstr>
  </property>
  <property fmtid="{D5CDD505-2E9C-101B-9397-08002B2CF9AE}" pid="4" name="ICV">
    <vt:lpwstr>0F64F7DB62ED48B9A422FEE327B5D5C0_13</vt:lpwstr>
  </property>
</Properties>
</file>