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9EFB9">
      <w:pPr>
        <w:widowControl/>
        <w:tabs>
          <w:tab w:val="left" w:pos="7836"/>
        </w:tabs>
        <w:spacing w:line="360" w:lineRule="auto"/>
        <w:jc w:val="center"/>
        <w:rPr>
          <w:bCs/>
          <w:i/>
          <w:iCs/>
          <w:sz w:val="30"/>
          <w:szCs w:val="30"/>
        </w:rPr>
      </w:pPr>
      <w:r>
        <w:rPr>
          <w:bCs/>
          <w:i/>
          <w:iCs/>
          <w:sz w:val="30"/>
          <w:szCs w:val="30"/>
        </w:rPr>
        <w:t>Supporting information for</w:t>
      </w:r>
    </w:p>
    <w:p w14:paraId="0D4E6B4A">
      <w:pPr>
        <w:spacing w:before="624" w:beforeLines="200" w:after="312" w:afterLines="100" w:line="480" w:lineRule="auto"/>
        <w:jc w:val="center"/>
        <w:rPr>
          <w:rStyle w:val="13"/>
          <w:rFonts w:cs="Times New Roman"/>
          <w:sz w:val="24"/>
          <w:szCs w:val="30"/>
        </w:rPr>
      </w:pPr>
      <w:r>
        <w:rPr>
          <w:rStyle w:val="13"/>
          <w:rFonts w:cs="Times New Roman"/>
          <w:sz w:val="24"/>
          <w:szCs w:val="30"/>
        </w:rPr>
        <w:t>Scalable Synthesis of IrO</w:t>
      </w:r>
      <w:r>
        <w:rPr>
          <w:rStyle w:val="13"/>
          <w:rFonts w:cs="Times New Roman"/>
          <w:i/>
          <w:iCs/>
          <w:sz w:val="24"/>
          <w:szCs w:val="30"/>
          <w:vertAlign w:val="subscript"/>
        </w:rPr>
        <w:t>x</w:t>
      </w:r>
      <w:r>
        <w:rPr>
          <w:rStyle w:val="13"/>
          <w:rFonts w:cs="Times New Roman"/>
          <w:sz w:val="24"/>
          <w:szCs w:val="30"/>
        </w:rPr>
        <w:t>/Ir-Co</w:t>
      </w:r>
      <w:r>
        <w:rPr>
          <w:rStyle w:val="13"/>
          <w:rFonts w:cs="Times New Roman"/>
          <w:sz w:val="24"/>
          <w:szCs w:val="30"/>
          <w:vertAlign w:val="subscript"/>
        </w:rPr>
        <w:t>3</w:t>
      </w:r>
      <w:r>
        <w:rPr>
          <w:rStyle w:val="13"/>
          <w:rFonts w:cs="Times New Roman"/>
          <w:sz w:val="24"/>
          <w:szCs w:val="30"/>
        </w:rPr>
        <w:t>O</w:t>
      </w:r>
      <w:r>
        <w:rPr>
          <w:rStyle w:val="13"/>
          <w:rFonts w:cs="Times New Roman"/>
          <w:sz w:val="24"/>
          <w:szCs w:val="30"/>
          <w:vertAlign w:val="subscript"/>
        </w:rPr>
        <w:t>4</w:t>
      </w:r>
      <w:r>
        <w:rPr>
          <w:rStyle w:val="13"/>
          <w:rFonts w:cs="Times New Roman"/>
          <w:sz w:val="24"/>
          <w:szCs w:val="30"/>
        </w:rPr>
        <w:t xml:space="preserve"> Heterostructure for Efficient and Stable Acidic Oxygen Evolution</w:t>
      </w:r>
    </w:p>
    <w:p w14:paraId="5B55F889">
      <w:pPr>
        <w:widowControl/>
        <w:jc w:val="left"/>
        <w:rPr>
          <w:rStyle w:val="13"/>
          <w:rFonts w:cs="Times New Roman"/>
          <w:sz w:val="30"/>
          <w:szCs w:val="30"/>
        </w:rPr>
      </w:pPr>
      <w:r>
        <w:rPr>
          <w:rStyle w:val="13"/>
          <w:rFonts w:cs="Times New Roman"/>
          <w:sz w:val="30"/>
          <w:szCs w:val="30"/>
        </w:rPr>
        <w:br w:type="page"/>
      </w:r>
    </w:p>
    <w:p w14:paraId="0FBAC73D">
      <w:pPr>
        <w:widowControl/>
        <w:jc w:val="center"/>
        <w:rPr>
          <w:rFonts w:cs="Times New Roman"/>
          <w:b/>
        </w:rPr>
      </w:pPr>
      <w:r>
        <w:drawing>
          <wp:inline distT="0" distB="0" distL="0" distR="0">
            <wp:extent cx="2936240" cy="162877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624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981206">
      <w:pPr>
        <w:widowControl/>
        <w:jc w:val="center"/>
        <w:rPr>
          <w:rFonts w:ascii="宋体" w:hAnsi="宋体" w:eastAsia="宋体" w:cs="宋体"/>
          <w:kern w:val="0"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S1 </w:t>
      </w:r>
      <w:r>
        <w:rPr>
          <w:rFonts w:cs="Times New Roman"/>
          <w:sz w:val="20"/>
          <w:szCs w:val="20"/>
        </w:rPr>
        <w:t xml:space="preserve"> (a)</w:t>
      </w:r>
      <w:r>
        <w:rPr>
          <w:rFonts w:eastAsia="等线" w:cs="+mn-cs"/>
          <w:color w:val="000000"/>
          <w:sz w:val="20"/>
          <w:szCs w:val="20"/>
        </w:rPr>
        <w:t xml:space="preserve"> Top view of the Co</w:t>
      </w:r>
      <w:r>
        <w:rPr>
          <w:rFonts w:eastAsia="等线" w:cs="+mn-cs"/>
          <w:color w:val="000000"/>
          <w:sz w:val="20"/>
          <w:szCs w:val="20"/>
          <w:vertAlign w:val="subscript"/>
        </w:rPr>
        <w:t>3</w:t>
      </w:r>
      <w:r>
        <w:rPr>
          <w:rFonts w:eastAsia="等线" w:cs="+mn-cs"/>
          <w:color w:val="000000"/>
          <w:sz w:val="20"/>
          <w:szCs w:val="20"/>
        </w:rPr>
        <w:t>O</w:t>
      </w:r>
      <w:r>
        <w:rPr>
          <w:rFonts w:eastAsia="等线" w:cs="+mn-cs"/>
          <w:color w:val="000000"/>
          <w:sz w:val="20"/>
          <w:szCs w:val="20"/>
          <w:vertAlign w:val="subscript"/>
        </w:rPr>
        <w:t>4</w:t>
      </w:r>
      <w:r>
        <w:rPr>
          <w:rFonts w:eastAsia="等线" w:cs="+mn-cs"/>
          <w:color w:val="000000"/>
          <w:sz w:val="20"/>
          <w:szCs w:val="20"/>
        </w:rPr>
        <w:t xml:space="preserve"> (220) surface. (b) Top view of the IrO</w:t>
      </w:r>
      <w:r>
        <w:rPr>
          <w:rFonts w:eastAsia="等线" w:cs="+mn-cs"/>
          <w:color w:val="000000"/>
          <w:sz w:val="20"/>
          <w:szCs w:val="20"/>
          <w:vertAlign w:val="subscript"/>
        </w:rPr>
        <w:t>2</w:t>
      </w:r>
      <w:r>
        <w:rPr>
          <w:rFonts w:eastAsia="等线" w:cs="+mn-cs"/>
          <w:color w:val="000000"/>
          <w:sz w:val="20"/>
          <w:szCs w:val="20"/>
        </w:rPr>
        <w:t xml:space="preserve"> (101) surface.</w:t>
      </w:r>
    </w:p>
    <w:p w14:paraId="64C0D1AE">
      <w:pPr>
        <w:widowControl/>
        <w:jc w:val="left"/>
        <w:rPr>
          <w:rFonts w:cs="Times New Roman"/>
          <w:b/>
        </w:rPr>
      </w:pPr>
      <w:r>
        <w:rPr>
          <w:rFonts w:cs="Times New Roman"/>
          <w:b/>
        </w:rPr>
        <w:br w:type="page"/>
      </w:r>
    </w:p>
    <w:p w14:paraId="4AD231DB">
      <w:pPr>
        <w:widowControl/>
        <w:jc w:val="center"/>
        <w:rPr>
          <w:rFonts w:cs="Times New Roman"/>
          <w:b/>
        </w:rPr>
      </w:pPr>
      <w:r>
        <w:drawing>
          <wp:inline distT="0" distB="0" distL="0" distR="0">
            <wp:extent cx="4607560" cy="35547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8000" cy="3555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CF88CE">
      <w:pPr>
        <w:widowControl/>
        <w:jc w:val="center"/>
        <w:rPr>
          <w:rFonts w:cs="Times New Roman"/>
          <w:b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S2 </w:t>
      </w:r>
      <w:r>
        <w:rPr>
          <w:rFonts w:cs="Times New Roman"/>
          <w:sz w:val="20"/>
          <w:szCs w:val="20"/>
        </w:rPr>
        <w:t xml:space="preserve"> (a) SEM image of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</w:t>
      </w:r>
      <w:r>
        <w:rPr>
          <w:rFonts w:hint="eastAsia" w:cs="Times New Roman"/>
          <w:sz w:val="20"/>
          <w:szCs w:val="20"/>
        </w:rPr>
        <w:t>r</w:t>
      </w:r>
      <w:r>
        <w:rPr>
          <w:rFonts w:cs="Times New Roman"/>
          <w:sz w:val="20"/>
          <w:szCs w:val="20"/>
        </w:rPr>
        <w:t>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 xml:space="preserve">. Element mappings of </w:t>
      </w:r>
      <w:bookmarkStart w:id="0" w:name="OLE_LINK51"/>
      <w:bookmarkStart w:id="1" w:name="OLE_LINK50"/>
      <w:r>
        <w:rPr>
          <w:rFonts w:cs="Times New Roman"/>
          <w:sz w:val="20"/>
          <w:szCs w:val="20"/>
        </w:rPr>
        <w:t xml:space="preserve">(b) O, (c) Co, </w:t>
      </w:r>
      <w:r>
        <w:rPr>
          <w:rFonts w:hint="eastAsia" w:cs="Times New Roman"/>
          <w:sz w:val="20"/>
          <w:szCs w:val="20"/>
        </w:rPr>
        <w:t>and</w:t>
      </w:r>
      <w:r>
        <w:rPr>
          <w:rFonts w:cs="Times New Roman"/>
          <w:sz w:val="20"/>
          <w:szCs w:val="20"/>
        </w:rPr>
        <w:t xml:space="preserve"> (d) Ir </w:t>
      </w:r>
      <w:r>
        <w:rPr>
          <w:rFonts w:hint="eastAsia" w:cs="Times New Roman"/>
          <w:sz w:val="20"/>
          <w:szCs w:val="20"/>
        </w:rPr>
        <w:t>for</w:t>
      </w:r>
      <w:r>
        <w:rPr>
          <w:rFonts w:cs="Times New Roman"/>
          <w:sz w:val="20"/>
          <w:szCs w:val="20"/>
        </w:rPr>
        <w:t xml:space="preserve">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bookmarkEnd w:id="0"/>
      <w:bookmarkEnd w:id="1"/>
      <w:r>
        <w:rPr>
          <w:rFonts w:cs="Times New Roman"/>
          <w:sz w:val="20"/>
          <w:szCs w:val="20"/>
        </w:rPr>
        <w:t>.</w:t>
      </w:r>
    </w:p>
    <w:p w14:paraId="40C03668">
      <w:pPr>
        <w:widowControl/>
        <w:jc w:val="left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br w:type="page"/>
      </w:r>
    </w:p>
    <w:p w14:paraId="28F3F917">
      <w:pPr>
        <w:spacing w:line="480" w:lineRule="auto"/>
        <w:jc w:val="center"/>
        <w:rPr>
          <w:rFonts w:cs="Times New Roman"/>
          <w:b/>
          <w:sz w:val="21"/>
          <w:szCs w:val="21"/>
        </w:rPr>
      </w:pPr>
      <w:r>
        <w:drawing>
          <wp:inline distT="0" distB="0" distL="0" distR="0">
            <wp:extent cx="4636770" cy="47275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800" cy="4728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A7C1DF">
      <w:pPr>
        <w:spacing w:after="240" w:line="312" w:lineRule="auto"/>
        <w:jc w:val="center"/>
        <w:rPr>
          <w:rFonts w:cs="Times New Roman"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S3 </w:t>
      </w:r>
      <w:r>
        <w:rPr>
          <w:rFonts w:cs="Times New Roman"/>
          <w:sz w:val="20"/>
          <w:szCs w:val="20"/>
        </w:rPr>
        <w:t xml:space="preserve"> (</w:t>
      </w:r>
      <w:r>
        <w:rPr>
          <w:rFonts w:hint="eastAsia" w:cs="Times New Roman"/>
          <w:sz w:val="20"/>
          <w:szCs w:val="20"/>
        </w:rPr>
        <w:t>a</w:t>
      </w:r>
      <w:r>
        <w:rPr>
          <w:rFonts w:cs="Times New Roman"/>
          <w:sz w:val="20"/>
          <w:szCs w:val="20"/>
        </w:rPr>
        <w:t>) TEM image of 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. (b) Enlarged TEM image of 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 xml:space="preserve">4 </w:t>
      </w:r>
      <w:r>
        <w:rPr>
          <w:rFonts w:cs="Times New Roman"/>
          <w:sz w:val="20"/>
          <w:szCs w:val="20"/>
        </w:rPr>
        <w:t>(inset is the magnified view of selected area). (c) TEM image of 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. (d) Enlarged TEM image of 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 xml:space="preserve">4 </w:t>
      </w:r>
      <w:r>
        <w:rPr>
          <w:rFonts w:cs="Times New Roman"/>
          <w:sz w:val="20"/>
          <w:szCs w:val="20"/>
        </w:rPr>
        <w:t>(inset is the magnified view of selected area).</w:t>
      </w:r>
    </w:p>
    <w:p w14:paraId="336C9F03">
      <w:pPr>
        <w:widowControl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14:paraId="285D4E51">
      <w:pPr>
        <w:widowControl/>
        <w:jc w:val="center"/>
        <w:rPr>
          <w:rFonts w:cs="Times New Roman"/>
          <w:b/>
          <w:sz w:val="21"/>
          <w:szCs w:val="21"/>
        </w:rPr>
      </w:pPr>
      <w:r>
        <w:drawing>
          <wp:inline distT="0" distB="0" distL="0" distR="0">
            <wp:extent cx="2887980" cy="2519680"/>
            <wp:effectExtent l="0" t="0" r="762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308" cy="25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23B37">
      <w:pPr>
        <w:widowControl/>
        <w:jc w:val="center"/>
        <w:rPr>
          <w:rFonts w:cs="Times New Roman"/>
          <w:b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S4 </w:t>
      </w:r>
      <w:r>
        <w:rPr>
          <w:rFonts w:cs="Times New Roman"/>
          <w:sz w:val="20"/>
          <w:szCs w:val="20"/>
        </w:rPr>
        <w:t xml:space="preserve"> XRD patterns of 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and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.</w:t>
      </w:r>
    </w:p>
    <w:p w14:paraId="1447E368">
      <w:pPr>
        <w:widowControl/>
        <w:jc w:val="left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br w:type="page"/>
      </w:r>
    </w:p>
    <w:p w14:paraId="0C0BFFD9">
      <w:pPr>
        <w:widowControl/>
        <w:jc w:val="center"/>
        <w:rPr>
          <w:rFonts w:cs="Times New Roman"/>
          <w:b/>
          <w:sz w:val="21"/>
          <w:szCs w:val="21"/>
        </w:rPr>
      </w:pPr>
      <w:r>
        <w:rPr>
          <w:sz w:val="21"/>
          <w:szCs w:val="21"/>
        </w:rPr>
        <w:drawing>
          <wp:inline distT="0" distB="0" distL="0" distR="0">
            <wp:extent cx="4607560" cy="354901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08000" cy="3549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2E63F">
      <w:pPr>
        <w:widowControl/>
        <w:jc w:val="center"/>
        <w:rPr>
          <w:rFonts w:cs="Times New Roman"/>
          <w:b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S5 </w:t>
      </w:r>
      <w:r>
        <w:rPr>
          <w:rFonts w:cs="Times New Roman"/>
          <w:sz w:val="20"/>
          <w:szCs w:val="20"/>
        </w:rPr>
        <w:t xml:space="preserve"> SEM images of (a) 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(b)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(c) 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and (d)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</w:t>
      </w:r>
      <w:r>
        <w:rPr>
          <w:rFonts w:hint="eastAsia" w:cs="Times New Roman"/>
          <w:sz w:val="20"/>
          <w:szCs w:val="20"/>
        </w:rPr>
        <w:t>r</w:t>
      </w:r>
      <w:r>
        <w:rPr>
          <w:rFonts w:cs="Times New Roman"/>
          <w:sz w:val="20"/>
          <w:szCs w:val="20"/>
        </w:rPr>
        <w:t>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.</w:t>
      </w:r>
    </w:p>
    <w:p w14:paraId="67F64592">
      <w:pPr>
        <w:widowControl/>
        <w:jc w:val="left"/>
        <w:rPr>
          <w:rFonts w:cs="Times New Roman"/>
          <w:b/>
          <w:sz w:val="21"/>
          <w:szCs w:val="21"/>
        </w:rPr>
      </w:pPr>
      <w:r>
        <w:rPr>
          <w:rFonts w:cs="Times New Roman"/>
          <w:b/>
          <w:sz w:val="21"/>
          <w:szCs w:val="21"/>
        </w:rPr>
        <w:br w:type="page"/>
      </w:r>
    </w:p>
    <w:p w14:paraId="6DD7DC0F">
      <w:pPr>
        <w:widowControl/>
        <w:jc w:val="center"/>
        <w:rPr>
          <w:rFonts w:cs="Times New Roman"/>
          <w:b/>
          <w:sz w:val="21"/>
          <w:szCs w:val="21"/>
        </w:rPr>
      </w:pPr>
      <w:r>
        <w:rPr>
          <w:sz w:val="21"/>
          <w:szCs w:val="21"/>
        </w:rPr>
        <w:drawing>
          <wp:inline distT="0" distB="0" distL="0" distR="0">
            <wp:extent cx="4636770" cy="3916680"/>
            <wp:effectExtent l="0" t="0" r="0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36800" cy="39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222C7B">
      <w:pPr>
        <w:spacing w:after="240" w:line="312" w:lineRule="auto"/>
        <w:jc w:val="center"/>
        <w:rPr>
          <w:rFonts w:cs="Times New Roman"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S6 </w:t>
      </w:r>
      <w:r>
        <w:rPr>
          <w:rFonts w:cs="Times New Roman"/>
          <w:sz w:val="20"/>
          <w:szCs w:val="20"/>
        </w:rPr>
        <w:t xml:space="preserve"> CV curves at non-Faradaic potential ranges of the (a) 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>, (b) 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 xml:space="preserve">, (c) </w:t>
      </w:r>
      <w:bookmarkStart w:id="2" w:name="OLE_LINK12"/>
      <w:bookmarkStart w:id="3" w:name="OLE_LINK11"/>
      <w:r>
        <w:rPr>
          <w:rFonts w:cs="Times New Roman"/>
          <w:sz w:val="20"/>
          <w:szCs w:val="20"/>
        </w:rPr>
        <w:t>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bookmarkEnd w:id="2"/>
      <w:bookmarkEnd w:id="3"/>
      <w:r>
        <w:rPr>
          <w:rFonts w:cs="Times New Roman"/>
          <w:sz w:val="20"/>
          <w:szCs w:val="20"/>
        </w:rPr>
        <w:t>, and (d)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 xml:space="preserve"> catalysts with different scan rates (20-100 mV s</w:t>
      </w:r>
      <w:r>
        <w:rPr>
          <w:rFonts w:cs="Times New Roman"/>
          <w:sz w:val="20"/>
          <w:szCs w:val="20"/>
          <w:vertAlign w:val="superscript"/>
        </w:rPr>
        <w:t>-1</w:t>
      </w:r>
      <w:r>
        <w:rPr>
          <w:rFonts w:cs="Times New Roman"/>
          <w:sz w:val="20"/>
          <w:szCs w:val="20"/>
        </w:rPr>
        <w:t>) from 1.116 to 1.216 V vs. RHE.</w:t>
      </w:r>
    </w:p>
    <w:p w14:paraId="73111610">
      <w:pPr>
        <w:widowControl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br w:type="page"/>
      </w:r>
    </w:p>
    <w:p w14:paraId="68B17FE2">
      <w:pPr>
        <w:widowControl/>
        <w:jc w:val="center"/>
        <w:rPr>
          <w:rFonts w:cs="Times New Roman"/>
          <w:sz w:val="21"/>
          <w:szCs w:val="21"/>
        </w:rPr>
      </w:pPr>
      <w:r>
        <w:drawing>
          <wp:inline distT="0" distB="0" distL="0" distR="0">
            <wp:extent cx="4636770" cy="411861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6800" cy="411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3EA5F">
      <w:pPr>
        <w:spacing w:after="240" w:line="312" w:lineRule="auto"/>
        <w:jc w:val="center"/>
        <w:rPr>
          <w:rFonts w:cs="Times New Roman"/>
          <w:sz w:val="20"/>
          <w:szCs w:val="20"/>
        </w:rPr>
      </w:pPr>
      <w:r>
        <w:rPr>
          <w:rFonts w:hint="eastAsia" w:cs="Times New Roman"/>
          <w:b/>
          <w:sz w:val="20"/>
          <w:szCs w:val="20"/>
        </w:rPr>
        <w:t>Fig</w:t>
      </w:r>
      <w:r>
        <w:rPr>
          <w:rFonts w:cs="Times New Roman"/>
          <w:b/>
          <w:sz w:val="20"/>
          <w:szCs w:val="20"/>
        </w:rPr>
        <w:t xml:space="preserve">. S7 </w:t>
      </w:r>
      <w:r>
        <w:rPr>
          <w:rFonts w:cs="Times New Roman"/>
          <w:sz w:val="20"/>
          <w:szCs w:val="20"/>
        </w:rPr>
        <w:t xml:space="preserve"> (a) SEM images of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 xml:space="preserve"> after 210 h chronopotentiometry test. (b) Co 2</w:t>
      </w:r>
      <w:r>
        <w:rPr>
          <w:rFonts w:hint="eastAsia" w:cs="Times New Roman"/>
          <w:sz w:val="20"/>
          <w:szCs w:val="20"/>
        </w:rPr>
        <w:t>p</w:t>
      </w:r>
      <w:r>
        <w:rPr>
          <w:rFonts w:cs="Times New Roman"/>
          <w:sz w:val="20"/>
          <w:szCs w:val="20"/>
        </w:rPr>
        <w:t>, (c) O 1s, and (d) Ir 4f XPS spectra of IrO</w:t>
      </w:r>
      <w:r>
        <w:rPr>
          <w:rFonts w:cs="Times New Roman"/>
          <w:i/>
          <w:iCs/>
          <w:sz w:val="20"/>
          <w:szCs w:val="20"/>
          <w:vertAlign w:val="subscript"/>
        </w:rPr>
        <w:t>x</w:t>
      </w:r>
      <w:r>
        <w:rPr>
          <w:rFonts w:cs="Times New Roman"/>
          <w:sz w:val="20"/>
          <w:szCs w:val="20"/>
        </w:rPr>
        <w:t>/Ir-Co</w:t>
      </w:r>
      <w:r>
        <w:rPr>
          <w:rFonts w:cs="Times New Roman"/>
          <w:sz w:val="20"/>
          <w:szCs w:val="20"/>
          <w:vertAlign w:val="subscript"/>
        </w:rPr>
        <w:t>3</w:t>
      </w:r>
      <w:r>
        <w:rPr>
          <w:rFonts w:cs="Times New Roman"/>
          <w:sz w:val="20"/>
          <w:szCs w:val="20"/>
        </w:rPr>
        <w:t>O</w:t>
      </w:r>
      <w:r>
        <w:rPr>
          <w:rFonts w:cs="Times New Roman"/>
          <w:sz w:val="20"/>
          <w:szCs w:val="20"/>
          <w:vertAlign w:val="subscript"/>
        </w:rPr>
        <w:t>4</w:t>
      </w:r>
      <w:r>
        <w:rPr>
          <w:rFonts w:cs="Times New Roman"/>
          <w:sz w:val="20"/>
          <w:szCs w:val="20"/>
        </w:rPr>
        <w:t xml:space="preserve"> after 210 h chronopotentiometry test.</w:t>
      </w:r>
    </w:p>
    <w:p w14:paraId="4D702EDD">
      <w:pPr>
        <w:widowControl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br w:type="page"/>
      </w:r>
    </w:p>
    <w:p w14:paraId="13B5DD9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eastAsia="宋体" w:cs="Times New Roman"/>
          <w:color w:val="FF0000"/>
          <w:kern w:val="0"/>
          <w:sz w:val="24"/>
          <w:lang w:eastAsia="en-US"/>
        </w:rPr>
      </w:pPr>
      <w:r>
        <w:rPr>
          <w:color w:val="FF0000"/>
        </w:rPr>
        <w:drawing>
          <wp:inline distT="0" distB="0" distL="0" distR="0">
            <wp:extent cx="2651760" cy="2159635"/>
            <wp:effectExtent l="0" t="0" r="0" b="0"/>
            <wp:docPr id="1687124567" name="图片 1687124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124567" name="图片 1687124567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937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2B456">
      <w:pPr>
        <w:widowControl/>
        <w:spacing w:line="312" w:lineRule="auto"/>
        <w:jc w:val="center"/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</w:pPr>
      <w:r>
        <w:rPr>
          <w:rFonts w:eastAsia="宋体" w:cs="Times New Roman"/>
          <w:b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Fig. S8</w:t>
      </w:r>
      <w:r>
        <w:rPr>
          <w:rFonts w:eastAsia="宋体" w:cs="Times New Roman"/>
          <w:b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 xml:space="preserve"> Long-term stability test of Ir</w:t>
      </w:r>
      <w:r>
        <w:rPr>
          <w:rFonts w:hint="eastAsia" w:eastAsia="宋体" w:cs="Times New Roman"/>
          <w:i/>
          <w:iCs/>
          <w:color w:val="000000" w:themeColor="text1"/>
          <w:sz w:val="20"/>
          <w:szCs w:val="20"/>
          <w:vertAlign w:val="subscript"/>
          <w:lang w:val="de-DE"/>
          <w14:textFill>
            <w14:solidFill>
              <w14:schemeClr w14:val="tx1"/>
            </w14:solidFill>
          </w14:textFill>
        </w:rPr>
        <w:t>x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Co</w:t>
      </w:r>
      <w:r>
        <w:rPr>
          <w:rFonts w:eastAsia="宋体" w:cs="Times New Roman"/>
          <w:color w:val="000000" w:themeColor="text1"/>
          <w:sz w:val="20"/>
          <w:szCs w:val="20"/>
          <w:vertAlign w:val="subscript"/>
          <w:lang w:val="de-DE"/>
          <w14:textFill>
            <w14:solidFill>
              <w14:schemeClr w14:val="tx1"/>
            </w14:solidFill>
          </w14:textFill>
        </w:rPr>
        <w:t>3-</w:t>
      </w:r>
      <w:r>
        <w:rPr>
          <w:rFonts w:eastAsia="宋体" w:cs="Times New Roman"/>
          <w:i/>
          <w:iCs/>
          <w:color w:val="000000" w:themeColor="text1"/>
          <w:sz w:val="20"/>
          <w:szCs w:val="20"/>
          <w:vertAlign w:val="subscript"/>
          <w:lang w:val="de-DE"/>
          <w14:textFill>
            <w14:solidFill>
              <w14:schemeClr w14:val="tx1"/>
            </w14:solidFill>
          </w14:textFill>
        </w:rPr>
        <w:t>x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O</w:t>
      </w:r>
      <w:r>
        <w:rPr>
          <w:rFonts w:eastAsia="宋体" w:cs="Times New Roman"/>
          <w:color w:val="000000" w:themeColor="text1"/>
          <w:sz w:val="20"/>
          <w:szCs w:val="20"/>
          <w:vertAlign w:val="subscript"/>
          <w:lang w:val="de-DE"/>
          <w14:textFill>
            <w14:solidFill>
              <w14:schemeClr w14:val="tx1"/>
            </w14:solidFill>
          </w14:textFill>
        </w:rPr>
        <w:t>4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/Ir-Co</w:t>
      </w:r>
      <w:r>
        <w:rPr>
          <w:rFonts w:eastAsia="宋体" w:cs="Times New Roman"/>
          <w:color w:val="000000" w:themeColor="text1"/>
          <w:sz w:val="20"/>
          <w:szCs w:val="20"/>
          <w:vertAlign w:val="subscript"/>
          <w:lang w:val="de-DE"/>
          <w14:textFill>
            <w14:solidFill>
              <w14:schemeClr w14:val="tx1"/>
            </w14:solidFill>
          </w14:textFill>
        </w:rPr>
        <w:t>3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O</w:t>
      </w:r>
      <w:r>
        <w:rPr>
          <w:rFonts w:eastAsia="宋体" w:cs="Times New Roman"/>
          <w:color w:val="000000" w:themeColor="text1"/>
          <w:sz w:val="20"/>
          <w:szCs w:val="20"/>
          <w:vertAlign w:val="subscript"/>
          <w:lang w:val="de-DE"/>
          <w14:textFill>
            <w14:solidFill>
              <w14:schemeClr w14:val="tx1"/>
            </w14:solidFill>
          </w14:textFill>
        </w:rPr>
        <w:t>4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||Pt/C MEA in PEMWE at a constant current density of 18 mA cm</w:t>
      </w:r>
      <w:r>
        <w:rPr>
          <w:rFonts w:eastAsia="宋体" w:cs="Times New Roman"/>
          <w:color w:val="000000" w:themeColor="text1"/>
          <w:sz w:val="20"/>
          <w:szCs w:val="20"/>
          <w:vertAlign w:val="superscript"/>
          <w:lang w:val="de-DE"/>
          <w14:textFill>
            <w14:solidFill>
              <w14:schemeClr w14:val="tx1"/>
            </w14:solidFill>
          </w14:textFill>
        </w:rPr>
        <w:t>-2</w:t>
      </w:r>
      <w:r>
        <w:rPr>
          <w:rFonts w:eastAsia="宋体" w:cs="Times New Roman"/>
          <w:color w:val="000000" w:themeColor="text1"/>
          <w:sz w:val="20"/>
          <w:szCs w:val="20"/>
          <w:lang w:val="de-DE"/>
          <w14:textFill>
            <w14:solidFill>
              <w14:schemeClr w14:val="tx1"/>
            </w14:solidFill>
          </w14:textFill>
        </w:rPr>
        <w:t>.</w:t>
      </w:r>
    </w:p>
    <w:p w14:paraId="69311E5C">
      <w:pPr>
        <w:widowControl/>
        <w:jc w:val="left"/>
        <w:rPr>
          <w:b/>
          <w:bCs/>
          <w:sz w:val="24"/>
        </w:rPr>
      </w:pPr>
      <w:r>
        <w:rPr>
          <w:b/>
          <w:bCs/>
          <w:sz w:val="24"/>
        </w:rPr>
        <w:br w:type="page"/>
      </w:r>
    </w:p>
    <w:p w14:paraId="0509B3E2">
      <w:pPr>
        <w:widowControl/>
        <w:jc w:val="center"/>
        <w:rPr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Table S1  Ir and Co </w:t>
      </w:r>
      <w:r>
        <w:rPr>
          <w:rFonts w:hint="eastAsia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loadi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ng for IrO</w:t>
      </w:r>
      <w:r>
        <w:rPr>
          <w:bCs/>
          <w:i/>
          <w:i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x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/Ir-Co</w:t>
      </w:r>
      <w:r>
        <w:rPr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3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O</w:t>
      </w:r>
      <w:r>
        <w:rPr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.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25"/>
        <w:gridCol w:w="2625"/>
        <w:gridCol w:w="2625"/>
      </w:tblGrid>
      <w:tr w14:paraId="59218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6046A8C3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IrO</w:t>
            </w:r>
            <w:r>
              <w:rPr>
                <w:bCs/>
                <w:i/>
                <w:i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/Ir-Co</w:t>
            </w:r>
            <w:r>
              <w:rPr>
                <w:b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b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11C51B82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ontent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 xml:space="preserve">mg </w:t>
            </w:r>
            <w:r>
              <w:rPr>
                <w:rFonts w:hint="eastAsia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bCs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-2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51BCF576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Mass radio of Ir to Co</w:t>
            </w:r>
          </w:p>
        </w:tc>
      </w:tr>
      <w:tr w14:paraId="5C100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7590233A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I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r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35A459D0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.13</w:t>
            </w:r>
          </w:p>
        </w:tc>
        <w:tc>
          <w:tcPr>
            <w:tcW w:w="2625" w:type="dxa"/>
            <w:vMerge w:val="restart"/>
            <w:tcBorders>
              <w:top w:val="single" w:color="auto" w:sz="8" w:space="0"/>
              <w:left w:val="nil"/>
              <w:right w:val="nil"/>
            </w:tcBorders>
          </w:tcPr>
          <w:p w14:paraId="7D165035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0.02</w:t>
            </w:r>
          </w:p>
        </w:tc>
      </w:tr>
      <w:tr w14:paraId="3EBE1F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6D9051C3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Co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549D9BC7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6.36</w:t>
            </w:r>
          </w:p>
        </w:tc>
        <w:tc>
          <w:tcPr>
            <w:tcW w:w="2625" w:type="dxa"/>
            <w:vMerge w:val="continue"/>
            <w:tcBorders>
              <w:left w:val="nil"/>
              <w:bottom w:val="single" w:color="auto" w:sz="8" w:space="0"/>
              <w:right w:val="nil"/>
            </w:tcBorders>
          </w:tcPr>
          <w:p w14:paraId="3D6DF789">
            <w:pPr>
              <w:widowControl/>
              <w:jc w:val="left"/>
              <w:rPr>
                <w:b/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18BDA634">
      <w:pPr>
        <w:widowControl/>
        <w:jc w:val="left"/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br w:type="page"/>
      </w:r>
    </w:p>
    <w:p w14:paraId="45D54DD9">
      <w:pPr>
        <w:widowControl/>
        <w:jc w:val="center"/>
        <w:rPr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Table S2  ECSA, ECSA-normalized activity, Ir </w:t>
      </w:r>
      <w:r>
        <w:rPr>
          <w:rFonts w:hint="eastAsia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loadi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ng and mass activity for IrO</w:t>
      </w:r>
      <w:r>
        <w:rPr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2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 and IrO</w:t>
      </w:r>
      <w:r>
        <w:rPr>
          <w:bCs/>
          <w:i/>
          <w:i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x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/Ir-Co</w:t>
      </w:r>
      <w:r>
        <w:rPr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3</w:t>
      </w:r>
      <w:r>
        <w:rPr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O</w:t>
      </w:r>
      <w:r>
        <w:rPr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4</w:t>
      </w:r>
      <w:r>
        <w:rPr>
          <w:rFonts w:hint="eastAsia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.</w:t>
      </w:r>
    </w:p>
    <w:tbl>
      <w:tblPr>
        <w:tblStyle w:val="11"/>
        <w:tblW w:w="83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353"/>
        <w:gridCol w:w="1082"/>
        <w:gridCol w:w="1868"/>
        <w:gridCol w:w="1154"/>
        <w:gridCol w:w="1154"/>
      </w:tblGrid>
      <w:tr w14:paraId="22BDD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2318678C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Electrocatalysts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7A493BB9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Geometric area activity @1.5 V vs. RHE (mA cm</w:t>
            </w:r>
            <w:r>
              <w:rPr>
                <w:bCs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-2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66852E8D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ECSA (cm</w:t>
            </w:r>
            <w:r>
              <w:rPr>
                <w:bCs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1E57CB4A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ECSA-normalized Activity @1.5 V vs. RHE (mA cm</w:t>
            </w:r>
            <w:r>
              <w:rPr>
                <w:bCs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-2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291E9739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Ir loading (mg cm</w:t>
            </w:r>
            <w:r>
              <w:rPr>
                <w:bCs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-2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159C282C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Mass activity @1.5 V vs. RHE (A g</w:t>
            </w:r>
            <w:r>
              <w:rPr>
                <w:b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Ir</w:t>
            </w:r>
            <w:r>
              <w:rPr>
                <w:bCs/>
                <w:color w:val="000000" w:themeColor="text1"/>
                <w:sz w:val="20"/>
                <w:szCs w:val="20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-1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 w14:paraId="3560CA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680FBFE8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IrO</w:t>
            </w:r>
            <w:r>
              <w:rPr>
                <w:b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3F421A12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6.46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65EF08DE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934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1E340ECF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0.007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4E28CCBA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1.073</w:t>
            </w:r>
          </w:p>
        </w:tc>
        <w:tc>
          <w:tcPr>
            <w:tcW w:w="2625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0E42D7E3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6.02</w:t>
            </w:r>
          </w:p>
        </w:tc>
      </w:tr>
      <w:tr w14:paraId="569E32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5D4747B5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IrO</w:t>
            </w:r>
            <w:r>
              <w:rPr>
                <w:bCs/>
                <w:i/>
                <w:i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/Ir-Co</w:t>
            </w:r>
            <w:r>
              <w:rPr>
                <w:b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bCs/>
                <w:color w:val="000000" w:themeColor="text1"/>
                <w:sz w:val="20"/>
                <w:szCs w:val="20"/>
                <w:vertAlign w:val="subscript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1296C558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29.85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3D1D8B99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1194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31814320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0.025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46F8F499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0.13</w:t>
            </w:r>
          </w:p>
        </w:tc>
        <w:tc>
          <w:tcPr>
            <w:tcW w:w="2625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57CC607B">
            <w:pPr>
              <w:widowControl/>
              <w:jc w:val="center"/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230</w:t>
            </w:r>
          </w:p>
        </w:tc>
      </w:tr>
    </w:tbl>
    <w:p w14:paraId="3C62BB1A">
      <w:pPr>
        <w:widowControl/>
        <w:jc w:val="left"/>
        <w:rPr>
          <w:b/>
          <w:bCs/>
          <w:sz w:val="24"/>
        </w:rPr>
      </w:pPr>
      <w:r>
        <w:rPr>
          <w:b/>
          <w:bCs/>
          <w:sz w:val="24"/>
        </w:rPr>
        <w:br w:type="page"/>
      </w:r>
    </w:p>
    <w:p w14:paraId="0802661A">
      <w:pPr>
        <w:jc w:val="center"/>
        <w:rPr>
          <w:sz w:val="20"/>
          <w:szCs w:val="20"/>
        </w:rPr>
      </w:pPr>
      <w:r>
        <w:rPr>
          <w:bCs/>
          <w:sz w:val="20"/>
          <w:szCs w:val="20"/>
        </w:rPr>
        <w:t xml:space="preserve">Table S3  </w:t>
      </w:r>
      <w:r>
        <w:rPr>
          <w:rFonts w:hint="eastAsia"/>
          <w:sz w:val="20"/>
          <w:szCs w:val="20"/>
        </w:rPr>
        <w:t>T</w:t>
      </w:r>
      <w:r>
        <w:rPr>
          <w:sz w:val="20"/>
          <w:szCs w:val="20"/>
        </w:rPr>
        <w:t>he performance evaluation indicators summary of Ir-based acidic OER electrocatalysts</w:t>
      </w:r>
      <w:r>
        <w:rPr>
          <w:rFonts w:hint="eastAsia"/>
          <w:sz w:val="20"/>
          <w:szCs w:val="20"/>
        </w:rPr>
        <w:t>.</w:t>
      </w:r>
    </w:p>
    <w:tbl>
      <w:tblPr>
        <w:tblStyle w:val="11"/>
        <w:tblW w:w="85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8"/>
        <w:gridCol w:w="1418"/>
        <w:gridCol w:w="1417"/>
        <w:gridCol w:w="1417"/>
        <w:gridCol w:w="1417"/>
      </w:tblGrid>
      <w:tr w14:paraId="71B57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22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467134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宋体" w:cs="Times New Roman"/>
                <w:color w:val="000000" w:themeColor="text1"/>
                <w:sz w:val="20"/>
                <w:szCs w:val="20"/>
                <w:lang w:val="en"/>
                <w14:textFill>
                  <w14:solidFill>
                    <w14:schemeClr w14:val="tx1"/>
                  </w14:solidFill>
                </w14:textFill>
              </w:rPr>
              <w:t>Electrocatalysts</w:t>
            </w:r>
          </w:p>
        </w:tc>
        <w:tc>
          <w:tcPr>
            <w:tcW w:w="122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7FF3F5F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Overpotential @ 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9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4D2FAE1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Stability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39368C6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 loading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7CB4783F">
            <w:pPr>
              <w:jc w:val="center"/>
              <w:rPr>
                <w:rFonts w:eastAsia="宋体" w:cs="Times New Roman"/>
                <w:color w:val="000000" w:themeColor="text1"/>
                <w:kern w:val="24"/>
                <w:sz w:val="20"/>
                <w:szCs w:val="20"/>
                <w:lang w:val="e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sz w:val="20"/>
                <w:szCs w:val="20"/>
              </w:rPr>
              <w:t>Mass activity@1.5 V vs RHE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3275F14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Ref.</w:t>
            </w:r>
          </w:p>
        </w:tc>
      </w:tr>
      <w:tr w14:paraId="307A27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58EC019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IrO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cs="Times New Roman"/>
                <w:sz w:val="20"/>
                <w:szCs w:val="20"/>
              </w:rPr>
              <w:t>/Ir-Co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cs="Times New Roman"/>
                <w:sz w:val="20"/>
                <w:szCs w:val="20"/>
              </w:rPr>
              <w:t>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29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71052A7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237 mV</w:t>
            </w:r>
          </w:p>
        </w:tc>
        <w:tc>
          <w:tcPr>
            <w:tcW w:w="1229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6E3AC45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210 h@100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5F8AFE9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0.13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7254ED1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230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3F18AB8D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This work</w:t>
            </w:r>
          </w:p>
        </w:tc>
      </w:tr>
      <w:tr w14:paraId="6104D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94C123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IrRu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cs="Times New Roman"/>
                <w:sz w:val="20"/>
                <w:szCs w:val="20"/>
              </w:rPr>
              <w:t>@Ir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66347C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288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9C4A26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24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4797742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0.07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850E0FB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68.6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71D3AF9C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[1]</w:t>
            </w:r>
          </w:p>
        </w:tc>
      </w:tr>
      <w:tr w14:paraId="2DE7E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11B43C1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20-Ir-C-1000-300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4A72541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383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1F0FC08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 CV cycles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3A58F4C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0.028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1B3169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16.1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4E765D5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[2]</w:t>
            </w:r>
          </w:p>
        </w:tc>
      </w:tr>
      <w:tr w14:paraId="1DB68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45DD78B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CoIr-CL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0F22C55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320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43FA60C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13.5 h@1.6 V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775F333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0.0153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A3BBF8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224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12FB16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[3]</w:t>
            </w:r>
          </w:p>
        </w:tc>
      </w:tr>
      <w:tr w14:paraId="48F0D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7E77335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Ir@WO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3-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DF9CA3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276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2D073C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1F68F8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0.07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6AED200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48.1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25F1D12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[4]</w:t>
            </w:r>
          </w:p>
        </w:tc>
      </w:tr>
      <w:tr w14:paraId="1C129B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BAF2C7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Ir/ATO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6A49F75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318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2A2DF8F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color w:val="000000" w:themeColor="text1"/>
                <w:sz w:val="20"/>
                <w:szCs w:val="20"/>
                <w:lang w:val="en"/>
                <w14:textFill>
                  <w14:solidFill>
                    <w14:schemeClr w14:val="tx1"/>
                  </w14:solidFill>
                </w14:textFill>
              </w:rPr>
              <w:t>Not provided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2D673CB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~0.12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6C90915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31.7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125A40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[5]</w:t>
            </w:r>
          </w:p>
        </w:tc>
      </w:tr>
      <w:tr w14:paraId="6603C2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10E45A1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IrO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cs="Times New Roman"/>
                <w:sz w:val="20"/>
                <w:szCs w:val="20"/>
              </w:rPr>
              <w:t>/WO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3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2361DCFF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260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7C67E54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38D3FE0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0.18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37C4D59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180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543D30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[6]</w:t>
            </w:r>
          </w:p>
        </w:tc>
      </w:tr>
      <w:tr w14:paraId="4B364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946DEB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Ir-CeO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cs="Times New Roman"/>
                <w:sz w:val="20"/>
                <w:szCs w:val="20"/>
              </w:rPr>
              <w:t>-C-350 NFs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6EDAC36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283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9875E1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3930CAF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0.47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FE6DA7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13.8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7658E42B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[7]</w:t>
            </w:r>
          </w:p>
        </w:tc>
      </w:tr>
      <w:tr w14:paraId="6F21F4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7B8EE7EB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La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cs="Times New Roman"/>
                <w:sz w:val="20"/>
                <w:szCs w:val="20"/>
              </w:rPr>
              <w:t>Ir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1-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cs="Times New Roman"/>
                <w:sz w:val="20"/>
                <w:szCs w:val="20"/>
              </w:rPr>
              <w:t>Mn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cs="Times New Roman"/>
                <w:sz w:val="20"/>
                <w:szCs w:val="20"/>
              </w:rPr>
              <w:t>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7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4640E1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276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7D7E768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175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77960CE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~0.013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52790D0C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78.8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8F6623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[8]</w:t>
            </w:r>
          </w:p>
        </w:tc>
      </w:tr>
      <w:tr w14:paraId="4DFA9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049B7E8C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0.5</w:t>
            </w:r>
            <w:r>
              <w:rPr>
                <w:rFonts w:cs="Times New Roman"/>
                <w:sz w:val="20"/>
                <w:szCs w:val="20"/>
              </w:rPr>
              <w:t>W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0.5</w:t>
            </w:r>
            <w:r>
              <w:rPr>
                <w:rFonts w:cs="Times New Roman"/>
                <w:sz w:val="20"/>
                <w:szCs w:val="20"/>
              </w:rPr>
              <w:t>/CNT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C5277C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283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62CA12F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7D46695D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0.057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1451A9C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224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231A960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[9]</w:t>
            </w:r>
          </w:p>
        </w:tc>
      </w:tr>
      <w:tr w14:paraId="4D0D7F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215B9F88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Tpyp-Ir(IrO</w:t>
            </w:r>
            <w:r>
              <w:rPr>
                <w:rFonts w:cs="Times New Roman"/>
                <w:i/>
                <w:iCs/>
                <w:sz w:val="20"/>
                <w:szCs w:val="20"/>
                <w:vertAlign w:val="subscript"/>
              </w:rPr>
              <w:t>x</w:t>
            </w:r>
            <w:r>
              <w:rPr>
                <w:rFonts w:cs="Times New Roman"/>
                <w:sz w:val="20"/>
                <w:szCs w:val="20"/>
              </w:rPr>
              <w:t>)-25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303F55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259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9E777F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1FF1765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0.051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D5622B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588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3C7E1C3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[10]</w:t>
            </w:r>
          </w:p>
        </w:tc>
      </w:tr>
      <w:tr w14:paraId="33B23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19DFBA0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Ir-Ta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2</w:t>
            </w:r>
            <w:r>
              <w:rPr>
                <w:rFonts w:cs="Times New Roman"/>
                <w:sz w:val="20"/>
                <w:szCs w:val="20"/>
              </w:rPr>
              <w:t>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5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6F017B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218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33CB001B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200 h@100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DCFD4DE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0.064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7925FF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416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41D8C2B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[11]</w:t>
            </w:r>
          </w:p>
        </w:tc>
      </w:tr>
      <w:tr w14:paraId="6096D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77B027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GB-rich Ir NTs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25195689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263 mV</w:t>
            </w: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14:paraId="5819830F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350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65C5C69D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0.04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6F61720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375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 w14:paraId="085FDC6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[12]</w:t>
            </w:r>
          </w:p>
        </w:tc>
      </w:tr>
      <w:tr w14:paraId="3FD41F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229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162494F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5Ir-Co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3</w:t>
            </w:r>
            <w:r>
              <w:rPr>
                <w:rFonts w:cs="Times New Roman"/>
                <w:sz w:val="20"/>
                <w:szCs w:val="20"/>
              </w:rPr>
              <w:t>O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4</w:t>
            </w:r>
            <w:r>
              <w:rPr>
                <w:rFonts w:cs="Times New Roman"/>
                <w:sz w:val="20"/>
                <w:szCs w:val="20"/>
              </w:rPr>
              <w:t>-bilayer</w:t>
            </w:r>
          </w:p>
        </w:tc>
        <w:tc>
          <w:tcPr>
            <w:tcW w:w="1229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1472CD8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316 mV</w:t>
            </w:r>
          </w:p>
        </w:tc>
        <w:tc>
          <w:tcPr>
            <w:tcW w:w="1229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13435DB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1000 h@10 mA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1A6E9BEF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0.0066 mg cm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-2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2060D5A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303 A g </w:t>
            </w:r>
            <w:r>
              <w:rPr>
                <w:rFonts w:cs="Times New Roman"/>
                <w:sz w:val="20"/>
                <w:szCs w:val="20"/>
                <w:vertAlign w:val="subscript"/>
              </w:rPr>
              <w:t>Ir</w:t>
            </w:r>
            <w:r>
              <w:rPr>
                <w:rFonts w:cs="Times New Roman"/>
                <w:sz w:val="20"/>
                <w:szCs w:val="20"/>
                <w:vertAlign w:val="superscript"/>
              </w:rPr>
              <w:t>-1</w:t>
            </w:r>
          </w:p>
        </w:tc>
        <w:tc>
          <w:tcPr>
            <w:tcW w:w="1228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3DF01EA3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[13]</w:t>
            </w:r>
          </w:p>
        </w:tc>
      </w:tr>
    </w:tbl>
    <w:p w14:paraId="6DD49ABC">
      <w:pPr>
        <w:widowControl/>
        <w:jc w:val="left"/>
        <w:rPr>
          <w:rFonts w:cs="Times New Roman"/>
          <w:sz w:val="21"/>
          <w:szCs w:val="21"/>
        </w:rPr>
      </w:pPr>
    </w:p>
    <w:p w14:paraId="286D9D9A">
      <w:pPr>
        <w:widowControl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br w:type="page"/>
      </w:r>
    </w:p>
    <w:p w14:paraId="7356A2BF">
      <w:pPr>
        <w:widowControl/>
        <w:jc w:val="center"/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Table S4  ICP test for IrO</w:t>
      </w:r>
      <w:r>
        <w:rPr>
          <w:rFonts w:cs="Times New Roman"/>
          <w:bCs/>
          <w:i/>
          <w:i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x</w:t>
      </w: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/Ir-Co</w:t>
      </w:r>
      <w:r>
        <w:rPr>
          <w:rFonts w:cs="Times New Roman"/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3</w:t>
      </w: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O</w:t>
      </w:r>
      <w:r>
        <w:rPr>
          <w:rFonts w:cs="Times New Roman"/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>4</w:t>
      </w: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||P</w:t>
      </w:r>
      <w:r>
        <w:rPr>
          <w:rFonts w:hint="eastAsia"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t</w:t>
      </w: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/C MEA</w:t>
      </w:r>
      <w:r>
        <w:rPr>
          <w:rFonts w:cs="Times New Roman"/>
          <w:bCs/>
          <w:color w:val="000000" w:themeColor="text1"/>
          <w:sz w:val="20"/>
          <w:szCs w:val="20"/>
          <w:vertAlign w:val="subscript"/>
          <w14:textFill>
            <w14:solidFill>
              <w14:schemeClr w14:val="tx1"/>
            </w14:solidFill>
          </w14:textFill>
        </w:rPr>
        <w:t xml:space="preserve"> </w:t>
      </w: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 xml:space="preserve">after 160 h </w:t>
      </w:r>
      <w:r>
        <w:rPr>
          <w:rFonts w:hint="eastAsia"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s</w:t>
      </w:r>
      <w:r>
        <w:rPr>
          <w:rFonts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tability</w:t>
      </w:r>
      <w:r>
        <w:rPr>
          <w:rFonts w:hint="eastAsia" w:cs="Times New Roman"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  <w:t>.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4"/>
        <w:gridCol w:w="2074"/>
        <w:gridCol w:w="2074"/>
        <w:gridCol w:w="2074"/>
      </w:tblGrid>
      <w:tr w14:paraId="318467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4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5DAE7757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IrO</w:t>
            </w:r>
            <w:r>
              <w:rPr>
                <w:rFonts w:cs="Times New Roman"/>
                <w:bCs/>
                <w:i/>
                <w:iCs/>
                <w:color w:val="000000" w:themeColor="text1"/>
                <w:sz w:val="2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x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/Ir-Co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O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:vertAlign w:val="subscript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074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09252B7C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Initial c</w:t>
            </w: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ontent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(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 xml:space="preserve">mg </w:t>
            </w: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cm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-2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2074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7201F695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Dissolved amount</w:t>
            </w:r>
          </w:p>
        </w:tc>
        <w:tc>
          <w:tcPr>
            <w:tcW w:w="2074" w:type="dxa"/>
            <w:tcBorders>
              <w:top w:val="single" w:color="auto" w:sz="8" w:space="0"/>
              <w:left w:val="nil"/>
              <w:bottom w:val="single" w:color="auto" w:sz="8" w:space="0"/>
              <w:right w:val="nil"/>
            </w:tcBorders>
          </w:tcPr>
          <w:p w14:paraId="505D975B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Dissolution rate (μg h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-1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</w:tr>
      <w:tr w14:paraId="3B3F8D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4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3F7749D8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I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r</w:t>
            </w:r>
          </w:p>
        </w:tc>
        <w:tc>
          <w:tcPr>
            <w:tcW w:w="2074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5E58C027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.13</w:t>
            </w:r>
          </w:p>
        </w:tc>
        <w:tc>
          <w:tcPr>
            <w:tcW w:w="2074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0DD08C76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0.0975</w:t>
            </w:r>
          </w:p>
        </w:tc>
        <w:tc>
          <w:tcPr>
            <w:tcW w:w="2074" w:type="dxa"/>
            <w:tcBorders>
              <w:top w:val="single" w:color="auto" w:sz="8" w:space="0"/>
              <w:left w:val="nil"/>
              <w:bottom w:val="nil"/>
              <w:right w:val="nil"/>
            </w:tcBorders>
          </w:tcPr>
          <w:p w14:paraId="14A93AC0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.61</w:t>
            </w:r>
          </w:p>
        </w:tc>
      </w:tr>
      <w:tr w14:paraId="22D59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4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10319D38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Co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5A692996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6.36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0F6D3AD5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0.46</w:t>
            </w:r>
          </w:p>
        </w:tc>
        <w:tc>
          <w:tcPr>
            <w:tcW w:w="2074" w:type="dxa"/>
            <w:tcBorders>
              <w:top w:val="nil"/>
              <w:left w:val="nil"/>
              <w:bottom w:val="single" w:color="auto" w:sz="8" w:space="0"/>
              <w:right w:val="nil"/>
            </w:tcBorders>
          </w:tcPr>
          <w:p w14:paraId="6C76C0F6">
            <w:pPr>
              <w:widowControl/>
              <w:jc w:val="center"/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cs="Times New Roman"/>
                <w:bCs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.87</w:t>
            </w:r>
          </w:p>
        </w:tc>
      </w:tr>
    </w:tbl>
    <w:p w14:paraId="5AD35DA2">
      <w:pPr>
        <w:widowControl/>
        <w:jc w:val="left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br w:type="page"/>
      </w:r>
    </w:p>
    <w:p w14:paraId="1148039B">
      <w:pPr>
        <w:pStyle w:val="33"/>
        <w:spacing w:line="312" w:lineRule="auto"/>
        <w:ind w:left="440" w:firstLine="0"/>
        <w:rPr>
          <w:rFonts w:ascii="Times New Roman" w:hAnsi="Times New Roman"/>
          <w:b/>
          <w:sz w:val="20"/>
          <w:lang w:val="en-US"/>
        </w:rPr>
      </w:pPr>
      <w:r>
        <w:rPr>
          <w:rFonts w:ascii="Times New Roman" w:hAnsi="Times New Roman"/>
          <w:b/>
          <w:sz w:val="20"/>
          <w:lang w:val="en-US"/>
        </w:rPr>
        <w:t xml:space="preserve">References </w:t>
      </w:r>
    </w:p>
    <w:p w14:paraId="0C02D7EB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Zheng Y, Zhang F R, Wang G L,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CO induced phase-segregation to construct robust and efficient IrRu</w:t>
      </w:r>
      <w:r>
        <w:rPr>
          <w:rFonts w:ascii="Times New Roman" w:hAnsi="Times New Roman" w:eastAsia="宋体"/>
          <w:i/>
          <w:iCs/>
          <w:sz w:val="20"/>
          <w:vertAlign w:val="subscript"/>
          <w:lang w:eastAsia="zh-CN"/>
        </w:rPr>
        <w:t>x</w:t>
      </w:r>
      <w:r>
        <w:rPr>
          <w:rFonts w:ascii="Times New Roman" w:hAnsi="Times New Roman" w:eastAsia="宋体"/>
          <w:sz w:val="20"/>
          <w:lang w:eastAsia="zh-CN"/>
        </w:rPr>
        <w:t>@Ir core-shell electrocatalyst towards acidic oxygen evolution. Journal of Power Sources, 2022, 528: 231189</w:t>
      </w:r>
    </w:p>
    <w:p w14:paraId="64220D90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Sadeghi E, Morgen P, Makovec D,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Scalable 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>olid-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 xml:space="preserve">tate 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 xml:space="preserve">ynthesis of </w:t>
      </w:r>
      <w:r>
        <w:rPr>
          <w:rFonts w:hint="eastAsia" w:ascii="Times New Roman" w:hAnsi="Times New Roman" w:eastAsia="宋体"/>
          <w:sz w:val="20"/>
          <w:lang w:val="en-US" w:eastAsia="zh-CN"/>
        </w:rPr>
        <w:t>c</w:t>
      </w:r>
      <w:r>
        <w:rPr>
          <w:rFonts w:ascii="Times New Roman" w:hAnsi="Times New Roman" w:eastAsia="宋体"/>
          <w:sz w:val="20"/>
          <w:lang w:eastAsia="zh-CN"/>
        </w:rPr>
        <w:t>arbon-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 xml:space="preserve">upported Ir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 xml:space="preserve">lectrocatalysts for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cidic </w:t>
      </w:r>
      <w:r>
        <w:rPr>
          <w:rFonts w:hint="eastAsia" w:ascii="Times New Roman" w:hAnsi="Times New Roman" w:eastAsia="宋体"/>
          <w:sz w:val="20"/>
          <w:lang w:val="en-US" w:eastAsia="zh-CN"/>
        </w:rPr>
        <w:t>o</w:t>
      </w:r>
      <w:r>
        <w:rPr>
          <w:rFonts w:ascii="Times New Roman" w:hAnsi="Times New Roman" w:eastAsia="宋体"/>
          <w:sz w:val="20"/>
          <w:lang w:eastAsia="zh-CN"/>
        </w:rPr>
        <w:t xml:space="preserve">xygen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 xml:space="preserve">volution </w:t>
      </w:r>
      <w:r>
        <w:rPr>
          <w:rFonts w:hint="eastAsia" w:ascii="Times New Roman" w:hAnsi="Times New Roman" w:eastAsia="宋体"/>
          <w:sz w:val="20"/>
          <w:lang w:val="en-US" w:eastAsia="zh-CN"/>
        </w:rPr>
        <w:t>r</w:t>
      </w:r>
      <w:r>
        <w:rPr>
          <w:rFonts w:ascii="Times New Roman" w:hAnsi="Times New Roman" w:eastAsia="宋体"/>
          <w:sz w:val="20"/>
          <w:lang w:eastAsia="zh-CN"/>
        </w:rPr>
        <w:t xml:space="preserve">eaction: Exploring the 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>tructure-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ctivity </w:t>
      </w:r>
      <w:r>
        <w:rPr>
          <w:rFonts w:hint="eastAsia" w:ascii="Times New Roman" w:hAnsi="Times New Roman" w:eastAsia="宋体"/>
          <w:sz w:val="20"/>
          <w:lang w:val="en-US" w:eastAsia="zh-CN"/>
        </w:rPr>
        <w:t>r</w:t>
      </w:r>
      <w:r>
        <w:rPr>
          <w:rFonts w:ascii="Times New Roman" w:hAnsi="Times New Roman" w:eastAsia="宋体"/>
          <w:sz w:val="20"/>
          <w:lang w:eastAsia="zh-CN"/>
        </w:rPr>
        <w:t>elationship. ACS Applied Materials &amp; Interfaces, 2024, 16(40): 53750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53763</w:t>
      </w:r>
    </w:p>
    <w:p w14:paraId="096F3A30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Ying Y F, Godínez Salomón J F, Lartundo-Rojas L,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Hydrous cobalt-iridium oxide two-dimensional nanoframes: insights into activity and stability of bimetallic acidic oxygen evolution electrocatalysts. Nanoscale Advances, 2021, 3(7): 1976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1996</w:t>
      </w:r>
    </w:p>
    <w:p w14:paraId="0B17F3FF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Ma X J, Yang C L, Zhang F R,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Oxygen-vacancy-rich tungsten oxide boosted ultrasmall iridium nanoparticles for acidic oxygen evolution. International Journal of Hydrogen Energy, 2023, 48(94): 36776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36783</w:t>
      </w:r>
    </w:p>
    <w:p w14:paraId="30F825B9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Jang H, Lee J H, Lee J R,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Metal-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 xml:space="preserve">upport </w:t>
      </w:r>
      <w:r>
        <w:rPr>
          <w:rFonts w:hint="eastAsia" w:ascii="Times New Roman" w:hAnsi="Times New Roman" w:eastAsia="宋体"/>
          <w:sz w:val="20"/>
          <w:lang w:val="en-US" w:eastAsia="zh-CN"/>
        </w:rPr>
        <w:t>i</w:t>
      </w:r>
      <w:r>
        <w:rPr>
          <w:rFonts w:ascii="Times New Roman" w:hAnsi="Times New Roman" w:eastAsia="宋体"/>
          <w:sz w:val="20"/>
          <w:lang w:eastAsia="zh-CN"/>
        </w:rPr>
        <w:t xml:space="preserve">nteraction </w:t>
      </w:r>
      <w:r>
        <w:rPr>
          <w:rFonts w:hint="eastAsia" w:ascii="Times New Roman" w:hAnsi="Times New Roman" w:eastAsia="宋体"/>
          <w:sz w:val="20"/>
          <w:lang w:val="en-US" w:eastAsia="zh-CN"/>
        </w:rPr>
        <w:t>c</w:t>
      </w:r>
      <w:r>
        <w:rPr>
          <w:rFonts w:ascii="Times New Roman" w:hAnsi="Times New Roman" w:eastAsia="宋体"/>
          <w:sz w:val="20"/>
          <w:lang w:eastAsia="zh-CN"/>
        </w:rPr>
        <w:t xml:space="preserve">an </w:t>
      </w:r>
      <w:r>
        <w:rPr>
          <w:rFonts w:hint="eastAsia" w:ascii="Times New Roman" w:hAnsi="Times New Roman" w:eastAsia="宋体"/>
          <w:sz w:val="20"/>
          <w:lang w:val="en-US" w:eastAsia="zh-CN"/>
        </w:rPr>
        <w:t>d</w:t>
      </w:r>
      <w:r>
        <w:rPr>
          <w:rFonts w:ascii="Times New Roman" w:hAnsi="Times New Roman" w:eastAsia="宋体"/>
          <w:sz w:val="20"/>
          <w:lang w:eastAsia="zh-CN"/>
        </w:rPr>
        <w:t>eactivate IrO</w:t>
      </w:r>
      <w:r>
        <w:rPr>
          <w:rFonts w:ascii="Times New Roman" w:hAnsi="Times New Roman" w:eastAsia="宋体"/>
          <w:i/>
          <w:iCs/>
          <w:sz w:val="20"/>
          <w:vertAlign w:val="subscript"/>
          <w:lang w:eastAsia="zh-CN"/>
        </w:rPr>
        <w:t>x</w:t>
      </w:r>
      <w:r>
        <w:rPr>
          <w:rFonts w:ascii="Times New Roman" w:hAnsi="Times New Roman" w:eastAsia="宋体"/>
          <w:sz w:val="20"/>
          <w:lang w:eastAsia="zh-CN"/>
        </w:rPr>
        <w:t>/Sb:SnO</w:t>
      </w:r>
      <w:r>
        <w:rPr>
          <w:rFonts w:ascii="Times New Roman" w:hAnsi="Times New Roman" w:eastAsia="宋体"/>
          <w:sz w:val="20"/>
          <w:vertAlign w:val="subscript"/>
          <w:lang w:eastAsia="zh-CN"/>
        </w:rPr>
        <w:t>2</w:t>
      </w:r>
      <w:r>
        <w:rPr>
          <w:rFonts w:ascii="Times New Roman" w:hAnsi="Times New Roman" w:eastAsia="宋体"/>
          <w:sz w:val="20"/>
          <w:lang w:eastAsia="zh-CN"/>
        </w:rPr>
        <w:t xml:space="preserve"> OER </w:t>
      </w:r>
      <w:r>
        <w:rPr>
          <w:rFonts w:hint="eastAsia" w:ascii="Times New Roman" w:hAnsi="Times New Roman" w:eastAsia="宋体"/>
          <w:sz w:val="20"/>
          <w:lang w:val="en-US" w:eastAsia="zh-CN"/>
        </w:rPr>
        <w:t>c</w:t>
      </w:r>
      <w:r>
        <w:rPr>
          <w:rFonts w:ascii="Times New Roman" w:hAnsi="Times New Roman" w:eastAsia="宋体"/>
          <w:sz w:val="20"/>
          <w:lang w:eastAsia="zh-CN"/>
        </w:rPr>
        <w:t xml:space="preserve">atalysts in </w:t>
      </w:r>
      <w:r>
        <w:rPr>
          <w:rFonts w:hint="eastAsia" w:ascii="Times New Roman" w:hAnsi="Times New Roman" w:eastAsia="宋体"/>
          <w:sz w:val="20"/>
          <w:lang w:val="en-US" w:eastAsia="zh-CN"/>
        </w:rPr>
        <w:t>p</w:t>
      </w:r>
      <w:r>
        <w:rPr>
          <w:rFonts w:ascii="Times New Roman" w:hAnsi="Times New Roman" w:eastAsia="宋体"/>
          <w:sz w:val="20"/>
          <w:lang w:eastAsia="zh-CN"/>
        </w:rPr>
        <w:t xml:space="preserve">olyol </w:t>
      </w:r>
      <w:r>
        <w:rPr>
          <w:rFonts w:hint="eastAsia" w:ascii="Times New Roman" w:hAnsi="Times New Roman" w:eastAsia="宋体"/>
          <w:sz w:val="20"/>
          <w:lang w:val="en-US" w:eastAsia="zh-CN"/>
        </w:rPr>
        <w:t>p</w:t>
      </w:r>
      <w:r>
        <w:rPr>
          <w:rFonts w:ascii="Times New Roman" w:hAnsi="Times New Roman" w:eastAsia="宋体"/>
          <w:sz w:val="20"/>
          <w:lang w:eastAsia="zh-CN"/>
        </w:rPr>
        <w:t>rocess. ACS Applied Energy Materials, 2022, 5(8): 9297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9302</w:t>
      </w:r>
    </w:p>
    <w:p w14:paraId="3ACC0ADD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Guan Z Y, Weng Y X, Li J K,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Interfacial engineering to construct an IrO</w:t>
      </w:r>
      <w:r>
        <w:rPr>
          <w:rFonts w:hint="eastAsia" w:ascii="Times New Roman" w:hAnsi="Times New Roman" w:eastAsia="宋体"/>
          <w:i/>
          <w:iCs/>
          <w:sz w:val="20"/>
          <w:vertAlign w:val="subscript"/>
          <w:lang w:eastAsia="zh-CN"/>
        </w:rPr>
        <w:t>x</w:t>
      </w:r>
      <w:r>
        <w:rPr>
          <w:rFonts w:ascii="Times New Roman" w:hAnsi="Times New Roman" w:eastAsia="宋体"/>
          <w:sz w:val="20"/>
          <w:lang w:eastAsia="zh-CN"/>
        </w:rPr>
        <w:t>/WO</w:t>
      </w:r>
      <w:r>
        <w:rPr>
          <w:rFonts w:ascii="Times New Roman" w:hAnsi="Times New Roman" w:eastAsia="宋体"/>
          <w:sz w:val="20"/>
          <w:vertAlign w:val="subscript"/>
          <w:lang w:eastAsia="zh-CN"/>
        </w:rPr>
        <w:t>3</w:t>
      </w:r>
      <w:r>
        <w:rPr>
          <w:rFonts w:ascii="Times New Roman" w:hAnsi="Times New Roman" w:eastAsia="宋体"/>
          <w:sz w:val="20"/>
          <w:lang w:eastAsia="zh-CN"/>
        </w:rPr>
        <w:t xml:space="preserve"> hetero-structured catalyst for efficient acidic OER catalysis. New Journal of Chemistry, 2024, 48(6): 2505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2514</w:t>
      </w:r>
    </w:p>
    <w:p w14:paraId="40C9A643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Chen X J, Liao W Y, Zhong M X,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Rational design of robust iridium-ceria oxide-carbon nanofibers to boost oxygen evolution reaction in both alkaline and acidic media. Nano Research, 2023, 16(5): 7724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7732</w:t>
      </w:r>
    </w:p>
    <w:p w14:paraId="12FC3A59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Gao H Y, Jang H S, Liu S G,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Stabilizing </w:t>
      </w:r>
      <w:r>
        <w:rPr>
          <w:rFonts w:hint="eastAsia" w:ascii="Times New Roman" w:hAnsi="Times New Roman" w:eastAsia="宋体"/>
          <w:sz w:val="20"/>
          <w:lang w:val="en-US" w:eastAsia="zh-CN"/>
        </w:rPr>
        <w:t>r</w:t>
      </w:r>
      <w:r>
        <w:rPr>
          <w:rFonts w:ascii="Times New Roman" w:hAnsi="Times New Roman" w:eastAsia="宋体"/>
          <w:sz w:val="20"/>
          <w:lang w:eastAsia="zh-CN"/>
        </w:rPr>
        <w:t xml:space="preserve">econstructed Ir-O </w:t>
      </w:r>
      <w:r>
        <w:rPr>
          <w:rFonts w:hint="eastAsia" w:ascii="Times New Roman" w:hAnsi="Times New Roman" w:eastAsia="宋体"/>
          <w:sz w:val="20"/>
          <w:lang w:val="en-US" w:eastAsia="zh-CN"/>
        </w:rPr>
        <w:t>m</w:t>
      </w:r>
      <w:r>
        <w:rPr>
          <w:rFonts w:ascii="Times New Roman" w:hAnsi="Times New Roman" w:eastAsia="宋体"/>
          <w:sz w:val="20"/>
          <w:lang w:eastAsia="zh-CN"/>
        </w:rPr>
        <w:t xml:space="preserve">otifs by Mn </w:t>
      </w:r>
      <w:r>
        <w:rPr>
          <w:rFonts w:hint="eastAsia" w:ascii="Times New Roman" w:hAnsi="Times New Roman" w:eastAsia="宋体"/>
          <w:sz w:val="20"/>
          <w:lang w:val="en-US" w:eastAsia="zh-CN"/>
        </w:rPr>
        <w:t>d</w:t>
      </w:r>
      <w:r>
        <w:rPr>
          <w:rFonts w:ascii="Times New Roman" w:hAnsi="Times New Roman" w:eastAsia="宋体"/>
          <w:sz w:val="20"/>
          <w:lang w:eastAsia="zh-CN"/>
        </w:rPr>
        <w:t xml:space="preserve">oping for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 xml:space="preserve">nhanced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cidic </w:t>
      </w:r>
      <w:r>
        <w:rPr>
          <w:rFonts w:hint="eastAsia" w:ascii="Times New Roman" w:hAnsi="Times New Roman" w:eastAsia="宋体"/>
          <w:sz w:val="20"/>
          <w:lang w:val="en-US" w:eastAsia="zh-CN"/>
        </w:rPr>
        <w:t>w</w:t>
      </w:r>
      <w:r>
        <w:rPr>
          <w:rFonts w:ascii="Times New Roman" w:hAnsi="Times New Roman" w:eastAsia="宋体"/>
          <w:sz w:val="20"/>
          <w:lang w:eastAsia="zh-CN"/>
        </w:rPr>
        <w:t xml:space="preserve">ater </w:t>
      </w:r>
      <w:r>
        <w:rPr>
          <w:rFonts w:hint="eastAsia" w:ascii="Times New Roman" w:hAnsi="Times New Roman" w:eastAsia="宋体"/>
          <w:sz w:val="20"/>
          <w:lang w:val="en-US" w:eastAsia="zh-CN"/>
        </w:rPr>
        <w:t>o</w:t>
      </w:r>
      <w:r>
        <w:rPr>
          <w:rFonts w:ascii="Times New Roman" w:hAnsi="Times New Roman" w:eastAsia="宋体"/>
          <w:sz w:val="20"/>
          <w:lang w:eastAsia="zh-CN"/>
        </w:rPr>
        <w:t>xidation. ACS Sustainable Chemistry &amp; Engineering, 2025, 13(9): 3512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3521</w:t>
      </w:r>
    </w:p>
    <w:p w14:paraId="71573249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Chang C F, Xie Y H, Luo F,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Weakening s-d orbital hybridization of metallic iridium by tungsten atoms for acidic water splitting. Applied Catalysis A: General, 2023, 649: 118941</w:t>
      </w:r>
    </w:p>
    <w:p w14:paraId="428926FD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Yang X, Liu Y Q, Niu X H, </w:t>
      </w:r>
      <w:r>
        <w:rPr>
          <w:rFonts w:hint="eastAsia" w:ascii="Times New Roman" w:hAnsi="Times New Roman" w:eastAsia="宋体"/>
          <w:sz w:val="20"/>
          <w:lang w:eastAsia="zh-CN"/>
        </w:rPr>
        <w:t>et</w:t>
      </w:r>
      <w:r>
        <w:rPr>
          <w:rFonts w:ascii="Times New Roman" w:hAnsi="Times New Roman" w:eastAsia="宋体"/>
          <w:sz w:val="20"/>
          <w:lang w:eastAsia="zh-CN"/>
        </w:rPr>
        <w:t xml:space="preserve"> al. Porphyrin-</w:t>
      </w:r>
      <w:r>
        <w:rPr>
          <w:rFonts w:hint="eastAsia" w:ascii="Times New Roman" w:hAnsi="Times New Roman" w:eastAsia="宋体"/>
          <w:sz w:val="20"/>
          <w:lang w:val="en-US" w:eastAsia="zh-CN"/>
        </w:rPr>
        <w:t>c</w:t>
      </w:r>
      <w:r>
        <w:rPr>
          <w:rFonts w:ascii="Times New Roman" w:hAnsi="Times New Roman" w:eastAsia="宋体"/>
          <w:sz w:val="20"/>
          <w:lang w:eastAsia="zh-CN"/>
        </w:rPr>
        <w:t xml:space="preserve">onfined </w:t>
      </w:r>
      <w:r>
        <w:rPr>
          <w:rFonts w:hint="eastAsia" w:ascii="Times New Roman" w:hAnsi="Times New Roman" w:eastAsia="宋体"/>
          <w:sz w:val="20"/>
          <w:lang w:val="en-US" w:eastAsia="zh-CN"/>
        </w:rPr>
        <w:t>s</w:t>
      </w:r>
      <w:r>
        <w:rPr>
          <w:rFonts w:ascii="Times New Roman" w:hAnsi="Times New Roman" w:eastAsia="宋体"/>
          <w:sz w:val="20"/>
          <w:lang w:eastAsia="zh-CN"/>
        </w:rPr>
        <w:t xml:space="preserve">upported </w:t>
      </w:r>
      <w:r>
        <w:rPr>
          <w:rFonts w:hint="eastAsia" w:ascii="Times New Roman" w:hAnsi="Times New Roman" w:eastAsia="宋体"/>
          <w:sz w:val="20"/>
          <w:lang w:val="en-US" w:eastAsia="zh-CN"/>
        </w:rPr>
        <w:t>u</w:t>
      </w:r>
      <w:r>
        <w:rPr>
          <w:rFonts w:ascii="Times New Roman" w:hAnsi="Times New Roman" w:eastAsia="宋体"/>
          <w:sz w:val="20"/>
          <w:lang w:eastAsia="zh-CN"/>
        </w:rPr>
        <w:t xml:space="preserve">ltrasmall Ir </w:t>
      </w:r>
      <w:r>
        <w:rPr>
          <w:rFonts w:hint="eastAsia" w:ascii="Times New Roman" w:hAnsi="Times New Roman" w:eastAsia="宋体"/>
          <w:sz w:val="20"/>
          <w:lang w:val="en-US" w:eastAsia="zh-CN"/>
        </w:rPr>
        <w:t>c</w:t>
      </w:r>
      <w:r>
        <w:rPr>
          <w:rFonts w:ascii="Times New Roman" w:hAnsi="Times New Roman" w:eastAsia="宋体"/>
          <w:sz w:val="20"/>
          <w:lang w:eastAsia="zh-CN"/>
        </w:rPr>
        <w:t xml:space="preserve">lusters as </w:t>
      </w:r>
      <w:r>
        <w:rPr>
          <w:rFonts w:hint="eastAsia" w:ascii="Times New Roman" w:hAnsi="Times New Roman" w:eastAsia="宋体"/>
          <w:sz w:val="20"/>
          <w:lang w:val="en-US" w:eastAsia="zh-CN"/>
        </w:rPr>
        <w:t>o</w:t>
      </w:r>
      <w:r>
        <w:rPr>
          <w:rFonts w:ascii="Times New Roman" w:hAnsi="Times New Roman" w:eastAsia="宋体"/>
          <w:sz w:val="20"/>
          <w:lang w:eastAsia="zh-CN"/>
        </w:rPr>
        <w:t xml:space="preserve">xygen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 xml:space="preserve">volution </w:t>
      </w:r>
      <w:r>
        <w:rPr>
          <w:rFonts w:hint="eastAsia" w:ascii="Times New Roman" w:hAnsi="Times New Roman" w:eastAsia="宋体"/>
          <w:sz w:val="20"/>
          <w:lang w:val="en-US" w:eastAsia="zh-CN"/>
        </w:rPr>
        <w:t>c</w:t>
      </w:r>
      <w:r>
        <w:rPr>
          <w:rFonts w:ascii="Times New Roman" w:hAnsi="Times New Roman" w:eastAsia="宋体"/>
          <w:sz w:val="20"/>
          <w:lang w:eastAsia="zh-CN"/>
        </w:rPr>
        <w:t xml:space="preserve">atalysts for </w:t>
      </w:r>
      <w:r>
        <w:rPr>
          <w:rFonts w:hint="eastAsia" w:ascii="Times New Roman" w:hAnsi="Times New Roman" w:eastAsia="宋体"/>
          <w:sz w:val="20"/>
          <w:lang w:val="en-US" w:eastAsia="zh-CN"/>
        </w:rPr>
        <w:t>w</w:t>
      </w:r>
      <w:r>
        <w:rPr>
          <w:rFonts w:ascii="Times New Roman" w:hAnsi="Times New Roman" w:eastAsia="宋体"/>
          <w:sz w:val="20"/>
          <w:lang w:eastAsia="zh-CN"/>
        </w:rPr>
        <w:t xml:space="preserve">ater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>lectrolysis. Inorganic Chemistry, 2024, 63(42): 19798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19808</w:t>
      </w:r>
    </w:p>
    <w:p w14:paraId="22A99293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Qiao Y J, Luo M, Cai L B, et al. Constructing </w:t>
      </w:r>
      <w:r>
        <w:rPr>
          <w:rFonts w:hint="eastAsia" w:ascii="Times New Roman" w:hAnsi="Times New Roman" w:eastAsia="宋体"/>
          <w:sz w:val="20"/>
          <w:lang w:val="en-US" w:eastAsia="zh-CN"/>
        </w:rPr>
        <w:t>n</w:t>
      </w:r>
      <w:r>
        <w:rPr>
          <w:rFonts w:ascii="Times New Roman" w:hAnsi="Times New Roman" w:eastAsia="宋体"/>
          <w:sz w:val="20"/>
          <w:lang w:eastAsia="zh-CN"/>
        </w:rPr>
        <w:t>anoporous Ir/Ta</w:t>
      </w:r>
      <w:r>
        <w:rPr>
          <w:rFonts w:ascii="Times New Roman" w:hAnsi="Times New Roman" w:eastAsia="宋体"/>
          <w:sz w:val="20"/>
          <w:vertAlign w:val="subscript"/>
          <w:lang w:eastAsia="zh-CN"/>
        </w:rPr>
        <w:t>2</w:t>
      </w:r>
      <w:r>
        <w:rPr>
          <w:rFonts w:ascii="Times New Roman" w:hAnsi="Times New Roman" w:eastAsia="宋体"/>
          <w:sz w:val="20"/>
          <w:lang w:eastAsia="zh-CN"/>
        </w:rPr>
        <w:t>O</w:t>
      </w:r>
      <w:r>
        <w:rPr>
          <w:rFonts w:ascii="Times New Roman" w:hAnsi="Times New Roman" w:eastAsia="宋体"/>
          <w:sz w:val="20"/>
          <w:vertAlign w:val="subscript"/>
          <w:lang w:eastAsia="zh-CN"/>
        </w:rPr>
        <w:t>5</w:t>
      </w:r>
      <w:r>
        <w:rPr>
          <w:rFonts w:ascii="Times New Roman" w:hAnsi="Times New Roman" w:eastAsia="宋体"/>
          <w:sz w:val="20"/>
          <w:lang w:eastAsia="zh-CN"/>
        </w:rPr>
        <w:t xml:space="preserve"> </w:t>
      </w:r>
      <w:r>
        <w:rPr>
          <w:rFonts w:hint="eastAsia" w:ascii="Times New Roman" w:hAnsi="Times New Roman" w:eastAsia="宋体"/>
          <w:sz w:val="20"/>
          <w:lang w:val="en-US" w:eastAsia="zh-CN"/>
        </w:rPr>
        <w:t>i</w:t>
      </w:r>
      <w:r>
        <w:rPr>
          <w:rFonts w:ascii="Times New Roman" w:hAnsi="Times New Roman" w:eastAsia="宋体"/>
          <w:sz w:val="20"/>
          <w:lang w:eastAsia="zh-CN"/>
        </w:rPr>
        <w:t xml:space="preserve">nterfaces on </w:t>
      </w:r>
      <w:r>
        <w:rPr>
          <w:rFonts w:hint="eastAsia" w:ascii="Times New Roman" w:hAnsi="Times New Roman" w:eastAsia="宋体"/>
          <w:sz w:val="20"/>
          <w:lang w:val="en-US" w:eastAsia="zh-CN"/>
        </w:rPr>
        <w:t>m</w:t>
      </w:r>
      <w:r>
        <w:rPr>
          <w:rFonts w:ascii="Times New Roman" w:hAnsi="Times New Roman" w:eastAsia="宋体"/>
          <w:sz w:val="20"/>
          <w:lang w:eastAsia="zh-CN"/>
        </w:rPr>
        <w:t xml:space="preserve">etallic </w:t>
      </w:r>
      <w:r>
        <w:rPr>
          <w:rFonts w:hint="eastAsia" w:ascii="Times New Roman" w:hAnsi="Times New Roman" w:eastAsia="宋体"/>
          <w:sz w:val="20"/>
          <w:lang w:val="en-US" w:eastAsia="zh-CN"/>
        </w:rPr>
        <w:t>g</w:t>
      </w:r>
      <w:r>
        <w:rPr>
          <w:rFonts w:ascii="Times New Roman" w:hAnsi="Times New Roman" w:eastAsia="宋体"/>
          <w:sz w:val="20"/>
          <w:lang w:eastAsia="zh-CN"/>
        </w:rPr>
        <w:t xml:space="preserve">lass for </w:t>
      </w:r>
      <w:r>
        <w:rPr>
          <w:rFonts w:hint="eastAsia" w:ascii="Times New Roman" w:hAnsi="Times New Roman" w:eastAsia="宋体"/>
          <w:sz w:val="20"/>
          <w:lang w:val="en-US" w:eastAsia="zh-CN"/>
        </w:rPr>
        <w:t>d</w:t>
      </w:r>
      <w:r>
        <w:rPr>
          <w:rFonts w:ascii="Times New Roman" w:hAnsi="Times New Roman" w:eastAsia="宋体"/>
          <w:sz w:val="20"/>
          <w:lang w:eastAsia="zh-CN"/>
        </w:rPr>
        <w:t xml:space="preserve">urable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cidic </w:t>
      </w:r>
      <w:r>
        <w:rPr>
          <w:rFonts w:hint="eastAsia" w:ascii="Times New Roman" w:hAnsi="Times New Roman" w:eastAsia="宋体"/>
          <w:sz w:val="20"/>
          <w:lang w:val="en-US" w:eastAsia="zh-CN"/>
        </w:rPr>
        <w:t>w</w:t>
      </w:r>
      <w:r>
        <w:rPr>
          <w:rFonts w:ascii="Times New Roman" w:hAnsi="Times New Roman" w:eastAsia="宋体"/>
          <w:sz w:val="20"/>
          <w:lang w:eastAsia="zh-CN"/>
        </w:rPr>
        <w:t xml:space="preserve">ater </w:t>
      </w:r>
      <w:r>
        <w:rPr>
          <w:rFonts w:hint="eastAsia" w:ascii="Times New Roman" w:hAnsi="Times New Roman" w:eastAsia="宋体"/>
          <w:sz w:val="20"/>
          <w:lang w:val="en-US" w:eastAsia="zh-CN"/>
        </w:rPr>
        <w:t>o</w:t>
      </w:r>
      <w:r>
        <w:rPr>
          <w:rFonts w:ascii="Times New Roman" w:hAnsi="Times New Roman" w:eastAsia="宋体"/>
          <w:sz w:val="20"/>
          <w:lang w:eastAsia="zh-CN"/>
        </w:rPr>
        <w:t>xidation. Small, 2024, 20(2): 2305479</w:t>
      </w:r>
    </w:p>
    <w:p w14:paraId="5E68E2FF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Sun M Z, Huang H L, Niu X F, et al. Grain </w:t>
      </w:r>
      <w:r>
        <w:rPr>
          <w:rFonts w:hint="eastAsia" w:ascii="Times New Roman" w:hAnsi="Times New Roman" w:eastAsia="宋体"/>
          <w:sz w:val="20"/>
          <w:lang w:val="en-US" w:eastAsia="zh-CN"/>
        </w:rPr>
        <w:t>b</w:t>
      </w:r>
      <w:r>
        <w:rPr>
          <w:rFonts w:ascii="Times New Roman" w:hAnsi="Times New Roman" w:eastAsia="宋体"/>
          <w:sz w:val="20"/>
          <w:lang w:eastAsia="zh-CN"/>
        </w:rPr>
        <w:t>oundary-</w:t>
      </w:r>
      <w:r>
        <w:rPr>
          <w:rFonts w:hint="eastAsia" w:ascii="Times New Roman" w:hAnsi="Times New Roman" w:eastAsia="宋体"/>
          <w:sz w:val="20"/>
          <w:lang w:val="en-US" w:eastAsia="zh-CN"/>
        </w:rPr>
        <w:t>d</w:t>
      </w:r>
      <w:r>
        <w:rPr>
          <w:rFonts w:ascii="Times New Roman" w:hAnsi="Times New Roman" w:eastAsia="宋体"/>
          <w:sz w:val="20"/>
          <w:lang w:eastAsia="zh-CN"/>
        </w:rPr>
        <w:t xml:space="preserve">erived </w:t>
      </w:r>
      <w:r>
        <w:rPr>
          <w:rFonts w:hint="eastAsia" w:ascii="Times New Roman" w:hAnsi="Times New Roman" w:eastAsia="宋体"/>
          <w:sz w:val="20"/>
          <w:lang w:val="en-US" w:eastAsia="zh-CN"/>
        </w:rPr>
        <w:t>l</w:t>
      </w:r>
      <w:r>
        <w:rPr>
          <w:rFonts w:ascii="Times New Roman" w:hAnsi="Times New Roman" w:eastAsia="宋体"/>
          <w:sz w:val="20"/>
          <w:lang w:eastAsia="zh-CN"/>
        </w:rPr>
        <w:t xml:space="preserve">ocal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morphization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 xml:space="preserve">nhances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>cidic OER. ACS Catalysis, 2024, 14(20): 15764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15776</w:t>
      </w:r>
    </w:p>
    <w:p w14:paraId="78D9496B">
      <w:pPr>
        <w:pStyle w:val="32"/>
        <w:numPr>
          <w:ilvl w:val="0"/>
          <w:numId w:val="2"/>
        </w:numPr>
        <w:spacing w:after="0" w:line="312" w:lineRule="auto"/>
        <w:ind w:left="420" w:hanging="420" w:firstLineChars="0"/>
        <w:rPr>
          <w:rFonts w:ascii="Times New Roman" w:hAnsi="Times New Roman" w:eastAsia="宋体"/>
          <w:sz w:val="20"/>
          <w:lang w:eastAsia="zh-CN"/>
        </w:rPr>
      </w:pPr>
      <w:r>
        <w:rPr>
          <w:rFonts w:ascii="Times New Roman" w:hAnsi="Times New Roman" w:eastAsia="宋体"/>
          <w:sz w:val="20"/>
          <w:lang w:eastAsia="zh-CN"/>
        </w:rPr>
        <w:t xml:space="preserve">Li G N, Priyadarsini A, Xie Z H, et al. Achieving </w:t>
      </w:r>
      <w:r>
        <w:rPr>
          <w:rFonts w:hint="eastAsia" w:ascii="Times New Roman" w:hAnsi="Times New Roman" w:eastAsia="宋体"/>
          <w:sz w:val="20"/>
          <w:lang w:val="en-US" w:eastAsia="zh-CN"/>
        </w:rPr>
        <w:t>h</w:t>
      </w:r>
      <w:r>
        <w:rPr>
          <w:rFonts w:ascii="Times New Roman" w:hAnsi="Times New Roman" w:eastAsia="宋体"/>
          <w:sz w:val="20"/>
          <w:lang w:eastAsia="zh-CN"/>
        </w:rPr>
        <w:t xml:space="preserve">igher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ctivity of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cidic </w:t>
      </w:r>
      <w:r>
        <w:rPr>
          <w:rFonts w:hint="eastAsia" w:ascii="Times New Roman" w:hAnsi="Times New Roman" w:eastAsia="宋体"/>
          <w:sz w:val="20"/>
          <w:lang w:val="en-US" w:eastAsia="zh-CN"/>
        </w:rPr>
        <w:t>o</w:t>
      </w:r>
      <w:r>
        <w:rPr>
          <w:rFonts w:ascii="Times New Roman" w:hAnsi="Times New Roman" w:eastAsia="宋体"/>
          <w:sz w:val="20"/>
          <w:lang w:eastAsia="zh-CN"/>
        </w:rPr>
        <w:t xml:space="preserve">xygen </w:t>
      </w:r>
      <w:r>
        <w:rPr>
          <w:rFonts w:hint="eastAsia" w:ascii="Times New Roman" w:hAnsi="Times New Roman" w:eastAsia="宋体"/>
          <w:sz w:val="20"/>
          <w:lang w:val="en-US" w:eastAsia="zh-CN"/>
        </w:rPr>
        <w:t>e</w:t>
      </w:r>
      <w:r>
        <w:rPr>
          <w:rFonts w:ascii="Times New Roman" w:hAnsi="Times New Roman" w:eastAsia="宋体"/>
          <w:sz w:val="20"/>
          <w:lang w:eastAsia="zh-CN"/>
        </w:rPr>
        <w:t xml:space="preserve">volution </w:t>
      </w:r>
      <w:r>
        <w:rPr>
          <w:rFonts w:hint="eastAsia" w:ascii="Times New Roman" w:hAnsi="Times New Roman" w:eastAsia="宋体"/>
          <w:sz w:val="20"/>
          <w:lang w:val="en-US" w:eastAsia="zh-CN"/>
        </w:rPr>
        <w:t>r</w:t>
      </w:r>
      <w:r>
        <w:rPr>
          <w:rFonts w:ascii="Times New Roman" w:hAnsi="Times New Roman" w:eastAsia="宋体"/>
          <w:sz w:val="20"/>
          <w:lang w:eastAsia="zh-CN"/>
        </w:rPr>
        <w:t xml:space="preserve">eaction </w:t>
      </w:r>
      <w:r>
        <w:rPr>
          <w:rFonts w:hint="eastAsia" w:ascii="Times New Roman" w:hAnsi="Times New Roman" w:eastAsia="宋体"/>
          <w:sz w:val="20"/>
          <w:lang w:val="en-US" w:eastAsia="zh-CN"/>
        </w:rPr>
        <w:t>u</w:t>
      </w:r>
      <w:r>
        <w:rPr>
          <w:rFonts w:ascii="Times New Roman" w:hAnsi="Times New Roman" w:eastAsia="宋体"/>
          <w:sz w:val="20"/>
          <w:lang w:eastAsia="zh-CN"/>
        </w:rPr>
        <w:t xml:space="preserve">sing an </w:t>
      </w:r>
      <w:r>
        <w:rPr>
          <w:rFonts w:hint="eastAsia" w:ascii="Times New Roman" w:hAnsi="Times New Roman" w:eastAsia="宋体"/>
          <w:sz w:val="20"/>
          <w:lang w:val="en-US" w:eastAsia="zh-CN"/>
        </w:rPr>
        <w:t>a</w:t>
      </w:r>
      <w:r>
        <w:rPr>
          <w:rFonts w:ascii="Times New Roman" w:hAnsi="Times New Roman" w:eastAsia="宋体"/>
          <w:sz w:val="20"/>
          <w:lang w:eastAsia="zh-CN"/>
        </w:rPr>
        <w:t xml:space="preserve">tomically </w:t>
      </w:r>
      <w:r>
        <w:rPr>
          <w:rFonts w:hint="eastAsia" w:ascii="Times New Roman" w:hAnsi="Times New Roman" w:eastAsia="宋体"/>
          <w:sz w:val="20"/>
          <w:lang w:val="en-US" w:eastAsia="zh-CN"/>
        </w:rPr>
        <w:t>t</w:t>
      </w:r>
      <w:r>
        <w:rPr>
          <w:rFonts w:ascii="Times New Roman" w:hAnsi="Times New Roman" w:eastAsia="宋体"/>
          <w:sz w:val="20"/>
          <w:lang w:eastAsia="zh-CN"/>
        </w:rPr>
        <w:t xml:space="preserve">hin </w:t>
      </w:r>
      <w:r>
        <w:rPr>
          <w:rFonts w:hint="eastAsia" w:ascii="Times New Roman" w:hAnsi="Times New Roman" w:eastAsia="宋体"/>
          <w:sz w:val="20"/>
          <w:lang w:val="en-US" w:eastAsia="zh-CN"/>
        </w:rPr>
        <w:t>l</w:t>
      </w:r>
      <w:r>
        <w:rPr>
          <w:rFonts w:ascii="Times New Roman" w:hAnsi="Times New Roman" w:eastAsia="宋体"/>
          <w:sz w:val="20"/>
          <w:lang w:eastAsia="zh-CN"/>
        </w:rPr>
        <w:t>ayer of IrO</w:t>
      </w:r>
      <w:bookmarkStart w:id="4" w:name="_GoBack"/>
      <w:r>
        <w:rPr>
          <w:rFonts w:ascii="Times New Roman" w:hAnsi="Times New Roman" w:eastAsia="宋体"/>
          <w:i/>
          <w:iCs/>
          <w:sz w:val="20"/>
          <w:vertAlign w:val="subscript"/>
          <w:lang w:eastAsia="zh-CN"/>
        </w:rPr>
        <w:t>x</w:t>
      </w:r>
      <w:bookmarkEnd w:id="4"/>
      <w:r>
        <w:rPr>
          <w:rFonts w:ascii="Times New Roman" w:hAnsi="Times New Roman" w:eastAsia="宋体"/>
          <w:sz w:val="20"/>
          <w:lang w:eastAsia="zh-CN"/>
        </w:rPr>
        <w:t xml:space="preserve"> over Co</w:t>
      </w:r>
      <w:r>
        <w:rPr>
          <w:rFonts w:ascii="Times New Roman" w:hAnsi="Times New Roman" w:eastAsia="宋体"/>
          <w:sz w:val="20"/>
          <w:vertAlign w:val="subscript"/>
          <w:lang w:eastAsia="zh-CN"/>
        </w:rPr>
        <w:t>3</w:t>
      </w:r>
      <w:r>
        <w:rPr>
          <w:rFonts w:ascii="Times New Roman" w:hAnsi="Times New Roman" w:eastAsia="宋体"/>
          <w:sz w:val="20"/>
          <w:lang w:eastAsia="zh-CN"/>
        </w:rPr>
        <w:t>O</w:t>
      </w:r>
      <w:r>
        <w:rPr>
          <w:rFonts w:ascii="Times New Roman" w:hAnsi="Times New Roman" w:eastAsia="宋体"/>
          <w:sz w:val="20"/>
          <w:vertAlign w:val="subscript"/>
          <w:lang w:eastAsia="zh-CN"/>
        </w:rPr>
        <w:t>4</w:t>
      </w:r>
      <w:r>
        <w:rPr>
          <w:rFonts w:ascii="Times New Roman" w:hAnsi="Times New Roman" w:eastAsia="宋体"/>
          <w:sz w:val="20"/>
          <w:lang w:eastAsia="zh-CN"/>
        </w:rPr>
        <w:t>. Journal of the American Chemical Society, 2025, 147(8): 7008</w:t>
      </w:r>
      <w:r>
        <w:rPr>
          <w:sz w:val="20"/>
        </w:rPr>
        <w:t>–</w:t>
      </w:r>
      <w:r>
        <w:rPr>
          <w:rFonts w:ascii="Times New Roman" w:hAnsi="Times New Roman" w:eastAsia="宋体"/>
          <w:sz w:val="20"/>
          <w:lang w:eastAsia="zh-CN"/>
        </w:rPr>
        <w:t>7016</w:t>
      </w:r>
    </w:p>
    <w:p w14:paraId="006BBBE5">
      <w:pPr>
        <w:spacing w:before="312" w:beforeLines="100" w:after="312" w:afterLines="100"/>
        <w:rPr>
          <w:rFonts w:cs="Times New Roman"/>
          <w:sz w:val="21"/>
          <w:szCs w:val="21"/>
        </w:rPr>
      </w:pPr>
    </w:p>
    <w:sectPr>
      <w:headerReference r:id="rId3" w:type="default"/>
      <w:footerReference r:id="rId4" w:type="default"/>
      <w:pgSz w:w="12240" w:h="15840"/>
      <w:pgMar w:top="1440" w:right="1800" w:bottom="1440" w:left="1800" w:header="720" w:footer="720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+mn-cs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96448161"/>
      <w:docPartObj>
        <w:docPartGallery w:val="AutoText"/>
      </w:docPartObj>
    </w:sdtPr>
    <w:sdtEndPr>
      <w:rPr>
        <w:sz w:val="21"/>
        <w:szCs w:val="21"/>
      </w:rPr>
    </w:sdtEndPr>
    <w:sdtContent>
      <w:p w14:paraId="2B351192">
        <w:pPr>
          <w:pStyle w:val="6"/>
          <w:jc w:val="center"/>
          <w:rPr>
            <w:sz w:val="21"/>
            <w:szCs w:val="21"/>
          </w:rPr>
        </w:pPr>
        <w:r>
          <w:rPr>
            <w:rFonts w:hint="eastAsia"/>
            <w:sz w:val="21"/>
            <w:szCs w:val="21"/>
          </w:rPr>
          <w:t>S</w:t>
        </w:r>
        <w:r>
          <w:rPr>
            <w:sz w:val="21"/>
            <w:szCs w:val="21"/>
          </w:rPr>
          <w:fldChar w:fldCharType="begin"/>
        </w:r>
        <w:r>
          <w:rPr>
            <w:sz w:val="21"/>
            <w:szCs w:val="21"/>
          </w:rPr>
          <w:instrText xml:space="preserve">PAGE   \* MERGEFORMAT</w:instrText>
        </w:r>
        <w:r>
          <w:rPr>
            <w:sz w:val="21"/>
            <w:szCs w:val="21"/>
          </w:rPr>
          <w:fldChar w:fldCharType="separate"/>
        </w:r>
        <w:r>
          <w:rPr>
            <w:sz w:val="21"/>
            <w:szCs w:val="21"/>
            <w:lang w:val="zh-CN"/>
          </w:rPr>
          <w:t>15</w:t>
        </w:r>
        <w:r>
          <w:rPr>
            <w:sz w:val="21"/>
            <w:szCs w:val="21"/>
          </w:rPr>
          <w:fldChar w:fldCharType="end"/>
        </w:r>
      </w:p>
    </w:sdtContent>
  </w:sdt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2EA26C">
    <w:pPr>
      <w:pStyle w:val="7"/>
      <w:pBdr>
        <w:bottom w:val="none" w:color="auto" w:sz="0" w:space="0"/>
      </w:pBdr>
      <w:jc w:val="both"/>
    </w:pPr>
    <w:r>
      <w:rPr>
        <w:rFonts w:hint="eastAsia"/>
      </w:rPr>
      <w:t>Supporting</w:t>
    </w:r>
    <w:r>
      <w:t xml:space="preserve"> Information</w:t>
    </w: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965FF3"/>
    <w:multiLevelType w:val="multilevel"/>
    <w:tmpl w:val="1C965FF3"/>
    <w:lvl w:ilvl="0" w:tentative="0">
      <w:start w:val="1"/>
      <w:numFmt w:val="decimal"/>
      <w:lvlText w:val="%1."/>
      <w:lvlJc w:val="left"/>
      <w:pPr>
        <w:ind w:left="440" w:hanging="440"/>
      </w:p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36B364E4"/>
    <w:multiLevelType w:val="multilevel"/>
    <w:tmpl w:val="36B364E4"/>
    <w:lvl w:ilvl="0" w:tentative="0">
      <w:start w:val="1"/>
      <w:numFmt w:val="decimal"/>
      <w:pStyle w:val="2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 w:ascii="宋体" w:hAnsi="宋体" w:eastAsia="宋体" w:cs="宋体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Q2tzS0NDK2MDM2NzVX0lEKTi0uzszPAykwrgUAXUACliwAAAA="/>
    <w:docVar w:name="commondata" w:val="eyJoZGlkIjoiZmIwNjg4NDU0NjIwYmVhYTI1ZjcwNDIwMWM0Njk1Zjc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Chem Engineer J&lt;/Style&gt;&lt;LeftDelim&gt;{&lt;/LeftDelim&gt;&lt;RightDelim&gt;}&lt;/RightDelim&gt;&lt;FontName&gt;Times New Roman&lt;/FontName&gt;&lt;FontSize&gt;14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tfp0ft57x9ewqesfwsxv0zfprtdv229f5w5&quot;&gt;我的EndNote库&lt;record-ids&gt;&lt;item&gt;14&lt;/item&gt;&lt;item&gt;18&lt;/item&gt;&lt;/record-ids&gt;&lt;/item&gt;&lt;/Libraries&gt;"/>
  </w:docVars>
  <w:rsids>
    <w:rsidRoot w:val="7A423D86"/>
    <w:rsid w:val="00006FF4"/>
    <w:rsid w:val="00010AD3"/>
    <w:rsid w:val="00014DDD"/>
    <w:rsid w:val="000217F0"/>
    <w:rsid w:val="0002375A"/>
    <w:rsid w:val="000272A3"/>
    <w:rsid w:val="0003183C"/>
    <w:rsid w:val="00040A65"/>
    <w:rsid w:val="00051200"/>
    <w:rsid w:val="000532D2"/>
    <w:rsid w:val="00061BA4"/>
    <w:rsid w:val="0006689A"/>
    <w:rsid w:val="00072EBF"/>
    <w:rsid w:val="000748AE"/>
    <w:rsid w:val="00097B03"/>
    <w:rsid w:val="000A7F33"/>
    <w:rsid w:val="000B14A9"/>
    <w:rsid w:val="000B7DBA"/>
    <w:rsid w:val="000D1B92"/>
    <w:rsid w:val="000E094C"/>
    <w:rsid w:val="000E25D0"/>
    <w:rsid w:val="000E3118"/>
    <w:rsid w:val="000E493C"/>
    <w:rsid w:val="000E56C4"/>
    <w:rsid w:val="000F3C73"/>
    <w:rsid w:val="001024F9"/>
    <w:rsid w:val="001045DA"/>
    <w:rsid w:val="00117395"/>
    <w:rsid w:val="00117546"/>
    <w:rsid w:val="00120DE1"/>
    <w:rsid w:val="00121103"/>
    <w:rsid w:val="001259D3"/>
    <w:rsid w:val="0014394C"/>
    <w:rsid w:val="00145AEF"/>
    <w:rsid w:val="00154BB9"/>
    <w:rsid w:val="001609C2"/>
    <w:rsid w:val="001631CB"/>
    <w:rsid w:val="00164968"/>
    <w:rsid w:val="0019164D"/>
    <w:rsid w:val="00197838"/>
    <w:rsid w:val="001B0F9B"/>
    <w:rsid w:val="001B3CF6"/>
    <w:rsid w:val="001B447B"/>
    <w:rsid w:val="001B52F2"/>
    <w:rsid w:val="001C1774"/>
    <w:rsid w:val="001D07FF"/>
    <w:rsid w:val="001D0F36"/>
    <w:rsid w:val="00207FF3"/>
    <w:rsid w:val="00212B20"/>
    <w:rsid w:val="002178AB"/>
    <w:rsid w:val="00235416"/>
    <w:rsid w:val="00246C2E"/>
    <w:rsid w:val="00247CF4"/>
    <w:rsid w:val="00247D4E"/>
    <w:rsid w:val="00251472"/>
    <w:rsid w:val="00253A7C"/>
    <w:rsid w:val="002549F2"/>
    <w:rsid w:val="00264D03"/>
    <w:rsid w:val="00267BE8"/>
    <w:rsid w:val="002853DE"/>
    <w:rsid w:val="00285682"/>
    <w:rsid w:val="0029617B"/>
    <w:rsid w:val="002A46F2"/>
    <w:rsid w:val="002D0196"/>
    <w:rsid w:val="002D0DFA"/>
    <w:rsid w:val="002E65C2"/>
    <w:rsid w:val="002E7E53"/>
    <w:rsid w:val="002F3A2A"/>
    <w:rsid w:val="003167A0"/>
    <w:rsid w:val="00332D0B"/>
    <w:rsid w:val="00341B66"/>
    <w:rsid w:val="00344A46"/>
    <w:rsid w:val="00346953"/>
    <w:rsid w:val="0036182A"/>
    <w:rsid w:val="0036432F"/>
    <w:rsid w:val="00373383"/>
    <w:rsid w:val="003760B5"/>
    <w:rsid w:val="00376CD1"/>
    <w:rsid w:val="00380CF9"/>
    <w:rsid w:val="00385001"/>
    <w:rsid w:val="003911BC"/>
    <w:rsid w:val="00395FD9"/>
    <w:rsid w:val="00397409"/>
    <w:rsid w:val="003A3906"/>
    <w:rsid w:val="003B0239"/>
    <w:rsid w:val="003C1F2C"/>
    <w:rsid w:val="003C2987"/>
    <w:rsid w:val="003C5E4C"/>
    <w:rsid w:val="003D39F8"/>
    <w:rsid w:val="003E6D44"/>
    <w:rsid w:val="00400D64"/>
    <w:rsid w:val="0040189D"/>
    <w:rsid w:val="00407699"/>
    <w:rsid w:val="004175EC"/>
    <w:rsid w:val="004202BA"/>
    <w:rsid w:val="0042040D"/>
    <w:rsid w:val="004258FD"/>
    <w:rsid w:val="004307A1"/>
    <w:rsid w:val="00445572"/>
    <w:rsid w:val="0046130D"/>
    <w:rsid w:val="00465E0A"/>
    <w:rsid w:val="004732FC"/>
    <w:rsid w:val="00475752"/>
    <w:rsid w:val="004838B3"/>
    <w:rsid w:val="00484E58"/>
    <w:rsid w:val="00486810"/>
    <w:rsid w:val="00490AD1"/>
    <w:rsid w:val="004933A8"/>
    <w:rsid w:val="004A4AC1"/>
    <w:rsid w:val="004B0A84"/>
    <w:rsid w:val="004C00F8"/>
    <w:rsid w:val="004C0A68"/>
    <w:rsid w:val="004C6206"/>
    <w:rsid w:val="004D34D1"/>
    <w:rsid w:val="004D52A7"/>
    <w:rsid w:val="004F2E8D"/>
    <w:rsid w:val="004F664F"/>
    <w:rsid w:val="00501CA8"/>
    <w:rsid w:val="00513EDB"/>
    <w:rsid w:val="00516057"/>
    <w:rsid w:val="005177DA"/>
    <w:rsid w:val="00520BB0"/>
    <w:rsid w:val="00522B1B"/>
    <w:rsid w:val="005231DF"/>
    <w:rsid w:val="00524F41"/>
    <w:rsid w:val="0052657A"/>
    <w:rsid w:val="00531820"/>
    <w:rsid w:val="005321C8"/>
    <w:rsid w:val="005355B8"/>
    <w:rsid w:val="0053681A"/>
    <w:rsid w:val="00536A86"/>
    <w:rsid w:val="00547D71"/>
    <w:rsid w:val="0055027C"/>
    <w:rsid w:val="005549CF"/>
    <w:rsid w:val="00560187"/>
    <w:rsid w:val="00576672"/>
    <w:rsid w:val="005916E6"/>
    <w:rsid w:val="00591748"/>
    <w:rsid w:val="00592FF9"/>
    <w:rsid w:val="005A6B48"/>
    <w:rsid w:val="005B2180"/>
    <w:rsid w:val="005B556D"/>
    <w:rsid w:val="005B6BC3"/>
    <w:rsid w:val="005B7363"/>
    <w:rsid w:val="005C2E53"/>
    <w:rsid w:val="005C458C"/>
    <w:rsid w:val="005C5E19"/>
    <w:rsid w:val="005D5114"/>
    <w:rsid w:val="005F5AD1"/>
    <w:rsid w:val="005F7504"/>
    <w:rsid w:val="00600068"/>
    <w:rsid w:val="0062301C"/>
    <w:rsid w:val="00631D3E"/>
    <w:rsid w:val="00633D8B"/>
    <w:rsid w:val="0063654B"/>
    <w:rsid w:val="00636E0B"/>
    <w:rsid w:val="0064300B"/>
    <w:rsid w:val="0064511D"/>
    <w:rsid w:val="00654FF3"/>
    <w:rsid w:val="00657418"/>
    <w:rsid w:val="0067235D"/>
    <w:rsid w:val="00680EE8"/>
    <w:rsid w:val="00687D74"/>
    <w:rsid w:val="00690813"/>
    <w:rsid w:val="006908EB"/>
    <w:rsid w:val="00693127"/>
    <w:rsid w:val="006B1FD2"/>
    <w:rsid w:val="006B3974"/>
    <w:rsid w:val="006C52E3"/>
    <w:rsid w:val="006D157C"/>
    <w:rsid w:val="006D3822"/>
    <w:rsid w:val="006D7C1A"/>
    <w:rsid w:val="006E354A"/>
    <w:rsid w:val="006F54A6"/>
    <w:rsid w:val="00704560"/>
    <w:rsid w:val="007408F1"/>
    <w:rsid w:val="00741825"/>
    <w:rsid w:val="007438A5"/>
    <w:rsid w:val="007446BE"/>
    <w:rsid w:val="0075053D"/>
    <w:rsid w:val="00750A35"/>
    <w:rsid w:val="00751F28"/>
    <w:rsid w:val="00760AC5"/>
    <w:rsid w:val="0076272A"/>
    <w:rsid w:val="00770E87"/>
    <w:rsid w:val="007718AE"/>
    <w:rsid w:val="007736BA"/>
    <w:rsid w:val="0078320D"/>
    <w:rsid w:val="00786F1C"/>
    <w:rsid w:val="007A3633"/>
    <w:rsid w:val="007A7CBC"/>
    <w:rsid w:val="007D15CB"/>
    <w:rsid w:val="007E62CF"/>
    <w:rsid w:val="00822F65"/>
    <w:rsid w:val="00825390"/>
    <w:rsid w:val="00830E35"/>
    <w:rsid w:val="0083256B"/>
    <w:rsid w:val="00835326"/>
    <w:rsid w:val="0084726E"/>
    <w:rsid w:val="008505EB"/>
    <w:rsid w:val="008551FF"/>
    <w:rsid w:val="00876ED5"/>
    <w:rsid w:val="008822DF"/>
    <w:rsid w:val="00883C16"/>
    <w:rsid w:val="0088447C"/>
    <w:rsid w:val="008928E0"/>
    <w:rsid w:val="00892EE6"/>
    <w:rsid w:val="008978F8"/>
    <w:rsid w:val="008A4029"/>
    <w:rsid w:val="008B11AA"/>
    <w:rsid w:val="008B4E40"/>
    <w:rsid w:val="008C2E59"/>
    <w:rsid w:val="008C6B92"/>
    <w:rsid w:val="008E603F"/>
    <w:rsid w:val="008E7DD8"/>
    <w:rsid w:val="008E7E5E"/>
    <w:rsid w:val="008F56DA"/>
    <w:rsid w:val="008F68E7"/>
    <w:rsid w:val="00903AC7"/>
    <w:rsid w:val="00904604"/>
    <w:rsid w:val="00911155"/>
    <w:rsid w:val="009142F4"/>
    <w:rsid w:val="0091446B"/>
    <w:rsid w:val="00917337"/>
    <w:rsid w:val="009229A3"/>
    <w:rsid w:val="0093680C"/>
    <w:rsid w:val="00940855"/>
    <w:rsid w:val="00942848"/>
    <w:rsid w:val="00947E42"/>
    <w:rsid w:val="00954A7E"/>
    <w:rsid w:val="009567A0"/>
    <w:rsid w:val="009636ED"/>
    <w:rsid w:val="00985886"/>
    <w:rsid w:val="009903A1"/>
    <w:rsid w:val="00991B35"/>
    <w:rsid w:val="009952F2"/>
    <w:rsid w:val="00995498"/>
    <w:rsid w:val="00997D85"/>
    <w:rsid w:val="009A1865"/>
    <w:rsid w:val="009A6A69"/>
    <w:rsid w:val="009B011C"/>
    <w:rsid w:val="009B24E5"/>
    <w:rsid w:val="009B3EEA"/>
    <w:rsid w:val="009B7CAB"/>
    <w:rsid w:val="009D1DE3"/>
    <w:rsid w:val="009E0D4D"/>
    <w:rsid w:val="009E64BD"/>
    <w:rsid w:val="009F5F8E"/>
    <w:rsid w:val="00A10ECB"/>
    <w:rsid w:val="00A209DC"/>
    <w:rsid w:val="00A35704"/>
    <w:rsid w:val="00A36E0C"/>
    <w:rsid w:val="00A43F2A"/>
    <w:rsid w:val="00A46A19"/>
    <w:rsid w:val="00A47834"/>
    <w:rsid w:val="00A5405F"/>
    <w:rsid w:val="00A72095"/>
    <w:rsid w:val="00A72FDE"/>
    <w:rsid w:val="00A8472B"/>
    <w:rsid w:val="00A87CB0"/>
    <w:rsid w:val="00A90D56"/>
    <w:rsid w:val="00A918AC"/>
    <w:rsid w:val="00A91BB6"/>
    <w:rsid w:val="00A97528"/>
    <w:rsid w:val="00AA28CC"/>
    <w:rsid w:val="00AA2CA7"/>
    <w:rsid w:val="00AA7A31"/>
    <w:rsid w:val="00AB061A"/>
    <w:rsid w:val="00AC04FE"/>
    <w:rsid w:val="00AC1ACB"/>
    <w:rsid w:val="00AC1F3C"/>
    <w:rsid w:val="00AC7222"/>
    <w:rsid w:val="00AD212F"/>
    <w:rsid w:val="00AD21DC"/>
    <w:rsid w:val="00AD2C2C"/>
    <w:rsid w:val="00AE283A"/>
    <w:rsid w:val="00AF049E"/>
    <w:rsid w:val="00AF41EF"/>
    <w:rsid w:val="00AF629B"/>
    <w:rsid w:val="00B1025E"/>
    <w:rsid w:val="00B12D68"/>
    <w:rsid w:val="00B14513"/>
    <w:rsid w:val="00B35149"/>
    <w:rsid w:val="00B42D89"/>
    <w:rsid w:val="00B43DA5"/>
    <w:rsid w:val="00B47937"/>
    <w:rsid w:val="00B50A06"/>
    <w:rsid w:val="00B54AA3"/>
    <w:rsid w:val="00B55FC3"/>
    <w:rsid w:val="00B57D24"/>
    <w:rsid w:val="00B6635F"/>
    <w:rsid w:val="00B90290"/>
    <w:rsid w:val="00B9173A"/>
    <w:rsid w:val="00B91F02"/>
    <w:rsid w:val="00B9644F"/>
    <w:rsid w:val="00B9672A"/>
    <w:rsid w:val="00BB2CEE"/>
    <w:rsid w:val="00BC49F4"/>
    <w:rsid w:val="00BC6F03"/>
    <w:rsid w:val="00BD0253"/>
    <w:rsid w:val="00BD0C1D"/>
    <w:rsid w:val="00BE681E"/>
    <w:rsid w:val="00C225CE"/>
    <w:rsid w:val="00C31AA6"/>
    <w:rsid w:val="00C3354B"/>
    <w:rsid w:val="00C41E8D"/>
    <w:rsid w:val="00C42123"/>
    <w:rsid w:val="00C463B5"/>
    <w:rsid w:val="00C505CB"/>
    <w:rsid w:val="00C56F07"/>
    <w:rsid w:val="00C633C0"/>
    <w:rsid w:val="00C6574E"/>
    <w:rsid w:val="00C65C75"/>
    <w:rsid w:val="00C65FE5"/>
    <w:rsid w:val="00C73515"/>
    <w:rsid w:val="00C751C0"/>
    <w:rsid w:val="00C81FB3"/>
    <w:rsid w:val="00C83A04"/>
    <w:rsid w:val="00C84163"/>
    <w:rsid w:val="00C86DCE"/>
    <w:rsid w:val="00C86E26"/>
    <w:rsid w:val="00C92C65"/>
    <w:rsid w:val="00CA0AA5"/>
    <w:rsid w:val="00CB34AD"/>
    <w:rsid w:val="00CB44D6"/>
    <w:rsid w:val="00CB7727"/>
    <w:rsid w:val="00CC1C1D"/>
    <w:rsid w:val="00CD6BED"/>
    <w:rsid w:val="00CE1692"/>
    <w:rsid w:val="00CF6429"/>
    <w:rsid w:val="00D00D76"/>
    <w:rsid w:val="00D05C56"/>
    <w:rsid w:val="00D06DA4"/>
    <w:rsid w:val="00D07C42"/>
    <w:rsid w:val="00D14186"/>
    <w:rsid w:val="00D14AEE"/>
    <w:rsid w:val="00D17906"/>
    <w:rsid w:val="00D349C8"/>
    <w:rsid w:val="00D366B8"/>
    <w:rsid w:val="00D43DF9"/>
    <w:rsid w:val="00D46D55"/>
    <w:rsid w:val="00D51F16"/>
    <w:rsid w:val="00D54939"/>
    <w:rsid w:val="00D5713A"/>
    <w:rsid w:val="00D63FEA"/>
    <w:rsid w:val="00D80EF1"/>
    <w:rsid w:val="00D87F13"/>
    <w:rsid w:val="00D90F87"/>
    <w:rsid w:val="00D95CAB"/>
    <w:rsid w:val="00DB1E38"/>
    <w:rsid w:val="00DB1F3F"/>
    <w:rsid w:val="00DB6DF1"/>
    <w:rsid w:val="00DC1903"/>
    <w:rsid w:val="00DC4D58"/>
    <w:rsid w:val="00DC5CCE"/>
    <w:rsid w:val="00DD0B41"/>
    <w:rsid w:val="00DD65F0"/>
    <w:rsid w:val="00DE24B4"/>
    <w:rsid w:val="00DF140D"/>
    <w:rsid w:val="00E1486F"/>
    <w:rsid w:val="00E16871"/>
    <w:rsid w:val="00E23225"/>
    <w:rsid w:val="00E2414F"/>
    <w:rsid w:val="00E25D0F"/>
    <w:rsid w:val="00E30E0D"/>
    <w:rsid w:val="00E31D3B"/>
    <w:rsid w:val="00E46751"/>
    <w:rsid w:val="00E56448"/>
    <w:rsid w:val="00E639AC"/>
    <w:rsid w:val="00E739D3"/>
    <w:rsid w:val="00E93B08"/>
    <w:rsid w:val="00EA344D"/>
    <w:rsid w:val="00EA4A5F"/>
    <w:rsid w:val="00EB6AA5"/>
    <w:rsid w:val="00ED5AB5"/>
    <w:rsid w:val="00F02891"/>
    <w:rsid w:val="00F02BC5"/>
    <w:rsid w:val="00F073F4"/>
    <w:rsid w:val="00F20A12"/>
    <w:rsid w:val="00F36F9E"/>
    <w:rsid w:val="00F45645"/>
    <w:rsid w:val="00F50EAA"/>
    <w:rsid w:val="00F73E3D"/>
    <w:rsid w:val="00F801B8"/>
    <w:rsid w:val="00F81BD8"/>
    <w:rsid w:val="00F91521"/>
    <w:rsid w:val="00F91CD4"/>
    <w:rsid w:val="00F96BE2"/>
    <w:rsid w:val="00FB1E80"/>
    <w:rsid w:val="00FB21DF"/>
    <w:rsid w:val="00FB2B8A"/>
    <w:rsid w:val="00FC0833"/>
    <w:rsid w:val="00FC1775"/>
    <w:rsid w:val="00FD1320"/>
    <w:rsid w:val="00FD1956"/>
    <w:rsid w:val="00FD59D4"/>
    <w:rsid w:val="00FD6DC9"/>
    <w:rsid w:val="00FD7200"/>
    <w:rsid w:val="00FE007B"/>
    <w:rsid w:val="00FE2FF0"/>
    <w:rsid w:val="00FF06F0"/>
    <w:rsid w:val="00FF0C63"/>
    <w:rsid w:val="04110E89"/>
    <w:rsid w:val="047C7C04"/>
    <w:rsid w:val="073C31C4"/>
    <w:rsid w:val="07FC36F6"/>
    <w:rsid w:val="07FE66CB"/>
    <w:rsid w:val="0C1A5884"/>
    <w:rsid w:val="118F0991"/>
    <w:rsid w:val="122370C7"/>
    <w:rsid w:val="127B5380"/>
    <w:rsid w:val="13BA5B9C"/>
    <w:rsid w:val="167504A0"/>
    <w:rsid w:val="241C5FAA"/>
    <w:rsid w:val="244607DB"/>
    <w:rsid w:val="255C7FF7"/>
    <w:rsid w:val="29CA7CD1"/>
    <w:rsid w:val="2E8F00E0"/>
    <w:rsid w:val="304368CE"/>
    <w:rsid w:val="315E669D"/>
    <w:rsid w:val="34945B3E"/>
    <w:rsid w:val="3579545F"/>
    <w:rsid w:val="36B349A1"/>
    <w:rsid w:val="3D2414A0"/>
    <w:rsid w:val="4550785F"/>
    <w:rsid w:val="4D583754"/>
    <w:rsid w:val="52F52DB8"/>
    <w:rsid w:val="54EF5A93"/>
    <w:rsid w:val="57CB2C1D"/>
    <w:rsid w:val="583F1461"/>
    <w:rsid w:val="5A76750E"/>
    <w:rsid w:val="64BF5B4D"/>
    <w:rsid w:val="6C40605F"/>
    <w:rsid w:val="6C6E3E55"/>
    <w:rsid w:val="6FF55396"/>
    <w:rsid w:val="705B4087"/>
    <w:rsid w:val="720D347E"/>
    <w:rsid w:val="75645D55"/>
    <w:rsid w:val="76AA7BDD"/>
    <w:rsid w:val="78A84CE1"/>
    <w:rsid w:val="7A423D86"/>
    <w:rsid w:val="7B803CF3"/>
    <w:rsid w:val="7D85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等线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iPriority="99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99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8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numPr>
        <w:ilvl w:val="0"/>
        <w:numId w:val="1"/>
      </w:numPr>
      <w:spacing w:line="360" w:lineRule="auto"/>
      <w:ind w:left="0" w:firstLine="0"/>
      <w:outlineLvl w:val="1"/>
    </w:pPr>
    <w:rPr>
      <w:rFonts w:eastAsia="宋体"/>
      <w:b/>
      <w:sz w:val="24"/>
    </w:rPr>
  </w:style>
  <w:style w:type="paragraph" w:styleId="3">
    <w:name w:val="heading 3"/>
    <w:basedOn w:val="1"/>
    <w:next w:val="1"/>
    <w:link w:val="16"/>
    <w:semiHidden/>
    <w:unhideWhenUsed/>
    <w:qFormat/>
    <w:uiPriority w:val="0"/>
    <w:pPr>
      <w:widowControl/>
      <w:spacing w:beforeAutospacing="1" w:afterAutospacing="1"/>
      <w:jc w:val="left"/>
      <w:outlineLvl w:val="2"/>
    </w:pPr>
    <w:rPr>
      <w:rFonts w:eastAsia="宋体" w:cs="Times New Roman"/>
      <w:bCs/>
      <w:kern w:val="0"/>
      <w:sz w:val="24"/>
      <w:szCs w:val="27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1"/>
    <w:unhideWhenUsed/>
    <w:qFormat/>
    <w:uiPriority w:val="99"/>
    <w:pPr>
      <w:jc w:val="left"/>
    </w:pPr>
  </w:style>
  <w:style w:type="paragraph" w:styleId="5">
    <w:name w:val="Balloon Text"/>
    <w:basedOn w:val="1"/>
    <w:link w:val="19"/>
    <w:qFormat/>
    <w:uiPriority w:val="0"/>
    <w:rPr>
      <w:sz w:val="18"/>
      <w:szCs w:val="18"/>
    </w:rPr>
  </w:style>
  <w:style w:type="paragraph" w:styleId="6">
    <w:name w:val="footer"/>
    <w:basedOn w:val="1"/>
    <w:link w:val="1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styleId="9">
    <w:name w:val="annotation subject"/>
    <w:basedOn w:val="4"/>
    <w:next w:val="4"/>
    <w:link w:val="22"/>
    <w:semiHidden/>
    <w:unhideWhenUsed/>
    <w:qFormat/>
    <w:uiPriority w:val="0"/>
    <w:rPr>
      <w:b/>
      <w:bCs/>
    </w:rPr>
  </w:style>
  <w:style w:type="table" w:styleId="11">
    <w:name w:val="Table Grid"/>
    <w:basedOn w:val="10"/>
    <w:qFormat/>
    <w:uiPriority w:val="3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22"/>
    <w:rPr>
      <w:b/>
      <w:bCs/>
    </w:rPr>
  </w:style>
  <w:style w:type="character" w:styleId="14">
    <w:name w:val="Hyperlink"/>
    <w:basedOn w:val="12"/>
    <w:qFormat/>
    <w:uiPriority w:val="0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5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6">
    <w:name w:val="标题 3 字符"/>
    <w:basedOn w:val="12"/>
    <w:link w:val="3"/>
    <w:qFormat/>
    <w:uiPriority w:val="0"/>
    <w:rPr>
      <w:rFonts w:hint="default" w:ascii="Times New Roman" w:hAnsi="Times New Roman" w:eastAsia="宋体" w:cs="宋体"/>
      <w:bCs/>
      <w:kern w:val="0"/>
      <w:sz w:val="24"/>
      <w:szCs w:val="27"/>
    </w:rPr>
  </w:style>
  <w:style w:type="character" w:customStyle="1" w:styleId="17">
    <w:name w:val="页眉 字符"/>
    <w:basedOn w:val="12"/>
    <w:link w:val="7"/>
    <w:qFormat/>
    <w:uiPriority w:val="0"/>
    <w:rPr>
      <w:rFonts w:eastAsiaTheme="minorEastAsia" w:cstheme="minorBidi"/>
      <w:kern w:val="2"/>
      <w:sz w:val="18"/>
      <w:szCs w:val="18"/>
    </w:rPr>
  </w:style>
  <w:style w:type="character" w:customStyle="1" w:styleId="18">
    <w:name w:val="页脚 字符"/>
    <w:basedOn w:val="12"/>
    <w:link w:val="6"/>
    <w:qFormat/>
    <w:uiPriority w:val="99"/>
    <w:rPr>
      <w:rFonts w:eastAsiaTheme="minorEastAsia" w:cstheme="minorBidi"/>
      <w:kern w:val="2"/>
      <w:sz w:val="18"/>
      <w:szCs w:val="18"/>
    </w:rPr>
  </w:style>
  <w:style w:type="character" w:customStyle="1" w:styleId="19">
    <w:name w:val="批注框文本 字符"/>
    <w:basedOn w:val="12"/>
    <w:link w:val="5"/>
    <w:qFormat/>
    <w:uiPriority w:val="0"/>
    <w:rPr>
      <w:rFonts w:ascii="Times New Roman" w:hAnsi="Times New Roman" w:eastAsiaTheme="minorEastAsia" w:cstheme="minorBidi"/>
      <w:kern w:val="2"/>
      <w:sz w:val="18"/>
      <w:szCs w:val="18"/>
    </w:rPr>
  </w:style>
  <w:style w:type="paragraph" w:customStyle="1" w:styleId="20">
    <w:name w:val="Revision"/>
    <w:hidden/>
    <w:semiHidden/>
    <w:uiPriority w:val="99"/>
    <w:rPr>
      <w:rFonts w:ascii="Times New Roman" w:hAnsi="Times New Roman" w:eastAsiaTheme="minorEastAsia" w:cstheme="minorBidi"/>
      <w:kern w:val="2"/>
      <w:sz w:val="28"/>
      <w:szCs w:val="24"/>
      <w:lang w:val="en-US" w:eastAsia="zh-CN" w:bidi="ar-SA"/>
    </w:rPr>
  </w:style>
  <w:style w:type="character" w:customStyle="1" w:styleId="21">
    <w:name w:val="批注文字 字符"/>
    <w:basedOn w:val="12"/>
    <w:link w:val="4"/>
    <w:qFormat/>
    <w:uiPriority w:val="99"/>
    <w:rPr>
      <w:rFonts w:ascii="Times New Roman" w:hAnsi="Times New Roman" w:eastAsiaTheme="minorEastAsia" w:cstheme="minorBidi"/>
      <w:kern w:val="2"/>
      <w:sz w:val="28"/>
      <w:szCs w:val="24"/>
    </w:rPr>
  </w:style>
  <w:style w:type="character" w:customStyle="1" w:styleId="22">
    <w:name w:val="批注主题 字符"/>
    <w:basedOn w:val="21"/>
    <w:link w:val="9"/>
    <w:semiHidden/>
    <w:uiPriority w:val="0"/>
    <w:rPr>
      <w:rFonts w:ascii="Times New Roman" w:hAnsi="Times New Roman" w:eastAsiaTheme="minorEastAsia" w:cstheme="minorBidi"/>
      <w:b/>
      <w:bCs/>
      <w:kern w:val="2"/>
      <w:sz w:val="28"/>
      <w:szCs w:val="24"/>
    </w:rPr>
  </w:style>
  <w:style w:type="paragraph" w:customStyle="1" w:styleId="23">
    <w:name w:val="EndNote Bibliography"/>
    <w:basedOn w:val="1"/>
    <w:link w:val="24"/>
    <w:qFormat/>
    <w:uiPriority w:val="0"/>
    <w:pPr>
      <w:jc w:val="center"/>
    </w:pPr>
    <w:rPr>
      <w:rFonts w:cs="Times New Roman"/>
    </w:rPr>
  </w:style>
  <w:style w:type="character" w:customStyle="1" w:styleId="24">
    <w:name w:val="EndNote Bibliography 字符"/>
    <w:basedOn w:val="12"/>
    <w:link w:val="23"/>
    <w:qFormat/>
    <w:uiPriority w:val="0"/>
    <w:rPr>
      <w:rFonts w:ascii="Times New Roman" w:hAnsi="Times New Roman" w:cs="Times New Roman" w:eastAsiaTheme="minorEastAsia"/>
      <w:kern w:val="2"/>
      <w:sz w:val="28"/>
      <w:szCs w:val="24"/>
    </w:rPr>
  </w:style>
  <w:style w:type="paragraph" w:customStyle="1" w:styleId="25">
    <w:name w:val="EndNote Bibliography Title"/>
    <w:basedOn w:val="1"/>
    <w:link w:val="26"/>
    <w:qFormat/>
    <w:uiPriority w:val="0"/>
    <w:pPr>
      <w:jc w:val="center"/>
    </w:pPr>
    <w:rPr>
      <w:rFonts w:cs="Times New Roman"/>
    </w:rPr>
  </w:style>
  <w:style w:type="character" w:customStyle="1" w:styleId="26">
    <w:name w:val="EndNote Bibliography Title 字符"/>
    <w:basedOn w:val="12"/>
    <w:link w:val="25"/>
    <w:qFormat/>
    <w:uiPriority w:val="0"/>
    <w:rPr>
      <w:rFonts w:ascii="Times New Roman" w:hAnsi="Times New Roman" w:cs="Times New Roman" w:eastAsiaTheme="minorEastAsia"/>
      <w:kern w:val="2"/>
      <w:sz w:val="28"/>
      <w:szCs w:val="24"/>
    </w:rPr>
  </w:style>
  <w:style w:type="character" w:customStyle="1" w:styleId="27">
    <w:name w:val="未处理的提及1"/>
    <w:basedOn w:val="12"/>
    <w:semiHidden/>
    <w:unhideWhenUsed/>
    <w:uiPriority w:val="99"/>
    <w:rPr>
      <w:color w:val="605E5C"/>
      <w:shd w:val="clear" w:color="auto" w:fill="E1DFDD"/>
    </w:rPr>
  </w:style>
  <w:style w:type="paragraph" w:customStyle="1" w:styleId="28">
    <w:name w:val="BB_Author_Name"/>
    <w:basedOn w:val="1"/>
    <w:next w:val="1"/>
    <w:uiPriority w:val="0"/>
    <w:pPr>
      <w:widowControl/>
      <w:spacing w:after="240" w:line="480" w:lineRule="auto"/>
      <w:jc w:val="center"/>
    </w:pPr>
    <w:rPr>
      <w:rFonts w:ascii="Times" w:hAnsi="Times" w:cs="Times New Roman"/>
      <w:i/>
      <w:kern w:val="0"/>
      <w:sz w:val="24"/>
      <w:szCs w:val="20"/>
      <w:lang w:eastAsia="en-US"/>
    </w:rPr>
  </w:style>
  <w:style w:type="paragraph" w:customStyle="1" w:styleId="29">
    <w:name w:val="BC_Author_Address"/>
    <w:basedOn w:val="1"/>
    <w:next w:val="1"/>
    <w:uiPriority w:val="0"/>
    <w:pPr>
      <w:widowControl/>
      <w:spacing w:after="240" w:line="480" w:lineRule="auto"/>
      <w:jc w:val="center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30">
    <w:name w:val="BD_Abstract"/>
    <w:basedOn w:val="1"/>
    <w:next w:val="1"/>
    <w:uiPriority w:val="0"/>
    <w:pPr>
      <w:widowControl/>
      <w:spacing w:before="360" w:after="36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31">
    <w:name w:val="FA_Corresponding_Author_Footnote"/>
    <w:basedOn w:val="1"/>
    <w:next w:val="1"/>
    <w:uiPriority w:val="0"/>
    <w:pPr>
      <w:widowControl/>
      <w:spacing w:after="200" w:line="480" w:lineRule="auto"/>
    </w:pPr>
    <w:rPr>
      <w:rFonts w:ascii="Times" w:hAnsi="Times" w:cs="Times New Roman"/>
      <w:kern w:val="0"/>
      <w:sz w:val="24"/>
      <w:szCs w:val="20"/>
      <w:lang w:eastAsia="en-US"/>
    </w:rPr>
  </w:style>
  <w:style w:type="paragraph" w:styleId="32">
    <w:name w:val="List Paragraph"/>
    <w:basedOn w:val="1"/>
    <w:qFormat/>
    <w:uiPriority w:val="34"/>
    <w:pPr>
      <w:widowControl/>
      <w:spacing w:after="200"/>
      <w:ind w:firstLine="420" w:firstLineChars="200"/>
    </w:pPr>
    <w:rPr>
      <w:rFonts w:ascii="Times" w:hAnsi="Times" w:cs="Times New Roman"/>
      <w:kern w:val="0"/>
      <w:sz w:val="24"/>
      <w:szCs w:val="20"/>
      <w:lang w:eastAsia="en-US"/>
    </w:rPr>
  </w:style>
  <w:style w:type="paragraph" w:customStyle="1" w:styleId="33">
    <w:name w:val="Footnote"/>
    <w:basedOn w:val="1"/>
    <w:uiPriority w:val="0"/>
    <w:pPr>
      <w:widowControl/>
      <w:spacing w:before="120" w:line="200" w:lineRule="exact"/>
      <w:ind w:left="425" w:hanging="425"/>
      <w:jc w:val="left"/>
    </w:pPr>
    <w:rPr>
      <w:rFonts w:ascii="Arial" w:hAnsi="Arial" w:eastAsia="MS Mincho" w:cs="Times New Roman"/>
      <w:kern w:val="0"/>
      <w:sz w:val="16"/>
      <w:szCs w:val="20"/>
      <w:lang w:val="de-DE" w:eastAsia="ja-JP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numbering" Target="numbering.xml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739B99-CEC9-4243-9169-AAF5636DA24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941</Words>
  <Characters>4668</Characters>
  <Lines>40</Lines>
  <Paragraphs>11</Paragraphs>
  <TotalTime>153</TotalTime>
  <ScaleCrop>false</ScaleCrop>
  <LinksUpToDate>false</LinksUpToDate>
  <CharactersWithSpaces>5466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2026-04-15T11:49:00Z</dcterms:created>
  <dc:creator>Missdy</dc:creator>
  <cp:lastModifiedBy>乔晓艳</cp:lastModifiedBy>
  <dcterms:modified xsi:type="dcterms:W3CDTF">2026-07-15T01:17:26Z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880131EDC9BC42C1A75EE7A173B6BA12</vt:lpwstr>
  </property>
  <property fmtid="{D5CDD505-2E9C-101B-9397-08002B2CF9AE}" pid="4" name="KSOTemplateDocerSaveRecord">
    <vt:lpwstr>eyJoZGlkIjoiYTU1NjZlZjk5NDY4NzI2OWE4NzQzMTM5YWZiMzZmODgiLCJ1c2VySWQiOiIxNzcxMzU1Mzk4In0=</vt:lpwstr>
  </property>
</Properties>
</file>