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7ED4B5">
      <w:pPr>
        <w:spacing w:before="120" w:beforeLines="50" w:after="120" w:afterLines="50"/>
        <w:outlineLvl w:val="0"/>
        <w:rPr>
          <w:rFonts w:eastAsia="等线"/>
          <w:b/>
          <w:bCs/>
          <w:color w:val="000000" w:themeColor="text1"/>
          <w:sz w:val="28"/>
          <w:szCs w:val="28"/>
          <w:highlight w:val="none"/>
          <w:lang w:eastAsia="zh-CN"/>
          <w14:textFill>
            <w14:solidFill>
              <w14:schemeClr w14:val="tx1"/>
            </w14:solidFill>
          </w14:textFill>
        </w:rPr>
      </w:pPr>
      <w:r>
        <w:rPr>
          <w:rFonts w:eastAsia="等线"/>
          <w:b/>
          <w:bCs/>
          <w:color w:val="000000" w:themeColor="text1"/>
          <w:sz w:val="28"/>
          <w:szCs w:val="28"/>
          <w:highlight w:val="none"/>
          <w:lang w:eastAsia="zh-CN"/>
          <w14:textFill>
            <w14:solidFill>
              <w14:schemeClr w14:val="tx1"/>
            </w14:solidFill>
          </w14:textFill>
        </w:rPr>
        <w:t>Supplementary Information</w:t>
      </w:r>
    </w:p>
    <w:p w14:paraId="4AB2E29E">
      <w:pPr>
        <w:pStyle w:val="10"/>
        <w:spacing w:line="312" w:lineRule="auto"/>
        <w:rPr>
          <w:b/>
          <w:sz w:val="20"/>
          <w:szCs w:val="20"/>
          <w:highlight w:val="none"/>
          <w:lang w:val="en-GB" w:eastAsia="en-US"/>
        </w:rPr>
      </w:pPr>
      <w:r>
        <w:rPr>
          <w:b/>
          <w:sz w:val="20"/>
          <w:szCs w:val="20"/>
          <w:highlight w:val="none"/>
          <w:lang w:val="en-GB" w:eastAsia="en-US"/>
        </w:rPr>
        <w:t xml:space="preserve">Experimental </w:t>
      </w:r>
    </w:p>
    <w:p w14:paraId="4BACB073">
      <w:pPr>
        <w:pStyle w:val="10"/>
        <w:spacing w:line="312" w:lineRule="auto"/>
        <w:rPr>
          <w:b/>
          <w:sz w:val="20"/>
          <w:szCs w:val="20"/>
          <w:highlight w:val="none"/>
          <w:lang w:val="en-GB" w:eastAsia="zh-CN"/>
        </w:rPr>
      </w:pPr>
      <w:r>
        <w:rPr>
          <w:b/>
          <w:sz w:val="20"/>
          <w:szCs w:val="20"/>
          <w:highlight w:val="none"/>
          <w:lang w:val="en-GB" w:eastAsia="zh-CN"/>
        </w:rPr>
        <w:t>Synthetic procedures</w:t>
      </w:r>
    </w:p>
    <w:p w14:paraId="3AF9F894">
      <w:pPr>
        <w:spacing w:line="312" w:lineRule="auto"/>
        <w:jc w:val="both"/>
        <w:rPr>
          <w:rFonts w:eastAsiaTheme="minorEastAsia"/>
          <w:highlight w:val="none"/>
          <w:lang w:eastAsia="zh-CN"/>
        </w:rPr>
      </w:pPr>
      <w:r>
        <w:rPr>
          <w:rFonts w:hint="eastAsia" w:eastAsiaTheme="minorEastAsia"/>
          <w:highlight w:val="none"/>
          <w:lang w:eastAsia="zh-CN"/>
        </w:rPr>
        <w:t>T</w:t>
      </w:r>
      <w:r>
        <w:rPr>
          <w:rFonts w:eastAsiaTheme="minorEastAsia"/>
          <w:highlight w:val="none"/>
          <w:lang w:eastAsia="zh-CN"/>
        </w:rPr>
        <w:t xml:space="preserve">he synthesis of </w:t>
      </w:r>
      <w:r>
        <w:rPr>
          <w:highlight w:val="none"/>
        </w:rPr>
        <w:t>5,10,15,20-tetra (4-tert-butylphenyl) porphyrin (abbreviated as t-TPPY)</w:t>
      </w:r>
    </w:p>
    <w:p w14:paraId="22C22693">
      <w:pPr>
        <w:spacing w:line="312" w:lineRule="auto"/>
        <w:ind w:firstLine="200" w:firstLineChars="100"/>
        <w:jc w:val="both"/>
        <w:rPr>
          <w:rFonts w:eastAsiaTheme="minorEastAsia"/>
          <w:highlight w:val="none"/>
          <w:lang w:eastAsia="zh-CN"/>
        </w:rPr>
      </w:pPr>
      <w:r>
        <w:rPr>
          <w:highlight w:val="none"/>
        </w:rPr>
        <w:t>Firstly, 5,10,15,20-tetra (4-tert-butylphenyl) porphyrin (abbreviated as t-TPPY) is synthesized using the propionic acid reflux method. The specific steps are: Measure 10.1 mL of pyrrole and 24.4 mL of p-tert-butylbenzaldehyde, add them to 340 mL of propionic acid, and then heat the mixture under reflux at 150</w:t>
      </w:r>
      <w:r>
        <w:rPr>
          <w:rFonts w:hint="eastAsia" w:eastAsia="宋体"/>
          <w:highlight w:val="none"/>
          <w:lang w:val="en-US" w:eastAsia="zh-CN"/>
        </w:rPr>
        <w:t xml:space="preserve"> </w:t>
      </w:r>
      <w:r>
        <w:rPr>
          <w:highlight w:val="none"/>
        </w:rPr>
        <w:t>°C for 2 hours. After the reaction mixture cools to room temperature, purple crystalline product cakes are obtained through suction filtration and washed sequentially with anhydrous ethanol, deionized water, and acetone until the filtrate is clear and transparent. Subsequently, the product is transferred to an oven at 80°C and dried overnight.</w:t>
      </w:r>
      <w:r>
        <w:rPr>
          <w:rFonts w:hint="eastAsia" w:eastAsiaTheme="minorEastAsia"/>
          <w:highlight w:val="none"/>
          <w:lang w:eastAsia="zh-CN"/>
        </w:rPr>
        <w:t xml:space="preserve"> </w:t>
      </w:r>
      <w:r>
        <w:rPr>
          <w:rFonts w:eastAsiaTheme="minorEastAsia"/>
          <w:highlight w:val="none"/>
          <w:lang w:eastAsia="zh-CN"/>
        </w:rPr>
        <w:t xml:space="preserve">The TPPY molecule is prepared from the </w:t>
      </w:r>
      <w:r>
        <w:rPr>
          <w:highlight w:val="none"/>
        </w:rPr>
        <w:t>tetra-phenyl porphyrin (abbreviated as TPPY) as precursor instead of t-TPPY.</w:t>
      </w:r>
    </w:p>
    <w:p w14:paraId="0D4EA2F5">
      <w:pPr>
        <w:spacing w:line="312" w:lineRule="auto"/>
        <w:jc w:val="both"/>
        <w:rPr>
          <w:highlight w:val="none"/>
        </w:rPr>
      </w:pPr>
    </w:p>
    <w:p w14:paraId="1CCE4468">
      <w:pPr>
        <w:spacing w:line="312" w:lineRule="auto"/>
        <w:jc w:val="both"/>
        <w:rPr>
          <w:highlight w:val="none"/>
        </w:rPr>
      </w:pPr>
      <w:r>
        <w:rPr>
          <w:highlight w:val="none"/>
        </w:rPr>
        <w:t>The synthesis of tert-butyl iron metalloporphyrin (</w:t>
      </w:r>
      <w:bookmarkStart w:id="0" w:name="OLE_LINK3"/>
      <w:bookmarkStart w:id="1" w:name="OLE_LINK2"/>
      <w:r>
        <w:rPr>
          <w:highlight w:val="none"/>
        </w:rPr>
        <w:t>t-Fe-TPPY</w:t>
      </w:r>
      <w:bookmarkEnd w:id="0"/>
      <w:bookmarkEnd w:id="1"/>
      <w:r>
        <w:rPr>
          <w:highlight w:val="none"/>
        </w:rPr>
        <w:t>)</w:t>
      </w:r>
    </w:p>
    <w:p w14:paraId="3023147C">
      <w:pPr>
        <w:spacing w:line="312" w:lineRule="auto"/>
        <w:ind w:firstLine="100" w:firstLineChars="50"/>
        <w:jc w:val="both"/>
        <w:rPr>
          <w:highlight w:val="none"/>
        </w:rPr>
      </w:pPr>
      <w:r>
        <w:rPr>
          <w:highlight w:val="none"/>
        </w:rPr>
        <w:t>The t-TPPY molecules are synthesized from t-TPPY precursor. Weigh 500 mg of t-TPPY (0.6 mmol) and dissolve it in 150 mL of chloroform (CHCl</w:t>
      </w:r>
      <w:r>
        <w:rPr>
          <w:highlight w:val="none"/>
          <w:vertAlign w:val="subscript"/>
        </w:rPr>
        <w:t>3</w:t>
      </w:r>
      <w:r>
        <w:rPr>
          <w:highlight w:val="none"/>
        </w:rPr>
        <w:t>) to obtain solution A. At the same time, weigh 1.2 g of FeCl</w:t>
      </w:r>
      <w:r>
        <w:rPr>
          <w:highlight w:val="none"/>
          <w:vertAlign w:val="subscript"/>
        </w:rPr>
        <w:t>2</w:t>
      </w:r>
      <w:r>
        <w:rPr>
          <w:highlight w:val="none"/>
        </w:rPr>
        <w:t>·4H</w:t>
      </w:r>
      <w:r>
        <w:rPr>
          <w:highlight w:val="none"/>
          <w:vertAlign w:val="subscript"/>
        </w:rPr>
        <w:t>2</w:t>
      </w:r>
      <w:r>
        <w:rPr>
          <w:highlight w:val="none"/>
        </w:rPr>
        <w:t>O (6 mmol) and dissolve it in a small amount of methanol (CH</w:t>
      </w:r>
      <w:r>
        <w:rPr>
          <w:highlight w:val="none"/>
          <w:vertAlign w:val="subscript"/>
        </w:rPr>
        <w:t>3</w:t>
      </w:r>
      <w:r>
        <w:rPr>
          <w:highlight w:val="none"/>
        </w:rPr>
        <w:t>OH) to obtain solution B. Mix solution A with solution B and stir evenly. Add 2 mL of pyridine and then reflux at 70°C for 5 hours. Monitor the reaction progress using thin-layer chromatography (TLC) with a solvent system of methanol: dichloromethane of 2:98. After the reaction is completed, remove the solvent by rotary evaporation. Add 150 mL of 1</w:t>
      </w:r>
      <w:r>
        <w:rPr>
          <w:rFonts w:hint="eastAsia" w:eastAsia="宋体"/>
          <w:highlight w:val="none"/>
          <w:lang w:val="en-US" w:eastAsia="zh-CN"/>
        </w:rPr>
        <w:t xml:space="preserve"> </w:t>
      </w:r>
      <w:r>
        <w:rPr>
          <w:highlight w:val="none"/>
        </w:rPr>
        <w:t>M HCl, and ultrasonicate for 30 minutes to dissolve excess iron chloride salt. Subsequently, obtain a brownish-colored cake through suction filtration, wash it with 1</w:t>
      </w:r>
      <w:r>
        <w:rPr>
          <w:rFonts w:hint="eastAsia" w:eastAsia="宋体"/>
          <w:highlight w:val="none"/>
          <w:lang w:val="en-US" w:eastAsia="zh-CN"/>
        </w:rPr>
        <w:t xml:space="preserve"> </w:t>
      </w:r>
      <w:r>
        <w:rPr>
          <w:highlight w:val="none"/>
        </w:rPr>
        <w:t>M HCl 2-3 times, and then wash it multiple times with deionized water until the filtrate is clear and transparent. Transfer the cake to an oven at 80</w:t>
      </w:r>
      <w:r>
        <w:rPr>
          <w:rFonts w:hint="eastAsia" w:eastAsia="宋体"/>
          <w:highlight w:val="none"/>
          <w:lang w:val="en-US" w:eastAsia="zh-CN"/>
        </w:rPr>
        <w:t xml:space="preserve"> </w:t>
      </w:r>
      <w:r>
        <w:rPr>
          <w:highlight w:val="none"/>
        </w:rPr>
        <w:t>°C and dry it overnight and the target product t-Fe-TPPY is obtained. The controlled Fe-TPPY sample is prepared from TPPY.</w:t>
      </w:r>
    </w:p>
    <w:p w14:paraId="4CD5B68F">
      <w:pPr>
        <w:spacing w:line="312" w:lineRule="auto"/>
        <w:ind w:firstLine="100" w:firstLineChars="50"/>
        <w:jc w:val="both"/>
        <w:rPr>
          <w:highlight w:val="none"/>
        </w:rPr>
      </w:pPr>
    </w:p>
    <w:p w14:paraId="3DC959CD">
      <w:pPr>
        <w:spacing w:line="312" w:lineRule="auto"/>
        <w:jc w:val="both"/>
        <w:rPr>
          <w:highlight w:val="none"/>
        </w:rPr>
      </w:pPr>
      <w:r>
        <w:rPr>
          <w:highlight w:val="none"/>
          <w:lang w:val="en-GB"/>
        </w:rPr>
        <w:t>The preparation of</w:t>
      </w:r>
      <w:r>
        <w:rPr>
          <w:highlight w:val="none"/>
        </w:rPr>
        <w:t xml:space="preserve"> t-Fe-800@CB</w:t>
      </w:r>
    </w:p>
    <w:p w14:paraId="7086DCBF">
      <w:pPr>
        <w:spacing w:line="312" w:lineRule="auto"/>
        <w:ind w:firstLine="200" w:firstLineChars="100"/>
        <w:jc w:val="both"/>
        <w:rPr>
          <w:highlight w:val="none"/>
        </w:rPr>
      </w:pPr>
      <w:r>
        <w:rPr>
          <w:highlight w:val="none"/>
        </w:rPr>
        <w:t>Weigh 160 mg of iron porphyrin t-Fe-TPPY and 50 mg of conductive carbon black (abbreviated as CB, Vulcan XC-72R), and add them together to 10 mL of CHCl</w:t>
      </w:r>
      <w:r>
        <w:rPr>
          <w:highlight w:val="none"/>
          <w:vertAlign w:val="subscript"/>
        </w:rPr>
        <w:t>3</w:t>
      </w:r>
      <w:r>
        <w:rPr>
          <w:highlight w:val="none"/>
        </w:rPr>
        <w:t>. Ultrasonicate the mixture for 1 hour while continuously shaking to ensure uniformity. Afterward, separate the solid through centrifugation, dry the obtained solid in an oven at 80</w:t>
      </w:r>
      <w:r>
        <w:rPr>
          <w:rFonts w:hint="eastAsia" w:eastAsia="宋体"/>
          <w:highlight w:val="none"/>
          <w:lang w:val="en-US" w:eastAsia="zh-CN"/>
        </w:rPr>
        <w:t xml:space="preserve"> </w:t>
      </w:r>
      <w:r>
        <w:rPr>
          <w:highlight w:val="none"/>
        </w:rPr>
        <w:t>°C, and grind it into a powder. Transfer the aforementioned Fe-TPPY@CB material to a tube furnace and pyrolyze it under an argon inert atmosphere by heating at a rate of 5°C/min to 800°C and holding at this temperature for 3 hours. After heat treatment, grind the material thoroughly and soak it in a 2</w:t>
      </w:r>
      <w:r>
        <w:rPr>
          <w:rFonts w:hint="eastAsia" w:eastAsia="宋体"/>
          <w:highlight w:val="none"/>
          <w:lang w:val="en-US" w:eastAsia="zh-CN"/>
        </w:rPr>
        <w:t xml:space="preserve"> </w:t>
      </w:r>
      <w:r>
        <w:rPr>
          <w:highlight w:val="none"/>
        </w:rPr>
        <w:t>M HCl aqueous solution while stirring for 24 hours. Subsequently, collect the solid through centrifugation and wash it with deionized water until it is neutral. Finally, dry the solid in an oven at 80°C to obtain the t-Fe-800@CB material. The controlled sample Fe-800@CB is prepared from Fe-TPPY precursor instead of t-Fe-TPPY.</w:t>
      </w:r>
    </w:p>
    <w:p w14:paraId="00CF6BF9">
      <w:pPr>
        <w:jc w:val="both"/>
        <w:rPr>
          <w:highlight w:val="none"/>
        </w:rPr>
      </w:pPr>
    </w:p>
    <w:p w14:paraId="306DE82E">
      <w:pPr>
        <w:pStyle w:val="10"/>
        <w:spacing w:line="312" w:lineRule="auto"/>
        <w:jc w:val="left"/>
        <w:rPr>
          <w:rFonts w:eastAsia="宋体"/>
          <w:color w:val="000000"/>
          <w:szCs w:val="20"/>
          <w:highlight w:val="none"/>
          <w:lang w:val="en-US" w:eastAsia="zh-CN" w:bidi="ar"/>
        </w:rPr>
      </w:pPr>
      <w:r>
        <w:rPr>
          <w:rFonts w:eastAsia="宋体"/>
          <w:b/>
          <w:color w:val="000000"/>
          <w:sz w:val="20"/>
          <w:szCs w:val="20"/>
          <w:highlight w:val="none"/>
          <w:lang w:val="en-GB" w:eastAsia="zh-CN" w:bidi="ar"/>
        </w:rPr>
        <w:t xml:space="preserve">Physicochemical characterizations </w:t>
      </w:r>
    </w:p>
    <w:p w14:paraId="0370F373">
      <w:pPr>
        <w:spacing w:line="312" w:lineRule="auto"/>
        <w:ind w:firstLine="200" w:firstLineChars="100"/>
        <w:jc w:val="both"/>
        <w:rPr>
          <w:szCs w:val="20"/>
          <w:highlight w:val="none"/>
        </w:rPr>
      </w:pPr>
      <w:r>
        <w:rPr>
          <w:szCs w:val="20"/>
          <w:highlight w:val="none"/>
        </w:rPr>
        <w:t>Powder X-ray diffraction (PXRD) patterns were collected on a PANalytical X'Pert3 diffractometer (Netherlands) using Cu Kα radiation (</w:t>
      </w:r>
      <w:r>
        <w:rPr>
          <w:i/>
          <w:iCs/>
          <w:szCs w:val="20"/>
          <w:highlight w:val="none"/>
        </w:rPr>
        <w:t>λ</w:t>
      </w:r>
      <w:r>
        <w:rPr>
          <w:szCs w:val="20"/>
          <w:highlight w:val="none"/>
        </w:rPr>
        <w:t xml:space="preserve"> = 1.54 Å) operated at 40 kV and 40 mA. The morphological features and particle sizes were examined by transmission electron microscopy (TEM) using a HITACHI H-7700 instrument (100 kV), while high-resolution TEM (HRTEM) images and lattice fringes were obtained on an FEI Tecnai G2 F20 S-Twin microscope operated at 200 kV. X-ray photoelectron spectroscopy (XPS) measurements were performed on a ULVAC-PHI Quantera SXM spectrometer with monochromatic Al Kα radiation (250 kV, 55 eV). All spectra were calibrated using the C 1s peak at 284.8 eV and analyzed using XPSPEAK41 software with Shirley background subtraction. Raman spectra were recorded on a HORIBA JY HR800 confocal Raman microscope with a 633 nm Ar-ion laser. High-angle annular dark-field scanning TEM (HAADF-STEM) images were acquired on a JEOL Grand ARM-300CF microscope equipped with a cold field-emission gun (80 kV) and spherical aberration corrector. The images were processed using DigitalMicrograph software with Bandpass filter for background removal. Nitrogen adsorption-desorption isotherms were measured at 77 K using a Quantachrome ASiQMVH002-5 analyzer. Prior to measurements, samples were degassed at 60°C under vacuum for 12 h. The specific surface areas were calculated using the Brunauer-Emmett-Teller (BET) method, while pore size distributions were determined by non-local density functional theory (NLDFT). Electrochemical measurements were conducted on a CHI760E electrochemical workstation (Shanghai Chenhua). X-ray absorption spectroscopy (XAS) at the Fe K-edge was performed at the 1W1B-XAFS beamline of Beijing Synchrotron Radiation Facility (BSRF). The fluorescence yield data were collected using a Lytle detector in total electron yield (TEY) mode, with samples uniformly dispersed on adhesive tape. Data processing was performed using the ATHENA module of the Demeter software package.</w:t>
      </w:r>
    </w:p>
    <w:p w14:paraId="1F382D60">
      <w:pPr>
        <w:spacing w:line="312" w:lineRule="auto"/>
        <w:jc w:val="both"/>
        <w:rPr>
          <w:szCs w:val="20"/>
          <w:highlight w:val="none"/>
        </w:rPr>
      </w:pPr>
    </w:p>
    <w:p w14:paraId="49318C9C">
      <w:pPr>
        <w:pStyle w:val="10"/>
        <w:spacing w:line="312" w:lineRule="auto"/>
        <w:jc w:val="left"/>
        <w:rPr>
          <w:b/>
          <w:szCs w:val="20"/>
          <w:highlight w:val="none"/>
          <w:lang w:val="en-GB" w:eastAsia="zh-CN" w:bidi="ar"/>
        </w:rPr>
      </w:pPr>
      <w:r>
        <w:rPr>
          <w:rFonts w:eastAsia="宋体"/>
          <w:b/>
          <w:color w:val="000000"/>
          <w:sz w:val="20"/>
          <w:szCs w:val="20"/>
          <w:highlight w:val="none"/>
          <w:lang w:val="en-GB" w:eastAsia="zh-CN" w:bidi="ar"/>
        </w:rPr>
        <w:t>Electrochemical measurements</w:t>
      </w:r>
    </w:p>
    <w:p w14:paraId="0CEC1EDE">
      <w:pPr>
        <w:pStyle w:val="14"/>
        <w:spacing w:line="312" w:lineRule="auto"/>
        <w:ind w:firstLine="216" w:firstLineChars="100"/>
        <w:rPr>
          <w:rStyle w:val="12"/>
          <w:kern w:val="0"/>
          <w:sz w:val="20"/>
          <w:szCs w:val="20"/>
          <w:highlight w:val="none"/>
          <w:lang w:bidi="ar"/>
        </w:rPr>
      </w:pPr>
      <w:r>
        <w:rPr>
          <w:rStyle w:val="12"/>
          <w:kern w:val="0"/>
          <w:sz w:val="20"/>
          <w:szCs w:val="20"/>
          <w:highlight w:val="none"/>
          <w:lang w:bidi="ar"/>
        </w:rPr>
        <w:t>Electrochemical testing: All electrochemical tests were conducted using the CHI760E electrochemical workstation from Chenhua Instruments in Shanghai, China. Preparation of Catalyst Ink: 5 mg of the sample to be tested was dispersed in 495 μL of isopropanol and 495 μL of deionized water. Then, 10 μL of a 5% Nafion membrane solution was added, and the mixture was shaken uniformly. It was then sonicated for 1 hour, with ice packs added during the sonication process to prevent overheating and ensure uniform dispersion.</w:t>
      </w:r>
    </w:p>
    <w:p w14:paraId="5968F2E1">
      <w:pPr>
        <w:pStyle w:val="14"/>
        <w:spacing w:line="312" w:lineRule="auto"/>
        <w:ind w:firstLine="216" w:firstLineChars="100"/>
        <w:rPr>
          <w:rStyle w:val="12"/>
          <w:kern w:val="0"/>
          <w:sz w:val="20"/>
          <w:szCs w:val="20"/>
          <w:highlight w:val="none"/>
          <w:lang w:bidi="ar"/>
        </w:rPr>
      </w:pPr>
      <w:r>
        <w:rPr>
          <w:rStyle w:val="12"/>
          <w:kern w:val="0"/>
          <w:sz w:val="20"/>
          <w:szCs w:val="20"/>
          <w:highlight w:val="none"/>
          <w:lang w:bidi="ar"/>
        </w:rPr>
        <w:t>Preparation of catalyst working electrode: 5 μL of the catalyst ink was dropped onto the glassy carbon disk of a rotating ring-disk electrode (disk area: 0.2475 cm², ring area: 0.1866 cm²). After drying, another 5 μL of catalyst ink was added, and the electrode was dried with the assistance of an infrared lamp, taking care to avoid overheating. The catalyst loading was 0.2 mg cm</w:t>
      </w:r>
      <w:r>
        <w:rPr>
          <w:rStyle w:val="12"/>
          <w:kern w:val="0"/>
          <w:sz w:val="20"/>
          <w:szCs w:val="20"/>
          <w:highlight w:val="none"/>
          <w:vertAlign w:val="superscript"/>
          <w:lang w:bidi="ar"/>
        </w:rPr>
        <w:t>-2</w:t>
      </w:r>
      <w:r>
        <w:rPr>
          <w:rStyle w:val="12"/>
          <w:kern w:val="0"/>
          <w:sz w:val="20"/>
          <w:szCs w:val="20"/>
          <w:highlight w:val="none"/>
          <w:lang w:bidi="ar"/>
        </w:rPr>
        <w:t>.</w:t>
      </w:r>
    </w:p>
    <w:p w14:paraId="2A3A7F7A">
      <w:pPr>
        <w:pStyle w:val="14"/>
        <w:spacing w:line="312" w:lineRule="auto"/>
        <w:ind w:firstLine="216" w:firstLineChars="100"/>
        <w:rPr>
          <w:rStyle w:val="12"/>
          <w:kern w:val="0"/>
          <w:sz w:val="20"/>
          <w:szCs w:val="20"/>
          <w:highlight w:val="none"/>
          <w:lang w:bidi="ar"/>
        </w:rPr>
      </w:pPr>
      <w:r>
        <w:rPr>
          <w:rStyle w:val="12"/>
          <w:kern w:val="0"/>
          <w:sz w:val="20"/>
          <w:szCs w:val="20"/>
          <w:highlight w:val="none"/>
          <w:lang w:bidi="ar"/>
        </w:rPr>
        <w:t>ORR performances testing: The electrolyte was 0.1 mol·L</w:t>
      </w:r>
      <w:r>
        <w:rPr>
          <w:rStyle w:val="12"/>
          <w:kern w:val="0"/>
          <w:sz w:val="20"/>
          <w:szCs w:val="20"/>
          <w:highlight w:val="none"/>
          <w:vertAlign w:val="superscript"/>
          <w:lang w:bidi="ar"/>
        </w:rPr>
        <w:t>-1</w:t>
      </w:r>
      <w:r>
        <w:rPr>
          <w:rStyle w:val="12"/>
          <w:kern w:val="0"/>
          <w:sz w:val="20"/>
          <w:szCs w:val="20"/>
          <w:highlight w:val="none"/>
          <w:lang w:bidi="ar"/>
        </w:rPr>
        <w:t xml:space="preserve"> KOH (pH=13.00). A reversible hydrogen electrode (RHE) was used as the reference electrode, and carbon rod served as the counter electrode. The working electrode, counter electrode, and reference electrode were inserted into a KOH solution that had been pre-saturated with nitrogen gas for about 30 minutes. The rotation speed was set to 1600 r min</w:t>
      </w:r>
      <w:r>
        <w:rPr>
          <w:rStyle w:val="12"/>
          <w:kern w:val="0"/>
          <w:sz w:val="20"/>
          <w:szCs w:val="20"/>
          <w:highlight w:val="none"/>
          <w:vertAlign w:val="superscript"/>
          <w:lang w:bidi="ar"/>
        </w:rPr>
        <w:t>-1</w:t>
      </w:r>
      <w:r>
        <w:rPr>
          <w:rStyle w:val="12"/>
          <w:kern w:val="0"/>
          <w:sz w:val="20"/>
          <w:szCs w:val="20"/>
          <w:highlight w:val="none"/>
          <w:lang w:bidi="ar"/>
        </w:rPr>
        <w:t>. Cyclic voltammetry (CV) scanning was performed at a scan rate of 100 mV s</w:t>
      </w:r>
      <w:r>
        <w:rPr>
          <w:rStyle w:val="12"/>
          <w:kern w:val="0"/>
          <w:sz w:val="20"/>
          <w:szCs w:val="20"/>
          <w:highlight w:val="none"/>
          <w:vertAlign w:val="superscript"/>
          <w:lang w:bidi="ar"/>
        </w:rPr>
        <w:t>-1</w:t>
      </w:r>
      <w:r>
        <w:rPr>
          <w:rStyle w:val="12"/>
          <w:kern w:val="0"/>
          <w:sz w:val="20"/>
          <w:szCs w:val="20"/>
          <w:highlight w:val="none"/>
          <w:lang w:bidi="ar"/>
        </w:rPr>
        <w:t xml:space="preserve"> for 20 cycles, with a scanning range of 1.2 to 0.2 V vs. RHE. After the CV curves stabilized, one cycle of CV data was collected. Subsequently, linear sweep voltammetry (LSV) data was collected at a scan rate of 10 mV s</w:t>
      </w:r>
      <w:r>
        <w:rPr>
          <w:rStyle w:val="12"/>
          <w:kern w:val="0"/>
          <w:sz w:val="20"/>
          <w:szCs w:val="20"/>
          <w:highlight w:val="none"/>
          <w:vertAlign w:val="superscript"/>
          <w:lang w:bidi="ar"/>
        </w:rPr>
        <w:t>-1</w:t>
      </w:r>
      <w:r>
        <w:rPr>
          <w:rStyle w:val="12"/>
          <w:kern w:val="0"/>
          <w:sz w:val="20"/>
          <w:szCs w:val="20"/>
          <w:highlight w:val="none"/>
          <w:lang w:bidi="ar"/>
        </w:rPr>
        <w:t xml:space="preserve"> within the same scanning range, using 95% IR compensation as a background that was subtracted later to avoid gas interference.</w:t>
      </w:r>
    </w:p>
    <w:p w14:paraId="213927B7">
      <w:pPr>
        <w:pStyle w:val="14"/>
        <w:spacing w:line="312" w:lineRule="auto"/>
        <w:ind w:firstLine="216" w:firstLineChars="100"/>
        <w:rPr>
          <w:rStyle w:val="12"/>
          <w:kern w:val="0"/>
          <w:sz w:val="20"/>
          <w:szCs w:val="20"/>
          <w:highlight w:val="none"/>
          <w:lang w:bidi="ar"/>
        </w:rPr>
      </w:pPr>
      <w:r>
        <w:rPr>
          <w:rStyle w:val="12"/>
          <w:kern w:val="0"/>
          <w:sz w:val="20"/>
          <w:szCs w:val="20"/>
          <w:highlight w:val="none"/>
          <w:lang w:bidi="ar"/>
        </w:rPr>
        <w:t>The process was repeated with the KOH solution saturated with oxygen gas for about 30 minutes. CV scanning was performed as before, followed by LSV testing. Then, LSV tests were conducted at different rotation speeds (400, 625, 900, 1225, 1600, 2025, 2500 r min</w:t>
      </w:r>
      <w:r>
        <w:rPr>
          <w:rStyle w:val="12"/>
          <w:kern w:val="0"/>
          <w:sz w:val="20"/>
          <w:szCs w:val="20"/>
          <w:highlight w:val="none"/>
          <w:vertAlign w:val="superscript"/>
          <w:lang w:bidi="ar"/>
        </w:rPr>
        <w:t>-1</w:t>
      </w:r>
      <w:r>
        <w:rPr>
          <w:rStyle w:val="12"/>
          <w:kern w:val="0"/>
          <w:sz w:val="20"/>
          <w:szCs w:val="20"/>
          <w:highlight w:val="none"/>
          <w:lang w:bidi="ar"/>
        </w:rPr>
        <w:t>). The formulas used to calculate the yield of H</w:t>
      </w:r>
      <w:r>
        <w:rPr>
          <w:rStyle w:val="12"/>
          <w:kern w:val="0"/>
          <w:sz w:val="20"/>
          <w:szCs w:val="20"/>
          <w:highlight w:val="none"/>
          <w:vertAlign w:val="subscript"/>
          <w:lang w:bidi="ar"/>
        </w:rPr>
        <w:t>2</w:t>
      </w:r>
      <w:r>
        <w:rPr>
          <w:rStyle w:val="12"/>
          <w:kern w:val="0"/>
          <w:sz w:val="20"/>
          <w:szCs w:val="20"/>
          <w:highlight w:val="none"/>
          <w:lang w:bidi="ar"/>
        </w:rPr>
        <w:t>O</w:t>
      </w:r>
      <w:r>
        <w:rPr>
          <w:rStyle w:val="12"/>
          <w:kern w:val="0"/>
          <w:sz w:val="20"/>
          <w:szCs w:val="20"/>
          <w:highlight w:val="none"/>
          <w:vertAlign w:val="subscript"/>
          <w:lang w:bidi="ar"/>
        </w:rPr>
        <w:t>2</w:t>
      </w:r>
      <w:r>
        <w:rPr>
          <w:rStyle w:val="12"/>
          <w:kern w:val="0"/>
          <w:sz w:val="20"/>
          <w:szCs w:val="20"/>
          <w:highlight w:val="none"/>
          <w:lang w:bidi="ar"/>
        </w:rPr>
        <w:t xml:space="preserve"> and the number of electrons transferred using a rotating ring-disk electrode are as follows:</w:t>
      </w:r>
    </w:p>
    <w:p w14:paraId="28B55A65">
      <w:pPr>
        <w:pStyle w:val="14"/>
        <w:spacing w:line="312" w:lineRule="auto"/>
        <w:ind w:firstLine="216" w:firstLineChars="100"/>
        <w:rPr>
          <w:rStyle w:val="12"/>
          <w:kern w:val="0"/>
          <w:sz w:val="20"/>
          <w:szCs w:val="20"/>
          <w:highlight w:val="none"/>
          <w:lang w:bidi="ar"/>
        </w:rPr>
      </w:pPr>
      <w:r>
        <w:rPr>
          <w:rStyle w:val="12"/>
          <w:kern w:val="0"/>
          <w:sz w:val="20"/>
          <w:szCs w:val="20"/>
          <w:highlight w:val="none"/>
          <w:lang w:bidi="ar"/>
        </w:rPr>
        <w:t>Yield (H</w:t>
      </w:r>
      <w:r>
        <w:rPr>
          <w:rStyle w:val="12"/>
          <w:kern w:val="0"/>
          <w:sz w:val="20"/>
          <w:szCs w:val="20"/>
          <w:highlight w:val="none"/>
          <w:vertAlign w:val="subscript"/>
          <w:lang w:bidi="ar"/>
        </w:rPr>
        <w:t>2</w:t>
      </w:r>
      <w:r>
        <w:rPr>
          <w:rStyle w:val="12"/>
          <w:kern w:val="0"/>
          <w:sz w:val="20"/>
          <w:szCs w:val="20"/>
          <w:highlight w:val="none"/>
          <w:lang w:bidi="ar"/>
        </w:rPr>
        <w:t>O</w:t>
      </w:r>
      <w:r>
        <w:rPr>
          <w:rStyle w:val="12"/>
          <w:kern w:val="0"/>
          <w:sz w:val="20"/>
          <w:szCs w:val="20"/>
          <w:highlight w:val="none"/>
          <w:vertAlign w:val="subscript"/>
          <w:lang w:bidi="ar"/>
        </w:rPr>
        <w:t>2</w:t>
      </w:r>
      <w:r>
        <w:rPr>
          <w:rStyle w:val="12"/>
          <w:kern w:val="0"/>
          <w:sz w:val="20"/>
          <w:szCs w:val="20"/>
          <w:highlight w:val="none"/>
          <w:lang w:bidi="ar"/>
        </w:rPr>
        <w:t>) = 2(I</w:t>
      </w:r>
      <w:r>
        <w:rPr>
          <w:rStyle w:val="12"/>
          <w:kern w:val="0"/>
          <w:sz w:val="20"/>
          <w:szCs w:val="20"/>
          <w:highlight w:val="none"/>
          <w:vertAlign w:val="subscript"/>
          <w:lang w:bidi="ar"/>
        </w:rPr>
        <w:t>R</w:t>
      </w:r>
      <w:r>
        <w:rPr>
          <w:rStyle w:val="12"/>
          <w:kern w:val="0"/>
          <w:sz w:val="20"/>
          <w:szCs w:val="20"/>
          <w:highlight w:val="none"/>
          <w:lang w:bidi="ar"/>
        </w:rPr>
        <w:t>/N)/[(I</w:t>
      </w:r>
      <w:r>
        <w:rPr>
          <w:rStyle w:val="12"/>
          <w:kern w:val="0"/>
          <w:sz w:val="20"/>
          <w:szCs w:val="20"/>
          <w:highlight w:val="none"/>
          <w:vertAlign w:val="subscript"/>
          <w:lang w:bidi="ar"/>
        </w:rPr>
        <w:t>R</w:t>
      </w:r>
      <w:r>
        <w:rPr>
          <w:rStyle w:val="12"/>
          <w:kern w:val="0"/>
          <w:sz w:val="20"/>
          <w:szCs w:val="20"/>
          <w:highlight w:val="none"/>
          <w:lang w:bidi="ar"/>
        </w:rPr>
        <w:t>/N) + I</w:t>
      </w:r>
      <w:r>
        <w:rPr>
          <w:rStyle w:val="12"/>
          <w:kern w:val="0"/>
          <w:sz w:val="20"/>
          <w:szCs w:val="20"/>
          <w:highlight w:val="none"/>
          <w:vertAlign w:val="subscript"/>
          <w:lang w:bidi="ar"/>
        </w:rPr>
        <w:t>D</w:t>
      </w:r>
      <w:r>
        <w:rPr>
          <w:rStyle w:val="12"/>
          <w:kern w:val="0"/>
          <w:sz w:val="20"/>
          <w:szCs w:val="20"/>
          <w:highlight w:val="none"/>
          <w:lang w:bidi="ar"/>
        </w:rPr>
        <w:t xml:space="preserve">]                                    </w:t>
      </w:r>
      <w:r>
        <w:rPr>
          <w:rStyle w:val="12"/>
          <w:rFonts w:hint="eastAsia"/>
          <w:kern w:val="0"/>
          <w:sz w:val="20"/>
          <w:szCs w:val="20"/>
          <w:highlight w:val="none"/>
          <w:lang w:bidi="ar"/>
        </w:rPr>
        <w:t>（</w:t>
      </w:r>
      <w:r>
        <w:rPr>
          <w:rStyle w:val="12"/>
          <w:kern w:val="0"/>
          <w:sz w:val="20"/>
          <w:szCs w:val="20"/>
          <w:highlight w:val="none"/>
          <w:lang w:bidi="ar"/>
        </w:rPr>
        <w:t>1</w:t>
      </w:r>
      <w:r>
        <w:rPr>
          <w:rStyle w:val="12"/>
          <w:rFonts w:hint="eastAsia"/>
          <w:kern w:val="0"/>
          <w:sz w:val="20"/>
          <w:szCs w:val="20"/>
          <w:highlight w:val="none"/>
          <w:lang w:bidi="ar"/>
        </w:rPr>
        <w:t>）</w:t>
      </w:r>
    </w:p>
    <w:p w14:paraId="50599009">
      <w:pPr>
        <w:pStyle w:val="14"/>
        <w:spacing w:line="312" w:lineRule="auto"/>
        <w:ind w:firstLine="216" w:firstLineChars="100"/>
        <w:rPr>
          <w:rStyle w:val="12"/>
          <w:kern w:val="0"/>
          <w:sz w:val="20"/>
          <w:szCs w:val="20"/>
          <w:highlight w:val="none"/>
          <w:lang w:bidi="ar"/>
        </w:rPr>
      </w:pPr>
      <w:r>
        <w:rPr>
          <w:rStyle w:val="12"/>
          <w:kern w:val="0"/>
          <w:sz w:val="20"/>
          <w:szCs w:val="20"/>
          <w:highlight w:val="none"/>
          <w:lang w:bidi="ar"/>
        </w:rPr>
        <w:t>Eectron transfer count n = 4I</w:t>
      </w:r>
      <w:r>
        <w:rPr>
          <w:rStyle w:val="12"/>
          <w:kern w:val="0"/>
          <w:sz w:val="20"/>
          <w:szCs w:val="20"/>
          <w:highlight w:val="none"/>
          <w:vertAlign w:val="subscript"/>
          <w:lang w:bidi="ar"/>
        </w:rPr>
        <w:t>D</w:t>
      </w:r>
      <w:r>
        <w:rPr>
          <w:rStyle w:val="12"/>
          <w:kern w:val="0"/>
          <w:sz w:val="20"/>
          <w:szCs w:val="20"/>
          <w:highlight w:val="none"/>
          <w:lang w:bidi="ar"/>
        </w:rPr>
        <w:t>/ [(I</w:t>
      </w:r>
      <w:r>
        <w:rPr>
          <w:rStyle w:val="12"/>
          <w:kern w:val="0"/>
          <w:sz w:val="20"/>
          <w:szCs w:val="20"/>
          <w:highlight w:val="none"/>
          <w:vertAlign w:val="subscript"/>
          <w:lang w:bidi="ar"/>
        </w:rPr>
        <w:t>R</w:t>
      </w:r>
      <w:r>
        <w:rPr>
          <w:rStyle w:val="12"/>
          <w:kern w:val="0"/>
          <w:sz w:val="20"/>
          <w:szCs w:val="20"/>
          <w:highlight w:val="none"/>
          <w:lang w:bidi="ar"/>
        </w:rPr>
        <w:t>/N) + I</w:t>
      </w:r>
      <w:r>
        <w:rPr>
          <w:rStyle w:val="12"/>
          <w:kern w:val="0"/>
          <w:sz w:val="20"/>
          <w:szCs w:val="20"/>
          <w:highlight w:val="none"/>
          <w:vertAlign w:val="subscript"/>
          <w:lang w:bidi="ar"/>
        </w:rPr>
        <w:t>D</w:t>
      </w:r>
      <w:r>
        <w:rPr>
          <w:rStyle w:val="12"/>
          <w:kern w:val="0"/>
          <w:sz w:val="20"/>
          <w:szCs w:val="20"/>
          <w:highlight w:val="none"/>
          <w:lang w:bidi="ar"/>
        </w:rPr>
        <w:t xml:space="preserve">]                              </w:t>
      </w:r>
      <w:r>
        <w:rPr>
          <w:rStyle w:val="12"/>
          <w:rFonts w:hint="eastAsia"/>
          <w:kern w:val="0"/>
          <w:sz w:val="20"/>
          <w:szCs w:val="20"/>
          <w:highlight w:val="none"/>
          <w:lang w:bidi="ar"/>
        </w:rPr>
        <w:t>（</w:t>
      </w:r>
      <w:r>
        <w:rPr>
          <w:rStyle w:val="12"/>
          <w:kern w:val="0"/>
          <w:sz w:val="20"/>
          <w:szCs w:val="20"/>
          <w:highlight w:val="none"/>
          <w:lang w:bidi="ar"/>
        </w:rPr>
        <w:t>2</w:t>
      </w:r>
      <w:r>
        <w:rPr>
          <w:rStyle w:val="12"/>
          <w:rFonts w:hint="eastAsia"/>
          <w:kern w:val="0"/>
          <w:sz w:val="20"/>
          <w:szCs w:val="20"/>
          <w:highlight w:val="none"/>
          <w:lang w:bidi="ar"/>
        </w:rPr>
        <w:t>）</w:t>
      </w:r>
    </w:p>
    <w:p w14:paraId="16F77DB7">
      <w:pPr>
        <w:pStyle w:val="4"/>
        <w:spacing w:beforeAutospacing="0" w:afterAutospacing="0" w:line="312" w:lineRule="auto"/>
        <w:rPr>
          <w:rStyle w:val="12"/>
          <w:rFonts w:eastAsia="宋体"/>
          <w:sz w:val="20"/>
          <w:szCs w:val="20"/>
          <w:highlight w:val="none"/>
          <w:lang w:bidi="ar"/>
        </w:rPr>
      </w:pPr>
      <w:r>
        <w:rPr>
          <w:rStyle w:val="12"/>
          <w:rFonts w:hint="eastAsia" w:eastAsia="宋体"/>
          <w:sz w:val="20"/>
          <w:szCs w:val="20"/>
          <w:highlight w:val="none"/>
          <w:lang w:val="en-US" w:eastAsia="zh-CN" w:bidi="ar"/>
        </w:rPr>
        <w:t>w</w:t>
      </w:r>
      <w:r>
        <w:rPr>
          <w:rStyle w:val="12"/>
          <w:rFonts w:eastAsia="宋体"/>
          <w:sz w:val="20"/>
          <w:szCs w:val="20"/>
          <w:highlight w:val="none"/>
          <w:lang w:bidi="ar"/>
        </w:rPr>
        <w:t>here I</w:t>
      </w:r>
      <w:r>
        <w:rPr>
          <w:rStyle w:val="12"/>
          <w:rFonts w:eastAsia="宋体"/>
          <w:sz w:val="20"/>
          <w:szCs w:val="20"/>
          <w:highlight w:val="none"/>
          <w:vertAlign w:val="subscript"/>
          <w:lang w:bidi="ar"/>
        </w:rPr>
        <w:t>D</w:t>
      </w:r>
      <w:r>
        <w:rPr>
          <w:rStyle w:val="12"/>
          <w:rFonts w:eastAsia="宋体"/>
          <w:sz w:val="20"/>
          <w:szCs w:val="20"/>
          <w:highlight w:val="none"/>
          <w:lang w:bidi="ar"/>
        </w:rPr>
        <w:t xml:space="preserve"> and I</w:t>
      </w:r>
      <w:r>
        <w:rPr>
          <w:rStyle w:val="12"/>
          <w:rFonts w:eastAsia="宋体"/>
          <w:sz w:val="20"/>
          <w:szCs w:val="20"/>
          <w:highlight w:val="none"/>
          <w:vertAlign w:val="subscript"/>
          <w:lang w:bidi="ar"/>
        </w:rPr>
        <w:t>R</w:t>
      </w:r>
      <w:r>
        <w:rPr>
          <w:rStyle w:val="12"/>
          <w:rFonts w:eastAsia="宋体"/>
          <w:sz w:val="20"/>
          <w:szCs w:val="20"/>
          <w:highlight w:val="none"/>
          <w:lang w:bidi="ar"/>
        </w:rPr>
        <w:t xml:space="preserve"> represent the disk current and ring current, respectively, and the ring current collection efficiency N is 0.37.</w:t>
      </w:r>
    </w:p>
    <w:p w14:paraId="2F9EA428">
      <w:pPr>
        <w:pStyle w:val="4"/>
        <w:spacing w:before="105" w:beforeAutospacing="0" w:afterAutospacing="0" w:line="312" w:lineRule="auto"/>
        <w:ind w:firstLine="216" w:firstLineChars="100"/>
        <w:jc w:val="both"/>
        <w:rPr>
          <w:rStyle w:val="12"/>
          <w:rFonts w:eastAsia="宋体"/>
          <w:sz w:val="20"/>
          <w:szCs w:val="20"/>
          <w:highlight w:val="none"/>
          <w:lang w:bidi="ar"/>
        </w:rPr>
      </w:pPr>
      <w:r>
        <w:rPr>
          <w:rStyle w:val="12"/>
          <w:rFonts w:eastAsia="宋体"/>
          <w:sz w:val="20"/>
          <w:szCs w:val="20"/>
          <w:highlight w:val="none"/>
          <w:lang w:bidi="ar"/>
        </w:rPr>
        <w:t>The Tafel slope of the electrochemical oxygen reduction process was obtained by fitting the linear part of the Tafel plot using the Tafel equation. In a saturated inert gas electrolyte, the double-layer capacitance (Cdl) was measured by cyclic voltammetry (CV) in the non-Faradaic potential range of 0.75 to 1.15 V vs. RHE at scan rates of 20, 40, 60, 80, 100, 120, 140, and 160 mV s⁻¹. Electrochemical impedance spectroscopy (EIS) was performed at open-circuit voltage with test frequencies ranging from 0.1 to 10⁶ Hz, and the data was fitted using ZView software. The electrochemical stability was tested using the accelerated stability test (AST) method, which involves multiple CV cycles in an O</w:t>
      </w:r>
      <w:r>
        <w:rPr>
          <w:rStyle w:val="12"/>
          <w:rFonts w:eastAsia="宋体"/>
          <w:sz w:val="20"/>
          <w:szCs w:val="20"/>
          <w:highlight w:val="none"/>
          <w:vertAlign w:val="subscript"/>
          <w:lang w:bidi="ar"/>
        </w:rPr>
        <w:t>2</w:t>
      </w:r>
      <w:r>
        <w:rPr>
          <w:rStyle w:val="12"/>
          <w:rFonts w:eastAsia="宋体"/>
          <w:sz w:val="20"/>
          <w:szCs w:val="20"/>
          <w:highlight w:val="none"/>
          <w:lang w:bidi="ar"/>
        </w:rPr>
        <w:t>-saturated electrolyte within the potential range of 0.6 to 1.0 V vs. RHE, and comparing the changes in ORR performance before and after cycling.</w:t>
      </w:r>
    </w:p>
    <w:p w14:paraId="740C61BA">
      <w:pPr>
        <w:pStyle w:val="4"/>
        <w:spacing w:before="105" w:beforeAutospacing="0" w:afterAutospacing="0" w:line="312" w:lineRule="auto"/>
        <w:ind w:firstLine="216" w:firstLineChars="100"/>
        <w:rPr>
          <w:rStyle w:val="12"/>
          <w:rFonts w:eastAsia="宋体"/>
          <w:sz w:val="20"/>
          <w:szCs w:val="20"/>
          <w:highlight w:val="none"/>
          <w:lang w:bidi="ar"/>
        </w:rPr>
      </w:pPr>
      <w:r>
        <w:rPr>
          <w:rStyle w:val="12"/>
          <w:rFonts w:eastAsia="宋体"/>
          <w:sz w:val="20"/>
          <w:szCs w:val="20"/>
          <w:highlight w:val="none"/>
          <w:lang w:bidi="ar"/>
        </w:rPr>
        <w:t xml:space="preserve"> The kinetic current density of the catalyst was calculated using the following formula:</w:t>
      </w:r>
    </w:p>
    <w:p w14:paraId="1A0E1C8D">
      <w:pPr>
        <w:pStyle w:val="14"/>
        <w:ind w:firstLine="3104" w:firstLineChars="1600"/>
        <w:rPr>
          <w:rStyle w:val="12"/>
          <w:kern w:val="0"/>
          <w:highlight w:val="none"/>
          <w:lang w:bidi="ar"/>
        </w:rPr>
      </w:pPr>
      <w:r>
        <w:rPr>
          <w:rStyle w:val="12"/>
          <w:kern w:val="0"/>
          <w:highlight w:val="none"/>
          <w:lang w:bidi="ar"/>
        </w:rPr>
        <w:drawing>
          <wp:inline distT="0" distB="0" distL="114300" distR="114300">
            <wp:extent cx="504825" cy="276225"/>
            <wp:effectExtent l="0" t="0" r="0" b="0"/>
            <wp:docPr id="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pic:cNvPicPr>
                      <a:picLocks noChangeAspect="1"/>
                    </pic:cNvPicPr>
                  </pic:nvPicPr>
                  <pic:blipFill>
                    <a:blip r:embed="rId4">
                      <a:clrChange>
                        <a:clrFrom>
                          <a:srgbClr val="FFFFFF"/>
                        </a:clrFrom>
                        <a:clrTo>
                          <a:srgbClr val="FFFFFF">
                            <a:alpha val="0"/>
                          </a:srgbClr>
                        </a:clrTo>
                      </a:clrChange>
                    </a:blip>
                    <a:stretch>
                      <a:fillRect/>
                    </a:stretch>
                  </pic:blipFill>
                  <pic:spPr>
                    <a:xfrm>
                      <a:off x="0" y="0"/>
                      <a:ext cx="504825" cy="276225"/>
                    </a:xfrm>
                    <a:prstGeom prst="rect">
                      <a:avLst/>
                    </a:prstGeom>
                    <a:noFill/>
                    <a:ln>
                      <a:noFill/>
                    </a:ln>
                  </pic:spPr>
                </pic:pic>
              </a:graphicData>
            </a:graphic>
          </wp:inline>
        </w:drawing>
      </w:r>
      <w:r>
        <w:rPr>
          <w:rStyle w:val="12"/>
          <w:kern w:val="0"/>
          <w:highlight w:val="none"/>
          <w:lang w:bidi="ar"/>
        </w:rPr>
        <w:t xml:space="preserve">                          </w:t>
      </w:r>
      <w:r>
        <w:rPr>
          <w:rStyle w:val="12"/>
          <w:rFonts w:hint="eastAsia"/>
          <w:kern w:val="0"/>
          <w:sz w:val="20"/>
          <w:szCs w:val="20"/>
          <w:highlight w:val="none"/>
          <w:lang w:bidi="ar"/>
        </w:rPr>
        <w:t>（</w:t>
      </w:r>
      <w:r>
        <w:rPr>
          <w:rStyle w:val="12"/>
          <w:kern w:val="0"/>
          <w:sz w:val="20"/>
          <w:szCs w:val="20"/>
          <w:highlight w:val="none"/>
          <w:lang w:bidi="ar"/>
        </w:rPr>
        <w:t>3</w:t>
      </w:r>
      <w:r>
        <w:rPr>
          <w:rStyle w:val="12"/>
          <w:rFonts w:hint="eastAsia"/>
          <w:kern w:val="0"/>
          <w:sz w:val="20"/>
          <w:szCs w:val="20"/>
          <w:highlight w:val="none"/>
          <w:lang w:bidi="ar"/>
        </w:rPr>
        <w:t>）</w:t>
      </w:r>
    </w:p>
    <w:p w14:paraId="2A6A09FE">
      <w:pPr>
        <w:pStyle w:val="4"/>
        <w:spacing w:beforeAutospacing="0" w:afterAutospacing="0" w:line="312" w:lineRule="auto"/>
        <w:rPr>
          <w:rStyle w:val="12"/>
          <w:rFonts w:eastAsia="宋体"/>
          <w:kern w:val="2"/>
          <w:highlight w:val="none"/>
          <w:lang w:bidi="ar"/>
        </w:rPr>
      </w:pPr>
      <w:r>
        <w:rPr>
          <w:rStyle w:val="12"/>
          <w:rFonts w:hint="eastAsia" w:eastAsia="宋体"/>
          <w:highlight w:val="none"/>
          <w:lang w:val="en-US" w:eastAsia="zh-CN" w:bidi="ar"/>
        </w:rPr>
        <w:t>w</w:t>
      </w:r>
      <w:r>
        <w:rPr>
          <w:rStyle w:val="12"/>
          <w:rFonts w:eastAsia="宋体"/>
          <w:highlight w:val="none"/>
          <w:lang w:bidi="ar"/>
        </w:rPr>
        <w:t>here J</w:t>
      </w:r>
      <w:r>
        <w:rPr>
          <w:rStyle w:val="12"/>
          <w:rFonts w:eastAsia="宋体"/>
          <w:highlight w:val="none"/>
          <w:vertAlign w:val="subscript"/>
          <w:lang w:bidi="ar"/>
        </w:rPr>
        <w:t>k</w:t>
      </w:r>
      <w:r>
        <w:rPr>
          <w:rStyle w:val="12"/>
          <w:rFonts w:eastAsia="宋体"/>
          <w:highlight w:val="none"/>
          <w:lang w:bidi="ar"/>
        </w:rPr>
        <w:t xml:space="preserve"> represents the kinetic current density, J is the measured current density, and J</w:t>
      </w:r>
      <w:r>
        <w:rPr>
          <w:rStyle w:val="12"/>
          <w:rFonts w:eastAsia="宋体"/>
          <w:highlight w:val="none"/>
          <w:vertAlign w:val="subscript"/>
          <w:lang w:bidi="ar"/>
        </w:rPr>
        <w:t>L</w:t>
      </w:r>
      <w:r>
        <w:rPr>
          <w:rStyle w:val="12"/>
          <w:rFonts w:eastAsia="宋体"/>
          <w:highlight w:val="none"/>
          <w:lang w:bidi="ar"/>
        </w:rPr>
        <w:t xml:space="preserve"> is the diffusion-limited current density.</w:t>
      </w:r>
    </w:p>
    <w:p w14:paraId="410E14AA">
      <w:pPr>
        <w:pStyle w:val="4"/>
        <w:spacing w:before="105" w:beforeAutospacing="0" w:afterAutospacing="0" w:line="312" w:lineRule="auto"/>
        <w:ind w:firstLine="194" w:firstLineChars="100"/>
        <w:rPr>
          <w:rStyle w:val="12"/>
          <w:rFonts w:eastAsia="宋体"/>
          <w:kern w:val="2"/>
          <w:highlight w:val="none"/>
          <w:lang w:bidi="ar"/>
        </w:rPr>
      </w:pPr>
      <w:r>
        <w:rPr>
          <w:rStyle w:val="12"/>
          <w:rFonts w:eastAsia="宋体"/>
          <w:highlight w:val="none"/>
          <w:lang w:bidi="ar"/>
        </w:rPr>
        <w:t>To compare the intrinsic activity, the mass activity (MA) is calculated as follows:</w:t>
      </w:r>
    </w:p>
    <w:p w14:paraId="543B8ADC">
      <w:pPr>
        <w:pStyle w:val="14"/>
        <w:ind w:firstLine="0" w:firstLineChars="0"/>
        <w:rPr>
          <w:rStyle w:val="12"/>
          <w:kern w:val="0"/>
          <w:highlight w:val="none"/>
          <w:lang w:bidi="ar"/>
        </w:rPr>
      </w:pPr>
    </w:p>
    <w:p w14:paraId="0B4AF03E">
      <w:pPr>
        <w:pStyle w:val="14"/>
        <w:ind w:firstLine="3104" w:firstLineChars="1600"/>
        <w:rPr>
          <w:rStyle w:val="12"/>
          <w:kern w:val="0"/>
          <w:highlight w:val="none"/>
          <w:lang w:bidi="ar"/>
        </w:rPr>
      </w:pPr>
      <w:r>
        <w:rPr>
          <w:rStyle w:val="12"/>
          <w:rFonts w:hint="eastAsia"/>
          <w:kern w:val="0"/>
          <w:highlight w:val="none"/>
          <w:lang w:bidi="ar"/>
        </w:rPr>
        <w:drawing>
          <wp:inline distT="0" distB="0" distL="114300" distR="114300">
            <wp:extent cx="548005" cy="266700"/>
            <wp:effectExtent l="0" t="0" r="4445" b="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a:picLocks noChangeAspect="1"/>
                    </pic:cNvPicPr>
                  </pic:nvPicPr>
                  <pic:blipFill>
                    <a:blip r:embed="rId5">
                      <a:clrChange>
                        <a:clrFrom>
                          <a:srgbClr val="FFFFFF"/>
                        </a:clrFrom>
                        <a:clrTo>
                          <a:srgbClr val="FFFFFF">
                            <a:alpha val="0"/>
                          </a:srgbClr>
                        </a:clrTo>
                      </a:clrChange>
                    </a:blip>
                    <a:stretch>
                      <a:fillRect/>
                    </a:stretch>
                  </pic:blipFill>
                  <pic:spPr>
                    <a:xfrm>
                      <a:off x="0" y="0"/>
                      <a:ext cx="548005" cy="266700"/>
                    </a:xfrm>
                    <a:prstGeom prst="rect">
                      <a:avLst/>
                    </a:prstGeom>
                    <a:noFill/>
                    <a:ln>
                      <a:noFill/>
                    </a:ln>
                  </pic:spPr>
                </pic:pic>
              </a:graphicData>
            </a:graphic>
          </wp:inline>
        </w:drawing>
      </w:r>
      <w:r>
        <w:rPr>
          <w:rStyle w:val="12"/>
          <w:kern w:val="0"/>
          <w:highlight w:val="none"/>
          <w:lang w:bidi="ar"/>
        </w:rPr>
        <w:t xml:space="preserve">                          </w:t>
      </w:r>
      <w:r>
        <w:rPr>
          <w:rStyle w:val="12"/>
          <w:rFonts w:hint="eastAsia"/>
          <w:kern w:val="0"/>
          <w:sz w:val="20"/>
          <w:szCs w:val="20"/>
          <w:highlight w:val="none"/>
          <w:lang w:bidi="ar"/>
        </w:rPr>
        <w:t>（</w:t>
      </w:r>
      <w:r>
        <w:rPr>
          <w:rStyle w:val="12"/>
          <w:kern w:val="0"/>
          <w:sz w:val="20"/>
          <w:szCs w:val="20"/>
          <w:highlight w:val="none"/>
          <w:lang w:bidi="ar"/>
        </w:rPr>
        <w:t>4</w:t>
      </w:r>
      <w:r>
        <w:rPr>
          <w:rStyle w:val="12"/>
          <w:rFonts w:hint="eastAsia"/>
          <w:kern w:val="0"/>
          <w:sz w:val="20"/>
          <w:szCs w:val="20"/>
          <w:highlight w:val="none"/>
          <w:lang w:bidi="ar"/>
        </w:rPr>
        <w:t>）</w:t>
      </w:r>
    </w:p>
    <w:p w14:paraId="54EF3797">
      <w:pPr>
        <w:pStyle w:val="4"/>
        <w:spacing w:beforeAutospacing="0" w:afterAutospacing="0" w:line="312" w:lineRule="auto"/>
        <w:rPr>
          <w:rStyle w:val="12"/>
          <w:rFonts w:eastAsia="宋体"/>
          <w:sz w:val="20"/>
          <w:szCs w:val="20"/>
          <w:highlight w:val="none"/>
          <w:lang w:bidi="ar"/>
        </w:rPr>
      </w:pPr>
      <w:r>
        <w:rPr>
          <w:rStyle w:val="12"/>
          <w:rFonts w:hint="eastAsia" w:eastAsia="宋体"/>
          <w:sz w:val="20"/>
          <w:szCs w:val="20"/>
          <w:highlight w:val="none"/>
          <w:lang w:val="en-US" w:eastAsia="zh-CN" w:bidi="ar"/>
        </w:rPr>
        <w:t>w</w:t>
      </w:r>
      <w:r>
        <w:rPr>
          <w:rStyle w:val="12"/>
          <w:rFonts w:eastAsia="宋体"/>
          <w:sz w:val="20"/>
          <w:szCs w:val="20"/>
          <w:highlight w:val="none"/>
          <w:lang w:bidi="ar"/>
        </w:rPr>
        <w:t>here J</w:t>
      </w:r>
      <w:r>
        <w:rPr>
          <w:rStyle w:val="12"/>
          <w:rFonts w:eastAsia="宋体"/>
          <w:sz w:val="20"/>
          <w:szCs w:val="20"/>
          <w:highlight w:val="none"/>
          <w:vertAlign w:val="subscript"/>
          <w:lang w:bidi="ar"/>
        </w:rPr>
        <w:t>k</w:t>
      </w:r>
      <w:r>
        <w:rPr>
          <w:rStyle w:val="12"/>
          <w:rFonts w:eastAsia="宋体"/>
          <w:sz w:val="20"/>
          <w:szCs w:val="20"/>
          <w:highlight w:val="none"/>
          <w:lang w:bidi="ar"/>
        </w:rPr>
        <w:t xml:space="preserve"> represents the kinetic current density, m is the mass loading of the electrocatalyst, and r</w:t>
      </w:r>
      <w:r>
        <w:rPr>
          <w:rStyle w:val="12"/>
          <w:rFonts w:eastAsia="宋体"/>
          <w:sz w:val="20"/>
          <w:szCs w:val="20"/>
          <w:highlight w:val="none"/>
          <w:vertAlign w:val="subscript"/>
          <w:lang w:bidi="ar"/>
        </w:rPr>
        <w:t>f</w:t>
      </w:r>
      <w:r>
        <w:rPr>
          <w:rStyle w:val="12"/>
          <w:rFonts w:eastAsia="宋体"/>
          <w:sz w:val="20"/>
          <w:szCs w:val="20"/>
          <w:highlight w:val="none"/>
          <w:lang w:bidi="ar"/>
        </w:rPr>
        <w:t xml:space="preserve"> is the roughness factor.</w:t>
      </w:r>
    </w:p>
    <w:p w14:paraId="7834771D">
      <w:pPr>
        <w:pStyle w:val="4"/>
        <w:spacing w:before="105" w:beforeAutospacing="0" w:afterAutospacing="0" w:line="312" w:lineRule="auto"/>
        <w:ind w:firstLine="216" w:firstLineChars="100"/>
        <w:rPr>
          <w:rStyle w:val="12"/>
          <w:rFonts w:eastAsia="宋体"/>
          <w:sz w:val="20"/>
          <w:szCs w:val="20"/>
          <w:highlight w:val="none"/>
          <w:lang w:bidi="ar"/>
        </w:rPr>
      </w:pPr>
      <w:r>
        <w:rPr>
          <w:rStyle w:val="12"/>
          <w:rFonts w:eastAsia="宋体"/>
          <w:sz w:val="20"/>
          <w:szCs w:val="20"/>
          <w:highlight w:val="none"/>
          <w:lang w:bidi="ar"/>
        </w:rPr>
        <w:t>The roughness factor r</w:t>
      </w:r>
      <w:r>
        <w:rPr>
          <w:rStyle w:val="12"/>
          <w:rFonts w:eastAsia="宋体"/>
          <w:sz w:val="20"/>
          <w:szCs w:val="20"/>
          <w:highlight w:val="none"/>
          <w:vertAlign w:val="subscript"/>
          <w:lang w:bidi="ar"/>
        </w:rPr>
        <w:t>f</w:t>
      </w:r>
      <w:r>
        <w:rPr>
          <w:rStyle w:val="12"/>
          <w:rFonts w:eastAsia="宋体"/>
          <w:sz w:val="20"/>
          <w:szCs w:val="20"/>
          <w:highlight w:val="none"/>
          <w:lang w:bidi="ar"/>
        </w:rPr>
        <w:t xml:space="preserve"> can be calculated as follows:</w:t>
      </w:r>
    </w:p>
    <w:p w14:paraId="0FCA9CE2">
      <w:pPr>
        <w:pStyle w:val="14"/>
        <w:ind w:firstLine="3104" w:firstLineChars="1600"/>
        <w:rPr>
          <w:rStyle w:val="12"/>
          <w:kern w:val="0"/>
          <w:highlight w:val="none"/>
          <w:lang w:bidi="ar"/>
        </w:rPr>
      </w:pPr>
      <w:r>
        <w:rPr>
          <w:rStyle w:val="12"/>
          <w:rFonts w:hint="eastAsia"/>
          <w:kern w:val="0"/>
          <w:highlight w:val="none"/>
          <w:lang w:bidi="ar"/>
        </w:rPr>
        <w:drawing>
          <wp:inline distT="0" distB="0" distL="114300" distR="114300">
            <wp:extent cx="438150" cy="290830"/>
            <wp:effectExtent l="0" t="0" r="0" b="0"/>
            <wp:docPr id="4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9"/>
                    <pic:cNvPicPr>
                      <a:picLocks noChangeAspect="1"/>
                    </pic:cNvPicPr>
                  </pic:nvPicPr>
                  <pic:blipFill>
                    <a:blip r:embed="rId6">
                      <a:clrChange>
                        <a:clrFrom>
                          <a:srgbClr val="FFFFFF"/>
                        </a:clrFrom>
                        <a:clrTo>
                          <a:srgbClr val="FFFFFF">
                            <a:alpha val="0"/>
                          </a:srgbClr>
                        </a:clrTo>
                      </a:clrChange>
                    </a:blip>
                    <a:stretch>
                      <a:fillRect/>
                    </a:stretch>
                  </pic:blipFill>
                  <pic:spPr>
                    <a:xfrm>
                      <a:off x="0" y="0"/>
                      <a:ext cx="438150" cy="290830"/>
                    </a:xfrm>
                    <a:prstGeom prst="rect">
                      <a:avLst/>
                    </a:prstGeom>
                    <a:noFill/>
                    <a:ln>
                      <a:noFill/>
                    </a:ln>
                  </pic:spPr>
                </pic:pic>
              </a:graphicData>
            </a:graphic>
          </wp:inline>
        </w:drawing>
      </w:r>
      <w:r>
        <w:rPr>
          <w:rStyle w:val="12"/>
          <w:kern w:val="0"/>
          <w:highlight w:val="none"/>
          <w:lang w:bidi="ar"/>
        </w:rPr>
        <w:t xml:space="preserve">                          </w:t>
      </w:r>
      <w:r>
        <w:rPr>
          <w:rStyle w:val="12"/>
          <w:rFonts w:hint="eastAsia"/>
          <w:kern w:val="0"/>
          <w:sz w:val="20"/>
          <w:szCs w:val="20"/>
          <w:highlight w:val="none"/>
          <w:lang w:bidi="ar"/>
        </w:rPr>
        <w:t>（</w:t>
      </w:r>
      <w:r>
        <w:rPr>
          <w:rStyle w:val="12"/>
          <w:kern w:val="0"/>
          <w:sz w:val="20"/>
          <w:szCs w:val="20"/>
          <w:highlight w:val="none"/>
          <w:lang w:bidi="ar"/>
        </w:rPr>
        <w:t>5</w:t>
      </w:r>
      <w:r>
        <w:rPr>
          <w:rStyle w:val="12"/>
          <w:rFonts w:hint="eastAsia"/>
          <w:kern w:val="0"/>
          <w:sz w:val="20"/>
          <w:szCs w:val="20"/>
          <w:highlight w:val="none"/>
          <w:lang w:bidi="ar"/>
        </w:rPr>
        <w:t>）</w:t>
      </w:r>
    </w:p>
    <w:p w14:paraId="6AF13BA0">
      <w:pPr>
        <w:pStyle w:val="4"/>
        <w:spacing w:beforeAutospacing="0" w:afterAutospacing="0" w:line="312" w:lineRule="auto"/>
        <w:rPr>
          <w:rStyle w:val="12"/>
          <w:rFonts w:eastAsia="宋体"/>
          <w:sz w:val="20"/>
          <w:szCs w:val="20"/>
          <w:highlight w:val="none"/>
          <w:lang w:bidi="ar"/>
        </w:rPr>
      </w:pPr>
      <w:r>
        <w:rPr>
          <w:rStyle w:val="12"/>
          <w:rFonts w:hint="eastAsia" w:eastAsia="宋体"/>
          <w:sz w:val="20"/>
          <w:szCs w:val="20"/>
          <w:highlight w:val="none"/>
          <w:lang w:val="en-US" w:eastAsia="zh-CN" w:bidi="ar"/>
        </w:rPr>
        <w:t>w</w:t>
      </w:r>
      <w:r>
        <w:rPr>
          <w:rStyle w:val="12"/>
          <w:rFonts w:eastAsia="宋体"/>
          <w:sz w:val="20"/>
          <w:szCs w:val="20"/>
          <w:highlight w:val="none"/>
          <w:lang w:bidi="ar"/>
        </w:rPr>
        <w:t>here A</w:t>
      </w:r>
      <w:r>
        <w:rPr>
          <w:rStyle w:val="12"/>
          <w:rFonts w:eastAsia="宋体"/>
          <w:sz w:val="20"/>
          <w:szCs w:val="20"/>
          <w:highlight w:val="none"/>
          <w:vertAlign w:val="subscript"/>
          <w:lang w:bidi="ar"/>
        </w:rPr>
        <w:t>real</w:t>
      </w:r>
      <w:r>
        <w:rPr>
          <w:rStyle w:val="12"/>
          <w:rFonts w:eastAsia="宋体"/>
          <w:sz w:val="20"/>
          <w:szCs w:val="20"/>
          <w:highlight w:val="none"/>
          <w:lang w:bidi="ar"/>
        </w:rPr>
        <w:t xml:space="preserve"> represents the true surface area of the electrocatalyst, and  A</w:t>
      </w:r>
      <w:r>
        <w:rPr>
          <w:rStyle w:val="12"/>
          <w:rFonts w:eastAsia="宋体"/>
          <w:sz w:val="20"/>
          <w:szCs w:val="20"/>
          <w:highlight w:val="none"/>
          <w:vertAlign w:val="subscript"/>
          <w:lang w:bidi="ar"/>
        </w:rPr>
        <w:t>geo</w:t>
      </w:r>
      <w:r>
        <w:rPr>
          <w:rStyle w:val="12"/>
          <w:rFonts w:eastAsia="宋体"/>
          <w:sz w:val="20"/>
          <w:szCs w:val="20"/>
          <w:highlight w:val="none"/>
          <w:lang w:bidi="ar"/>
        </w:rPr>
        <w:t xml:space="preserve"> represents the geometric area of the working electrode. In this work, A</w:t>
      </w:r>
      <w:r>
        <w:rPr>
          <w:rStyle w:val="12"/>
          <w:rFonts w:eastAsia="宋体"/>
          <w:sz w:val="20"/>
          <w:szCs w:val="20"/>
          <w:highlight w:val="none"/>
          <w:vertAlign w:val="subscript"/>
          <w:lang w:bidi="ar"/>
        </w:rPr>
        <w:t>real</w:t>
      </w:r>
      <w:r>
        <w:rPr>
          <w:rStyle w:val="12"/>
          <w:rFonts w:eastAsia="宋体"/>
          <w:sz w:val="20"/>
          <w:szCs w:val="20"/>
          <w:highlight w:val="none"/>
          <w:lang w:bidi="ar"/>
        </w:rPr>
        <w:t xml:space="preserve"> refers to the electrochemically active surface area (ECSA) measured through the CV curve.</w:t>
      </w:r>
    </w:p>
    <w:p w14:paraId="43896BCD">
      <w:pPr>
        <w:pStyle w:val="4"/>
        <w:spacing w:before="105" w:beforeAutospacing="0" w:afterAutospacing="0" w:line="312" w:lineRule="auto"/>
        <w:ind w:firstLine="216" w:firstLineChars="100"/>
        <w:rPr>
          <w:rStyle w:val="12"/>
          <w:rFonts w:eastAsia="宋体"/>
          <w:sz w:val="20"/>
          <w:szCs w:val="20"/>
          <w:highlight w:val="none"/>
          <w:lang w:bidi="ar"/>
        </w:rPr>
      </w:pPr>
      <w:r>
        <w:rPr>
          <w:rStyle w:val="12"/>
          <w:rFonts w:eastAsia="宋体"/>
          <w:sz w:val="20"/>
          <w:szCs w:val="20"/>
          <w:highlight w:val="none"/>
          <w:lang w:bidi="ar"/>
        </w:rPr>
        <w:t>Therefore, the mass activity ratio of the catalyst is (translated as):</w:t>
      </w:r>
    </w:p>
    <w:p w14:paraId="0BDC5412">
      <w:pPr>
        <w:pStyle w:val="14"/>
        <w:ind w:firstLine="3114" w:firstLineChars="1483"/>
        <w:rPr>
          <w:rFonts w:cs="宋体"/>
          <w:sz w:val="20"/>
          <w:szCs w:val="20"/>
          <w:highlight w:val="none"/>
        </w:rPr>
      </w:pPr>
      <w:r>
        <w:rPr>
          <w:rFonts w:hint="eastAsia" w:ascii="等线" w:hAnsi="等线" w:eastAsia="等线"/>
          <w:position w:val="-23"/>
          <w:sz w:val="21"/>
          <w:szCs w:val="22"/>
          <w:highlight w:val="none"/>
          <w:lang w:bidi="ar"/>
        </w:rPr>
        <w:drawing>
          <wp:inline distT="0" distB="0" distL="114300" distR="114300">
            <wp:extent cx="1323975" cy="281305"/>
            <wp:effectExtent l="0" t="0" r="0" b="0"/>
            <wp:docPr id="7"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0"/>
                    <pic:cNvPicPr>
                      <a:picLocks noChangeAspect="1"/>
                    </pic:cNvPicPr>
                  </pic:nvPicPr>
                  <pic:blipFill>
                    <a:blip r:embed="rId7">
                      <a:clrChange>
                        <a:clrFrom>
                          <a:srgbClr val="FFFFFF"/>
                        </a:clrFrom>
                        <a:clrTo>
                          <a:srgbClr val="FFFFFF">
                            <a:alpha val="0"/>
                          </a:srgbClr>
                        </a:clrTo>
                      </a:clrChange>
                    </a:blip>
                    <a:stretch>
                      <a:fillRect/>
                    </a:stretch>
                  </pic:blipFill>
                  <pic:spPr>
                    <a:xfrm>
                      <a:off x="0" y="0"/>
                      <a:ext cx="1323975" cy="281305"/>
                    </a:xfrm>
                    <a:prstGeom prst="rect">
                      <a:avLst/>
                    </a:prstGeom>
                    <a:noFill/>
                    <a:ln>
                      <a:noFill/>
                    </a:ln>
                  </pic:spPr>
                </pic:pic>
              </a:graphicData>
            </a:graphic>
          </wp:inline>
        </w:drawing>
      </w:r>
      <w:r>
        <w:rPr>
          <w:sz w:val="18"/>
          <w:szCs w:val="18"/>
          <w:highlight w:val="none"/>
        </w:rPr>
        <w:t xml:space="preserve">              </w:t>
      </w:r>
      <w:r>
        <w:rPr>
          <w:rFonts w:hint="eastAsia" w:cs="宋体"/>
          <w:sz w:val="20"/>
          <w:szCs w:val="20"/>
          <w:highlight w:val="none"/>
        </w:rPr>
        <w:t>（</w:t>
      </w:r>
      <w:r>
        <w:rPr>
          <w:sz w:val="20"/>
          <w:szCs w:val="20"/>
          <w:highlight w:val="none"/>
        </w:rPr>
        <w:t>6</w:t>
      </w:r>
      <w:r>
        <w:rPr>
          <w:rFonts w:hint="eastAsia" w:cs="宋体"/>
          <w:sz w:val="20"/>
          <w:szCs w:val="20"/>
          <w:highlight w:val="none"/>
        </w:rPr>
        <w:t>）</w:t>
      </w:r>
    </w:p>
    <w:p w14:paraId="66514E91">
      <w:pPr>
        <w:pStyle w:val="14"/>
        <w:ind w:firstLine="0" w:firstLineChars="0"/>
        <w:rPr>
          <w:b/>
          <w:bCs/>
          <w:w w:val="108"/>
          <w:sz w:val="20"/>
          <w:szCs w:val="20"/>
          <w:highlight w:val="none"/>
          <w:lang w:bidi="ar"/>
        </w:rPr>
      </w:pPr>
      <w:r>
        <w:rPr>
          <w:b/>
          <w:bCs/>
          <w:w w:val="108"/>
          <w:sz w:val="20"/>
          <w:szCs w:val="20"/>
          <w:highlight w:val="none"/>
          <w:lang w:bidi="ar"/>
        </w:rPr>
        <w:t>Active Site Quantification in Fe-N/C Catalysts via the Nitrite Probe Method</w:t>
      </w:r>
    </w:p>
    <w:p w14:paraId="3CDD5BBC">
      <w:pPr>
        <w:pStyle w:val="14"/>
        <w:ind w:firstLine="0" w:firstLineChars="0"/>
        <w:rPr>
          <w:w w:val="108"/>
          <w:sz w:val="20"/>
          <w:szCs w:val="20"/>
          <w:highlight w:val="none"/>
          <w:lang w:bidi="ar"/>
        </w:rPr>
      </w:pPr>
      <w:r>
        <w:rPr>
          <w:w w:val="108"/>
          <w:sz w:val="20"/>
          <w:szCs w:val="20"/>
          <w:highlight w:val="none"/>
          <w:lang w:val="de-DE" w:bidi="ar"/>
        </w:rPr>
        <w:t>The reaction mechanism is as follows:</w:t>
      </w:r>
    </w:p>
    <w:p w14:paraId="2F6FE46E">
      <w:pPr>
        <w:pStyle w:val="14"/>
        <w:ind w:firstLine="0" w:firstLineChars="0"/>
        <w:jc w:val="center"/>
        <w:rPr>
          <w:w w:val="108"/>
          <w:sz w:val="20"/>
          <w:szCs w:val="20"/>
          <w:highlight w:val="none"/>
          <w:lang w:bidi="ar"/>
        </w:rPr>
      </w:pPr>
      <w:r>
        <w:rPr>
          <w:sz w:val="20"/>
          <w:szCs w:val="20"/>
          <w:highlight w:val="none"/>
          <w:lang w:bidi="ar"/>
        </w:rPr>
        <mc:AlternateContent>
          <mc:Choice Requires="wps">
            <w:drawing>
              <wp:anchor distT="0" distB="0" distL="114300" distR="114300" simplePos="0" relativeHeight="251659264" behindDoc="0" locked="0" layoutInCell="1" allowOverlap="1">
                <wp:simplePos x="0" y="0"/>
                <wp:positionH relativeFrom="column">
                  <wp:posOffset>4163060</wp:posOffset>
                </wp:positionH>
                <wp:positionV relativeFrom="paragraph">
                  <wp:posOffset>1423035</wp:posOffset>
                </wp:positionV>
                <wp:extent cx="290195" cy="208280"/>
                <wp:effectExtent l="0" t="0" r="14605" b="20955"/>
                <wp:wrapNone/>
                <wp:docPr id="1011712657" name="文本框 1"/>
                <wp:cNvGraphicFramePr/>
                <a:graphic xmlns:a="http://schemas.openxmlformats.org/drawingml/2006/main">
                  <a:graphicData uri="http://schemas.microsoft.com/office/word/2010/wordprocessingShape">
                    <wps:wsp>
                      <wps:cNvSpPr txBox="1"/>
                      <wps:spPr>
                        <a:xfrm>
                          <a:off x="0" y="0"/>
                          <a:ext cx="290354" cy="208015"/>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632F2767"/>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1" o:spid="_x0000_s1026" o:spt="202" type="#_x0000_t202" style="position:absolute;left:0pt;margin-left:327.8pt;margin-top:112.05pt;height:16.4pt;width:22.85pt;z-index:251659264;mso-width-relative:page;mso-height-relative:page;" fillcolor="#FFFFFF [3201]" filled="t" stroked="t" coordsize="21600,21600" o:gfxdata="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">
                <v:fill on="t" focussize="0,0"/>
                <v:stroke weight="1pt" color="#FFFFFF [3212]" miterlimit="8" joinstyle="miter"/>
                <v:imagedata o:title=""/>
                <o:lock v:ext="edit" aspectratio="f"/>
                <v:textbox>
                  <w:txbxContent>
                    <w:p w14:paraId="632F2767"/>
                  </w:txbxContent>
                </v:textbox>
              </v:shape>
            </w:pict>
          </mc:Fallback>
        </mc:AlternateContent>
      </w:r>
      <w:r>
        <w:rPr>
          <w:w w:val="108"/>
          <w:sz w:val="20"/>
          <w:szCs w:val="20"/>
          <w:highlight w:val="none"/>
          <w:lang w:bidi="ar"/>
        </w:rPr>
        <w:drawing>
          <wp:inline distT="0" distB="0" distL="0" distR="0">
            <wp:extent cx="3527425" cy="788035"/>
            <wp:effectExtent l="0" t="0" r="0" b="0"/>
            <wp:docPr id="21885303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853030" name="图片 1"/>
                    <pic:cNvPicPr>
                      <a:picLocks noChangeAspect="1"/>
                    </pic:cNvPicPr>
                  </pic:nvPicPr>
                  <pic:blipFill>
                    <a:blip r:embed="rId8"/>
                    <a:stretch>
                      <a:fillRect/>
                    </a:stretch>
                  </pic:blipFill>
                  <pic:spPr>
                    <a:xfrm>
                      <a:off x="0" y="0"/>
                      <a:ext cx="3571233" cy="797967"/>
                    </a:xfrm>
                    <a:prstGeom prst="rect">
                      <a:avLst/>
                    </a:prstGeom>
                  </pic:spPr>
                </pic:pic>
              </a:graphicData>
            </a:graphic>
          </wp:inline>
        </w:drawing>
      </w:r>
      <w:r>
        <w:rPr>
          <w:w w:val="108"/>
          <w:sz w:val="20"/>
          <w:szCs w:val="20"/>
          <w:highlight w:val="none"/>
          <w:lang w:bidi="ar"/>
        </w:rPr>
        <w:drawing>
          <wp:inline distT="0" distB="0" distL="0" distR="0">
            <wp:extent cx="3656965" cy="843280"/>
            <wp:effectExtent l="0" t="0" r="635" b="0"/>
            <wp:docPr id="25105007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050072" name="图片 1"/>
                    <pic:cNvPicPr>
                      <a:picLocks noChangeAspect="1"/>
                    </pic:cNvPicPr>
                  </pic:nvPicPr>
                  <pic:blipFill>
                    <a:blip r:embed="rId9"/>
                    <a:stretch>
                      <a:fillRect/>
                    </a:stretch>
                  </pic:blipFill>
                  <pic:spPr>
                    <a:xfrm>
                      <a:off x="0" y="0"/>
                      <a:ext cx="3687947" cy="850552"/>
                    </a:xfrm>
                    <a:prstGeom prst="rect">
                      <a:avLst/>
                    </a:prstGeom>
                  </pic:spPr>
                </pic:pic>
              </a:graphicData>
            </a:graphic>
          </wp:inline>
        </w:drawing>
      </w:r>
    </w:p>
    <w:p w14:paraId="56592872">
      <w:pPr>
        <w:pStyle w:val="14"/>
        <w:ind w:firstLine="216" w:firstLineChars="100"/>
        <w:rPr>
          <w:w w:val="108"/>
          <w:sz w:val="20"/>
          <w:szCs w:val="20"/>
          <w:highlight w:val="none"/>
          <w:lang w:bidi="ar"/>
        </w:rPr>
      </w:pPr>
      <w:r>
        <w:rPr>
          <w:bCs/>
          <w:w w:val="108"/>
          <w:sz w:val="20"/>
          <w:szCs w:val="20"/>
          <w:highlight w:val="none"/>
          <w:lang w:bidi="ar"/>
        </w:rPr>
        <w:t>Electrode Preparation and Conditioning</w:t>
      </w:r>
      <w:r>
        <w:rPr>
          <w:w w:val="108"/>
          <w:sz w:val="20"/>
          <w:szCs w:val="20"/>
          <w:highlight w:val="none"/>
          <w:lang w:bidi="ar"/>
        </w:rPr>
        <w:t xml:space="preserve">: A catalyst ink (5 mg catalyst, 475 µL IPA, 475 µL water, 50 µL 5 wt% Nafion) was drop-cast onto a glassy carbon electrode (loading ~0.27 mg cm⁻²). The electrode was cycled in 0.5 M acetate buffer (pH 5.2) as follows until stable CVs were obtained: first, in N₂-saturated electrolyte between 1.05 and -0.4 V vs. RHE for 20 cycles at </w:t>
      </w:r>
      <w:r>
        <w:rPr>
          <w:bCs/>
          <w:w w:val="108"/>
          <w:sz w:val="20"/>
          <w:szCs w:val="20"/>
          <w:highlight w:val="none"/>
          <w:lang w:bidi="ar"/>
        </w:rPr>
        <w:t>100 mV s⁻¹</w:t>
      </w:r>
      <w:r>
        <w:rPr>
          <w:w w:val="108"/>
          <w:sz w:val="20"/>
          <w:szCs w:val="20"/>
          <w:highlight w:val="none"/>
          <w:lang w:bidi="ar"/>
        </w:rPr>
        <w:t xml:space="preserve"> followed by 10 cycles at </w:t>
      </w:r>
      <w:r>
        <w:rPr>
          <w:bCs/>
          <w:w w:val="108"/>
          <w:sz w:val="20"/>
          <w:szCs w:val="20"/>
          <w:highlight w:val="none"/>
          <w:lang w:bidi="ar"/>
        </w:rPr>
        <w:t>10 mV s⁻¹</w:t>
      </w:r>
      <w:r>
        <w:rPr>
          <w:w w:val="108"/>
          <w:sz w:val="20"/>
          <w:szCs w:val="20"/>
          <w:highlight w:val="none"/>
          <w:lang w:bidi="ar"/>
        </w:rPr>
        <w:t xml:space="preserve">; then, in O₂-saturated electrolyte between 1.0 and 0.3 V vs. RHE for 6 cycles at </w:t>
      </w:r>
      <w:r>
        <w:rPr>
          <w:bCs/>
          <w:w w:val="108"/>
          <w:sz w:val="20"/>
          <w:szCs w:val="20"/>
          <w:highlight w:val="none"/>
          <w:lang w:bidi="ar"/>
        </w:rPr>
        <w:t>5 mV s⁻¹</w:t>
      </w:r>
      <w:r>
        <w:rPr>
          <w:w w:val="108"/>
          <w:sz w:val="20"/>
          <w:szCs w:val="20"/>
          <w:highlight w:val="none"/>
          <w:lang w:bidi="ar"/>
        </w:rPr>
        <w:t>. This sequence was repeated 3-4 times.</w:t>
      </w:r>
    </w:p>
    <w:p w14:paraId="58538672">
      <w:pPr>
        <w:pStyle w:val="14"/>
        <w:ind w:firstLine="216" w:firstLineChars="100"/>
        <w:rPr>
          <w:w w:val="108"/>
          <w:sz w:val="20"/>
          <w:szCs w:val="20"/>
          <w:highlight w:val="none"/>
          <w:lang w:bidi="ar"/>
        </w:rPr>
      </w:pPr>
      <w:r>
        <w:rPr>
          <w:bCs/>
          <w:w w:val="108"/>
          <w:sz w:val="20"/>
          <w:szCs w:val="20"/>
          <w:highlight w:val="none"/>
          <w:lang w:bidi="ar"/>
        </w:rPr>
        <w:t>Unpoisoned State Test</w:t>
      </w:r>
      <w:r>
        <w:rPr>
          <w:w w:val="108"/>
          <w:sz w:val="20"/>
          <w:szCs w:val="20"/>
          <w:highlight w:val="none"/>
          <w:lang w:bidi="ar"/>
        </w:rPr>
        <w:t xml:space="preserve">: </w:t>
      </w:r>
      <w:r>
        <w:rPr>
          <w:bCs/>
          <w:w w:val="108"/>
          <w:sz w:val="20"/>
          <w:szCs w:val="20"/>
          <w:highlight w:val="none"/>
          <w:lang w:bidi="ar"/>
        </w:rPr>
        <w:t>ORR Performance</w:t>
      </w:r>
      <w:r>
        <w:rPr>
          <w:w w:val="108"/>
          <w:sz w:val="20"/>
          <w:szCs w:val="20"/>
          <w:highlight w:val="none"/>
          <w:lang w:bidi="ar"/>
        </w:rPr>
        <w:t xml:space="preserve">: Polarization curves from 1.0 to 0.3 V vs. RHE were recorded in O₂-saturated electrolyte at </w:t>
      </w:r>
      <w:r>
        <w:rPr>
          <w:bCs/>
          <w:w w:val="108"/>
          <w:sz w:val="20"/>
          <w:szCs w:val="20"/>
          <w:highlight w:val="none"/>
          <w:lang w:bidi="ar"/>
        </w:rPr>
        <w:t>5 mV s⁻¹</w:t>
      </w:r>
      <w:r>
        <w:rPr>
          <w:w w:val="108"/>
          <w:sz w:val="20"/>
          <w:szCs w:val="20"/>
          <w:highlight w:val="none"/>
          <w:lang w:bidi="ar"/>
        </w:rPr>
        <w:t>.</w:t>
      </w:r>
    </w:p>
    <w:p w14:paraId="39CEB091">
      <w:pPr>
        <w:pStyle w:val="14"/>
        <w:ind w:firstLineChars="0"/>
        <w:rPr>
          <w:w w:val="108"/>
          <w:sz w:val="20"/>
          <w:szCs w:val="20"/>
          <w:highlight w:val="none"/>
          <w:lang w:bidi="ar"/>
        </w:rPr>
      </w:pPr>
      <w:r>
        <w:rPr>
          <w:bCs/>
          <w:w w:val="108"/>
          <w:sz w:val="20"/>
          <w:szCs w:val="20"/>
          <w:highlight w:val="none"/>
          <w:lang w:bidi="ar"/>
        </w:rPr>
        <w:t>Background CVs</w:t>
      </w:r>
      <w:r>
        <w:rPr>
          <w:w w:val="108"/>
          <w:sz w:val="20"/>
          <w:szCs w:val="20"/>
          <w:highlight w:val="none"/>
          <w:lang w:bidi="ar"/>
        </w:rPr>
        <w:t xml:space="preserve">: Both wide-range (1.0 to 0.3 V, </w:t>
      </w:r>
      <w:r>
        <w:rPr>
          <w:bCs/>
          <w:w w:val="108"/>
          <w:sz w:val="20"/>
          <w:szCs w:val="20"/>
          <w:highlight w:val="none"/>
          <w:lang w:bidi="ar"/>
        </w:rPr>
        <w:t>10 mV s⁻¹</w:t>
      </w:r>
      <w:r>
        <w:rPr>
          <w:w w:val="108"/>
          <w:sz w:val="20"/>
          <w:szCs w:val="20"/>
          <w:highlight w:val="none"/>
          <w:lang w:bidi="ar"/>
        </w:rPr>
        <w:t xml:space="preserve">) and narrow-range (0.4 to -0.3 V, </w:t>
      </w:r>
      <w:r>
        <w:rPr>
          <w:bCs/>
          <w:w w:val="108"/>
          <w:sz w:val="20"/>
          <w:szCs w:val="20"/>
          <w:highlight w:val="none"/>
          <w:lang w:bidi="ar"/>
        </w:rPr>
        <w:t>10 mV s⁻¹</w:t>
      </w:r>
      <w:r>
        <w:rPr>
          <w:w w:val="108"/>
          <w:sz w:val="20"/>
          <w:szCs w:val="20"/>
          <w:highlight w:val="none"/>
          <w:lang w:bidi="ar"/>
        </w:rPr>
        <w:t>) background CVs were recorded in N₂-saturated electrolyte.</w:t>
      </w:r>
    </w:p>
    <w:p w14:paraId="07C386BF">
      <w:pPr>
        <w:pStyle w:val="14"/>
        <w:ind w:firstLineChars="0"/>
        <w:rPr>
          <w:w w:val="108"/>
          <w:sz w:val="20"/>
          <w:szCs w:val="20"/>
          <w:highlight w:val="none"/>
          <w:lang w:bidi="ar"/>
        </w:rPr>
      </w:pPr>
      <w:r>
        <w:rPr>
          <w:bCs/>
          <w:w w:val="108"/>
          <w:sz w:val="20"/>
          <w:szCs w:val="20"/>
          <w:highlight w:val="none"/>
          <w:lang w:bidi="ar"/>
        </w:rPr>
        <w:t>Poisoning Treatment</w:t>
      </w:r>
      <w:r>
        <w:rPr>
          <w:w w:val="108"/>
          <w:sz w:val="20"/>
          <w:szCs w:val="20"/>
          <w:highlight w:val="none"/>
          <w:lang w:bidi="ar"/>
        </w:rPr>
        <w:t>: The electrode was immersed in 0.125 M NaNO₂ solution and held at open-circuit potential for 5 min (300 rpm), followed by thorough sequential washing with ultrapure water, acetate buffer, and ultrapure water again.</w:t>
      </w:r>
    </w:p>
    <w:p w14:paraId="63A66BCE">
      <w:pPr>
        <w:pStyle w:val="14"/>
        <w:ind w:firstLineChars="0"/>
        <w:rPr>
          <w:w w:val="108"/>
          <w:sz w:val="20"/>
          <w:szCs w:val="20"/>
          <w:highlight w:val="none"/>
          <w:lang w:bidi="ar"/>
        </w:rPr>
      </w:pPr>
      <w:r>
        <w:rPr>
          <w:bCs/>
          <w:w w:val="108"/>
          <w:sz w:val="20"/>
          <w:szCs w:val="20"/>
          <w:highlight w:val="none"/>
          <w:lang w:bidi="ar"/>
        </w:rPr>
        <w:t>Post-Poisoning Test</w:t>
      </w:r>
      <w:r>
        <w:rPr>
          <w:w w:val="108"/>
          <w:sz w:val="20"/>
          <w:szCs w:val="20"/>
          <w:highlight w:val="none"/>
          <w:lang w:bidi="ar"/>
        </w:rPr>
        <w:t xml:space="preserve">: </w:t>
      </w:r>
      <w:r>
        <w:rPr>
          <w:bCs/>
          <w:w w:val="108"/>
          <w:sz w:val="20"/>
          <w:szCs w:val="20"/>
          <w:highlight w:val="none"/>
          <w:lang w:bidi="ar"/>
        </w:rPr>
        <w:t>ORR Performance</w:t>
      </w:r>
      <w:r>
        <w:rPr>
          <w:w w:val="108"/>
          <w:sz w:val="20"/>
          <w:szCs w:val="20"/>
          <w:highlight w:val="none"/>
          <w:lang w:bidi="ar"/>
        </w:rPr>
        <w:t xml:space="preserve">: ORR polarization curves after poisoning were recorded in O₂-saturated electrolyte at </w:t>
      </w:r>
      <w:r>
        <w:rPr>
          <w:bCs/>
          <w:w w:val="108"/>
          <w:sz w:val="20"/>
          <w:szCs w:val="20"/>
          <w:highlight w:val="none"/>
          <w:lang w:bidi="ar"/>
        </w:rPr>
        <w:t>5 mV s⁻¹</w:t>
      </w:r>
      <w:r>
        <w:rPr>
          <w:w w:val="108"/>
          <w:sz w:val="20"/>
          <w:szCs w:val="20"/>
          <w:highlight w:val="none"/>
          <w:lang w:bidi="ar"/>
        </w:rPr>
        <w:t>.</w:t>
      </w:r>
    </w:p>
    <w:p w14:paraId="37E00B3F">
      <w:pPr>
        <w:pStyle w:val="14"/>
        <w:ind w:firstLineChars="0"/>
        <w:rPr>
          <w:w w:val="108"/>
          <w:sz w:val="20"/>
          <w:szCs w:val="20"/>
          <w:highlight w:val="none"/>
          <w:lang w:bidi="ar"/>
        </w:rPr>
      </w:pPr>
      <w:r>
        <w:rPr>
          <w:bCs/>
          <w:w w:val="108"/>
          <w:sz w:val="20"/>
          <w:szCs w:val="20"/>
          <w:highlight w:val="none"/>
          <w:lang w:bidi="ar"/>
        </w:rPr>
        <w:t>Background CVs</w:t>
      </w:r>
      <w:r>
        <w:rPr>
          <w:w w:val="108"/>
          <w:sz w:val="20"/>
          <w:szCs w:val="20"/>
          <w:highlight w:val="none"/>
          <w:lang w:bidi="ar"/>
        </w:rPr>
        <w:t>: Both wide-range and narrow-range background CVs (same parameters as above) were recorded again in N₂-saturated electrolyte after poisoning.</w:t>
      </w:r>
    </w:p>
    <w:p w14:paraId="59636A8D">
      <w:pPr>
        <w:pStyle w:val="14"/>
        <w:ind w:firstLineChars="0"/>
        <w:rPr>
          <w:w w:val="108"/>
          <w:sz w:val="20"/>
          <w:szCs w:val="20"/>
          <w:highlight w:val="none"/>
          <w:lang w:bidi="ar"/>
        </w:rPr>
      </w:pPr>
      <w:r>
        <w:rPr>
          <w:bCs/>
          <w:w w:val="108"/>
          <w:sz w:val="20"/>
          <w:szCs w:val="20"/>
          <w:highlight w:val="none"/>
          <w:lang w:bidi="ar"/>
        </w:rPr>
        <w:t>Reductive Stripping Test</w:t>
      </w:r>
      <w:r>
        <w:rPr>
          <w:rFonts w:hint="eastAsia"/>
          <w:bCs/>
          <w:w w:val="108"/>
          <w:sz w:val="20"/>
          <w:szCs w:val="20"/>
          <w:highlight w:val="none"/>
          <w:lang w:bidi="ar"/>
        </w:rPr>
        <w:t xml:space="preserve"> and </w:t>
      </w:r>
      <w:r>
        <w:rPr>
          <w:bCs/>
          <w:w w:val="108"/>
          <w:sz w:val="20"/>
          <w:szCs w:val="20"/>
          <w:highlight w:val="none"/>
          <w:lang w:bidi="ar"/>
        </w:rPr>
        <w:t>Post-Stripping Recovery Test</w:t>
      </w:r>
      <w:r>
        <w:rPr>
          <w:rFonts w:hint="eastAsia"/>
          <w:bCs/>
          <w:w w:val="108"/>
          <w:sz w:val="20"/>
          <w:szCs w:val="20"/>
          <w:highlight w:val="none"/>
          <w:lang w:bidi="ar"/>
        </w:rPr>
        <w:t>:</w:t>
      </w:r>
      <w:r>
        <w:rPr>
          <w:bCs/>
          <w:w w:val="108"/>
          <w:sz w:val="20"/>
          <w:szCs w:val="20"/>
          <w:highlight w:val="none"/>
          <w:lang w:bidi="ar"/>
        </w:rPr>
        <w:t xml:space="preserve"> </w:t>
      </w:r>
      <w:r>
        <w:rPr>
          <w:w w:val="108"/>
          <w:sz w:val="20"/>
          <w:szCs w:val="20"/>
          <w:highlight w:val="none"/>
          <w:lang w:bidi="ar"/>
        </w:rPr>
        <w:t xml:space="preserve">ORR polarization curves were recorded again in O₂-saturated electrolyte at </w:t>
      </w:r>
      <w:r>
        <w:rPr>
          <w:bCs/>
          <w:w w:val="108"/>
          <w:sz w:val="20"/>
          <w:szCs w:val="20"/>
          <w:highlight w:val="none"/>
          <w:lang w:bidi="ar"/>
        </w:rPr>
        <w:t>5 mV s⁻¹</w:t>
      </w:r>
      <w:r>
        <w:rPr>
          <w:w w:val="108"/>
          <w:sz w:val="20"/>
          <w:szCs w:val="20"/>
          <w:highlight w:val="none"/>
          <w:lang w:bidi="ar"/>
        </w:rPr>
        <w:t xml:space="preserve"> to verify activity recovery.</w:t>
      </w:r>
    </w:p>
    <w:p w14:paraId="1C149898">
      <w:pPr>
        <w:pStyle w:val="14"/>
        <w:ind w:firstLineChars="0"/>
        <w:rPr>
          <w:w w:val="108"/>
          <w:sz w:val="20"/>
          <w:szCs w:val="20"/>
          <w:highlight w:val="none"/>
          <w:lang w:bidi="ar"/>
        </w:rPr>
      </w:pPr>
      <w:r>
        <w:rPr>
          <w:bCs/>
          <w:w w:val="108"/>
          <w:sz w:val="20"/>
          <w:szCs w:val="20"/>
          <w:highlight w:val="none"/>
          <w:lang w:bidi="ar"/>
        </w:rPr>
        <w:t>Background CVs</w:t>
      </w:r>
      <w:r>
        <w:rPr>
          <w:w w:val="108"/>
          <w:sz w:val="20"/>
          <w:szCs w:val="20"/>
          <w:highlight w:val="none"/>
          <w:lang w:bidi="ar"/>
        </w:rPr>
        <w:t>: Both wide-range and narrow-range background CVs were recorded once more in N₂-saturated electrolyte after the stripping step.</w:t>
      </w:r>
    </w:p>
    <w:p w14:paraId="341E8B7E">
      <w:pPr>
        <w:pStyle w:val="14"/>
        <w:ind w:firstLineChars="0"/>
        <w:rPr>
          <w:w w:val="108"/>
          <w:sz w:val="20"/>
          <w:szCs w:val="20"/>
          <w:highlight w:val="none"/>
          <w:lang w:bidi="ar"/>
        </w:rPr>
      </w:pPr>
      <w:r>
        <w:rPr>
          <w:bCs/>
          <w:w w:val="108"/>
          <w:sz w:val="20"/>
          <w:szCs w:val="20"/>
          <w:highlight w:val="none"/>
          <w:lang w:bidi="ar"/>
        </w:rPr>
        <w:t>Data Processing</w:t>
      </w:r>
      <w:r>
        <w:rPr>
          <w:w w:val="108"/>
          <w:sz w:val="20"/>
          <w:szCs w:val="20"/>
          <w:highlight w:val="none"/>
          <w:lang w:bidi="ar"/>
        </w:rPr>
        <w:t>:</w:t>
      </w:r>
      <w:bookmarkStart w:id="2" w:name="_Hlk216041980"/>
      <w:r>
        <w:rPr>
          <w:w w:val="108"/>
          <w:sz w:val="20"/>
          <w:szCs w:val="20"/>
          <w:highlight w:val="none"/>
          <w:lang w:bidi="ar"/>
        </w:rPr>
        <w:t xml:space="preserve"> The charge difference between the poisoned and unpoisoned narrow-range CVs was integrated to obtain the stripping charge (Q</w:t>
      </w:r>
      <w:r>
        <w:rPr>
          <w:w w:val="108"/>
          <w:sz w:val="20"/>
          <w:szCs w:val="20"/>
          <w:highlight w:val="none"/>
          <w:vertAlign w:val="subscript"/>
          <w:lang w:bidi="ar"/>
        </w:rPr>
        <w:t>strip</w:t>
      </w:r>
      <w:r>
        <w:rPr>
          <w:w w:val="108"/>
          <w:sz w:val="20"/>
          <w:szCs w:val="20"/>
          <w:highlight w:val="none"/>
          <w:lang w:bidi="ar"/>
        </w:rPr>
        <w:t>). The massic site density (MSD) was calculated using a 5</w:t>
      </w:r>
      <w:r>
        <w:rPr>
          <w:w w:val="108"/>
          <w:sz w:val="20"/>
          <w:szCs w:val="20"/>
          <w:highlight w:val="none"/>
          <w:lang w:bidi="ar"/>
        </w:rPr>
        <w:noBreakHyphen/>
      </w:r>
      <w:r>
        <w:rPr>
          <w:w w:val="108"/>
          <w:sz w:val="20"/>
          <w:szCs w:val="20"/>
          <w:highlight w:val="none"/>
          <w:lang w:bidi="ar"/>
        </w:rPr>
        <w:t>electron transfer model</w:t>
      </w:r>
      <w:r>
        <w:rPr>
          <w:rFonts w:hint="eastAsia"/>
          <w:w w:val="108"/>
          <w:sz w:val="20"/>
          <w:szCs w:val="20"/>
          <w:highlight w:val="none"/>
          <w:lang w:bidi="ar"/>
        </w:rPr>
        <w:t>:</w:t>
      </w:r>
    </w:p>
    <w:p w14:paraId="04CD2365">
      <w:pPr>
        <w:pStyle w:val="14"/>
        <w:ind w:firstLineChars="0"/>
        <w:jc w:val="center"/>
        <w:rPr>
          <w:rStyle w:val="12"/>
          <w:rFonts w:hAnsi="Cambria Math"/>
          <w:i w:val="0"/>
          <w:kern w:val="0"/>
          <w:sz w:val="20"/>
          <w:szCs w:val="20"/>
          <w:highlight w:val="none"/>
          <w:lang w:bidi="ar"/>
        </w:rPr>
      </w:pPr>
      <w:r>
        <w:rPr>
          <w:rStyle w:val="12"/>
          <w:kern w:val="0"/>
          <w:sz w:val="20"/>
          <w:szCs w:val="20"/>
          <w:highlight w:val="none"/>
          <w:lang w:bidi="ar"/>
        </w:rPr>
        <w:t>MSD (</w:t>
      </w:r>
      <m:oMath>
        <m:r>
          <m:rPr/>
          <w:rPr>
            <w:rFonts w:ascii="Cambria Math" w:hAnsi="Cambria Math"/>
            <w:w w:val="108"/>
            <w:sz w:val="20"/>
            <w:szCs w:val="20"/>
            <w:highlight w:val="none"/>
            <w:lang w:bidi="ar"/>
          </w:rPr>
          <m:t>mol</m:t>
        </m:r>
        <m:sSup>
          <m:sSupPr>
            <m:ctrlPr>
              <w:rPr>
                <w:rStyle w:val="12"/>
                <w:rFonts w:ascii="Cambria Math" w:hAnsi="Cambria Math" w:eastAsia="MS Mincho"/>
                <w:i/>
                <w:kern w:val="0"/>
                <w:sz w:val="20"/>
                <w:szCs w:val="20"/>
                <w:highlight w:val="none"/>
                <w:lang w:val="de-DE" w:eastAsia="ja-JP" w:bidi="ar"/>
              </w:rPr>
            </m:ctrlPr>
          </m:sSupPr>
          <m:e>
            <m:r>
              <m:rPr/>
              <w:rPr>
                <w:rStyle w:val="12"/>
                <w:rFonts w:ascii="Cambria Math" w:hAnsi="Cambria Math"/>
                <w:sz w:val="20"/>
                <w:szCs w:val="20"/>
                <w:highlight w:val="none"/>
                <w:lang w:bidi="ar"/>
              </w:rPr>
              <m:t>g</m:t>
            </m:r>
            <m:ctrlPr>
              <w:rPr>
                <w:rStyle w:val="12"/>
                <w:rFonts w:ascii="Cambria Math" w:hAnsi="Cambria Math" w:eastAsia="MS Mincho"/>
                <w:i/>
                <w:kern w:val="0"/>
                <w:sz w:val="20"/>
                <w:szCs w:val="20"/>
                <w:highlight w:val="none"/>
                <w:lang w:val="de-DE" w:eastAsia="ja-JP" w:bidi="ar"/>
              </w:rPr>
            </m:ctrlPr>
          </m:e>
          <m:sup>
            <m:r>
              <m:rPr/>
              <w:rPr>
                <w:rStyle w:val="12"/>
                <w:rFonts w:ascii="Cambria Math" w:hAnsi="Cambria Math"/>
                <w:sz w:val="20"/>
                <w:szCs w:val="20"/>
                <w:highlight w:val="none"/>
                <w:lang w:bidi="ar"/>
              </w:rPr>
              <m:t>−</m:t>
            </m:r>
            <m:r>
              <m:rPr/>
              <w:rPr>
                <w:rStyle w:val="12"/>
                <w:rFonts w:ascii="Cambria Math" w:hAnsi="Cambria Math" w:eastAsiaTheme="minorEastAsia"/>
                <w:sz w:val="20"/>
                <w:szCs w:val="20"/>
                <w:highlight w:val="none"/>
                <w:lang w:bidi="ar"/>
              </w:rPr>
              <m:t>1</m:t>
            </m:r>
            <m:ctrlPr>
              <w:rPr>
                <w:rStyle w:val="12"/>
                <w:rFonts w:ascii="Cambria Math" w:hAnsi="Cambria Math" w:eastAsia="MS Mincho"/>
                <w:i/>
                <w:kern w:val="0"/>
                <w:sz w:val="20"/>
                <w:szCs w:val="20"/>
                <w:highlight w:val="none"/>
                <w:lang w:val="de-DE" w:eastAsia="ja-JP" w:bidi="ar"/>
              </w:rPr>
            </m:ctrlPr>
          </m:sup>
        </m:sSup>
      </m:oMath>
      <w:r>
        <w:rPr>
          <w:rStyle w:val="12"/>
          <w:kern w:val="0"/>
          <w:sz w:val="20"/>
          <w:szCs w:val="20"/>
          <w:highlight w:val="none"/>
          <w:lang w:bidi="ar"/>
        </w:rPr>
        <w:t>) =</w:t>
      </w:r>
      <m:oMath>
        <m:f>
          <m:fPr>
            <m:ctrlPr>
              <w:rPr>
                <w:rStyle w:val="12"/>
                <w:rFonts w:ascii="Cambria Math" w:hAnsi="Cambria Math"/>
                <w:i/>
                <w:kern w:val="0"/>
                <w:sz w:val="20"/>
                <w:szCs w:val="20"/>
                <w:highlight w:val="none"/>
                <w:lang w:bidi="ar"/>
              </w:rPr>
            </m:ctrlPr>
          </m:fPr>
          <m:num>
            <m:sSub>
              <m:sSubPr>
                <m:ctrlPr>
                  <w:rPr>
                    <w:rFonts w:ascii="Cambria Math" w:hAnsi="Cambria Math"/>
                    <w:i/>
                    <w:w w:val="108"/>
                    <w:sz w:val="20"/>
                    <w:szCs w:val="20"/>
                    <w:highlight w:val="none"/>
                    <w:lang w:bidi="ar"/>
                  </w:rPr>
                </m:ctrlPr>
              </m:sSubPr>
              <m:e>
                <m:r>
                  <m:rPr/>
                  <w:rPr>
                    <w:rFonts w:ascii="Cambria Math" w:hAnsi="Cambria Math"/>
                    <w:w w:val="108"/>
                    <w:sz w:val="20"/>
                    <w:szCs w:val="20"/>
                    <w:highlight w:val="none"/>
                    <w:lang w:bidi="ar"/>
                  </w:rPr>
                  <m:t>Q</m:t>
                </m:r>
                <m:ctrlPr>
                  <w:rPr>
                    <w:rFonts w:ascii="Cambria Math" w:hAnsi="Cambria Math"/>
                    <w:i/>
                    <w:w w:val="108"/>
                    <w:sz w:val="20"/>
                    <w:szCs w:val="20"/>
                    <w:highlight w:val="none"/>
                    <w:lang w:bidi="ar"/>
                  </w:rPr>
                </m:ctrlPr>
              </m:e>
              <m:sub>
                <m:r>
                  <m:rPr/>
                  <w:rPr>
                    <w:rFonts w:ascii="Cambria Math" w:hAnsi="Cambria Math"/>
                    <w:w w:val="108"/>
                    <w:sz w:val="20"/>
                    <w:szCs w:val="20"/>
                    <w:highlight w:val="none"/>
                    <w:lang w:bidi="ar"/>
                  </w:rPr>
                  <m:t>strip</m:t>
                </m:r>
                <m:ctrlPr>
                  <w:rPr>
                    <w:rFonts w:ascii="Cambria Math" w:hAnsi="Cambria Math"/>
                    <w:i/>
                    <w:w w:val="108"/>
                    <w:sz w:val="20"/>
                    <w:szCs w:val="20"/>
                    <w:highlight w:val="none"/>
                    <w:lang w:bidi="ar"/>
                  </w:rPr>
                </m:ctrlPr>
              </m:sub>
            </m:sSub>
            <m:r>
              <m:rPr/>
              <w:rPr>
                <w:rStyle w:val="12"/>
                <w:rFonts w:ascii="Cambria Math" w:hAnsi="Cambria Math"/>
                <w:kern w:val="0"/>
                <w:sz w:val="20"/>
                <w:szCs w:val="20"/>
                <w:highlight w:val="none"/>
                <w:lang w:bidi="ar"/>
              </w:rPr>
              <m:t>(C</m:t>
            </m:r>
            <m:sSup>
              <m:sSupPr>
                <m:ctrlPr>
                  <w:rPr>
                    <w:rFonts w:ascii="Cambria Math" w:hAnsi="Cambria Math"/>
                    <w:i/>
                    <w:w w:val="108"/>
                    <w:sz w:val="20"/>
                    <w:szCs w:val="20"/>
                    <w:highlight w:val="none"/>
                    <w:lang w:bidi="ar"/>
                  </w:rPr>
                </m:ctrlPr>
              </m:sSupPr>
              <m:e>
                <m:r>
                  <m:rPr/>
                  <w:rPr>
                    <w:rFonts w:ascii="Cambria Math" w:hAnsi="Cambria Math"/>
                    <w:w w:val="108"/>
                    <w:sz w:val="20"/>
                    <w:szCs w:val="20"/>
                    <w:highlight w:val="none"/>
                    <w:lang w:bidi="ar"/>
                  </w:rPr>
                  <m:t>g</m:t>
                </m:r>
                <m:ctrlPr>
                  <w:rPr>
                    <w:rFonts w:ascii="Cambria Math" w:hAnsi="Cambria Math"/>
                    <w:i/>
                    <w:w w:val="108"/>
                    <w:sz w:val="20"/>
                    <w:szCs w:val="20"/>
                    <w:highlight w:val="none"/>
                    <w:lang w:bidi="ar"/>
                  </w:rPr>
                </m:ctrlPr>
              </m:e>
              <m:sup>
                <m:r>
                  <m:rPr/>
                  <w:rPr>
                    <w:rFonts w:ascii="Cambria Math" w:hAnsi="Cambria Math"/>
                    <w:w w:val="108"/>
                    <w:sz w:val="20"/>
                    <w:szCs w:val="20"/>
                    <w:highlight w:val="none"/>
                    <w:lang w:bidi="ar"/>
                  </w:rPr>
                  <m:t>−1</m:t>
                </m:r>
                <m:ctrlPr>
                  <w:rPr>
                    <w:rFonts w:ascii="Cambria Math" w:hAnsi="Cambria Math"/>
                    <w:i/>
                    <w:w w:val="108"/>
                    <w:sz w:val="20"/>
                    <w:szCs w:val="20"/>
                    <w:highlight w:val="none"/>
                    <w:lang w:bidi="ar"/>
                  </w:rPr>
                </m:ctrlPr>
              </m:sup>
            </m:sSup>
            <m:r>
              <m:rPr/>
              <w:rPr>
                <w:rStyle w:val="12"/>
                <w:rFonts w:ascii="Cambria Math" w:hAnsi="Cambria Math"/>
                <w:kern w:val="0"/>
                <w:sz w:val="20"/>
                <w:szCs w:val="20"/>
                <w:highlight w:val="none"/>
                <w:lang w:bidi="ar"/>
              </w:rPr>
              <m:t>)</m:t>
            </m:r>
            <m:ctrlPr>
              <w:rPr>
                <w:rStyle w:val="12"/>
                <w:rFonts w:ascii="Cambria Math" w:hAnsi="Cambria Math"/>
                <w:i/>
                <w:kern w:val="0"/>
                <w:sz w:val="20"/>
                <w:szCs w:val="20"/>
                <w:highlight w:val="none"/>
                <w:lang w:bidi="ar"/>
              </w:rPr>
            </m:ctrlPr>
          </m:num>
          <m:den>
            <m:sSub>
              <m:sSubPr>
                <m:ctrlPr>
                  <w:rPr>
                    <w:rFonts w:ascii="Cambria Math" w:hAnsi="Cambria Math"/>
                    <w:i/>
                    <w:w w:val="108"/>
                    <w:sz w:val="20"/>
                    <w:szCs w:val="20"/>
                    <w:highlight w:val="none"/>
                    <w:lang w:bidi="ar"/>
                  </w:rPr>
                </m:ctrlPr>
              </m:sSubPr>
              <m:e>
                <m:r>
                  <m:rPr/>
                  <w:rPr>
                    <w:rFonts w:ascii="Cambria Math" w:hAnsi="Cambria Math"/>
                    <w:w w:val="108"/>
                    <w:sz w:val="20"/>
                    <w:szCs w:val="20"/>
                    <w:highlight w:val="none"/>
                    <w:lang w:bidi="ar"/>
                  </w:rPr>
                  <m:t>n</m:t>
                </m:r>
                <m:ctrlPr>
                  <w:rPr>
                    <w:rFonts w:ascii="Cambria Math" w:hAnsi="Cambria Math"/>
                    <w:i/>
                    <w:w w:val="108"/>
                    <w:sz w:val="20"/>
                    <w:szCs w:val="20"/>
                    <w:highlight w:val="none"/>
                    <w:lang w:bidi="ar"/>
                  </w:rPr>
                </m:ctrlPr>
              </m:e>
              <m:sub>
                <m:r>
                  <m:rPr/>
                  <w:rPr>
                    <w:rFonts w:ascii="Cambria Math" w:hAnsi="Cambria Math"/>
                    <w:w w:val="108"/>
                    <w:sz w:val="20"/>
                    <w:szCs w:val="20"/>
                    <w:highlight w:val="none"/>
                    <w:lang w:bidi="ar"/>
                  </w:rPr>
                  <m:t>strip</m:t>
                </m:r>
                <m:ctrlPr>
                  <w:rPr>
                    <w:rFonts w:ascii="Cambria Math" w:hAnsi="Cambria Math"/>
                    <w:i/>
                    <w:w w:val="108"/>
                    <w:sz w:val="20"/>
                    <w:szCs w:val="20"/>
                    <w:highlight w:val="none"/>
                    <w:lang w:bidi="ar"/>
                  </w:rPr>
                </m:ctrlPr>
              </m:sub>
            </m:sSub>
            <m:r>
              <m:rPr/>
              <w:rPr>
                <w:rStyle w:val="12"/>
                <w:rFonts w:ascii="Cambria Math" w:hAnsi="Cambria Math"/>
                <w:kern w:val="0"/>
                <w:sz w:val="20"/>
                <w:szCs w:val="20"/>
                <w:highlight w:val="none"/>
                <w:lang w:bidi="ar"/>
              </w:rPr>
              <m:t xml:space="preserve"> × F</m:t>
            </m:r>
            <m:r>
              <m:rPr/>
              <w:rPr>
                <w:rStyle w:val="12"/>
                <w:rFonts w:hint="eastAsia" w:ascii="Cambria Math" w:hAnsi="Cambria Math"/>
                <w:kern w:val="0"/>
                <w:sz w:val="20"/>
                <w:szCs w:val="20"/>
                <w:highlight w:val="none"/>
                <w:lang w:bidi="ar"/>
              </w:rPr>
              <m:t>(C</m:t>
            </m:r>
            <m:sSup>
              <m:sSupPr>
                <m:ctrlPr>
                  <w:rPr>
                    <w:rFonts w:ascii="Cambria Math" w:hAnsi="Cambria Math"/>
                    <w:i/>
                    <w:w w:val="108"/>
                    <w:sz w:val="20"/>
                    <w:szCs w:val="20"/>
                    <w:highlight w:val="none"/>
                    <w:lang w:bidi="ar"/>
                  </w:rPr>
                </m:ctrlPr>
              </m:sSupPr>
              <m:e>
                <m:r>
                  <m:rPr/>
                  <w:rPr>
                    <w:rFonts w:ascii="Cambria Math" w:hAnsi="Cambria Math"/>
                    <w:w w:val="108"/>
                    <w:sz w:val="20"/>
                    <w:szCs w:val="20"/>
                    <w:highlight w:val="none"/>
                    <w:lang w:bidi="ar"/>
                  </w:rPr>
                  <m:t>mol</m:t>
                </m:r>
                <m:ctrlPr>
                  <w:rPr>
                    <w:rFonts w:ascii="Cambria Math" w:hAnsi="Cambria Math"/>
                    <w:i/>
                    <w:w w:val="108"/>
                    <w:sz w:val="20"/>
                    <w:szCs w:val="20"/>
                    <w:highlight w:val="none"/>
                    <w:lang w:bidi="ar"/>
                  </w:rPr>
                </m:ctrlPr>
              </m:e>
              <m:sup>
                <m:r>
                  <m:rPr/>
                  <w:rPr>
                    <w:rFonts w:ascii="Cambria Math" w:hAnsi="Cambria Math"/>
                    <w:w w:val="108"/>
                    <w:sz w:val="20"/>
                    <w:szCs w:val="20"/>
                    <w:highlight w:val="none"/>
                    <w:lang w:bidi="ar"/>
                  </w:rPr>
                  <m:t>−1</m:t>
                </m:r>
                <m:ctrlPr>
                  <w:rPr>
                    <w:rFonts w:ascii="Cambria Math" w:hAnsi="Cambria Math"/>
                    <w:i/>
                    <w:w w:val="108"/>
                    <w:sz w:val="20"/>
                    <w:szCs w:val="20"/>
                    <w:highlight w:val="none"/>
                    <w:lang w:bidi="ar"/>
                  </w:rPr>
                </m:ctrlPr>
              </m:sup>
            </m:sSup>
            <m:r>
              <m:rPr/>
              <w:rPr>
                <w:rStyle w:val="12"/>
                <w:rFonts w:hint="eastAsia" w:ascii="Cambria Math" w:hAnsi="Cambria Math"/>
                <w:kern w:val="0"/>
                <w:sz w:val="20"/>
                <w:szCs w:val="20"/>
                <w:highlight w:val="none"/>
                <w:lang w:bidi="ar"/>
              </w:rPr>
              <m:t>)</m:t>
            </m:r>
            <m:ctrlPr>
              <w:rPr>
                <w:rStyle w:val="12"/>
                <w:rFonts w:ascii="Cambria Math" w:hAnsi="Cambria Math"/>
                <w:i/>
                <w:kern w:val="0"/>
                <w:sz w:val="20"/>
                <w:szCs w:val="20"/>
                <w:highlight w:val="none"/>
                <w:lang w:bidi="ar"/>
              </w:rPr>
            </m:ctrlPr>
          </m:den>
        </m:f>
      </m:oMath>
    </w:p>
    <w:p w14:paraId="54A09D67">
      <w:pPr>
        <w:pStyle w:val="14"/>
        <w:ind w:left="0" w:leftChars="0" w:firstLine="0" w:firstLineChars="0"/>
        <w:jc w:val="both"/>
        <w:rPr>
          <w:w w:val="108"/>
          <w:sz w:val="20"/>
          <w:szCs w:val="20"/>
          <w:highlight w:val="none"/>
          <w:lang w:bidi="ar"/>
        </w:rPr>
      </w:pPr>
      <w:r>
        <w:rPr>
          <w:w w:val="108"/>
          <w:sz w:val="20"/>
          <w:szCs w:val="20"/>
          <w:highlight w:val="none"/>
          <w:lang w:val="de-DE" w:bidi="ar"/>
        </w:rPr>
        <w:t>where F is Faraday's constant (96485 C mol⁻¹).</w:t>
      </w:r>
    </w:p>
    <w:p w14:paraId="697F6E96">
      <w:pPr>
        <w:pStyle w:val="14"/>
        <w:ind w:firstLineChars="0"/>
        <w:rPr>
          <w:rStyle w:val="12"/>
          <w:rFonts w:eastAsiaTheme="minorEastAsia"/>
          <w:kern w:val="0"/>
          <w:sz w:val="20"/>
          <w:szCs w:val="20"/>
          <w:highlight w:val="none"/>
          <w:lang w:bidi="ar"/>
        </w:rPr>
      </w:pPr>
      <w:r>
        <w:rPr>
          <w:w w:val="108"/>
          <w:sz w:val="20"/>
          <w:szCs w:val="20"/>
          <w:highlight w:val="none"/>
          <w:lang w:bidi="ar"/>
        </w:rPr>
        <w:t>The turnover frequency (TOF) was calculated from the difference in kinetic current (</w:t>
      </w:r>
      <m:oMath>
        <m:sSub>
          <m:sSubPr>
            <m:ctrlPr>
              <w:rPr>
                <w:rFonts w:ascii="Cambria Math" w:hAnsi="Cambria Math"/>
                <w:highlight w:val="none"/>
                <w:lang w:bidi="ar"/>
              </w:rPr>
            </m:ctrlPr>
          </m:sSubPr>
          <m:e>
            <m:r>
              <m:rPr>
                <m:sty m:val="p"/>
              </m:rPr>
              <w:rPr>
                <w:rFonts w:ascii="Cambria Math" w:hAnsi="Cambria Math"/>
                <w:w w:val="108"/>
                <w:sz w:val="20"/>
                <w:szCs w:val="20"/>
                <w:highlight w:val="none"/>
                <w:lang w:bidi="ar"/>
              </w:rPr>
              <m:t>Δi</m:t>
            </m:r>
            <m:ctrlPr>
              <w:rPr>
                <w:rFonts w:ascii="Cambria Math" w:hAnsi="Cambria Math"/>
                <w:highlight w:val="none"/>
                <w:lang w:bidi="ar"/>
              </w:rPr>
            </m:ctrlPr>
          </m:e>
          <m:sub>
            <m:r>
              <m:rPr>
                <m:sty m:val="p"/>
              </m:rPr>
              <w:rPr>
                <w:rFonts w:ascii="Cambria Math" w:hAnsi="Cambria Math"/>
                <w:w w:val="108"/>
                <w:sz w:val="20"/>
                <w:szCs w:val="20"/>
                <w:highlight w:val="none"/>
                <w:lang w:bidi="ar"/>
              </w:rPr>
              <m:t>k</m:t>
            </m:r>
            <m:ctrlPr>
              <w:rPr>
                <w:rFonts w:ascii="Cambria Math" w:hAnsi="Cambria Math"/>
                <w:highlight w:val="none"/>
                <w:lang w:bidi="ar"/>
              </w:rPr>
            </m:ctrlPr>
          </m:sub>
        </m:sSub>
      </m:oMath>
      <w:r>
        <w:rPr>
          <w:w w:val="108"/>
          <w:sz w:val="20"/>
          <w:szCs w:val="20"/>
          <w:highlight w:val="none"/>
          <w:lang w:bidi="ar"/>
        </w:rPr>
        <w:t>) at 0.8 V vs. RHE before and after poisoning</w:t>
      </w:r>
      <w:r>
        <w:rPr>
          <w:rFonts w:hint="eastAsia"/>
          <w:w w:val="108"/>
          <w:sz w:val="20"/>
          <w:szCs w:val="20"/>
          <w:highlight w:val="none"/>
          <w:lang w:bidi="ar"/>
        </w:rPr>
        <w:t>:</w:t>
      </w:r>
    </w:p>
    <w:p w14:paraId="6605A84E">
      <w:pPr>
        <w:pStyle w:val="14"/>
        <w:ind w:firstLineChars="0"/>
        <w:jc w:val="center"/>
        <w:rPr>
          <w:w w:val="108"/>
          <w:sz w:val="20"/>
          <w:szCs w:val="20"/>
          <w:highlight w:val="none"/>
          <w:lang w:bidi="ar"/>
        </w:rPr>
      </w:pPr>
      <w:r>
        <w:rPr>
          <w:w w:val="108"/>
          <w:sz w:val="20"/>
          <w:szCs w:val="20"/>
          <w:highlight w:val="none"/>
          <w:lang w:bidi="ar"/>
        </w:rPr>
        <w:t>TOF</w:t>
      </w:r>
      <w:r>
        <w:rPr>
          <w:rFonts w:hint="eastAsia"/>
          <w:w w:val="108"/>
          <w:sz w:val="20"/>
          <w:szCs w:val="20"/>
          <w:highlight w:val="none"/>
          <w:lang w:bidi="ar"/>
        </w:rPr>
        <w:t>(s</w:t>
      </w:r>
      <w:r>
        <w:rPr>
          <w:rFonts w:hint="eastAsia"/>
          <w:w w:val="108"/>
          <w:sz w:val="20"/>
          <w:szCs w:val="20"/>
          <w:highlight w:val="none"/>
          <w:vertAlign w:val="superscript"/>
          <w:lang w:bidi="ar"/>
        </w:rPr>
        <w:t>-1</w:t>
      </w:r>
      <w:r>
        <w:rPr>
          <w:rFonts w:hint="eastAsia"/>
          <w:w w:val="108"/>
          <w:sz w:val="20"/>
          <w:szCs w:val="20"/>
          <w:highlight w:val="none"/>
          <w:lang w:bidi="ar"/>
        </w:rPr>
        <w:t>)</w:t>
      </w:r>
      <w:r>
        <w:rPr>
          <w:w w:val="108"/>
          <w:sz w:val="20"/>
          <w:szCs w:val="20"/>
          <w:highlight w:val="none"/>
          <w:lang w:bidi="ar"/>
        </w:rPr>
        <w:t xml:space="preserve"> =</w:t>
      </w:r>
      <m:oMath>
        <m:f>
          <m:fPr>
            <m:ctrlPr>
              <w:rPr>
                <w:rFonts w:ascii="Cambria Math" w:hAnsi="Cambria Math"/>
                <w:i/>
                <w:w w:val="108"/>
                <w:sz w:val="20"/>
                <w:szCs w:val="20"/>
                <w:highlight w:val="none"/>
                <w:lang w:bidi="ar"/>
              </w:rPr>
            </m:ctrlPr>
          </m:fPr>
          <m:num>
            <m:sSub>
              <m:sSubPr>
                <m:ctrlPr>
                  <w:rPr>
                    <w:rStyle w:val="12"/>
                    <w:rFonts w:ascii="Cambria Math" w:hAnsi="Cambria Math" w:eastAsia="MS Mincho"/>
                    <w:i/>
                    <w:kern w:val="0"/>
                    <w:sz w:val="20"/>
                    <w:szCs w:val="20"/>
                    <w:highlight w:val="none"/>
                    <w:lang w:val="de-DE" w:eastAsia="ja-JP" w:bidi="ar"/>
                  </w:rPr>
                </m:ctrlPr>
              </m:sSubPr>
              <m:e>
                <m:r>
                  <m:rPr>
                    <m:sty m:val="p"/>
                  </m:rPr>
                  <w:rPr>
                    <w:rFonts w:ascii="Cambria Math" w:hAnsi="Cambria Math"/>
                    <w:w w:val="108"/>
                    <w:szCs w:val="20"/>
                    <w:highlight w:val="none"/>
                    <w:lang w:bidi="ar"/>
                  </w:rPr>
                  <m:t>Δi</m:t>
                </m:r>
                <m:ctrlPr>
                  <w:rPr>
                    <w:rStyle w:val="12"/>
                    <w:rFonts w:ascii="Cambria Math" w:hAnsi="Cambria Math" w:eastAsia="MS Mincho"/>
                    <w:i/>
                    <w:kern w:val="0"/>
                    <w:sz w:val="20"/>
                    <w:szCs w:val="20"/>
                    <w:highlight w:val="none"/>
                    <w:lang w:val="de-DE" w:eastAsia="ja-JP" w:bidi="ar"/>
                  </w:rPr>
                </m:ctrlPr>
              </m:e>
              <m:sub>
                <m:r>
                  <m:rPr>
                    <m:sty m:val="p"/>
                  </m:rPr>
                  <w:rPr>
                    <w:rFonts w:ascii="Cambria Math" w:hAnsi="Cambria Math"/>
                    <w:w w:val="108"/>
                    <w:szCs w:val="20"/>
                    <w:highlight w:val="none"/>
                    <w:lang w:bidi="ar"/>
                  </w:rPr>
                  <m:t>k</m:t>
                </m:r>
                <m:ctrlPr>
                  <w:rPr>
                    <w:rStyle w:val="12"/>
                    <w:rFonts w:ascii="Cambria Math" w:hAnsi="Cambria Math" w:eastAsia="MS Mincho"/>
                    <w:i/>
                    <w:kern w:val="0"/>
                    <w:sz w:val="20"/>
                    <w:szCs w:val="20"/>
                    <w:highlight w:val="none"/>
                    <w:lang w:val="de-DE" w:eastAsia="ja-JP" w:bidi="ar"/>
                  </w:rPr>
                </m:ctrlPr>
              </m:sub>
            </m:sSub>
            <m:r>
              <m:rPr>
                <m:sty m:val="p"/>
              </m:rPr>
              <w:rPr>
                <w:rStyle w:val="12"/>
                <w:rFonts w:hint="eastAsia" w:ascii="Cambria Math" w:hAnsi="Cambria Math" w:eastAsiaTheme="minorEastAsia"/>
                <w:sz w:val="20"/>
                <w:szCs w:val="20"/>
                <w:highlight w:val="none"/>
                <w:lang w:bidi="ar"/>
              </w:rPr>
              <m:t xml:space="preserve"> (A</m:t>
            </m:r>
            <m:sSup>
              <m:sSupPr>
                <m:ctrlPr>
                  <w:rPr>
                    <w:rStyle w:val="12"/>
                    <w:rFonts w:ascii="Cambria Math" w:hAnsi="Cambria Math" w:eastAsia="MS Mincho"/>
                    <w:i/>
                    <w:kern w:val="0"/>
                    <w:sz w:val="20"/>
                    <w:szCs w:val="20"/>
                    <w:highlight w:val="none"/>
                    <w:lang w:val="de-DE" w:eastAsia="ja-JP" w:bidi="ar"/>
                  </w:rPr>
                </m:ctrlPr>
              </m:sSupPr>
              <m:e>
                <m:r>
                  <m:rPr/>
                  <w:rPr>
                    <w:rStyle w:val="12"/>
                    <w:rFonts w:ascii="Cambria Math" w:hAnsi="Cambria Math"/>
                    <w:sz w:val="20"/>
                    <w:szCs w:val="20"/>
                    <w:highlight w:val="none"/>
                    <w:lang w:bidi="ar"/>
                  </w:rPr>
                  <m:t>g</m:t>
                </m:r>
                <m:ctrlPr>
                  <w:rPr>
                    <w:rStyle w:val="12"/>
                    <w:rFonts w:ascii="Cambria Math" w:hAnsi="Cambria Math" w:eastAsia="MS Mincho"/>
                    <w:i/>
                    <w:kern w:val="0"/>
                    <w:sz w:val="20"/>
                    <w:szCs w:val="20"/>
                    <w:highlight w:val="none"/>
                    <w:lang w:val="de-DE" w:eastAsia="ja-JP" w:bidi="ar"/>
                  </w:rPr>
                </m:ctrlPr>
              </m:e>
              <m:sup>
                <m:r>
                  <m:rPr/>
                  <w:rPr>
                    <w:rStyle w:val="12"/>
                    <w:rFonts w:ascii="Cambria Math" w:hAnsi="Cambria Math"/>
                    <w:sz w:val="20"/>
                    <w:szCs w:val="20"/>
                    <w:highlight w:val="none"/>
                    <w:lang w:bidi="ar"/>
                  </w:rPr>
                  <m:t>−</m:t>
                </m:r>
                <m:r>
                  <m:rPr/>
                  <w:rPr>
                    <w:rStyle w:val="12"/>
                    <w:rFonts w:ascii="Cambria Math" w:hAnsi="Cambria Math" w:eastAsiaTheme="minorEastAsia"/>
                    <w:sz w:val="20"/>
                    <w:szCs w:val="20"/>
                    <w:highlight w:val="none"/>
                    <w:lang w:bidi="ar"/>
                  </w:rPr>
                  <m:t>1</m:t>
                </m:r>
                <m:ctrlPr>
                  <w:rPr>
                    <w:rStyle w:val="12"/>
                    <w:rFonts w:ascii="Cambria Math" w:hAnsi="Cambria Math" w:eastAsia="MS Mincho"/>
                    <w:i/>
                    <w:kern w:val="0"/>
                    <w:sz w:val="20"/>
                    <w:szCs w:val="20"/>
                    <w:highlight w:val="none"/>
                    <w:lang w:val="de-DE" w:eastAsia="ja-JP" w:bidi="ar"/>
                  </w:rPr>
                </m:ctrlPr>
              </m:sup>
            </m:sSup>
            <m:r>
              <m:rPr>
                <m:sty m:val="p"/>
              </m:rPr>
              <w:rPr>
                <w:rStyle w:val="12"/>
                <w:rFonts w:hint="eastAsia" w:ascii="Cambria Math" w:hAnsi="Cambria Math" w:eastAsiaTheme="minorEastAsia"/>
                <w:kern w:val="0"/>
                <w:sz w:val="20"/>
                <w:szCs w:val="20"/>
                <w:highlight w:val="none"/>
                <w:lang w:val="de-DE" w:bidi="ar"/>
              </w:rPr>
              <m:t>)</m:t>
            </m:r>
            <m:ctrlPr>
              <w:rPr>
                <w:rFonts w:ascii="Cambria Math" w:hAnsi="Cambria Math"/>
                <w:i/>
                <w:w w:val="108"/>
                <w:sz w:val="20"/>
                <w:szCs w:val="20"/>
                <w:highlight w:val="none"/>
                <w:lang w:bidi="ar"/>
              </w:rPr>
            </m:ctrlPr>
          </m:num>
          <m:den>
            <m:r>
              <m:rPr/>
              <w:rPr>
                <w:rStyle w:val="12"/>
                <w:rFonts w:ascii="Cambria Math" w:hAnsi="Cambria Math"/>
                <w:kern w:val="0"/>
                <w:sz w:val="20"/>
                <w:szCs w:val="20"/>
                <w:highlight w:val="none"/>
                <w:lang w:bidi="ar"/>
              </w:rPr>
              <m:t xml:space="preserve"> F</m:t>
            </m:r>
            <m:r>
              <m:rPr/>
              <w:rPr>
                <w:rStyle w:val="12"/>
                <w:rFonts w:hint="eastAsia" w:ascii="Cambria Math" w:hAnsi="Cambria Math"/>
                <w:kern w:val="0"/>
                <w:sz w:val="20"/>
                <w:szCs w:val="20"/>
                <w:highlight w:val="none"/>
                <w:lang w:bidi="ar"/>
              </w:rPr>
              <m:t>(</m:t>
            </m:r>
            <m:r>
              <m:rPr/>
              <w:rPr>
                <w:rStyle w:val="12"/>
                <w:rFonts w:ascii="Cambria Math" w:hAnsi="Cambria Math"/>
                <w:kern w:val="0"/>
                <w:sz w:val="20"/>
                <w:szCs w:val="20"/>
                <w:highlight w:val="none"/>
                <w:lang w:bidi="ar"/>
              </w:rPr>
              <m:t>As</m:t>
            </m:r>
            <m:sSup>
              <m:sSupPr>
                <m:ctrlPr>
                  <w:rPr>
                    <w:rFonts w:ascii="Cambria Math" w:hAnsi="Cambria Math"/>
                    <w:i/>
                    <w:w w:val="108"/>
                    <w:sz w:val="20"/>
                    <w:szCs w:val="20"/>
                    <w:highlight w:val="none"/>
                    <w:lang w:bidi="ar"/>
                  </w:rPr>
                </m:ctrlPr>
              </m:sSupPr>
              <m:e>
                <m:r>
                  <m:rPr/>
                  <w:rPr>
                    <w:rFonts w:ascii="Cambria Math" w:hAnsi="Cambria Math"/>
                    <w:w w:val="108"/>
                    <w:sz w:val="20"/>
                    <w:szCs w:val="20"/>
                    <w:highlight w:val="none"/>
                    <w:lang w:bidi="ar"/>
                  </w:rPr>
                  <m:t>mol</m:t>
                </m:r>
                <m:ctrlPr>
                  <w:rPr>
                    <w:rFonts w:ascii="Cambria Math" w:hAnsi="Cambria Math"/>
                    <w:i/>
                    <w:w w:val="108"/>
                    <w:sz w:val="20"/>
                    <w:szCs w:val="20"/>
                    <w:highlight w:val="none"/>
                    <w:lang w:bidi="ar"/>
                  </w:rPr>
                </m:ctrlPr>
              </m:e>
              <m:sup>
                <m:r>
                  <m:rPr/>
                  <w:rPr>
                    <w:rFonts w:ascii="Cambria Math" w:hAnsi="Cambria Math"/>
                    <w:w w:val="108"/>
                    <w:sz w:val="20"/>
                    <w:szCs w:val="20"/>
                    <w:highlight w:val="none"/>
                    <w:lang w:bidi="ar"/>
                  </w:rPr>
                  <m:t>−1</m:t>
                </m:r>
                <m:ctrlPr>
                  <w:rPr>
                    <w:rFonts w:ascii="Cambria Math" w:hAnsi="Cambria Math"/>
                    <w:i/>
                    <w:w w:val="108"/>
                    <w:sz w:val="20"/>
                    <w:szCs w:val="20"/>
                    <w:highlight w:val="none"/>
                    <w:lang w:bidi="ar"/>
                  </w:rPr>
                </m:ctrlPr>
              </m:sup>
            </m:sSup>
            <m:r>
              <m:rPr/>
              <w:rPr>
                <w:rStyle w:val="12"/>
                <w:rFonts w:hint="eastAsia" w:ascii="Cambria Math" w:hAnsi="Cambria Math"/>
                <w:kern w:val="0"/>
                <w:sz w:val="20"/>
                <w:szCs w:val="20"/>
                <w:highlight w:val="none"/>
                <w:lang w:bidi="ar"/>
              </w:rPr>
              <m:t>)</m:t>
            </m:r>
            <m:r>
              <m:rPr>
                <m:sty m:val="p"/>
              </m:rPr>
              <w:rPr>
                <w:rStyle w:val="12"/>
                <w:rFonts w:ascii="Cambria Math" w:hAnsi="Cambria Math"/>
                <w:kern w:val="0"/>
                <w:sz w:val="20"/>
                <w:szCs w:val="20"/>
                <w:highlight w:val="none"/>
                <w:lang w:bidi="ar"/>
              </w:rPr>
              <m:t xml:space="preserve"> MSD (</m:t>
            </m:r>
            <m:r>
              <m:rPr/>
              <w:rPr>
                <w:rFonts w:ascii="Cambria Math" w:hAnsi="Cambria Math"/>
                <w:w w:val="108"/>
                <w:sz w:val="20"/>
                <w:szCs w:val="20"/>
                <w:highlight w:val="none"/>
                <w:lang w:bidi="ar"/>
              </w:rPr>
              <m:t>mol</m:t>
            </m:r>
            <m:sSup>
              <m:sSupPr>
                <m:ctrlPr>
                  <w:rPr>
                    <w:rStyle w:val="12"/>
                    <w:rFonts w:ascii="Cambria Math" w:hAnsi="Cambria Math" w:eastAsia="MS Mincho"/>
                    <w:i/>
                    <w:kern w:val="0"/>
                    <w:sz w:val="20"/>
                    <w:szCs w:val="20"/>
                    <w:highlight w:val="none"/>
                    <w:lang w:val="de-DE" w:eastAsia="ja-JP" w:bidi="ar"/>
                  </w:rPr>
                </m:ctrlPr>
              </m:sSupPr>
              <m:e>
                <m:r>
                  <m:rPr/>
                  <w:rPr>
                    <w:rStyle w:val="12"/>
                    <w:rFonts w:ascii="Cambria Math" w:hAnsi="Cambria Math"/>
                    <w:sz w:val="20"/>
                    <w:szCs w:val="20"/>
                    <w:highlight w:val="none"/>
                    <w:lang w:bidi="ar"/>
                  </w:rPr>
                  <m:t>g</m:t>
                </m:r>
                <m:ctrlPr>
                  <w:rPr>
                    <w:rStyle w:val="12"/>
                    <w:rFonts w:ascii="Cambria Math" w:hAnsi="Cambria Math" w:eastAsia="MS Mincho"/>
                    <w:i/>
                    <w:kern w:val="0"/>
                    <w:sz w:val="20"/>
                    <w:szCs w:val="20"/>
                    <w:highlight w:val="none"/>
                    <w:lang w:val="de-DE" w:eastAsia="ja-JP" w:bidi="ar"/>
                  </w:rPr>
                </m:ctrlPr>
              </m:e>
              <m:sup>
                <m:r>
                  <m:rPr/>
                  <w:rPr>
                    <w:rStyle w:val="12"/>
                    <w:rFonts w:ascii="Cambria Math" w:hAnsi="Cambria Math"/>
                    <w:sz w:val="20"/>
                    <w:szCs w:val="20"/>
                    <w:highlight w:val="none"/>
                    <w:lang w:bidi="ar"/>
                  </w:rPr>
                  <m:t>−</m:t>
                </m:r>
                <m:r>
                  <m:rPr/>
                  <w:rPr>
                    <w:rStyle w:val="12"/>
                    <w:rFonts w:ascii="Cambria Math" w:hAnsi="Cambria Math" w:eastAsiaTheme="minorEastAsia"/>
                    <w:sz w:val="20"/>
                    <w:szCs w:val="20"/>
                    <w:highlight w:val="none"/>
                    <w:lang w:bidi="ar"/>
                  </w:rPr>
                  <m:t>1</m:t>
                </m:r>
                <m:ctrlPr>
                  <w:rPr>
                    <w:rStyle w:val="12"/>
                    <w:rFonts w:ascii="Cambria Math" w:hAnsi="Cambria Math" w:eastAsia="MS Mincho"/>
                    <w:i/>
                    <w:kern w:val="0"/>
                    <w:sz w:val="20"/>
                    <w:szCs w:val="20"/>
                    <w:highlight w:val="none"/>
                    <w:lang w:val="de-DE" w:eastAsia="ja-JP" w:bidi="ar"/>
                  </w:rPr>
                </m:ctrlPr>
              </m:sup>
            </m:sSup>
            <m:r>
              <m:rPr>
                <m:sty m:val="p"/>
              </m:rPr>
              <w:rPr>
                <w:rStyle w:val="12"/>
                <w:rFonts w:ascii="Cambria Math" w:hAnsi="Cambria Math"/>
                <w:kern w:val="0"/>
                <w:sz w:val="20"/>
                <w:szCs w:val="20"/>
                <w:highlight w:val="none"/>
                <w:lang w:bidi="ar"/>
              </w:rPr>
              <m:t>)</m:t>
            </m:r>
            <m:ctrlPr>
              <w:rPr>
                <w:rFonts w:ascii="Cambria Math" w:hAnsi="Cambria Math"/>
                <w:i/>
                <w:w w:val="108"/>
                <w:sz w:val="20"/>
                <w:szCs w:val="20"/>
                <w:highlight w:val="none"/>
                <w:lang w:bidi="ar"/>
              </w:rPr>
            </m:ctrlPr>
          </m:den>
        </m:f>
      </m:oMath>
    </w:p>
    <w:p w14:paraId="12937C76">
      <w:pPr>
        <w:pStyle w:val="14"/>
        <w:ind w:left="0" w:leftChars="0" w:firstLine="0" w:firstLineChars="0"/>
        <w:rPr>
          <w:w w:val="108"/>
          <w:sz w:val="20"/>
          <w:szCs w:val="20"/>
          <w:highlight w:val="none"/>
          <w:lang w:bidi="ar"/>
        </w:rPr>
      </w:pPr>
      <w:bookmarkStart w:id="10" w:name="_GoBack"/>
      <w:bookmarkEnd w:id="10"/>
      <w:r>
        <w:rPr>
          <w:w w:val="108"/>
          <w:sz w:val="20"/>
          <w:szCs w:val="20"/>
          <w:highlight w:val="none"/>
          <w:lang w:val="de-DE" w:bidi="ar"/>
        </w:rPr>
        <w:t>where F is Faraday's constant (96485 C mol⁻¹).</w:t>
      </w:r>
    </w:p>
    <w:bookmarkEnd w:id="2"/>
    <w:p w14:paraId="741C16BC">
      <w:pPr>
        <w:rPr>
          <w:rStyle w:val="12"/>
          <w:rFonts w:eastAsiaTheme="minorEastAsia"/>
          <w:sz w:val="20"/>
          <w:szCs w:val="20"/>
          <w:highlight w:val="none"/>
          <w:lang w:val="en-US" w:eastAsia="zh-CN" w:bidi="ar"/>
        </w:rPr>
      </w:pPr>
    </w:p>
    <w:p w14:paraId="618454BD">
      <w:pPr>
        <w:rPr>
          <w:rStyle w:val="12"/>
          <w:rFonts w:eastAsiaTheme="minorEastAsia"/>
          <w:sz w:val="20"/>
          <w:szCs w:val="20"/>
          <w:highlight w:val="none"/>
          <w:lang w:val="en-US" w:eastAsia="zh-CN" w:bidi="ar"/>
        </w:rPr>
      </w:pPr>
      <w:r>
        <w:rPr>
          <w:rStyle w:val="12"/>
          <w:rFonts w:eastAsiaTheme="minorEastAsia"/>
          <w:sz w:val="20"/>
          <w:szCs w:val="20"/>
          <w:highlight w:val="none"/>
          <w:lang w:val="en-US" w:eastAsia="zh-CN" w:bidi="ar"/>
        </w:rPr>
        <w:br w:type="page"/>
      </w:r>
    </w:p>
    <w:p w14:paraId="1F89DECC">
      <w:pPr>
        <w:rPr>
          <w:rStyle w:val="12"/>
          <w:rFonts w:eastAsiaTheme="minorEastAsia"/>
          <w:sz w:val="20"/>
          <w:szCs w:val="20"/>
          <w:highlight w:val="none"/>
          <w:lang w:val="en-US" w:eastAsia="zh-CN" w:bidi="ar"/>
        </w:rPr>
      </w:pPr>
    </w:p>
    <w:p w14:paraId="2F3840EF">
      <w:pPr>
        <w:pStyle w:val="14"/>
        <w:ind w:firstLine="0" w:firstLineChars="0"/>
        <w:jc w:val="center"/>
        <w:rPr>
          <w:highlight w:val="none"/>
        </w:rPr>
      </w:pPr>
      <w:r>
        <w:rPr>
          <w:highlight w:val="none"/>
        </w:rPr>
        <w:drawing>
          <wp:inline distT="0" distB="0" distL="0" distR="0">
            <wp:extent cx="5422900" cy="4191635"/>
            <wp:effectExtent l="0" t="0" r="6350" b="8890"/>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pic:cNvPicPr>
                      <a:picLocks noChangeAspect="1"/>
                    </pic:cNvPicPr>
                  </pic:nvPicPr>
                  <pic:blipFill>
                    <a:blip r:embed="rId10"/>
                    <a:stretch>
                      <a:fillRect/>
                    </a:stretch>
                  </pic:blipFill>
                  <pic:spPr>
                    <a:xfrm>
                      <a:off x="0" y="0"/>
                      <a:ext cx="5422900" cy="4191635"/>
                    </a:xfrm>
                    <a:prstGeom prst="rect">
                      <a:avLst/>
                    </a:prstGeom>
                  </pic:spPr>
                </pic:pic>
              </a:graphicData>
            </a:graphic>
          </wp:inline>
        </w:drawing>
      </w:r>
    </w:p>
    <w:p w14:paraId="1C1FDB75">
      <w:pPr>
        <w:jc w:val="both"/>
        <w:rPr>
          <w:bCs/>
          <w:sz w:val="18"/>
          <w:szCs w:val="18"/>
          <w:highlight w:val="none"/>
        </w:rPr>
      </w:pPr>
      <w:r>
        <w:rPr>
          <w:rFonts w:hint="eastAsia"/>
          <w:b/>
          <w:sz w:val="18"/>
          <w:szCs w:val="18"/>
          <w:highlight w:val="none"/>
        </w:rPr>
        <w:t>Figure</w:t>
      </w:r>
      <w:r>
        <w:rPr>
          <w:rFonts w:hint="eastAsia"/>
          <w:b/>
          <w:sz w:val="18"/>
          <w:szCs w:val="18"/>
          <w:highlight w:val="none"/>
          <w:lang w:val="en-US" w:eastAsia="zh-CN"/>
        </w:rPr>
        <w:t xml:space="preserve"> S1</w:t>
      </w:r>
      <w:r>
        <w:rPr>
          <w:rFonts w:hint="eastAsia"/>
          <w:color w:val="2542BF"/>
          <w:sz w:val="24"/>
          <w:highlight w:val="none"/>
        </w:rPr>
        <w:t xml:space="preserve"> </w:t>
      </w:r>
      <w:r>
        <w:rPr>
          <w:rFonts w:hint="eastAsia"/>
          <w:bCs/>
          <w:sz w:val="18"/>
          <w:szCs w:val="18"/>
          <w:highlight w:val="none"/>
        </w:rPr>
        <w:t>UV-Vis spectra of metalloporphyrins</w:t>
      </w:r>
    </w:p>
    <w:p w14:paraId="0D32C7B0">
      <w:pPr>
        <w:rPr>
          <w:bCs/>
          <w:sz w:val="18"/>
          <w:szCs w:val="18"/>
          <w:highlight w:val="none"/>
        </w:rPr>
      </w:pPr>
      <w:r>
        <w:rPr>
          <w:rFonts w:hint="eastAsia"/>
          <w:bCs/>
          <w:sz w:val="18"/>
          <w:szCs w:val="18"/>
          <w:highlight w:val="none"/>
        </w:rPr>
        <w:br w:type="page"/>
      </w:r>
    </w:p>
    <w:p w14:paraId="7023568B">
      <w:pPr>
        <w:jc w:val="both"/>
        <w:rPr>
          <w:bCs/>
          <w:sz w:val="18"/>
          <w:szCs w:val="18"/>
          <w:highlight w:val="none"/>
        </w:rPr>
      </w:pPr>
    </w:p>
    <w:p w14:paraId="16BC07C3">
      <w:pPr>
        <w:jc w:val="center"/>
        <w:rPr>
          <w:highlight w:val="none"/>
        </w:rPr>
      </w:pPr>
      <w:r>
        <w:rPr>
          <w:highlight w:val="none"/>
        </w:rPr>
        <w:drawing>
          <wp:inline distT="0" distB="0" distL="0" distR="0">
            <wp:extent cx="3583940" cy="3136900"/>
            <wp:effectExtent l="0" t="0" r="6985" b="6350"/>
            <wp:docPr id="6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pic:cNvPicPr>
                      <a:picLocks noChangeAspect="1"/>
                    </pic:cNvPicPr>
                  </pic:nvPicPr>
                  <pic:blipFill>
                    <a:blip r:embed="rId11"/>
                    <a:srcRect r="49486" b="49447"/>
                    <a:stretch>
                      <a:fillRect/>
                    </a:stretch>
                  </pic:blipFill>
                  <pic:spPr>
                    <a:xfrm>
                      <a:off x="0" y="0"/>
                      <a:ext cx="3583940" cy="3136900"/>
                    </a:xfrm>
                    <a:prstGeom prst="rect">
                      <a:avLst/>
                    </a:prstGeom>
                  </pic:spPr>
                </pic:pic>
              </a:graphicData>
            </a:graphic>
          </wp:inline>
        </w:drawing>
      </w:r>
    </w:p>
    <w:p w14:paraId="468281A8">
      <w:pPr>
        <w:spacing w:after="120" w:afterLines="50"/>
        <w:jc w:val="both"/>
        <w:rPr>
          <w:bCs/>
          <w:sz w:val="18"/>
          <w:szCs w:val="18"/>
          <w:highlight w:val="none"/>
        </w:rPr>
      </w:pPr>
      <w:r>
        <w:rPr>
          <w:b/>
          <w:sz w:val="18"/>
          <w:szCs w:val="18"/>
          <w:highlight w:val="none"/>
        </w:rPr>
        <w:t>Figure</w:t>
      </w:r>
      <w:r>
        <w:rPr>
          <w:rFonts w:hint="eastAsia" w:eastAsia="宋体"/>
          <w:b/>
          <w:sz w:val="18"/>
          <w:szCs w:val="18"/>
          <w:highlight w:val="none"/>
          <w:lang w:val="en-US" w:eastAsia="zh-CN"/>
        </w:rPr>
        <w:t xml:space="preserve"> S</w:t>
      </w:r>
      <w:r>
        <w:rPr>
          <w:rFonts w:hint="eastAsia"/>
          <w:b/>
          <w:sz w:val="18"/>
          <w:szCs w:val="18"/>
          <w:highlight w:val="none"/>
          <w:lang w:val="en-US" w:eastAsia="zh-CN"/>
        </w:rPr>
        <w:t>2</w:t>
      </w:r>
      <w:r>
        <w:rPr>
          <w:b/>
          <w:sz w:val="21"/>
          <w:highlight w:val="none"/>
        </w:rPr>
        <w:t xml:space="preserve">  </w:t>
      </w:r>
      <w:r>
        <w:rPr>
          <w:bCs/>
          <w:sz w:val="18"/>
          <w:szCs w:val="18"/>
          <w:highlight w:val="none"/>
        </w:rPr>
        <w:t>Fourier transform infrared spectroscopy of porphyrin. (a) t-FeTPP, Me FeTPP and FeTPP (b)  t-FeTPP and t-TPP (c) FeTPP and TPP  (d) Me FeTPP and Me TPP</w:t>
      </w:r>
    </w:p>
    <w:p w14:paraId="17B4DE41">
      <w:pPr>
        <w:rPr>
          <w:bCs/>
          <w:sz w:val="18"/>
          <w:szCs w:val="18"/>
          <w:highlight w:val="none"/>
        </w:rPr>
      </w:pPr>
      <w:r>
        <w:rPr>
          <w:bCs/>
          <w:sz w:val="18"/>
          <w:szCs w:val="18"/>
          <w:highlight w:val="none"/>
        </w:rPr>
        <w:br w:type="page"/>
      </w:r>
    </w:p>
    <w:p w14:paraId="10BF1D63">
      <w:pPr>
        <w:spacing w:after="120" w:afterLines="50"/>
        <w:jc w:val="both"/>
        <w:rPr>
          <w:bCs/>
          <w:sz w:val="18"/>
          <w:szCs w:val="18"/>
          <w:highlight w:val="none"/>
        </w:rPr>
      </w:pPr>
    </w:p>
    <w:p w14:paraId="0ED7142B">
      <w:pPr>
        <w:jc w:val="center"/>
        <w:rPr>
          <w:highlight w:val="none"/>
        </w:rPr>
      </w:pPr>
      <w:r>
        <w:rPr>
          <w:highlight w:val="none"/>
        </w:rPr>
        <w:drawing>
          <wp:inline distT="0" distB="0" distL="0" distR="0">
            <wp:extent cx="3525520" cy="3125470"/>
            <wp:effectExtent l="0" t="0" r="8255" b="825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2"/>
                    <a:stretch>
                      <a:fillRect/>
                    </a:stretch>
                  </pic:blipFill>
                  <pic:spPr>
                    <a:xfrm>
                      <a:off x="0" y="0"/>
                      <a:ext cx="3525520" cy="3125470"/>
                    </a:xfrm>
                    <a:prstGeom prst="rect">
                      <a:avLst/>
                    </a:prstGeom>
                  </pic:spPr>
                </pic:pic>
              </a:graphicData>
            </a:graphic>
          </wp:inline>
        </w:drawing>
      </w:r>
    </w:p>
    <w:p w14:paraId="6C2D67BF">
      <w:pPr>
        <w:jc w:val="both"/>
        <w:rPr>
          <w:bCs/>
          <w:sz w:val="18"/>
          <w:szCs w:val="18"/>
          <w:highlight w:val="none"/>
        </w:rPr>
      </w:pPr>
      <w:r>
        <w:rPr>
          <w:b/>
          <w:sz w:val="18"/>
          <w:szCs w:val="18"/>
          <w:highlight w:val="none"/>
        </w:rPr>
        <w:t xml:space="preserve">Figure </w:t>
      </w:r>
      <w:r>
        <w:rPr>
          <w:rFonts w:hint="eastAsia" w:eastAsia="宋体"/>
          <w:b/>
          <w:sz w:val="18"/>
          <w:szCs w:val="18"/>
          <w:highlight w:val="none"/>
          <w:lang w:val="en-US" w:eastAsia="zh-CN"/>
        </w:rPr>
        <w:t>S</w:t>
      </w:r>
      <w:r>
        <w:rPr>
          <w:b/>
          <w:sz w:val="18"/>
          <w:szCs w:val="18"/>
          <w:highlight w:val="none"/>
        </w:rPr>
        <w:t>3</w:t>
      </w:r>
      <w:r>
        <w:rPr>
          <w:b/>
          <w:sz w:val="21"/>
          <w:highlight w:val="none"/>
        </w:rPr>
        <w:t xml:space="preserve">  </w:t>
      </w:r>
      <w:r>
        <w:rPr>
          <w:bCs/>
          <w:sz w:val="18"/>
          <w:szCs w:val="18"/>
          <w:highlight w:val="none"/>
        </w:rPr>
        <w:t>Fourier transform infrared spectroscopy of t-</w:t>
      </w:r>
      <w:r>
        <w:rPr>
          <w:rFonts w:hint="eastAsia"/>
          <w:bCs/>
          <w:sz w:val="18"/>
          <w:szCs w:val="18"/>
          <w:highlight w:val="none"/>
        </w:rPr>
        <w:t>Mn</w:t>
      </w:r>
      <w:r>
        <w:rPr>
          <w:bCs/>
          <w:sz w:val="18"/>
          <w:szCs w:val="18"/>
          <w:highlight w:val="none"/>
        </w:rPr>
        <w:t>TPP</w:t>
      </w:r>
      <w:r>
        <w:rPr>
          <w:rFonts w:hint="eastAsia"/>
          <w:bCs/>
          <w:sz w:val="18"/>
          <w:szCs w:val="18"/>
          <w:highlight w:val="none"/>
        </w:rPr>
        <w:t>,</w:t>
      </w:r>
      <w:r>
        <w:rPr>
          <w:bCs/>
          <w:sz w:val="18"/>
          <w:szCs w:val="18"/>
          <w:highlight w:val="none"/>
        </w:rPr>
        <w:t xml:space="preserve"> t-FeTPP, t-CoTPP, t-NiTPP, t-CuTPP and t-ZnTPP</w:t>
      </w:r>
    </w:p>
    <w:p w14:paraId="24F1F815">
      <w:pPr>
        <w:rPr>
          <w:bCs/>
          <w:sz w:val="18"/>
          <w:szCs w:val="18"/>
          <w:highlight w:val="none"/>
        </w:rPr>
      </w:pPr>
      <w:r>
        <w:rPr>
          <w:bCs/>
          <w:sz w:val="18"/>
          <w:szCs w:val="18"/>
          <w:highlight w:val="none"/>
        </w:rPr>
        <w:br w:type="page"/>
      </w:r>
    </w:p>
    <w:p w14:paraId="71C71478">
      <w:pPr>
        <w:jc w:val="center"/>
        <w:rPr>
          <w:bCs/>
          <w:sz w:val="18"/>
          <w:szCs w:val="18"/>
          <w:highlight w:val="none"/>
        </w:rPr>
      </w:pPr>
    </w:p>
    <w:p w14:paraId="7D692D6F">
      <w:pPr>
        <w:jc w:val="center"/>
        <w:rPr>
          <w:color w:val="2542BF"/>
          <w:sz w:val="24"/>
          <w:highlight w:val="none"/>
          <w:lang w:eastAsia="zh-CN"/>
        </w:rPr>
      </w:pPr>
      <w:r>
        <w:rPr>
          <w:highlight w:val="none"/>
        </w:rPr>
        <w:drawing>
          <wp:inline distT="0" distB="0" distL="114300" distR="114300">
            <wp:extent cx="5273675" cy="2704465"/>
            <wp:effectExtent l="0" t="0" r="3175" b="635"/>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pic:cNvPicPr>
                      <a:picLocks noChangeAspect="1"/>
                    </pic:cNvPicPr>
                  </pic:nvPicPr>
                  <pic:blipFill>
                    <a:blip r:embed="rId13"/>
                    <a:stretch>
                      <a:fillRect/>
                    </a:stretch>
                  </pic:blipFill>
                  <pic:spPr>
                    <a:xfrm>
                      <a:off x="0" y="0"/>
                      <a:ext cx="5273675" cy="2704465"/>
                    </a:xfrm>
                    <a:prstGeom prst="rect">
                      <a:avLst/>
                    </a:prstGeom>
                    <a:noFill/>
                    <a:ln>
                      <a:noFill/>
                    </a:ln>
                  </pic:spPr>
                </pic:pic>
              </a:graphicData>
            </a:graphic>
          </wp:inline>
        </w:drawing>
      </w:r>
    </w:p>
    <w:p w14:paraId="4701069E">
      <w:pPr>
        <w:spacing w:after="120" w:afterLines="50"/>
        <w:jc w:val="both"/>
        <w:rPr>
          <w:bCs/>
          <w:sz w:val="18"/>
          <w:szCs w:val="18"/>
          <w:highlight w:val="none"/>
        </w:rPr>
      </w:pPr>
      <w:r>
        <w:rPr>
          <w:rFonts w:hint="eastAsia"/>
          <w:b/>
          <w:bCs/>
          <w:sz w:val="18"/>
          <w:szCs w:val="18"/>
          <w:highlight w:val="none"/>
        </w:rPr>
        <w:t xml:space="preserve">Figure </w:t>
      </w:r>
      <w:r>
        <w:rPr>
          <w:rFonts w:hint="eastAsia"/>
          <w:b/>
          <w:bCs/>
          <w:sz w:val="18"/>
          <w:szCs w:val="18"/>
          <w:highlight w:val="none"/>
          <w:lang w:val="en-US" w:eastAsia="zh-CN"/>
        </w:rPr>
        <w:t>S4</w:t>
      </w:r>
      <w:r>
        <w:rPr>
          <w:rFonts w:hint="eastAsia"/>
          <w:b/>
          <w:bCs/>
          <w:color w:val="2542BF"/>
          <w:sz w:val="24"/>
          <w:highlight w:val="none"/>
        </w:rPr>
        <w:t xml:space="preserve"> </w:t>
      </w:r>
      <w:r>
        <w:rPr>
          <w:b/>
          <w:sz w:val="21"/>
          <w:highlight w:val="none"/>
        </w:rPr>
        <w:t xml:space="preserve"> </w:t>
      </w:r>
      <w:r>
        <w:rPr>
          <w:rFonts w:hint="eastAsia"/>
          <w:bCs/>
          <w:sz w:val="18"/>
          <w:szCs w:val="18"/>
          <w:highlight w:val="none"/>
          <w:lang w:val="en-US" w:eastAsia="zh-CN"/>
        </w:rPr>
        <w:t>NMR</w:t>
      </w:r>
      <w:r>
        <w:rPr>
          <w:rFonts w:hint="eastAsia"/>
          <w:bCs/>
          <w:sz w:val="18"/>
          <w:szCs w:val="18"/>
          <w:highlight w:val="none"/>
        </w:rPr>
        <w:t xml:space="preserve"> spectroscopy of t-NiTPP</w:t>
      </w:r>
    </w:p>
    <w:p w14:paraId="0D67A8A7">
      <w:pPr>
        <w:rPr>
          <w:bCs/>
          <w:sz w:val="18"/>
          <w:szCs w:val="18"/>
          <w:highlight w:val="none"/>
        </w:rPr>
      </w:pPr>
      <w:r>
        <w:rPr>
          <w:rFonts w:hint="eastAsia"/>
          <w:bCs/>
          <w:sz w:val="18"/>
          <w:szCs w:val="18"/>
          <w:highlight w:val="none"/>
        </w:rPr>
        <w:br w:type="page"/>
      </w:r>
    </w:p>
    <w:p w14:paraId="5CBDCC8F">
      <w:pPr>
        <w:spacing w:after="120" w:afterLines="50"/>
        <w:jc w:val="both"/>
        <w:rPr>
          <w:bCs/>
          <w:sz w:val="18"/>
          <w:szCs w:val="18"/>
          <w:highlight w:val="none"/>
        </w:rPr>
      </w:pPr>
    </w:p>
    <w:p w14:paraId="785D6522">
      <w:pPr>
        <w:jc w:val="center"/>
        <w:rPr>
          <w:color w:val="2542BF"/>
          <w:sz w:val="24"/>
          <w:highlight w:val="none"/>
          <w:lang w:eastAsia="zh-CN"/>
        </w:rPr>
      </w:pPr>
      <w:r>
        <w:rPr>
          <w:highlight w:val="none"/>
        </w:rPr>
        <w:drawing>
          <wp:inline distT="0" distB="0" distL="114300" distR="114300">
            <wp:extent cx="5261610" cy="2827655"/>
            <wp:effectExtent l="0" t="0" r="5715" b="1270"/>
            <wp:docPr id="1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5"/>
                    <pic:cNvPicPr>
                      <a:picLocks noChangeAspect="1"/>
                    </pic:cNvPicPr>
                  </pic:nvPicPr>
                  <pic:blipFill>
                    <a:blip r:embed="rId14"/>
                    <a:stretch>
                      <a:fillRect/>
                    </a:stretch>
                  </pic:blipFill>
                  <pic:spPr>
                    <a:xfrm>
                      <a:off x="0" y="0"/>
                      <a:ext cx="5261610" cy="2827655"/>
                    </a:xfrm>
                    <a:prstGeom prst="rect">
                      <a:avLst/>
                    </a:prstGeom>
                    <a:noFill/>
                    <a:ln>
                      <a:noFill/>
                    </a:ln>
                  </pic:spPr>
                </pic:pic>
              </a:graphicData>
            </a:graphic>
          </wp:inline>
        </w:drawing>
      </w:r>
    </w:p>
    <w:p w14:paraId="31FDCBBA">
      <w:pPr>
        <w:jc w:val="both"/>
        <w:rPr>
          <w:bCs/>
          <w:sz w:val="18"/>
          <w:szCs w:val="18"/>
          <w:highlight w:val="none"/>
          <w:lang w:val="en-US" w:eastAsia="zh-CN"/>
        </w:rPr>
      </w:pPr>
      <w:r>
        <w:rPr>
          <w:rFonts w:hint="eastAsia"/>
          <w:b/>
          <w:sz w:val="18"/>
          <w:szCs w:val="18"/>
          <w:highlight w:val="none"/>
        </w:rPr>
        <w:t>Figure</w:t>
      </w:r>
      <w:r>
        <w:rPr>
          <w:rFonts w:hint="eastAsia"/>
          <w:b/>
          <w:sz w:val="18"/>
          <w:szCs w:val="18"/>
          <w:highlight w:val="none"/>
          <w:lang w:val="en-US" w:eastAsia="zh-CN"/>
        </w:rPr>
        <w:t xml:space="preserve"> S5</w:t>
      </w:r>
      <w:r>
        <w:rPr>
          <w:b/>
          <w:sz w:val="21"/>
          <w:highlight w:val="none"/>
        </w:rPr>
        <w:t xml:space="preserve">  </w:t>
      </w:r>
      <w:r>
        <w:rPr>
          <w:rFonts w:hint="eastAsia"/>
          <w:bCs/>
          <w:sz w:val="18"/>
          <w:szCs w:val="18"/>
          <w:highlight w:val="none"/>
          <w:lang w:val="en-US" w:eastAsia="zh-CN"/>
        </w:rPr>
        <w:t>NMR spectroscopy of t-ZnTPP</w:t>
      </w:r>
    </w:p>
    <w:p w14:paraId="707D7A81">
      <w:pPr>
        <w:rPr>
          <w:bCs/>
          <w:sz w:val="18"/>
          <w:szCs w:val="18"/>
          <w:highlight w:val="none"/>
          <w:lang w:val="en-US" w:eastAsia="zh-CN"/>
        </w:rPr>
      </w:pPr>
      <w:r>
        <w:rPr>
          <w:rFonts w:hint="eastAsia"/>
          <w:bCs/>
          <w:sz w:val="18"/>
          <w:szCs w:val="18"/>
          <w:highlight w:val="none"/>
          <w:lang w:val="en-US" w:eastAsia="zh-CN"/>
        </w:rPr>
        <w:br w:type="page"/>
      </w:r>
    </w:p>
    <w:p w14:paraId="18D1A233">
      <w:pPr>
        <w:jc w:val="both"/>
        <w:rPr>
          <w:bCs/>
          <w:sz w:val="18"/>
          <w:szCs w:val="18"/>
          <w:highlight w:val="none"/>
          <w:lang w:val="en-US" w:eastAsia="zh-CN"/>
        </w:rPr>
      </w:pPr>
    </w:p>
    <w:p w14:paraId="3D483167">
      <w:pPr>
        <w:jc w:val="both"/>
        <w:rPr>
          <w:highlight w:val="none"/>
        </w:rPr>
      </w:pPr>
      <w:r>
        <w:rPr>
          <w:highlight w:val="none"/>
        </w:rPr>
        <w:drawing>
          <wp:inline distT="0" distB="0" distL="0" distR="0">
            <wp:extent cx="5760085" cy="1499870"/>
            <wp:effectExtent l="0" t="0" r="2540" b="5080"/>
            <wp:docPr id="5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pic:cNvPicPr>
                      <a:picLocks noChangeAspect="1"/>
                    </pic:cNvPicPr>
                  </pic:nvPicPr>
                  <pic:blipFill>
                    <a:blip r:embed="rId15"/>
                    <a:stretch>
                      <a:fillRect/>
                    </a:stretch>
                  </pic:blipFill>
                  <pic:spPr>
                    <a:xfrm>
                      <a:off x="0" y="0"/>
                      <a:ext cx="5760085" cy="1499870"/>
                    </a:xfrm>
                    <a:prstGeom prst="rect">
                      <a:avLst/>
                    </a:prstGeom>
                  </pic:spPr>
                </pic:pic>
              </a:graphicData>
            </a:graphic>
          </wp:inline>
        </w:drawing>
      </w:r>
    </w:p>
    <w:p w14:paraId="159C2313">
      <w:pPr>
        <w:spacing w:after="120" w:afterLines="50"/>
        <w:jc w:val="both"/>
        <w:rPr>
          <w:bCs/>
          <w:sz w:val="18"/>
          <w:szCs w:val="18"/>
          <w:highlight w:val="none"/>
        </w:rPr>
      </w:pPr>
      <w:r>
        <w:rPr>
          <w:b/>
          <w:sz w:val="18"/>
          <w:szCs w:val="18"/>
          <w:highlight w:val="none"/>
        </w:rPr>
        <w:t xml:space="preserve">Figure </w:t>
      </w:r>
      <w:r>
        <w:rPr>
          <w:rFonts w:hint="eastAsia" w:eastAsia="宋体"/>
          <w:b/>
          <w:sz w:val="18"/>
          <w:szCs w:val="18"/>
          <w:highlight w:val="none"/>
          <w:lang w:val="en-US" w:eastAsia="zh-CN"/>
        </w:rPr>
        <w:t>S6</w:t>
      </w:r>
      <w:r>
        <w:rPr>
          <w:b/>
          <w:sz w:val="21"/>
          <w:highlight w:val="none"/>
        </w:rPr>
        <w:t xml:space="preserve">  </w:t>
      </w:r>
      <w:r>
        <w:rPr>
          <w:bCs/>
          <w:sz w:val="18"/>
          <w:szCs w:val="18"/>
          <w:highlight w:val="none"/>
        </w:rPr>
        <w:t>TEM of (a) t-Fe700@CB, (b) t-Fe800@C</w:t>
      </w:r>
      <w:r>
        <w:rPr>
          <w:rFonts w:hint="eastAsia"/>
          <w:bCs/>
          <w:sz w:val="18"/>
          <w:szCs w:val="18"/>
          <w:highlight w:val="none"/>
        </w:rPr>
        <w:t>B</w:t>
      </w:r>
      <w:r>
        <w:rPr>
          <w:bCs/>
          <w:sz w:val="18"/>
          <w:szCs w:val="18"/>
          <w:highlight w:val="none"/>
        </w:rPr>
        <w:t xml:space="preserve"> and (c) t-Fe900@CB</w:t>
      </w:r>
    </w:p>
    <w:p w14:paraId="21FA3D89">
      <w:pPr>
        <w:rPr>
          <w:bCs/>
          <w:sz w:val="18"/>
          <w:szCs w:val="18"/>
          <w:highlight w:val="none"/>
        </w:rPr>
      </w:pPr>
      <w:r>
        <w:rPr>
          <w:bCs/>
          <w:sz w:val="18"/>
          <w:szCs w:val="18"/>
          <w:highlight w:val="none"/>
        </w:rPr>
        <w:br w:type="page"/>
      </w:r>
    </w:p>
    <w:p w14:paraId="18177C00">
      <w:pPr>
        <w:spacing w:after="120" w:afterLines="50"/>
        <w:jc w:val="both"/>
        <w:rPr>
          <w:bCs/>
          <w:sz w:val="18"/>
          <w:szCs w:val="18"/>
          <w:highlight w:val="none"/>
        </w:rPr>
      </w:pPr>
    </w:p>
    <w:p w14:paraId="57FCCD90">
      <w:pPr>
        <w:spacing w:line="360" w:lineRule="auto"/>
        <w:jc w:val="center"/>
        <w:rPr>
          <w:b/>
          <w:highlight w:val="none"/>
        </w:rPr>
      </w:pPr>
      <w:r>
        <w:rPr>
          <w:highlight w:val="none"/>
        </w:rPr>
        <w:drawing>
          <wp:inline distT="0" distB="0" distL="0" distR="0">
            <wp:extent cx="3121025" cy="2782570"/>
            <wp:effectExtent l="0" t="0" r="3175" b="8255"/>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icPr>
                  <pic:blipFill>
                    <a:blip r:embed="rId16"/>
                    <a:stretch>
                      <a:fillRect/>
                    </a:stretch>
                  </pic:blipFill>
                  <pic:spPr>
                    <a:xfrm>
                      <a:off x="0" y="0"/>
                      <a:ext cx="3121025" cy="2782570"/>
                    </a:xfrm>
                    <a:prstGeom prst="rect">
                      <a:avLst/>
                    </a:prstGeom>
                  </pic:spPr>
                </pic:pic>
              </a:graphicData>
            </a:graphic>
          </wp:inline>
        </w:drawing>
      </w:r>
    </w:p>
    <w:p w14:paraId="1866E4AE">
      <w:pPr>
        <w:spacing w:after="120" w:afterLines="50"/>
        <w:jc w:val="both"/>
        <w:rPr>
          <w:bCs/>
          <w:sz w:val="18"/>
          <w:szCs w:val="18"/>
          <w:highlight w:val="none"/>
        </w:rPr>
      </w:pPr>
      <w:r>
        <w:rPr>
          <w:b/>
          <w:sz w:val="18"/>
          <w:szCs w:val="18"/>
          <w:highlight w:val="none"/>
        </w:rPr>
        <w:t xml:space="preserve">Figure </w:t>
      </w:r>
      <w:r>
        <w:rPr>
          <w:rFonts w:hint="eastAsia" w:eastAsia="宋体"/>
          <w:b/>
          <w:sz w:val="18"/>
          <w:szCs w:val="18"/>
          <w:highlight w:val="none"/>
          <w:lang w:val="en-US" w:eastAsia="zh-CN"/>
        </w:rPr>
        <w:t>S7</w:t>
      </w:r>
      <w:r>
        <w:rPr>
          <w:b/>
          <w:sz w:val="18"/>
          <w:szCs w:val="18"/>
          <w:highlight w:val="none"/>
        </w:rPr>
        <w:t xml:space="preserve">  </w:t>
      </w:r>
      <w:r>
        <w:rPr>
          <w:rFonts w:hint="eastAsia"/>
          <w:bCs/>
          <w:sz w:val="18"/>
          <w:szCs w:val="18"/>
          <w:highlight w:val="none"/>
        </w:rPr>
        <w:t>HAADF-STEM of t-Fe900@CB</w:t>
      </w:r>
    </w:p>
    <w:p w14:paraId="2114E0AC">
      <w:pPr>
        <w:rPr>
          <w:rFonts w:eastAsiaTheme="minorEastAsia"/>
          <w:bCs/>
          <w:sz w:val="18"/>
          <w:szCs w:val="18"/>
          <w:highlight w:val="none"/>
          <w:lang w:eastAsia="zh-CN"/>
        </w:rPr>
      </w:pPr>
      <w:r>
        <w:rPr>
          <w:rFonts w:hint="eastAsia"/>
          <w:bCs/>
          <w:sz w:val="18"/>
          <w:szCs w:val="18"/>
          <w:highlight w:val="none"/>
        </w:rPr>
        <w:br w:type="page"/>
      </w:r>
    </w:p>
    <w:p w14:paraId="38FBF370">
      <w:pPr>
        <w:jc w:val="center"/>
        <w:rPr>
          <w:highlight w:val="none"/>
        </w:rPr>
      </w:pPr>
      <w:r>
        <w:rPr>
          <w:highlight w:val="none"/>
        </w:rPr>
        <w:drawing>
          <wp:inline distT="0" distB="0" distL="114300" distR="114300">
            <wp:extent cx="3580130" cy="3231515"/>
            <wp:effectExtent l="0" t="0" r="1270" b="6985"/>
            <wp:docPr id="1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6"/>
                    <pic:cNvPicPr>
                      <a:picLocks noChangeAspect="1"/>
                    </pic:cNvPicPr>
                  </pic:nvPicPr>
                  <pic:blipFill>
                    <a:blip r:embed="rId17"/>
                    <a:stretch>
                      <a:fillRect/>
                    </a:stretch>
                  </pic:blipFill>
                  <pic:spPr>
                    <a:xfrm>
                      <a:off x="0" y="0"/>
                      <a:ext cx="3580130" cy="3231515"/>
                    </a:xfrm>
                    <a:prstGeom prst="rect">
                      <a:avLst/>
                    </a:prstGeom>
                    <a:noFill/>
                    <a:ln>
                      <a:noFill/>
                    </a:ln>
                  </pic:spPr>
                </pic:pic>
              </a:graphicData>
            </a:graphic>
          </wp:inline>
        </w:drawing>
      </w:r>
    </w:p>
    <w:p w14:paraId="34B6D812">
      <w:pPr>
        <w:spacing w:after="120" w:afterLines="50"/>
        <w:jc w:val="both"/>
        <w:rPr>
          <w:bCs/>
          <w:sz w:val="18"/>
          <w:szCs w:val="18"/>
          <w:highlight w:val="none"/>
        </w:rPr>
      </w:pPr>
      <w:r>
        <w:rPr>
          <w:rFonts w:hint="eastAsia"/>
          <w:b/>
          <w:sz w:val="18"/>
          <w:szCs w:val="18"/>
          <w:highlight w:val="none"/>
        </w:rPr>
        <w:t xml:space="preserve">Figure </w:t>
      </w:r>
      <w:r>
        <w:rPr>
          <w:rFonts w:hint="eastAsia" w:eastAsia="宋体"/>
          <w:b/>
          <w:sz w:val="18"/>
          <w:szCs w:val="18"/>
          <w:highlight w:val="none"/>
          <w:lang w:val="en-US" w:eastAsia="zh-CN"/>
        </w:rPr>
        <w:t>S8</w:t>
      </w:r>
      <w:r>
        <w:rPr>
          <w:rFonts w:hint="eastAsia"/>
          <w:bCs/>
          <w:sz w:val="18"/>
          <w:szCs w:val="18"/>
          <w:highlight w:val="none"/>
        </w:rPr>
        <w:t xml:space="preserve">  XRD patterns of t-Fe700@CB, t-Fe800@CB, and t-Fe900@CB.</w:t>
      </w:r>
    </w:p>
    <w:p w14:paraId="658BEFD9">
      <w:pPr>
        <w:rPr>
          <w:bCs/>
          <w:sz w:val="18"/>
          <w:szCs w:val="18"/>
          <w:highlight w:val="none"/>
        </w:rPr>
      </w:pPr>
      <w:r>
        <w:rPr>
          <w:rFonts w:hint="eastAsia"/>
          <w:bCs/>
          <w:sz w:val="18"/>
          <w:szCs w:val="18"/>
          <w:highlight w:val="none"/>
        </w:rPr>
        <w:br w:type="page"/>
      </w:r>
    </w:p>
    <w:p w14:paraId="447D3258">
      <w:pPr>
        <w:spacing w:after="120" w:afterLines="50"/>
        <w:jc w:val="both"/>
        <w:rPr>
          <w:bCs/>
          <w:sz w:val="18"/>
          <w:szCs w:val="18"/>
          <w:highlight w:val="none"/>
        </w:rPr>
      </w:pPr>
    </w:p>
    <w:p w14:paraId="120143FF">
      <w:pPr>
        <w:jc w:val="center"/>
        <w:rPr>
          <w:highlight w:val="none"/>
        </w:rPr>
      </w:pPr>
      <w:r>
        <w:rPr>
          <w:highlight w:val="none"/>
        </w:rPr>
        <w:drawing>
          <wp:inline distT="0" distB="0" distL="0" distR="0">
            <wp:extent cx="4991100" cy="4286885"/>
            <wp:effectExtent l="0" t="0" r="0" b="889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icPr>
                  <pic:blipFill>
                    <a:blip r:embed="rId18"/>
                    <a:stretch>
                      <a:fillRect/>
                    </a:stretch>
                  </pic:blipFill>
                  <pic:spPr>
                    <a:xfrm>
                      <a:off x="0" y="0"/>
                      <a:ext cx="4991100" cy="4286885"/>
                    </a:xfrm>
                    <a:prstGeom prst="rect">
                      <a:avLst/>
                    </a:prstGeom>
                  </pic:spPr>
                </pic:pic>
              </a:graphicData>
            </a:graphic>
          </wp:inline>
        </w:drawing>
      </w:r>
    </w:p>
    <w:p w14:paraId="559A41F0">
      <w:pPr>
        <w:jc w:val="both"/>
        <w:rPr>
          <w:bCs/>
          <w:sz w:val="18"/>
          <w:szCs w:val="18"/>
          <w:highlight w:val="none"/>
        </w:rPr>
      </w:pPr>
      <w:r>
        <w:rPr>
          <w:b/>
          <w:sz w:val="18"/>
          <w:szCs w:val="18"/>
          <w:highlight w:val="none"/>
        </w:rPr>
        <w:t xml:space="preserve">Figure </w:t>
      </w:r>
      <w:r>
        <w:rPr>
          <w:rFonts w:hint="eastAsia"/>
          <w:b/>
          <w:sz w:val="18"/>
          <w:szCs w:val="18"/>
          <w:highlight w:val="none"/>
          <w:lang w:val="en-US" w:eastAsia="zh-CN"/>
        </w:rPr>
        <w:t>S9</w:t>
      </w:r>
      <w:r>
        <w:rPr>
          <w:b/>
          <w:sz w:val="18"/>
          <w:szCs w:val="18"/>
          <w:highlight w:val="none"/>
        </w:rPr>
        <w:t xml:space="preserve"> </w:t>
      </w:r>
      <w:r>
        <w:rPr>
          <w:rFonts w:hint="eastAsia"/>
          <w:bCs/>
          <w:sz w:val="18"/>
          <w:szCs w:val="18"/>
          <w:highlight w:val="none"/>
        </w:rPr>
        <w:t xml:space="preserve"> X-ray photoelectron spectroscopy of t-Fe700@CB, t-Fe800@CB and t-Fe900@CB (a) XPS spectra, (b) N 1s, (</w:t>
      </w:r>
      <w:r>
        <w:rPr>
          <w:rFonts w:hint="eastAsia" w:eastAsia="宋体"/>
          <w:bCs/>
          <w:sz w:val="18"/>
          <w:szCs w:val="18"/>
          <w:highlight w:val="none"/>
          <w:lang w:val="en-US" w:eastAsia="zh-CN"/>
        </w:rPr>
        <w:t>c</w:t>
      </w:r>
      <w:r>
        <w:rPr>
          <w:rFonts w:hint="eastAsia"/>
          <w:bCs/>
          <w:sz w:val="18"/>
          <w:szCs w:val="18"/>
          <w:highlight w:val="none"/>
        </w:rPr>
        <w:t>) C 1s and (</w:t>
      </w:r>
      <w:r>
        <w:rPr>
          <w:rFonts w:hint="eastAsia" w:eastAsia="宋体"/>
          <w:bCs/>
          <w:sz w:val="18"/>
          <w:szCs w:val="18"/>
          <w:highlight w:val="none"/>
          <w:lang w:val="en-US" w:eastAsia="zh-CN"/>
        </w:rPr>
        <w:t>d</w:t>
      </w:r>
      <w:r>
        <w:rPr>
          <w:rFonts w:hint="eastAsia"/>
          <w:bCs/>
          <w:sz w:val="18"/>
          <w:szCs w:val="18"/>
          <w:highlight w:val="none"/>
        </w:rPr>
        <w:t>) Fe 2p</w:t>
      </w:r>
    </w:p>
    <w:p w14:paraId="19E065C9">
      <w:pPr>
        <w:rPr>
          <w:bCs/>
          <w:sz w:val="18"/>
          <w:szCs w:val="18"/>
          <w:highlight w:val="none"/>
        </w:rPr>
      </w:pPr>
      <w:r>
        <w:rPr>
          <w:rFonts w:hint="eastAsia"/>
          <w:bCs/>
          <w:sz w:val="18"/>
          <w:szCs w:val="18"/>
          <w:highlight w:val="none"/>
        </w:rPr>
        <w:br w:type="page"/>
      </w:r>
    </w:p>
    <w:p w14:paraId="50ADA271">
      <w:pPr>
        <w:jc w:val="both"/>
        <w:rPr>
          <w:highlight w:val="none"/>
        </w:rPr>
      </w:pPr>
      <w:r>
        <w:rPr>
          <w:highlight w:val="none"/>
        </w:rPr>
        <w:drawing>
          <wp:inline distT="0" distB="0" distL="0" distR="0">
            <wp:extent cx="5997575" cy="2403475"/>
            <wp:effectExtent l="0" t="0" r="3175" b="6350"/>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pic:cNvPicPr>
                      <a:picLocks noChangeAspect="1"/>
                    </pic:cNvPicPr>
                  </pic:nvPicPr>
                  <pic:blipFill>
                    <a:blip r:embed="rId19"/>
                    <a:stretch>
                      <a:fillRect/>
                    </a:stretch>
                  </pic:blipFill>
                  <pic:spPr>
                    <a:xfrm>
                      <a:off x="0" y="0"/>
                      <a:ext cx="5997575" cy="2403475"/>
                    </a:xfrm>
                    <a:prstGeom prst="rect">
                      <a:avLst/>
                    </a:prstGeom>
                  </pic:spPr>
                </pic:pic>
              </a:graphicData>
            </a:graphic>
          </wp:inline>
        </w:drawing>
      </w:r>
    </w:p>
    <w:p w14:paraId="303D9B66">
      <w:pPr>
        <w:spacing w:after="120" w:afterLines="50"/>
        <w:jc w:val="both"/>
        <w:rPr>
          <w:bCs/>
          <w:sz w:val="18"/>
          <w:szCs w:val="18"/>
          <w:highlight w:val="none"/>
        </w:rPr>
      </w:pPr>
      <w:r>
        <w:rPr>
          <w:b/>
          <w:sz w:val="18"/>
          <w:szCs w:val="18"/>
          <w:highlight w:val="none"/>
        </w:rPr>
        <w:t xml:space="preserve">Figure </w:t>
      </w:r>
      <w:r>
        <w:rPr>
          <w:rFonts w:hint="eastAsia" w:eastAsia="宋体"/>
          <w:b/>
          <w:sz w:val="18"/>
          <w:szCs w:val="18"/>
          <w:highlight w:val="none"/>
          <w:lang w:val="en-US" w:eastAsia="zh-CN"/>
        </w:rPr>
        <w:t>S10</w:t>
      </w:r>
      <w:r>
        <w:rPr>
          <w:b/>
          <w:sz w:val="21"/>
          <w:highlight w:val="none"/>
        </w:rPr>
        <w:t xml:space="preserve">  </w:t>
      </w:r>
      <w:r>
        <w:rPr>
          <w:rFonts w:hint="eastAsia"/>
          <w:bCs/>
          <w:sz w:val="18"/>
          <w:szCs w:val="18"/>
          <w:highlight w:val="none"/>
        </w:rPr>
        <w:t>ORR performance of different metal center catalysts.</w:t>
      </w:r>
      <w:r>
        <w:rPr>
          <w:bCs/>
          <w:sz w:val="18"/>
          <w:szCs w:val="18"/>
          <w:highlight w:val="none"/>
        </w:rPr>
        <w:t xml:space="preserve"> </w:t>
      </w:r>
      <w:r>
        <w:rPr>
          <w:rFonts w:hint="eastAsia"/>
          <w:bCs/>
          <w:sz w:val="18"/>
          <w:szCs w:val="18"/>
          <w:highlight w:val="none"/>
        </w:rPr>
        <w:t>(a) LSV,</w:t>
      </w:r>
      <w:r>
        <w:rPr>
          <w:bCs/>
          <w:sz w:val="18"/>
          <w:szCs w:val="18"/>
          <w:highlight w:val="none"/>
        </w:rPr>
        <w:t xml:space="preserve"> </w:t>
      </w:r>
      <w:r>
        <w:rPr>
          <w:rFonts w:hint="eastAsia"/>
          <w:bCs/>
          <w:sz w:val="18"/>
          <w:szCs w:val="18"/>
          <w:highlight w:val="none"/>
        </w:rPr>
        <w:t>(b) transfer electron number</w:t>
      </w:r>
    </w:p>
    <w:p w14:paraId="467F636F">
      <w:pPr>
        <w:rPr>
          <w:bCs/>
          <w:sz w:val="18"/>
          <w:szCs w:val="18"/>
          <w:highlight w:val="none"/>
        </w:rPr>
      </w:pPr>
      <w:r>
        <w:rPr>
          <w:rFonts w:hint="eastAsia"/>
          <w:bCs/>
          <w:sz w:val="18"/>
          <w:szCs w:val="18"/>
          <w:highlight w:val="none"/>
        </w:rPr>
        <w:br w:type="page"/>
      </w:r>
    </w:p>
    <w:p w14:paraId="201668D3">
      <w:pPr>
        <w:spacing w:after="120" w:afterLines="50"/>
        <w:rPr>
          <w:b/>
          <w:sz w:val="21"/>
          <w:highlight w:val="none"/>
        </w:rPr>
      </w:pPr>
    </w:p>
    <w:p w14:paraId="16C035C8">
      <w:pPr>
        <w:pStyle w:val="14"/>
        <w:ind w:firstLine="0" w:firstLineChars="0"/>
        <w:rPr>
          <w:highlight w:val="none"/>
        </w:rPr>
      </w:pPr>
    </w:p>
    <w:p w14:paraId="66DBE5F0">
      <w:pPr>
        <w:spacing w:after="120" w:afterLines="50"/>
        <w:jc w:val="center"/>
        <w:rPr>
          <w:highlight w:val="none"/>
        </w:rPr>
      </w:pPr>
      <w:r>
        <w:rPr>
          <w:highlight w:val="none"/>
        </w:rPr>
        <w:object>
          <v:shape id="_x0000_i1025" o:spt="75" type="#_x0000_t75" style="height:229.65pt;width:311.55pt;" o:ole="t" filled="f" o:preferrelative="t" stroked="f" coordsize="21600,21600">
            <v:path/>
            <v:fill on="f" focussize="0,0"/>
            <v:stroke on="f" joinstyle="miter"/>
            <v:imagedata r:id="rId21" o:title=""/>
            <o:lock v:ext="edit" aspectratio="t"/>
            <w10:wrap type="none"/>
            <w10:anchorlock/>
          </v:shape>
          <o:OLEObject Type="Embed" ProgID="Origin95.Graph" ShapeID="_x0000_i1025" DrawAspect="Content" ObjectID="_1468075725" r:id="rId20">
            <o:LockedField>false</o:LockedField>
          </o:OLEObject>
        </w:object>
      </w:r>
    </w:p>
    <w:p w14:paraId="1D110F71">
      <w:pPr>
        <w:spacing w:after="120" w:afterLines="50"/>
        <w:rPr>
          <w:bCs/>
          <w:sz w:val="18"/>
          <w:szCs w:val="18"/>
          <w:highlight w:val="none"/>
        </w:rPr>
      </w:pPr>
      <w:r>
        <w:rPr>
          <w:b/>
          <w:sz w:val="18"/>
          <w:szCs w:val="18"/>
          <w:highlight w:val="none"/>
        </w:rPr>
        <w:t xml:space="preserve">Figure </w:t>
      </w:r>
      <w:r>
        <w:rPr>
          <w:rFonts w:eastAsia="宋体"/>
          <w:b/>
          <w:sz w:val="18"/>
          <w:szCs w:val="18"/>
          <w:highlight w:val="none"/>
          <w:lang w:val="en-US" w:eastAsia="zh-CN"/>
        </w:rPr>
        <w:t>S1</w:t>
      </w:r>
      <w:r>
        <w:rPr>
          <w:rFonts w:hint="eastAsia" w:eastAsia="宋体"/>
          <w:b/>
          <w:sz w:val="18"/>
          <w:szCs w:val="18"/>
          <w:highlight w:val="none"/>
          <w:lang w:val="en-US" w:eastAsia="zh-CN"/>
        </w:rPr>
        <w:t>1</w:t>
      </w:r>
      <w:r>
        <w:rPr>
          <w:b/>
          <w:sz w:val="18"/>
          <w:szCs w:val="18"/>
          <w:highlight w:val="none"/>
        </w:rPr>
        <w:t xml:space="preserve"> </w:t>
      </w:r>
      <w:r>
        <w:rPr>
          <w:bCs/>
          <w:sz w:val="18"/>
          <w:szCs w:val="18"/>
          <w:highlight w:val="none"/>
        </w:rPr>
        <w:t xml:space="preserve"> XRD spectra of samples t-Fe-800@CB and Fe-800@CB</w:t>
      </w:r>
    </w:p>
    <w:p w14:paraId="328A2111">
      <w:pPr>
        <w:rPr>
          <w:bCs/>
          <w:sz w:val="18"/>
          <w:szCs w:val="18"/>
          <w:highlight w:val="none"/>
        </w:rPr>
      </w:pPr>
      <w:r>
        <w:rPr>
          <w:bCs/>
          <w:sz w:val="18"/>
          <w:szCs w:val="18"/>
          <w:highlight w:val="none"/>
        </w:rPr>
        <w:br w:type="page"/>
      </w:r>
    </w:p>
    <w:p w14:paraId="782359CC">
      <w:pPr>
        <w:spacing w:after="120" w:afterLines="50"/>
        <w:rPr>
          <w:bCs/>
          <w:sz w:val="18"/>
          <w:szCs w:val="18"/>
          <w:highlight w:val="none"/>
        </w:rPr>
      </w:pPr>
    </w:p>
    <w:p w14:paraId="7F38D207">
      <w:pPr>
        <w:spacing w:after="120" w:afterLines="50"/>
        <w:jc w:val="center"/>
        <w:rPr>
          <w:highlight w:val="none"/>
        </w:rPr>
      </w:pPr>
      <w:r>
        <w:rPr>
          <w:highlight w:val="none"/>
        </w:rPr>
        <w:drawing>
          <wp:inline distT="0" distB="0" distL="114300" distR="114300">
            <wp:extent cx="4088130" cy="3158490"/>
            <wp:effectExtent l="0" t="0" r="7620" b="3810"/>
            <wp:docPr id="1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9"/>
                    <pic:cNvPicPr>
                      <a:picLocks noChangeAspect="1"/>
                    </pic:cNvPicPr>
                  </pic:nvPicPr>
                  <pic:blipFill>
                    <a:blip r:embed="rId22"/>
                    <a:stretch>
                      <a:fillRect/>
                    </a:stretch>
                  </pic:blipFill>
                  <pic:spPr>
                    <a:xfrm>
                      <a:off x="0" y="0"/>
                      <a:ext cx="4116863" cy="3181028"/>
                    </a:xfrm>
                    <a:prstGeom prst="rect">
                      <a:avLst/>
                    </a:prstGeom>
                    <a:noFill/>
                    <a:ln>
                      <a:noFill/>
                    </a:ln>
                  </pic:spPr>
                </pic:pic>
              </a:graphicData>
            </a:graphic>
          </wp:inline>
        </w:drawing>
      </w:r>
    </w:p>
    <w:p w14:paraId="41DE5E8A">
      <w:pPr>
        <w:spacing w:after="120" w:afterLines="50"/>
        <w:jc w:val="both"/>
        <w:rPr>
          <w:bCs/>
          <w:sz w:val="18"/>
          <w:szCs w:val="18"/>
          <w:highlight w:val="none"/>
        </w:rPr>
      </w:pPr>
      <w:r>
        <w:rPr>
          <w:b/>
          <w:bCs/>
          <w:sz w:val="18"/>
          <w:szCs w:val="18"/>
          <w:highlight w:val="none"/>
        </w:rPr>
        <w:t>Figure</w:t>
      </w:r>
      <w:r>
        <w:rPr>
          <w:b/>
          <w:sz w:val="18"/>
          <w:szCs w:val="18"/>
          <w:highlight w:val="none"/>
        </w:rPr>
        <w:t xml:space="preserve"> </w:t>
      </w:r>
      <w:r>
        <w:rPr>
          <w:rFonts w:eastAsia="宋体"/>
          <w:b/>
          <w:sz w:val="18"/>
          <w:szCs w:val="18"/>
          <w:highlight w:val="none"/>
          <w:lang w:val="en-US" w:eastAsia="zh-CN"/>
        </w:rPr>
        <w:t>S</w:t>
      </w:r>
      <w:r>
        <w:rPr>
          <w:rFonts w:hint="eastAsia" w:eastAsia="宋体"/>
          <w:b/>
          <w:sz w:val="18"/>
          <w:szCs w:val="18"/>
          <w:highlight w:val="none"/>
          <w:lang w:val="en-US" w:eastAsia="zh-CN"/>
        </w:rPr>
        <w:t>1</w:t>
      </w:r>
      <w:r>
        <w:rPr>
          <w:rFonts w:eastAsia="宋体"/>
          <w:b/>
          <w:sz w:val="18"/>
          <w:szCs w:val="18"/>
          <w:highlight w:val="none"/>
          <w:lang w:val="en-US" w:eastAsia="zh-CN"/>
        </w:rPr>
        <w:t>2</w:t>
      </w:r>
      <w:r>
        <w:rPr>
          <w:b/>
          <w:sz w:val="18"/>
          <w:szCs w:val="18"/>
          <w:highlight w:val="none"/>
        </w:rPr>
        <w:t xml:space="preserve">  </w:t>
      </w:r>
      <w:r>
        <w:rPr>
          <w:bCs/>
          <w:sz w:val="18"/>
          <w:szCs w:val="18"/>
          <w:highlight w:val="none"/>
        </w:rPr>
        <w:t>Raman spectra of t-Fe-800@CB and Fe-800@CB</w:t>
      </w:r>
    </w:p>
    <w:p w14:paraId="0ADDA1B0">
      <w:pPr>
        <w:rPr>
          <w:bCs/>
          <w:sz w:val="18"/>
          <w:szCs w:val="18"/>
          <w:highlight w:val="none"/>
        </w:rPr>
      </w:pPr>
      <w:r>
        <w:rPr>
          <w:bCs/>
          <w:sz w:val="18"/>
          <w:szCs w:val="18"/>
          <w:highlight w:val="none"/>
        </w:rPr>
        <w:br w:type="page"/>
      </w:r>
    </w:p>
    <w:p w14:paraId="73909056">
      <w:pPr>
        <w:spacing w:after="120" w:afterLines="50"/>
        <w:jc w:val="both"/>
        <w:rPr>
          <w:bCs/>
          <w:sz w:val="18"/>
          <w:szCs w:val="18"/>
          <w:highlight w:val="none"/>
        </w:rPr>
      </w:pPr>
    </w:p>
    <w:p w14:paraId="0BFE2450">
      <w:pPr>
        <w:spacing w:after="120" w:afterLines="50"/>
        <w:jc w:val="both"/>
        <w:rPr>
          <w:bCs/>
          <w:sz w:val="18"/>
          <w:szCs w:val="18"/>
          <w:highlight w:val="none"/>
        </w:rPr>
      </w:pPr>
      <w:r>
        <w:rPr>
          <w:highlight w:val="none"/>
        </w:rPr>
        <w:drawing>
          <wp:inline distT="0" distB="0" distL="114300" distR="114300">
            <wp:extent cx="5365750" cy="3075305"/>
            <wp:effectExtent l="0" t="0" r="6350" b="0"/>
            <wp:docPr id="14"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2"/>
                    <pic:cNvPicPr>
                      <a:picLocks noChangeAspect="1"/>
                    </pic:cNvPicPr>
                  </pic:nvPicPr>
                  <pic:blipFill>
                    <a:blip r:embed="rId23"/>
                    <a:stretch>
                      <a:fillRect/>
                    </a:stretch>
                  </pic:blipFill>
                  <pic:spPr>
                    <a:xfrm>
                      <a:off x="0" y="0"/>
                      <a:ext cx="5369365" cy="3077728"/>
                    </a:xfrm>
                    <a:prstGeom prst="rect">
                      <a:avLst/>
                    </a:prstGeom>
                    <a:noFill/>
                    <a:ln>
                      <a:noFill/>
                    </a:ln>
                  </pic:spPr>
                </pic:pic>
              </a:graphicData>
            </a:graphic>
          </wp:inline>
        </w:drawing>
      </w:r>
      <w:r>
        <w:rPr>
          <w:b/>
          <w:bCs/>
          <w:sz w:val="18"/>
          <w:szCs w:val="18"/>
          <w:highlight w:val="none"/>
        </w:rPr>
        <w:t>Figure</w:t>
      </w:r>
      <w:r>
        <w:rPr>
          <w:b/>
          <w:sz w:val="18"/>
          <w:szCs w:val="18"/>
          <w:highlight w:val="none"/>
        </w:rPr>
        <w:t xml:space="preserve"> </w:t>
      </w:r>
      <w:r>
        <w:rPr>
          <w:rFonts w:eastAsia="宋体"/>
          <w:b/>
          <w:sz w:val="18"/>
          <w:szCs w:val="18"/>
          <w:highlight w:val="none"/>
          <w:lang w:val="en-US" w:eastAsia="zh-CN"/>
        </w:rPr>
        <w:t>S</w:t>
      </w:r>
      <w:r>
        <w:rPr>
          <w:rFonts w:hint="eastAsia" w:eastAsia="宋体"/>
          <w:b/>
          <w:sz w:val="18"/>
          <w:szCs w:val="18"/>
          <w:highlight w:val="none"/>
          <w:lang w:val="en-US" w:eastAsia="zh-CN"/>
        </w:rPr>
        <w:t>1</w:t>
      </w:r>
      <w:r>
        <w:rPr>
          <w:rFonts w:eastAsia="宋体"/>
          <w:b/>
          <w:sz w:val="18"/>
          <w:szCs w:val="18"/>
          <w:highlight w:val="none"/>
          <w:lang w:val="en-US" w:eastAsia="zh-CN"/>
        </w:rPr>
        <w:t>3</w:t>
      </w:r>
      <w:r>
        <w:rPr>
          <w:b/>
          <w:sz w:val="18"/>
          <w:szCs w:val="18"/>
          <w:highlight w:val="none"/>
        </w:rPr>
        <w:t xml:space="preserve">  </w:t>
      </w:r>
      <w:r>
        <w:rPr>
          <w:bCs/>
          <w:sz w:val="18"/>
          <w:szCs w:val="18"/>
          <w:highlight w:val="none"/>
        </w:rPr>
        <w:t>XPS analysis of t-Fe-800@CB, Fe-800@CB and CB. (a)XPS survey spectrum, (b)C1s (c)Fe 2p, (d)N 1s, (e)O 1s and (f) the comparison histogram of element composition content</w:t>
      </w:r>
    </w:p>
    <w:p w14:paraId="2FC3C849">
      <w:pPr>
        <w:rPr>
          <w:bCs/>
          <w:sz w:val="18"/>
          <w:szCs w:val="18"/>
          <w:highlight w:val="none"/>
        </w:rPr>
      </w:pPr>
      <w:r>
        <w:rPr>
          <w:bCs/>
          <w:sz w:val="18"/>
          <w:szCs w:val="18"/>
          <w:highlight w:val="none"/>
        </w:rPr>
        <w:br w:type="page"/>
      </w:r>
    </w:p>
    <w:p w14:paraId="04E76D58">
      <w:pPr>
        <w:spacing w:after="120" w:afterLines="50"/>
        <w:jc w:val="both"/>
        <w:rPr>
          <w:bCs/>
          <w:sz w:val="21"/>
          <w:szCs w:val="21"/>
          <w:highlight w:val="none"/>
        </w:rPr>
      </w:pPr>
    </w:p>
    <w:p w14:paraId="3D5A6DC2">
      <w:pPr>
        <w:spacing w:after="120" w:afterLines="50"/>
        <w:jc w:val="center"/>
        <w:rPr>
          <w:highlight w:val="none"/>
        </w:rPr>
      </w:pPr>
      <w:r>
        <w:rPr>
          <w:highlight w:val="none"/>
        </w:rPr>
        <w:drawing>
          <wp:inline distT="0" distB="0" distL="114300" distR="114300">
            <wp:extent cx="2934335" cy="2398395"/>
            <wp:effectExtent l="0" t="0" r="0" b="1905"/>
            <wp:docPr id="28"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5"/>
                    <pic:cNvPicPr>
                      <a:picLocks noChangeAspect="1"/>
                    </pic:cNvPicPr>
                  </pic:nvPicPr>
                  <pic:blipFill>
                    <a:blip r:embed="rId24"/>
                    <a:stretch>
                      <a:fillRect/>
                    </a:stretch>
                  </pic:blipFill>
                  <pic:spPr>
                    <a:xfrm>
                      <a:off x="0" y="0"/>
                      <a:ext cx="2950598" cy="2411679"/>
                    </a:xfrm>
                    <a:prstGeom prst="rect">
                      <a:avLst/>
                    </a:prstGeom>
                    <a:noFill/>
                    <a:ln>
                      <a:noFill/>
                    </a:ln>
                  </pic:spPr>
                </pic:pic>
              </a:graphicData>
            </a:graphic>
          </wp:inline>
        </w:drawing>
      </w:r>
    </w:p>
    <w:p w14:paraId="51318C6F">
      <w:pPr>
        <w:spacing w:line="312" w:lineRule="auto"/>
        <w:jc w:val="both"/>
        <w:rPr>
          <w:bCs/>
          <w:sz w:val="18"/>
          <w:szCs w:val="18"/>
          <w:highlight w:val="none"/>
        </w:rPr>
      </w:pPr>
      <w:r>
        <w:rPr>
          <w:b/>
          <w:bCs/>
          <w:sz w:val="18"/>
          <w:szCs w:val="18"/>
          <w:highlight w:val="none"/>
        </w:rPr>
        <w:t>Figure</w:t>
      </w:r>
      <w:r>
        <w:rPr>
          <w:b/>
          <w:sz w:val="18"/>
          <w:szCs w:val="18"/>
          <w:highlight w:val="none"/>
        </w:rPr>
        <w:t xml:space="preserve"> </w:t>
      </w:r>
      <w:r>
        <w:rPr>
          <w:rFonts w:eastAsia="宋体"/>
          <w:b/>
          <w:sz w:val="18"/>
          <w:szCs w:val="18"/>
          <w:highlight w:val="none"/>
          <w:lang w:val="en-US" w:eastAsia="zh-CN"/>
        </w:rPr>
        <w:t>S</w:t>
      </w:r>
      <w:r>
        <w:rPr>
          <w:rFonts w:hint="eastAsia" w:eastAsia="宋体"/>
          <w:b/>
          <w:sz w:val="18"/>
          <w:szCs w:val="18"/>
          <w:highlight w:val="none"/>
          <w:lang w:val="en-US" w:eastAsia="zh-CN"/>
        </w:rPr>
        <w:t>1</w:t>
      </w:r>
      <w:r>
        <w:rPr>
          <w:rFonts w:eastAsia="宋体"/>
          <w:b/>
          <w:sz w:val="18"/>
          <w:szCs w:val="18"/>
          <w:highlight w:val="none"/>
          <w:lang w:val="en-US" w:eastAsia="zh-CN"/>
        </w:rPr>
        <w:t>4</w:t>
      </w:r>
      <w:r>
        <w:rPr>
          <w:b/>
          <w:sz w:val="18"/>
          <w:szCs w:val="18"/>
          <w:highlight w:val="none"/>
        </w:rPr>
        <w:t xml:space="preserve"> </w:t>
      </w:r>
      <w:r>
        <w:rPr>
          <w:rFonts w:hint="eastAsia" w:eastAsia="宋体"/>
          <w:b/>
          <w:sz w:val="18"/>
          <w:szCs w:val="18"/>
          <w:highlight w:val="none"/>
          <w:lang w:val="en-US" w:eastAsia="zh-CN"/>
        </w:rPr>
        <w:t xml:space="preserve"> </w:t>
      </w:r>
      <w:r>
        <w:rPr>
          <w:bCs/>
          <w:sz w:val="18"/>
          <w:szCs w:val="18"/>
          <w:highlight w:val="none"/>
        </w:rPr>
        <w:t>Fe K-edge EXAFS fitting analysis in R space.</w:t>
      </w:r>
    </w:p>
    <w:p w14:paraId="74E559CF">
      <w:pPr>
        <w:rPr>
          <w:bCs/>
          <w:sz w:val="18"/>
          <w:szCs w:val="18"/>
          <w:highlight w:val="none"/>
        </w:rPr>
      </w:pPr>
      <w:r>
        <w:rPr>
          <w:bCs/>
          <w:sz w:val="18"/>
          <w:szCs w:val="18"/>
          <w:highlight w:val="none"/>
        </w:rPr>
        <w:br w:type="page"/>
      </w:r>
    </w:p>
    <w:p w14:paraId="1DB35216">
      <w:pPr>
        <w:spacing w:line="312" w:lineRule="auto"/>
        <w:jc w:val="both"/>
        <w:rPr>
          <w:bCs/>
          <w:sz w:val="18"/>
          <w:szCs w:val="18"/>
          <w:highlight w:val="none"/>
        </w:rPr>
      </w:pPr>
    </w:p>
    <w:p w14:paraId="0360E173">
      <w:pPr>
        <w:spacing w:line="312" w:lineRule="auto"/>
        <w:jc w:val="both"/>
        <w:rPr>
          <w:bCs/>
          <w:sz w:val="18"/>
          <w:szCs w:val="18"/>
          <w:highlight w:val="none"/>
        </w:rPr>
      </w:pPr>
    </w:p>
    <w:p w14:paraId="36B5A8E2">
      <w:pPr>
        <w:spacing w:line="312" w:lineRule="auto"/>
        <w:jc w:val="both"/>
        <w:rPr>
          <w:highlight w:val="none"/>
        </w:rPr>
      </w:pPr>
      <w:bookmarkStart w:id="3" w:name="_Hlk214650342"/>
      <w:r>
        <w:rPr>
          <w:highlight w:val="none"/>
        </w:rPr>
        <w:drawing>
          <wp:inline distT="0" distB="0" distL="0" distR="0">
            <wp:extent cx="5278120" cy="2221865"/>
            <wp:effectExtent l="0" t="0" r="0" b="6985"/>
            <wp:docPr id="8763177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31779" name="图片 1"/>
                    <pic:cNvPicPr>
                      <a:picLocks noChangeAspect="1"/>
                    </pic:cNvPicPr>
                  </pic:nvPicPr>
                  <pic:blipFill>
                    <a:blip r:embed="rId25"/>
                    <a:srcRect b="50385"/>
                    <a:stretch>
                      <a:fillRect/>
                    </a:stretch>
                  </pic:blipFill>
                  <pic:spPr>
                    <a:xfrm>
                      <a:off x="0" y="0"/>
                      <a:ext cx="5278120" cy="2222390"/>
                    </a:xfrm>
                    <a:prstGeom prst="rect">
                      <a:avLst/>
                    </a:prstGeom>
                    <a:ln>
                      <a:noFill/>
                    </a:ln>
                  </pic:spPr>
                </pic:pic>
              </a:graphicData>
            </a:graphic>
          </wp:inline>
        </w:drawing>
      </w:r>
    </w:p>
    <w:p w14:paraId="721CB11A">
      <w:pPr>
        <w:jc w:val="both"/>
        <w:rPr>
          <w:rFonts w:eastAsiaTheme="minorEastAsia"/>
          <w:sz w:val="18"/>
          <w:szCs w:val="18"/>
          <w:highlight w:val="none"/>
          <w:lang w:eastAsia="zh-CN"/>
        </w:rPr>
      </w:pPr>
      <w:r>
        <w:rPr>
          <w:b/>
          <w:bCs/>
          <w:sz w:val="18"/>
          <w:szCs w:val="18"/>
          <w:highlight w:val="none"/>
        </w:rPr>
        <w:t xml:space="preserve">Figure </w:t>
      </w:r>
      <w:r>
        <w:rPr>
          <w:rFonts w:eastAsia="宋体"/>
          <w:b/>
          <w:bCs/>
          <w:sz w:val="18"/>
          <w:szCs w:val="18"/>
          <w:highlight w:val="none"/>
          <w:lang w:val="en-US" w:eastAsia="zh-CN"/>
        </w:rPr>
        <w:t>S</w:t>
      </w:r>
      <w:r>
        <w:rPr>
          <w:rFonts w:hint="eastAsia" w:eastAsia="宋体"/>
          <w:b/>
          <w:bCs/>
          <w:sz w:val="18"/>
          <w:szCs w:val="18"/>
          <w:highlight w:val="none"/>
          <w:lang w:val="en-US" w:eastAsia="zh-CN"/>
        </w:rPr>
        <w:t>1</w:t>
      </w:r>
      <w:r>
        <w:rPr>
          <w:rFonts w:eastAsia="宋体"/>
          <w:b/>
          <w:bCs/>
          <w:sz w:val="18"/>
          <w:szCs w:val="18"/>
          <w:highlight w:val="none"/>
          <w:lang w:val="en-US" w:eastAsia="zh-CN"/>
        </w:rPr>
        <w:t>5</w:t>
      </w:r>
      <w:r>
        <w:rPr>
          <w:sz w:val="18"/>
          <w:szCs w:val="18"/>
          <w:highlight w:val="none"/>
        </w:rPr>
        <w:t xml:space="preserve">  (a) N</w:t>
      </w:r>
      <w:r>
        <w:rPr>
          <w:sz w:val="18"/>
          <w:szCs w:val="18"/>
          <w:highlight w:val="none"/>
          <w:vertAlign w:val="subscript"/>
        </w:rPr>
        <w:t>2</w:t>
      </w:r>
      <w:r>
        <w:rPr>
          <w:sz w:val="18"/>
          <w:szCs w:val="18"/>
          <w:highlight w:val="none"/>
        </w:rPr>
        <w:t xml:space="preserve"> adsorption-desorption isotherm of t-Fe-800@CB. (b) Hole sizedistribution of t-Fe-800@CB</w:t>
      </w:r>
      <w:r>
        <w:rPr>
          <w:rFonts w:hint="eastAsia" w:eastAsiaTheme="minorEastAsia"/>
          <w:sz w:val="18"/>
          <w:szCs w:val="18"/>
          <w:highlight w:val="none"/>
          <w:lang w:eastAsia="zh-CN"/>
        </w:rPr>
        <w:t>.</w:t>
      </w:r>
      <w:r>
        <w:rPr>
          <w:sz w:val="18"/>
          <w:szCs w:val="18"/>
          <w:highlight w:val="none"/>
        </w:rPr>
        <w:t xml:space="preserve"> (</w:t>
      </w:r>
      <w:r>
        <w:rPr>
          <w:rFonts w:hint="eastAsia" w:eastAsiaTheme="minorEastAsia"/>
          <w:sz w:val="18"/>
          <w:szCs w:val="18"/>
          <w:highlight w:val="none"/>
          <w:lang w:eastAsia="zh-CN"/>
        </w:rPr>
        <w:t>c</w:t>
      </w:r>
      <w:r>
        <w:rPr>
          <w:sz w:val="18"/>
          <w:szCs w:val="18"/>
          <w:highlight w:val="none"/>
        </w:rPr>
        <w:t>) N</w:t>
      </w:r>
      <w:r>
        <w:rPr>
          <w:sz w:val="18"/>
          <w:szCs w:val="18"/>
          <w:highlight w:val="none"/>
          <w:vertAlign w:val="subscript"/>
        </w:rPr>
        <w:t>2</w:t>
      </w:r>
      <w:r>
        <w:rPr>
          <w:sz w:val="18"/>
          <w:szCs w:val="18"/>
          <w:highlight w:val="none"/>
        </w:rPr>
        <w:t xml:space="preserve"> adsorption-desorption isotherm of </w:t>
      </w:r>
      <w:r>
        <w:rPr>
          <w:rFonts w:hint="eastAsia" w:eastAsiaTheme="minorEastAsia"/>
          <w:sz w:val="18"/>
          <w:szCs w:val="18"/>
          <w:highlight w:val="none"/>
          <w:lang w:eastAsia="zh-CN"/>
        </w:rPr>
        <w:t>20%Pt/C</w:t>
      </w:r>
      <w:r>
        <w:rPr>
          <w:sz w:val="18"/>
          <w:szCs w:val="18"/>
          <w:highlight w:val="none"/>
        </w:rPr>
        <w:t>. (</w:t>
      </w:r>
      <w:r>
        <w:rPr>
          <w:rFonts w:hint="eastAsia" w:eastAsiaTheme="minorEastAsia"/>
          <w:sz w:val="18"/>
          <w:szCs w:val="18"/>
          <w:highlight w:val="none"/>
          <w:lang w:eastAsia="zh-CN"/>
        </w:rPr>
        <w:t>d</w:t>
      </w:r>
      <w:r>
        <w:rPr>
          <w:sz w:val="18"/>
          <w:szCs w:val="18"/>
          <w:highlight w:val="none"/>
        </w:rPr>
        <w:t xml:space="preserve">) Hole sizedistribution of </w:t>
      </w:r>
      <w:r>
        <w:rPr>
          <w:rFonts w:hint="eastAsia" w:eastAsiaTheme="minorEastAsia"/>
          <w:sz w:val="18"/>
          <w:szCs w:val="18"/>
          <w:highlight w:val="none"/>
          <w:lang w:eastAsia="zh-CN"/>
        </w:rPr>
        <w:t>20%Pt/C.</w:t>
      </w:r>
      <w:bookmarkEnd w:id="3"/>
      <w:r>
        <w:rPr>
          <w:sz w:val="18"/>
          <w:szCs w:val="18"/>
          <w:highlight w:val="none"/>
        </w:rPr>
        <w:t xml:space="preserve"> </w:t>
      </w:r>
    </w:p>
    <w:p w14:paraId="51C32BD4">
      <w:pPr>
        <w:rPr>
          <w:rFonts w:eastAsiaTheme="minorEastAsia"/>
          <w:sz w:val="18"/>
          <w:szCs w:val="18"/>
          <w:highlight w:val="none"/>
          <w:lang w:eastAsia="zh-CN"/>
        </w:rPr>
      </w:pPr>
      <w:r>
        <w:rPr>
          <w:rFonts w:hint="eastAsia" w:eastAsiaTheme="minorEastAsia"/>
          <w:sz w:val="18"/>
          <w:szCs w:val="18"/>
          <w:highlight w:val="none"/>
          <w:lang w:eastAsia="zh-CN"/>
        </w:rPr>
        <w:br w:type="page"/>
      </w:r>
    </w:p>
    <w:p w14:paraId="477547BF">
      <w:pPr>
        <w:jc w:val="both"/>
        <w:rPr>
          <w:highlight w:val="none"/>
        </w:rPr>
      </w:pPr>
      <w:r>
        <w:rPr>
          <w:highlight w:val="none"/>
        </w:rPr>
        <w:drawing>
          <wp:inline distT="0" distB="0" distL="0" distR="0">
            <wp:extent cx="4776470" cy="5243195"/>
            <wp:effectExtent l="0" t="0" r="5080" b="508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26"/>
                    <a:stretch>
                      <a:fillRect/>
                    </a:stretch>
                  </pic:blipFill>
                  <pic:spPr>
                    <a:xfrm>
                      <a:off x="0" y="0"/>
                      <a:ext cx="4804701" cy="5273994"/>
                    </a:xfrm>
                    <a:prstGeom prst="rect">
                      <a:avLst/>
                    </a:prstGeom>
                  </pic:spPr>
                </pic:pic>
              </a:graphicData>
            </a:graphic>
          </wp:inline>
        </w:drawing>
      </w:r>
    </w:p>
    <w:p w14:paraId="794E3B28">
      <w:pPr>
        <w:spacing w:after="120" w:afterLines="50"/>
        <w:jc w:val="both"/>
        <w:rPr>
          <w:rFonts w:eastAsiaTheme="minorEastAsia"/>
          <w:sz w:val="18"/>
          <w:szCs w:val="18"/>
          <w:highlight w:val="none"/>
          <w:lang w:val="en-US" w:eastAsia="zh-CN"/>
        </w:rPr>
      </w:pPr>
      <w:r>
        <w:rPr>
          <w:rFonts w:hint="eastAsia"/>
          <w:b/>
          <w:bCs/>
          <w:sz w:val="18"/>
          <w:szCs w:val="18"/>
          <w:highlight w:val="none"/>
          <w:lang w:eastAsia="zh-CN"/>
        </w:rPr>
        <w:t xml:space="preserve">Figure </w:t>
      </w:r>
      <w:r>
        <w:rPr>
          <w:rFonts w:hint="eastAsia"/>
          <w:b/>
          <w:bCs/>
          <w:sz w:val="18"/>
          <w:szCs w:val="18"/>
          <w:highlight w:val="none"/>
          <w:lang w:val="en-US" w:eastAsia="zh-CN"/>
        </w:rPr>
        <w:t>S16</w:t>
      </w:r>
      <w:r>
        <w:rPr>
          <w:rFonts w:hint="eastAsia"/>
          <w:color w:val="2542BF"/>
          <w:sz w:val="24"/>
          <w:highlight w:val="none"/>
          <w:lang w:eastAsia="zh-CN"/>
        </w:rPr>
        <w:t xml:space="preserve">  </w:t>
      </w:r>
      <w:r>
        <w:rPr>
          <w:rFonts w:hint="eastAsia"/>
          <w:sz w:val="18"/>
          <w:szCs w:val="18"/>
          <w:highlight w:val="none"/>
          <w:lang w:eastAsia="zh-CN"/>
        </w:rPr>
        <w:t>Cdl of (a)~(b) t-Fe800@CB, (c)~(d) Fe800@CB and (e)~(f) Pt-C</w:t>
      </w:r>
      <w:r>
        <w:rPr>
          <w:rFonts w:hint="eastAsia"/>
          <w:sz w:val="18"/>
          <w:szCs w:val="18"/>
          <w:highlight w:val="none"/>
          <w:lang w:val="en-US" w:eastAsia="zh-CN"/>
        </w:rPr>
        <w:t>.</w:t>
      </w:r>
    </w:p>
    <w:p w14:paraId="6AACBDA0">
      <w:pPr>
        <w:spacing w:after="120" w:afterLines="50"/>
        <w:jc w:val="both"/>
        <w:rPr>
          <w:rFonts w:eastAsiaTheme="minorEastAsia"/>
          <w:sz w:val="18"/>
          <w:szCs w:val="18"/>
          <w:highlight w:val="none"/>
          <w:lang w:val="en-US" w:eastAsia="zh-CN"/>
        </w:rPr>
      </w:pPr>
    </w:p>
    <w:p w14:paraId="16F626C4">
      <w:pPr>
        <w:spacing w:after="120" w:afterLines="50"/>
        <w:jc w:val="both"/>
        <w:rPr>
          <w:rFonts w:eastAsiaTheme="minorEastAsia"/>
          <w:sz w:val="18"/>
          <w:szCs w:val="18"/>
          <w:highlight w:val="none"/>
          <w:lang w:val="en-US" w:eastAsia="zh-CN"/>
        </w:rPr>
      </w:pPr>
    </w:p>
    <w:p w14:paraId="49406664">
      <w:pPr>
        <w:rPr>
          <w:sz w:val="18"/>
          <w:szCs w:val="18"/>
          <w:highlight w:val="none"/>
          <w:lang w:val="en-US" w:eastAsia="zh-CN"/>
        </w:rPr>
      </w:pPr>
      <w:r>
        <w:rPr>
          <w:rFonts w:hint="eastAsia"/>
          <w:sz w:val="18"/>
          <w:szCs w:val="18"/>
          <w:highlight w:val="none"/>
          <w:lang w:val="en-US" w:eastAsia="zh-CN"/>
        </w:rPr>
        <w:br w:type="page"/>
      </w:r>
    </w:p>
    <w:p w14:paraId="7C39EB64">
      <w:pPr>
        <w:spacing w:after="120" w:afterLines="50"/>
        <w:jc w:val="both"/>
        <w:rPr>
          <w:rFonts w:eastAsiaTheme="minorEastAsia"/>
          <w:bCs/>
          <w:sz w:val="18"/>
          <w:szCs w:val="18"/>
          <w:highlight w:val="none"/>
          <w:lang w:eastAsia="zh-CN"/>
        </w:rPr>
      </w:pPr>
      <w:r>
        <w:rPr>
          <w:highlight w:val="none"/>
        </w:rPr>
        <w:drawing>
          <wp:inline distT="0" distB="0" distL="0" distR="0">
            <wp:extent cx="5278120" cy="4491990"/>
            <wp:effectExtent l="0" t="0" r="0" b="3810"/>
            <wp:docPr id="6815601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560112" name="图片 1"/>
                    <pic:cNvPicPr>
                      <a:picLocks noChangeAspect="1"/>
                    </pic:cNvPicPr>
                  </pic:nvPicPr>
                  <pic:blipFill>
                    <a:blip r:embed="rId27"/>
                    <a:stretch>
                      <a:fillRect/>
                    </a:stretch>
                  </pic:blipFill>
                  <pic:spPr>
                    <a:xfrm>
                      <a:off x="0" y="0"/>
                      <a:ext cx="5278120" cy="4491990"/>
                    </a:xfrm>
                    <a:prstGeom prst="rect">
                      <a:avLst/>
                    </a:prstGeom>
                  </pic:spPr>
                </pic:pic>
              </a:graphicData>
            </a:graphic>
          </wp:inline>
        </w:drawing>
      </w:r>
    </w:p>
    <w:p w14:paraId="55085263">
      <w:pPr>
        <w:spacing w:after="120" w:afterLines="50"/>
        <w:jc w:val="both"/>
        <w:rPr>
          <w:bCs/>
          <w:sz w:val="18"/>
          <w:szCs w:val="18"/>
          <w:highlight w:val="none"/>
        </w:rPr>
      </w:pPr>
      <w:bookmarkStart w:id="4" w:name="_Hlk215933857"/>
      <w:r>
        <w:rPr>
          <w:b/>
          <w:sz w:val="18"/>
          <w:szCs w:val="18"/>
          <w:highlight w:val="none"/>
        </w:rPr>
        <w:t xml:space="preserve">Figure </w:t>
      </w:r>
      <w:r>
        <w:rPr>
          <w:rFonts w:hint="eastAsia" w:eastAsia="宋体"/>
          <w:b/>
          <w:sz w:val="18"/>
          <w:szCs w:val="18"/>
          <w:highlight w:val="none"/>
          <w:lang w:eastAsia="zh-CN"/>
        </w:rPr>
        <w:t>S</w:t>
      </w:r>
      <w:r>
        <w:rPr>
          <w:rFonts w:hint="eastAsia" w:eastAsia="宋体"/>
          <w:b/>
          <w:sz w:val="18"/>
          <w:szCs w:val="18"/>
          <w:highlight w:val="none"/>
          <w:lang w:eastAsia="zh-CN"/>
        </w:rPr>
        <w:t>17</w:t>
      </w:r>
      <w:r>
        <w:rPr>
          <w:rFonts w:hint="eastAsia" w:eastAsiaTheme="minorEastAsia"/>
          <w:bCs/>
          <w:sz w:val="18"/>
          <w:szCs w:val="18"/>
          <w:highlight w:val="none"/>
          <w:lang w:eastAsia="zh-CN"/>
        </w:rPr>
        <w:t xml:space="preserve">  </w:t>
      </w:r>
      <w:r>
        <w:rPr>
          <w:rFonts w:eastAsiaTheme="minorEastAsia"/>
          <w:bCs/>
          <w:sz w:val="18"/>
          <w:szCs w:val="18"/>
          <w:highlight w:val="none"/>
          <w:lang w:eastAsia="zh-CN"/>
        </w:rPr>
        <w:t>the t-Fe800@CB catalyst. All measurements were conducted in 0.5 M acetate buffer (pH 5.2) with a catalyst loading of 0.27 mg cm⁻² and an electrode rotation rate of 1600 rpm. (a) ORR polarization curves before and after poisoning, measured in O₂-saturated electrolyte at a scan rate of 5 mV s⁻¹. (b) Background cyclic voltammograms in N₂-saturated electrolyte over a wide potential range (1.0 to 0.3 V vs. RHE) at 10 mV s⁻¹. (c) Stripping voltammograms in N₂-saturated electrolyte over the reductive potential range (0.4 to -0.3 V vs. RHE) at 10 mV s⁻¹, showing the reductive desorption peak of adsorbed nitrite. (d) Corresponding kinetic current densities (iₖ) derived from (a), plotted against potential</w:t>
      </w:r>
      <w:r>
        <w:rPr>
          <w:rFonts w:eastAsiaTheme="minorEastAsia"/>
          <w:bCs/>
          <w:sz w:val="18"/>
          <w:szCs w:val="18"/>
          <w:highlight w:val="none"/>
          <w:lang w:eastAsia="zh-CN"/>
        </w:rPr>
        <w:t>.</w:t>
      </w:r>
    </w:p>
    <w:bookmarkEnd w:id="4"/>
    <w:p w14:paraId="3B4D91EE">
      <w:pPr>
        <w:rPr>
          <w:rFonts w:eastAsiaTheme="minorEastAsia"/>
          <w:bCs/>
          <w:sz w:val="18"/>
          <w:szCs w:val="18"/>
          <w:highlight w:val="none"/>
          <w:lang w:eastAsia="zh-CN"/>
        </w:rPr>
      </w:pPr>
      <w:r>
        <w:rPr>
          <w:rFonts w:eastAsiaTheme="minorEastAsia"/>
          <w:bCs/>
          <w:sz w:val="18"/>
          <w:szCs w:val="18"/>
          <w:highlight w:val="none"/>
          <w:lang w:eastAsia="zh-CN"/>
        </w:rPr>
        <w:br w:type="page"/>
      </w:r>
    </w:p>
    <w:p w14:paraId="29E43BDE">
      <w:pPr>
        <w:spacing w:after="120" w:afterLines="50"/>
        <w:jc w:val="both"/>
        <w:rPr>
          <w:rFonts w:eastAsiaTheme="minorEastAsia"/>
          <w:bCs/>
          <w:sz w:val="18"/>
          <w:szCs w:val="18"/>
          <w:highlight w:val="none"/>
          <w:lang w:eastAsia="zh-CN"/>
        </w:rPr>
      </w:pPr>
      <w:r>
        <w:rPr>
          <w:highlight w:val="none"/>
        </w:rPr>
        <w:drawing>
          <wp:inline distT="0" distB="0" distL="0" distR="0">
            <wp:extent cx="5278120" cy="4266565"/>
            <wp:effectExtent l="0" t="0" r="0" b="635"/>
            <wp:docPr id="83273983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739831" name="图片 1"/>
                    <pic:cNvPicPr>
                      <a:picLocks noChangeAspect="1"/>
                    </pic:cNvPicPr>
                  </pic:nvPicPr>
                  <pic:blipFill>
                    <a:blip r:embed="rId28"/>
                    <a:stretch>
                      <a:fillRect/>
                    </a:stretch>
                  </pic:blipFill>
                  <pic:spPr>
                    <a:xfrm>
                      <a:off x="0" y="0"/>
                      <a:ext cx="5278120" cy="4266565"/>
                    </a:xfrm>
                    <a:prstGeom prst="rect">
                      <a:avLst/>
                    </a:prstGeom>
                  </pic:spPr>
                </pic:pic>
              </a:graphicData>
            </a:graphic>
          </wp:inline>
        </w:drawing>
      </w:r>
    </w:p>
    <w:p w14:paraId="33D97669">
      <w:pPr>
        <w:spacing w:after="120" w:afterLines="50"/>
        <w:jc w:val="both"/>
        <w:rPr>
          <w:bCs/>
          <w:sz w:val="18"/>
          <w:szCs w:val="18"/>
          <w:highlight w:val="none"/>
        </w:rPr>
      </w:pPr>
      <w:r>
        <w:rPr>
          <w:b/>
          <w:sz w:val="18"/>
          <w:szCs w:val="18"/>
          <w:highlight w:val="none"/>
        </w:rPr>
        <w:t xml:space="preserve">Figure </w:t>
      </w:r>
      <w:r>
        <w:rPr>
          <w:rFonts w:hint="eastAsia" w:eastAsia="宋体"/>
          <w:b/>
          <w:sz w:val="18"/>
          <w:szCs w:val="18"/>
          <w:highlight w:val="none"/>
          <w:lang w:eastAsia="zh-CN"/>
        </w:rPr>
        <w:t>S</w:t>
      </w:r>
      <w:r>
        <w:rPr>
          <w:rFonts w:hint="eastAsia" w:eastAsia="宋体"/>
          <w:b/>
          <w:sz w:val="18"/>
          <w:szCs w:val="18"/>
          <w:highlight w:val="none"/>
          <w:lang w:eastAsia="zh-CN"/>
        </w:rPr>
        <w:t>18</w:t>
      </w:r>
      <w:r>
        <w:rPr>
          <w:rFonts w:hint="eastAsia" w:eastAsiaTheme="minorEastAsia"/>
          <w:bCs/>
          <w:sz w:val="18"/>
          <w:szCs w:val="18"/>
          <w:highlight w:val="none"/>
          <w:lang w:eastAsia="zh-CN"/>
        </w:rPr>
        <w:t xml:space="preserve">  </w:t>
      </w:r>
      <w:r>
        <w:rPr>
          <w:rFonts w:eastAsiaTheme="minorEastAsia"/>
          <w:bCs/>
          <w:sz w:val="18"/>
          <w:szCs w:val="18"/>
          <w:highlight w:val="none"/>
          <w:lang w:eastAsia="zh-CN"/>
        </w:rPr>
        <w:t>the Fe800@CB catalyst. All measurements were conducted in 0.5 M acetate buffer (pH 5.2) with a catalyst loading of 0.27 mg cm⁻² and an electrode rotation rate of 1600 rpm. (a) ORR polarization curves before and after poisoning, measured in O₂-saturated electrolyte at a scan rate of 5 mV s⁻¹. (b) Background cyclic voltammograms in N₂-saturated electrolyte over a wide potential range (1.0 to 0.3 V vs. RHE) at 10 mV s⁻¹. (c) Stripping voltammograms in N₂-saturated electrolyte over the reductive potential range (0.4 to -0.3 V vs. RHE) at 10 mV s⁻¹, showing the reductive desorption peak of adsorbed nitrite. (d) Corresponding kinetic current densities (iₖ) derived from (a), plotted against potential</w:t>
      </w:r>
      <w:r>
        <w:rPr>
          <w:rFonts w:eastAsiaTheme="minorEastAsia"/>
          <w:bCs/>
          <w:sz w:val="18"/>
          <w:szCs w:val="18"/>
          <w:highlight w:val="none"/>
          <w:lang w:eastAsia="zh-CN"/>
        </w:rPr>
        <w:t>.</w:t>
      </w:r>
    </w:p>
    <w:p w14:paraId="38A06DEA">
      <w:pPr>
        <w:spacing w:after="120" w:afterLines="50"/>
        <w:jc w:val="both"/>
        <w:rPr>
          <w:rFonts w:eastAsiaTheme="minorEastAsia"/>
          <w:bCs/>
          <w:sz w:val="18"/>
          <w:szCs w:val="18"/>
          <w:highlight w:val="none"/>
          <w:lang w:eastAsia="zh-CN"/>
        </w:rPr>
      </w:pPr>
    </w:p>
    <w:p w14:paraId="7DA586B1">
      <w:pPr>
        <w:rPr>
          <w:rFonts w:eastAsiaTheme="minorEastAsia"/>
          <w:bCs/>
          <w:sz w:val="18"/>
          <w:szCs w:val="18"/>
          <w:highlight w:val="none"/>
          <w:lang w:eastAsia="zh-CN"/>
        </w:rPr>
      </w:pPr>
      <w:r>
        <w:rPr>
          <w:rFonts w:eastAsiaTheme="minorEastAsia"/>
          <w:bCs/>
          <w:sz w:val="18"/>
          <w:szCs w:val="18"/>
          <w:highlight w:val="none"/>
          <w:lang w:eastAsia="zh-CN"/>
        </w:rPr>
        <w:br w:type="page"/>
      </w:r>
    </w:p>
    <w:p w14:paraId="522D2897">
      <w:pPr>
        <w:spacing w:after="120" w:afterLines="50"/>
        <w:jc w:val="both"/>
        <w:rPr>
          <w:rFonts w:eastAsiaTheme="minorEastAsia"/>
          <w:bCs/>
          <w:sz w:val="18"/>
          <w:szCs w:val="18"/>
          <w:highlight w:val="none"/>
          <w:lang w:eastAsia="zh-CN"/>
        </w:rPr>
      </w:pPr>
      <w:r>
        <w:rPr>
          <w:highlight w:val="none"/>
        </w:rPr>
        <w:drawing>
          <wp:inline distT="0" distB="0" distL="0" distR="0">
            <wp:extent cx="5278120" cy="4354195"/>
            <wp:effectExtent l="0" t="0" r="0" b="8255"/>
            <wp:docPr id="207348316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483165" name="图片 1"/>
                    <pic:cNvPicPr>
                      <a:picLocks noChangeAspect="1"/>
                    </pic:cNvPicPr>
                  </pic:nvPicPr>
                  <pic:blipFill>
                    <a:blip r:embed="rId29"/>
                    <a:stretch>
                      <a:fillRect/>
                    </a:stretch>
                  </pic:blipFill>
                  <pic:spPr>
                    <a:xfrm>
                      <a:off x="0" y="0"/>
                      <a:ext cx="5278120" cy="4354195"/>
                    </a:xfrm>
                    <a:prstGeom prst="rect">
                      <a:avLst/>
                    </a:prstGeom>
                  </pic:spPr>
                </pic:pic>
              </a:graphicData>
            </a:graphic>
          </wp:inline>
        </w:drawing>
      </w:r>
    </w:p>
    <w:p w14:paraId="297AFF1A">
      <w:pPr>
        <w:spacing w:after="120" w:afterLines="50"/>
        <w:jc w:val="both"/>
        <w:rPr>
          <w:bCs/>
          <w:sz w:val="18"/>
          <w:szCs w:val="18"/>
          <w:highlight w:val="none"/>
        </w:rPr>
      </w:pPr>
      <w:r>
        <w:rPr>
          <w:b/>
          <w:sz w:val="18"/>
          <w:szCs w:val="18"/>
          <w:highlight w:val="none"/>
        </w:rPr>
        <w:t xml:space="preserve">Figure </w:t>
      </w:r>
      <w:r>
        <w:rPr>
          <w:rFonts w:hint="eastAsia" w:eastAsia="宋体"/>
          <w:b/>
          <w:sz w:val="18"/>
          <w:szCs w:val="18"/>
          <w:highlight w:val="none"/>
          <w:lang w:eastAsia="zh-CN"/>
        </w:rPr>
        <w:t>S</w:t>
      </w:r>
      <w:r>
        <w:rPr>
          <w:rFonts w:hint="eastAsia" w:eastAsia="宋体"/>
          <w:b/>
          <w:sz w:val="18"/>
          <w:szCs w:val="18"/>
          <w:highlight w:val="none"/>
          <w:lang w:eastAsia="zh-CN"/>
        </w:rPr>
        <w:t xml:space="preserve">19 </w:t>
      </w:r>
      <w:r>
        <w:rPr>
          <w:rFonts w:hint="eastAsia" w:eastAsiaTheme="minorEastAsia"/>
          <w:bCs/>
          <w:sz w:val="18"/>
          <w:szCs w:val="18"/>
          <w:highlight w:val="none"/>
          <w:lang w:eastAsia="zh-CN"/>
        </w:rPr>
        <w:t xml:space="preserve"> </w:t>
      </w:r>
      <w:r>
        <w:rPr>
          <w:rFonts w:eastAsiaTheme="minorEastAsia"/>
          <w:bCs/>
          <w:sz w:val="18"/>
          <w:szCs w:val="18"/>
          <w:highlight w:val="none"/>
          <w:lang w:eastAsia="zh-CN"/>
        </w:rPr>
        <w:t xml:space="preserve">the </w:t>
      </w:r>
      <w:r>
        <w:rPr>
          <w:rFonts w:hint="eastAsia" w:eastAsiaTheme="minorEastAsia"/>
          <w:bCs/>
          <w:sz w:val="18"/>
          <w:szCs w:val="18"/>
          <w:highlight w:val="none"/>
          <w:lang w:eastAsia="zh-CN"/>
        </w:rPr>
        <w:t>t-</w:t>
      </w:r>
      <w:r>
        <w:rPr>
          <w:rFonts w:eastAsiaTheme="minorEastAsia"/>
          <w:bCs/>
          <w:sz w:val="18"/>
          <w:szCs w:val="18"/>
          <w:highlight w:val="none"/>
          <w:lang w:eastAsia="zh-CN"/>
        </w:rPr>
        <w:t>800@CB catalyst. All measurements were conducted in 0.5 M acetate buffer (pH 5.2) with a catalyst loading of 0.27 mg cm⁻² and an electrode rotation rate of 1600 rpm. (a) ORR polarization curves before and after poisoning, measured in O₂-saturated electrolyte at a scan rate of 5 mV s⁻¹. (b) Background cyclic voltammograms in N₂-saturated electrolyte over a wide potential range (1.0 to 0.3 V vs. RHE) at 10 mV s⁻¹. (c) Stripping voltammograms in N₂-saturated electrolyte over the reductive potential range (0.4 to -0.3 V vs. RHE) at 10 mV s⁻¹, showing the reductive desorption peak of adsorbed nitrite. (d) Corresponding kinetic current densities (iₖ) derived from (a), plotted against potential</w:t>
      </w:r>
      <w:r>
        <w:rPr>
          <w:rFonts w:eastAsiaTheme="minorEastAsia"/>
          <w:bCs/>
          <w:sz w:val="18"/>
          <w:szCs w:val="18"/>
          <w:highlight w:val="none"/>
          <w:lang w:eastAsia="zh-CN"/>
        </w:rPr>
        <w:t>.</w:t>
      </w:r>
    </w:p>
    <w:p w14:paraId="6E993E8B">
      <w:pPr>
        <w:spacing w:line="360" w:lineRule="auto"/>
        <w:rPr>
          <w:rFonts w:eastAsiaTheme="minorEastAsia"/>
          <w:bCs/>
          <w:sz w:val="18"/>
          <w:szCs w:val="18"/>
          <w:highlight w:val="none"/>
          <w:lang w:eastAsia="zh-CN"/>
        </w:rPr>
      </w:pPr>
      <w:r>
        <w:rPr>
          <w:rFonts w:hint="eastAsia"/>
          <w:highlight w:val="none"/>
        </w:rPr>
        <w:object>
          <v:shape id="_x0000_i1026" o:spt="75" type="#_x0000_t75" style="height:281.2pt;width:365.45pt;" o:ole="t" filled="f" o:preferrelative="t" stroked="f" coordsize="21600,21600">
            <v:path/>
            <v:fill on="f" focussize="0,0"/>
            <v:stroke on="f" joinstyle="miter"/>
            <v:imagedata r:id="rId31" o:title=""/>
            <o:lock v:ext="edit" aspectratio="t"/>
            <w10:wrap type="none"/>
            <w10:anchorlock/>
          </v:shape>
          <o:OLEObject Type="Embed" ProgID="Origin95.Graph" ShapeID="_x0000_i1026" DrawAspect="Content" ObjectID="_1468075726" r:id="rId30">
            <o:LockedField>false</o:LockedField>
          </o:OLEObject>
        </w:object>
      </w:r>
    </w:p>
    <w:p w14:paraId="080139E2">
      <w:pPr>
        <w:spacing w:after="120" w:afterLines="50"/>
        <w:jc w:val="both"/>
        <w:rPr>
          <w:bCs/>
          <w:sz w:val="18"/>
          <w:szCs w:val="18"/>
          <w:highlight w:val="none"/>
        </w:rPr>
      </w:pPr>
      <w:bookmarkStart w:id="5" w:name="_Hlk215934275"/>
      <w:r>
        <w:rPr>
          <w:b/>
          <w:sz w:val="18"/>
          <w:szCs w:val="18"/>
          <w:highlight w:val="none"/>
        </w:rPr>
        <w:t xml:space="preserve">Figure </w:t>
      </w:r>
      <w:r>
        <w:rPr>
          <w:rFonts w:hint="eastAsia" w:eastAsia="宋体"/>
          <w:b/>
          <w:sz w:val="18"/>
          <w:szCs w:val="18"/>
          <w:highlight w:val="none"/>
          <w:lang w:val="en-US" w:eastAsia="zh-CN"/>
        </w:rPr>
        <w:t>S20</w:t>
      </w:r>
      <w:r>
        <w:rPr>
          <w:rFonts w:eastAsiaTheme="minorEastAsia"/>
          <w:bCs/>
          <w:sz w:val="18"/>
          <w:szCs w:val="18"/>
          <w:highlight w:val="none"/>
          <w:lang w:eastAsia="zh-CN"/>
        </w:rPr>
        <w:t xml:space="preserve"> </w:t>
      </w:r>
      <w:r>
        <w:rPr>
          <w:rFonts w:hint="eastAsia" w:eastAsiaTheme="minorEastAsia"/>
          <w:bCs/>
          <w:sz w:val="18"/>
          <w:szCs w:val="18"/>
          <w:highlight w:val="none"/>
          <w:lang w:eastAsia="zh-CN"/>
        </w:rPr>
        <w:t xml:space="preserve"> </w:t>
      </w:r>
      <w:r>
        <w:rPr>
          <w:rFonts w:eastAsiaTheme="minorEastAsia"/>
          <w:sz w:val="18"/>
          <w:szCs w:val="18"/>
          <w:highlight w:val="none"/>
          <w:lang w:eastAsia="zh-CN"/>
        </w:rPr>
        <w:t>MSD and TOF of t-Fe800@CB and Fe800@CB</w:t>
      </w:r>
    </w:p>
    <w:bookmarkEnd w:id="5"/>
    <w:p w14:paraId="46A4E3B8">
      <w:pPr>
        <w:rPr>
          <w:sz w:val="18"/>
          <w:szCs w:val="18"/>
          <w:highlight w:val="none"/>
          <w:lang w:eastAsia="zh-CN"/>
        </w:rPr>
      </w:pPr>
      <w:r>
        <w:rPr>
          <w:sz w:val="18"/>
          <w:szCs w:val="18"/>
          <w:highlight w:val="none"/>
          <w:lang w:eastAsia="zh-CN"/>
        </w:rPr>
        <w:br w:type="page"/>
      </w:r>
    </w:p>
    <w:p w14:paraId="605F70ED">
      <w:pPr>
        <w:spacing w:after="120" w:afterLines="50"/>
        <w:jc w:val="both"/>
        <w:rPr>
          <w:sz w:val="18"/>
          <w:szCs w:val="18"/>
          <w:highlight w:val="none"/>
          <w:lang w:eastAsia="zh-CN"/>
        </w:rPr>
      </w:pPr>
    </w:p>
    <w:p w14:paraId="3EC0D812">
      <w:pPr>
        <w:spacing w:line="360" w:lineRule="auto"/>
        <w:ind w:firstLine="400" w:firstLineChars="200"/>
        <w:jc w:val="center"/>
        <w:rPr>
          <w:highlight w:val="none"/>
        </w:rPr>
      </w:pPr>
      <w:bookmarkStart w:id="6" w:name="_Hlk214650405"/>
      <w:r>
        <w:rPr>
          <w:highlight w:val="none"/>
        </w:rPr>
        <w:drawing>
          <wp:inline distT="0" distB="0" distL="0" distR="0">
            <wp:extent cx="4349750" cy="1837055"/>
            <wp:effectExtent l="0" t="0" r="3175" b="127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32"/>
                    <a:stretch>
                      <a:fillRect/>
                    </a:stretch>
                  </pic:blipFill>
                  <pic:spPr>
                    <a:xfrm>
                      <a:off x="0" y="0"/>
                      <a:ext cx="4407737" cy="1861541"/>
                    </a:xfrm>
                    <a:prstGeom prst="rect">
                      <a:avLst/>
                    </a:prstGeom>
                  </pic:spPr>
                </pic:pic>
              </a:graphicData>
            </a:graphic>
          </wp:inline>
        </w:drawing>
      </w:r>
    </w:p>
    <w:p w14:paraId="072DF64C">
      <w:pPr>
        <w:spacing w:after="120" w:afterLines="50"/>
        <w:jc w:val="both"/>
        <w:rPr>
          <w:color w:val="2542BF"/>
          <w:sz w:val="24"/>
          <w:highlight w:val="none"/>
          <w:lang w:eastAsia="zh-CN"/>
        </w:rPr>
      </w:pPr>
      <w:r>
        <w:rPr>
          <w:rFonts w:hint="eastAsia"/>
          <w:b/>
          <w:bCs/>
          <w:sz w:val="18"/>
          <w:szCs w:val="18"/>
          <w:highlight w:val="none"/>
          <w:lang w:eastAsia="zh-CN"/>
        </w:rPr>
        <w:t>Figure</w:t>
      </w:r>
      <w:r>
        <w:rPr>
          <w:rFonts w:hint="eastAsia"/>
          <w:b/>
          <w:bCs/>
          <w:sz w:val="18"/>
          <w:szCs w:val="18"/>
          <w:highlight w:val="none"/>
          <w:lang w:val="en-US" w:eastAsia="zh-CN"/>
        </w:rPr>
        <w:t xml:space="preserve"> S</w:t>
      </w:r>
      <w:r>
        <w:rPr>
          <w:rFonts w:hint="eastAsia" w:eastAsiaTheme="minorEastAsia"/>
          <w:b/>
          <w:bCs/>
          <w:sz w:val="18"/>
          <w:szCs w:val="18"/>
          <w:highlight w:val="none"/>
          <w:lang w:val="en-US" w:eastAsia="zh-CN"/>
        </w:rPr>
        <w:t>21</w:t>
      </w:r>
      <w:r>
        <w:rPr>
          <w:rFonts w:hint="eastAsia"/>
          <w:sz w:val="18"/>
          <w:szCs w:val="18"/>
          <w:highlight w:val="none"/>
          <w:lang w:eastAsia="zh-CN"/>
        </w:rPr>
        <w:t xml:space="preserve">  The hydrophilic and hydrophobic properties tested by contact angle of (a) powder CB, (b) hydrophobic CP, (c) t-Fe800@CB and (d) Fe800@CB</w:t>
      </w:r>
      <w:r>
        <w:rPr>
          <w:rFonts w:hint="eastAsia"/>
          <w:sz w:val="18"/>
          <w:szCs w:val="18"/>
          <w:highlight w:val="none"/>
          <w:lang w:val="en-US" w:eastAsia="zh-CN"/>
        </w:rPr>
        <w:t>.</w:t>
      </w:r>
      <w:bookmarkEnd w:id="6"/>
      <w:r>
        <w:rPr>
          <w:rFonts w:hint="eastAsia"/>
          <w:color w:val="2542BF"/>
          <w:sz w:val="24"/>
          <w:highlight w:val="none"/>
          <w:lang w:eastAsia="zh-CN"/>
        </w:rPr>
        <w:t xml:space="preserve"> </w:t>
      </w:r>
    </w:p>
    <w:p w14:paraId="4840376D">
      <w:pPr>
        <w:rPr>
          <w:color w:val="2542BF"/>
          <w:sz w:val="24"/>
          <w:highlight w:val="none"/>
          <w:lang w:eastAsia="zh-CN"/>
        </w:rPr>
      </w:pPr>
      <w:r>
        <w:rPr>
          <w:color w:val="2542BF"/>
          <w:sz w:val="24"/>
          <w:highlight w:val="none"/>
          <w:lang w:eastAsia="zh-CN"/>
        </w:rPr>
        <w:br w:type="page"/>
      </w:r>
    </w:p>
    <w:p w14:paraId="7CEFDBC2">
      <w:pPr>
        <w:spacing w:after="120" w:afterLines="50"/>
        <w:jc w:val="both"/>
        <w:rPr>
          <w:color w:val="2542BF"/>
          <w:sz w:val="24"/>
          <w:highlight w:val="none"/>
          <w:lang w:eastAsia="zh-CN"/>
        </w:rPr>
      </w:pPr>
    </w:p>
    <w:p w14:paraId="7A5E0E61">
      <w:pPr>
        <w:widowControl w:val="0"/>
        <w:spacing w:line="312" w:lineRule="auto"/>
        <w:ind w:left="305" w:hanging="304" w:hangingChars="127"/>
        <w:jc w:val="center"/>
        <w:rPr>
          <w:rFonts w:eastAsia="宋体"/>
          <w:highlight w:val="none"/>
          <w:lang w:eastAsia="zh-CN"/>
        </w:rPr>
      </w:pPr>
      <w:bookmarkStart w:id="7" w:name="_Hlk214650433"/>
      <w:r>
        <w:rPr>
          <w:sz w:val="24"/>
          <w:highlight w:val="none"/>
        </w:rPr>
        <w:drawing>
          <wp:inline distT="0" distB="0" distL="0" distR="0">
            <wp:extent cx="2655570" cy="1220470"/>
            <wp:effectExtent l="0" t="0" r="0" b="0"/>
            <wp:docPr id="186176127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761271" name="图片 1"/>
                    <pic:cNvPicPr>
                      <a:picLocks noChangeAspect="1" noChangeArrowheads="1"/>
                    </pic:cNvPicPr>
                  </pic:nvPicPr>
                  <pic:blipFill>
                    <a:blip r:embed="rId33" cstate="print">
                      <a:extLst>
                        <a:ext uri="{28A0092B-C50C-407E-A947-70E740481C1C}">
                          <a14:useLocalDpi xmlns:a14="http://schemas.microsoft.com/office/drawing/2010/main" val="0"/>
                        </a:ext>
                      </a:extLst>
                    </a:blip>
                    <a:srcRect l="2361" t="29570" r="6392"/>
                    <a:stretch>
                      <a:fillRect/>
                    </a:stretch>
                  </pic:blipFill>
                  <pic:spPr>
                    <a:xfrm>
                      <a:off x="0" y="0"/>
                      <a:ext cx="2714890" cy="1247818"/>
                    </a:xfrm>
                    <a:prstGeom prst="rect">
                      <a:avLst/>
                    </a:prstGeom>
                    <a:noFill/>
                    <a:ln>
                      <a:noFill/>
                    </a:ln>
                  </pic:spPr>
                </pic:pic>
              </a:graphicData>
            </a:graphic>
          </wp:inline>
        </w:drawing>
      </w:r>
    </w:p>
    <w:p w14:paraId="055A94A8">
      <w:pPr>
        <w:widowControl w:val="0"/>
        <w:spacing w:line="312" w:lineRule="auto"/>
        <w:ind w:left="229" w:hanging="229" w:hangingChars="127"/>
        <w:jc w:val="both"/>
        <w:rPr>
          <w:rFonts w:eastAsiaTheme="minorEastAsia"/>
          <w:sz w:val="18"/>
          <w:szCs w:val="18"/>
          <w:highlight w:val="none"/>
          <w:lang w:eastAsia="zh-CN"/>
        </w:rPr>
      </w:pPr>
      <w:r>
        <w:rPr>
          <w:rFonts w:hint="eastAsia"/>
          <w:b/>
          <w:bCs/>
          <w:sz w:val="18"/>
          <w:szCs w:val="18"/>
          <w:highlight w:val="none"/>
          <w:lang w:eastAsia="zh-CN"/>
        </w:rPr>
        <w:t>Figure</w:t>
      </w:r>
      <w:r>
        <w:rPr>
          <w:rFonts w:hint="eastAsia"/>
          <w:b/>
          <w:bCs/>
          <w:sz w:val="18"/>
          <w:szCs w:val="18"/>
          <w:highlight w:val="none"/>
          <w:lang w:val="en-US" w:eastAsia="zh-CN"/>
        </w:rPr>
        <w:t xml:space="preserve"> S</w:t>
      </w:r>
      <w:r>
        <w:rPr>
          <w:rFonts w:hint="eastAsia" w:eastAsiaTheme="minorEastAsia"/>
          <w:b/>
          <w:bCs/>
          <w:sz w:val="18"/>
          <w:szCs w:val="18"/>
          <w:highlight w:val="none"/>
          <w:lang w:val="en-US" w:eastAsia="zh-CN"/>
        </w:rPr>
        <w:t>22</w:t>
      </w:r>
      <w:r>
        <w:rPr>
          <w:rFonts w:hint="eastAsia"/>
          <w:sz w:val="18"/>
          <w:szCs w:val="18"/>
          <w:highlight w:val="none"/>
          <w:lang w:eastAsia="zh-CN"/>
        </w:rPr>
        <w:t xml:space="preserve">  The hydrophilic and hydrophobic properties tested by contact angle of </w:t>
      </w:r>
      <w:r>
        <w:rPr>
          <w:rFonts w:hint="eastAsia" w:eastAsiaTheme="minorEastAsia"/>
          <w:sz w:val="18"/>
          <w:szCs w:val="18"/>
          <w:highlight w:val="none"/>
          <w:lang w:eastAsia="zh-CN"/>
        </w:rPr>
        <w:t>20% Pt-C.</w:t>
      </w:r>
    </w:p>
    <w:bookmarkEnd w:id="7"/>
    <w:p w14:paraId="094E673A">
      <w:pPr>
        <w:spacing w:after="120" w:afterLines="50"/>
        <w:jc w:val="both"/>
        <w:rPr>
          <w:rFonts w:eastAsiaTheme="minorEastAsia"/>
          <w:sz w:val="18"/>
          <w:szCs w:val="18"/>
          <w:highlight w:val="none"/>
          <w:lang w:eastAsia="zh-CN"/>
        </w:rPr>
      </w:pPr>
    </w:p>
    <w:p w14:paraId="1FDAD697">
      <w:pPr>
        <w:rPr>
          <w:rFonts w:eastAsiaTheme="minorEastAsia"/>
          <w:sz w:val="18"/>
          <w:szCs w:val="18"/>
          <w:highlight w:val="none"/>
          <w:lang w:eastAsia="zh-CN"/>
        </w:rPr>
      </w:pPr>
      <w:r>
        <w:rPr>
          <w:rFonts w:eastAsiaTheme="minorEastAsia"/>
          <w:sz w:val="18"/>
          <w:szCs w:val="18"/>
          <w:highlight w:val="none"/>
          <w:lang w:eastAsia="zh-CN"/>
        </w:rPr>
        <w:br w:type="page"/>
      </w:r>
    </w:p>
    <w:p w14:paraId="29673360">
      <w:pPr>
        <w:spacing w:after="120" w:afterLines="50"/>
        <w:jc w:val="both"/>
        <w:rPr>
          <w:rFonts w:eastAsiaTheme="minorEastAsia"/>
          <w:sz w:val="18"/>
          <w:szCs w:val="18"/>
          <w:highlight w:val="none"/>
          <w:lang w:eastAsia="zh-CN"/>
        </w:rPr>
      </w:pPr>
    </w:p>
    <w:p w14:paraId="772ABF84">
      <w:pPr>
        <w:spacing w:after="120" w:afterLines="50"/>
        <w:jc w:val="both"/>
        <w:rPr>
          <w:sz w:val="18"/>
          <w:szCs w:val="18"/>
          <w:highlight w:val="none"/>
        </w:rPr>
      </w:pPr>
      <w:r>
        <w:rPr>
          <w:highlight w:val="none"/>
        </w:rPr>
        <w:drawing>
          <wp:inline distT="0" distB="0" distL="114300" distR="114300">
            <wp:extent cx="5269230" cy="2115185"/>
            <wp:effectExtent l="0" t="0" r="7620" b="8890"/>
            <wp:docPr id="1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pic:cNvPicPr>
                      <a:picLocks noChangeAspect="1"/>
                    </pic:cNvPicPr>
                  </pic:nvPicPr>
                  <pic:blipFill>
                    <a:blip r:embed="rId34"/>
                    <a:stretch>
                      <a:fillRect/>
                    </a:stretch>
                  </pic:blipFill>
                  <pic:spPr>
                    <a:xfrm>
                      <a:off x="0" y="0"/>
                      <a:ext cx="5269230" cy="2115185"/>
                    </a:xfrm>
                    <a:prstGeom prst="rect">
                      <a:avLst/>
                    </a:prstGeom>
                    <a:noFill/>
                    <a:ln>
                      <a:noFill/>
                    </a:ln>
                  </pic:spPr>
                </pic:pic>
              </a:graphicData>
            </a:graphic>
          </wp:inline>
        </w:drawing>
      </w:r>
    </w:p>
    <w:p w14:paraId="3E021C65">
      <w:pPr>
        <w:spacing w:after="120" w:afterLines="50"/>
        <w:jc w:val="both"/>
        <w:rPr>
          <w:rFonts w:eastAsia="宋体"/>
          <w:bCs/>
          <w:sz w:val="18"/>
          <w:szCs w:val="18"/>
          <w:highlight w:val="none"/>
          <w:lang w:val="en-US" w:eastAsia="zh-CN"/>
        </w:rPr>
      </w:pPr>
      <w:r>
        <w:rPr>
          <w:b/>
          <w:sz w:val="18"/>
          <w:szCs w:val="18"/>
          <w:highlight w:val="none"/>
        </w:rPr>
        <w:t xml:space="preserve">Figure </w:t>
      </w:r>
      <w:r>
        <w:rPr>
          <w:rFonts w:hint="eastAsia" w:eastAsia="宋体"/>
          <w:b/>
          <w:sz w:val="18"/>
          <w:szCs w:val="18"/>
          <w:highlight w:val="none"/>
          <w:lang w:val="en-US" w:eastAsia="zh-CN"/>
        </w:rPr>
        <w:t>S23</w:t>
      </w:r>
      <w:r>
        <w:rPr>
          <w:b/>
          <w:sz w:val="18"/>
          <w:szCs w:val="18"/>
          <w:highlight w:val="none"/>
        </w:rPr>
        <w:t xml:space="preserve">  </w:t>
      </w:r>
      <w:r>
        <w:rPr>
          <w:rFonts w:hint="eastAsia"/>
          <w:bCs/>
          <w:sz w:val="18"/>
          <w:szCs w:val="18"/>
          <w:highlight w:val="none"/>
        </w:rPr>
        <w:t>ORR performance of different catalysts.</w:t>
      </w:r>
      <w:r>
        <w:rPr>
          <w:bCs/>
          <w:sz w:val="18"/>
          <w:szCs w:val="18"/>
          <w:highlight w:val="none"/>
        </w:rPr>
        <w:t xml:space="preserve"> </w:t>
      </w:r>
      <w:r>
        <w:rPr>
          <w:rFonts w:hint="eastAsia"/>
          <w:bCs/>
          <w:sz w:val="18"/>
          <w:szCs w:val="18"/>
          <w:highlight w:val="none"/>
        </w:rPr>
        <w:t>(a) LSV</w:t>
      </w:r>
      <w:r>
        <w:rPr>
          <w:bCs/>
          <w:sz w:val="18"/>
          <w:szCs w:val="18"/>
          <w:highlight w:val="none"/>
        </w:rPr>
        <w:t xml:space="preserve">. </w:t>
      </w:r>
      <w:r>
        <w:rPr>
          <w:rFonts w:hint="eastAsia"/>
          <w:bCs/>
          <w:sz w:val="18"/>
          <w:szCs w:val="18"/>
          <w:highlight w:val="none"/>
        </w:rPr>
        <w:t>(</w:t>
      </w:r>
      <w:r>
        <w:rPr>
          <w:bCs/>
          <w:sz w:val="18"/>
          <w:szCs w:val="18"/>
          <w:highlight w:val="none"/>
        </w:rPr>
        <w:t>b</w:t>
      </w:r>
      <w:r>
        <w:rPr>
          <w:rFonts w:hint="eastAsia"/>
          <w:bCs/>
          <w:sz w:val="18"/>
          <w:szCs w:val="18"/>
          <w:highlight w:val="none"/>
        </w:rPr>
        <w:t>) half-wave potential, onset potential and limiting current density comparison diagram</w:t>
      </w:r>
      <w:r>
        <w:rPr>
          <w:rFonts w:hint="eastAsia" w:eastAsia="宋体"/>
          <w:bCs/>
          <w:sz w:val="18"/>
          <w:szCs w:val="18"/>
          <w:highlight w:val="none"/>
          <w:lang w:val="en-US" w:eastAsia="zh-CN"/>
        </w:rPr>
        <w:t>.</w:t>
      </w:r>
    </w:p>
    <w:p w14:paraId="3E133A90">
      <w:pPr>
        <w:rPr>
          <w:rFonts w:eastAsiaTheme="minorEastAsia"/>
          <w:bCs/>
          <w:sz w:val="18"/>
          <w:szCs w:val="18"/>
          <w:highlight w:val="none"/>
          <w:lang w:eastAsia="zh-CN"/>
        </w:rPr>
      </w:pPr>
      <w:r>
        <w:rPr>
          <w:bCs/>
          <w:sz w:val="18"/>
          <w:szCs w:val="18"/>
          <w:highlight w:val="none"/>
        </w:rPr>
        <w:br w:type="page"/>
      </w:r>
    </w:p>
    <w:p w14:paraId="02BA6F5F">
      <w:pPr>
        <w:spacing w:after="120" w:afterLines="50"/>
        <w:jc w:val="center"/>
        <w:rPr>
          <w:bCs/>
          <w:sz w:val="18"/>
          <w:szCs w:val="18"/>
          <w:highlight w:val="none"/>
        </w:rPr>
      </w:pPr>
    </w:p>
    <w:p w14:paraId="454F46CF">
      <w:pPr>
        <w:spacing w:after="120" w:afterLines="50"/>
        <w:jc w:val="center"/>
        <w:rPr>
          <w:highlight w:val="none"/>
        </w:rPr>
      </w:pPr>
      <w:bookmarkStart w:id="8" w:name="_Hlk214650162"/>
      <w:r>
        <w:rPr>
          <w:highlight w:val="none"/>
        </w:rPr>
        <w:drawing>
          <wp:inline distT="0" distB="0" distL="114300" distR="114300">
            <wp:extent cx="4688205" cy="2072005"/>
            <wp:effectExtent l="0" t="0" r="0" b="4445"/>
            <wp:docPr id="1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3"/>
                    <pic:cNvPicPr>
                      <a:picLocks noChangeAspect="1"/>
                    </pic:cNvPicPr>
                  </pic:nvPicPr>
                  <pic:blipFill>
                    <a:blip r:embed="rId35"/>
                    <a:stretch>
                      <a:fillRect/>
                    </a:stretch>
                  </pic:blipFill>
                  <pic:spPr>
                    <a:xfrm>
                      <a:off x="0" y="0"/>
                      <a:ext cx="4710502" cy="2081926"/>
                    </a:xfrm>
                    <a:prstGeom prst="rect">
                      <a:avLst/>
                    </a:prstGeom>
                    <a:noFill/>
                    <a:ln>
                      <a:noFill/>
                    </a:ln>
                  </pic:spPr>
                </pic:pic>
              </a:graphicData>
            </a:graphic>
          </wp:inline>
        </w:drawing>
      </w:r>
    </w:p>
    <w:p w14:paraId="0D5C4EFE">
      <w:pPr>
        <w:spacing w:after="120" w:afterLines="50"/>
        <w:jc w:val="both"/>
        <w:rPr>
          <w:rFonts w:eastAsia="宋体"/>
          <w:bCs/>
          <w:sz w:val="21"/>
          <w:highlight w:val="none"/>
          <w:lang w:val="en-US" w:eastAsia="zh-CN"/>
        </w:rPr>
      </w:pPr>
      <w:r>
        <w:rPr>
          <w:b/>
          <w:sz w:val="18"/>
          <w:szCs w:val="18"/>
          <w:highlight w:val="none"/>
        </w:rPr>
        <w:t xml:space="preserve">Figure </w:t>
      </w:r>
      <w:r>
        <w:rPr>
          <w:rFonts w:hint="eastAsia" w:eastAsia="宋体"/>
          <w:b/>
          <w:sz w:val="18"/>
          <w:szCs w:val="18"/>
          <w:highlight w:val="none"/>
          <w:lang w:val="en-US" w:eastAsia="zh-CN"/>
        </w:rPr>
        <w:t>S24</w:t>
      </w:r>
      <w:r>
        <w:rPr>
          <w:b/>
          <w:sz w:val="18"/>
          <w:szCs w:val="18"/>
          <w:highlight w:val="none"/>
        </w:rPr>
        <w:t xml:space="preserve">  </w:t>
      </w:r>
      <w:r>
        <w:rPr>
          <w:bCs/>
          <w:sz w:val="18"/>
          <w:szCs w:val="18"/>
          <w:highlight w:val="none"/>
        </w:rPr>
        <w:t>HAADF-STEM of (a) t-Fe-800@CB and (b) Fe-800@CB (Fe single atoms or Fe clusters are highlighted in yellow circles)</w:t>
      </w:r>
      <w:r>
        <w:rPr>
          <w:rFonts w:hint="eastAsia" w:eastAsia="宋体"/>
          <w:bCs/>
          <w:sz w:val="18"/>
          <w:szCs w:val="18"/>
          <w:highlight w:val="none"/>
          <w:lang w:val="en-US" w:eastAsia="zh-CN"/>
        </w:rPr>
        <w:t>.</w:t>
      </w:r>
    </w:p>
    <w:bookmarkEnd w:id="8"/>
    <w:p w14:paraId="294F1DF2">
      <w:pPr>
        <w:rPr>
          <w:highlight w:val="none"/>
        </w:rPr>
      </w:pPr>
      <w:r>
        <w:rPr>
          <w:highlight w:val="none"/>
        </w:rPr>
        <w:br w:type="page"/>
      </w:r>
    </w:p>
    <w:p w14:paraId="5B3CA52E">
      <w:pPr>
        <w:jc w:val="center"/>
        <w:rPr>
          <w:b/>
          <w:highlight w:val="none"/>
        </w:rPr>
      </w:pPr>
      <w:r>
        <w:rPr>
          <w:highlight w:val="none"/>
        </w:rPr>
        <w:drawing>
          <wp:inline distT="0" distB="0" distL="0" distR="0">
            <wp:extent cx="4791075" cy="3700780"/>
            <wp:effectExtent l="0" t="0" r="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pic:cNvPicPr>
                  </pic:nvPicPr>
                  <pic:blipFill>
                    <a:blip r:embed="rId36"/>
                    <a:stretch>
                      <a:fillRect/>
                    </a:stretch>
                  </pic:blipFill>
                  <pic:spPr>
                    <a:xfrm>
                      <a:off x="0" y="0"/>
                      <a:ext cx="4871339" cy="3763169"/>
                    </a:xfrm>
                    <a:prstGeom prst="rect">
                      <a:avLst/>
                    </a:prstGeom>
                  </pic:spPr>
                </pic:pic>
              </a:graphicData>
            </a:graphic>
          </wp:inline>
        </w:drawing>
      </w:r>
    </w:p>
    <w:p w14:paraId="4099AE80">
      <w:pPr>
        <w:spacing w:after="120" w:afterLines="50"/>
        <w:jc w:val="both"/>
        <w:rPr>
          <w:b/>
          <w:sz w:val="21"/>
          <w:highlight w:val="none"/>
        </w:rPr>
      </w:pPr>
      <w:r>
        <w:rPr>
          <w:b/>
          <w:sz w:val="18"/>
          <w:szCs w:val="18"/>
          <w:highlight w:val="none"/>
        </w:rPr>
        <w:t>Figure</w:t>
      </w:r>
      <w:r>
        <w:rPr>
          <w:rFonts w:hint="eastAsia"/>
          <w:b/>
          <w:sz w:val="18"/>
          <w:szCs w:val="18"/>
          <w:highlight w:val="none"/>
        </w:rPr>
        <w:t xml:space="preserve"> </w:t>
      </w:r>
      <w:r>
        <w:rPr>
          <w:rFonts w:hint="eastAsia"/>
          <w:b/>
          <w:sz w:val="18"/>
          <w:szCs w:val="18"/>
          <w:highlight w:val="none"/>
          <w:lang w:val="en-US" w:eastAsia="zh-CN"/>
        </w:rPr>
        <w:t>S2</w:t>
      </w:r>
      <w:r>
        <w:rPr>
          <w:rFonts w:hint="eastAsia" w:eastAsiaTheme="minorEastAsia"/>
          <w:b/>
          <w:sz w:val="18"/>
          <w:szCs w:val="18"/>
          <w:highlight w:val="none"/>
          <w:lang w:val="en-US" w:eastAsia="zh-CN"/>
        </w:rPr>
        <w:t>5</w:t>
      </w:r>
      <w:r>
        <w:rPr>
          <w:rFonts w:hint="eastAsia"/>
          <w:bCs/>
          <w:sz w:val="18"/>
          <w:szCs w:val="18"/>
          <w:highlight w:val="none"/>
        </w:rPr>
        <w:t xml:space="preserve">  </w:t>
      </w:r>
      <w:r>
        <w:rPr>
          <w:bCs/>
          <w:sz w:val="18"/>
          <w:szCs w:val="18"/>
          <w:highlight w:val="none"/>
        </w:rPr>
        <w:t>ORR polarization curves for t-Fe800@CB</w:t>
      </w:r>
      <w:r>
        <w:rPr>
          <w:rFonts w:hint="eastAsia"/>
          <w:bCs/>
          <w:sz w:val="18"/>
          <w:szCs w:val="18"/>
          <w:highlight w:val="none"/>
        </w:rPr>
        <w:t>、</w:t>
      </w:r>
      <w:r>
        <w:rPr>
          <w:bCs/>
          <w:sz w:val="18"/>
          <w:szCs w:val="18"/>
          <w:highlight w:val="none"/>
        </w:rPr>
        <w:t>Fe800@CB</w:t>
      </w:r>
      <w:r>
        <w:rPr>
          <w:rFonts w:hint="eastAsia"/>
          <w:bCs/>
          <w:sz w:val="18"/>
          <w:szCs w:val="18"/>
          <w:highlight w:val="none"/>
        </w:rPr>
        <w:t>、Me</w:t>
      </w:r>
      <w:r>
        <w:rPr>
          <w:bCs/>
          <w:sz w:val="18"/>
          <w:szCs w:val="18"/>
          <w:highlight w:val="none"/>
        </w:rPr>
        <w:t xml:space="preserve"> </w:t>
      </w:r>
      <w:r>
        <w:rPr>
          <w:rFonts w:hint="eastAsia"/>
          <w:bCs/>
          <w:sz w:val="18"/>
          <w:szCs w:val="18"/>
          <w:highlight w:val="none"/>
        </w:rPr>
        <w:t>Fe</w:t>
      </w:r>
      <w:r>
        <w:rPr>
          <w:bCs/>
          <w:sz w:val="18"/>
          <w:szCs w:val="18"/>
          <w:highlight w:val="none"/>
        </w:rPr>
        <w:t>800@</w:t>
      </w:r>
      <w:r>
        <w:rPr>
          <w:rFonts w:hint="eastAsia"/>
          <w:bCs/>
          <w:sz w:val="18"/>
          <w:szCs w:val="18"/>
          <w:highlight w:val="none"/>
        </w:rPr>
        <w:t>CB</w:t>
      </w:r>
      <w:r>
        <w:rPr>
          <w:bCs/>
          <w:sz w:val="18"/>
          <w:szCs w:val="18"/>
          <w:highlight w:val="none"/>
        </w:rPr>
        <w:t xml:space="preserve"> and Pt-C (0.2 mg cm</w:t>
      </w:r>
      <w:r>
        <w:rPr>
          <w:bCs/>
          <w:sz w:val="18"/>
          <w:szCs w:val="18"/>
          <w:highlight w:val="none"/>
          <w:vertAlign w:val="superscript"/>
        </w:rPr>
        <w:t>-2</w:t>
      </w:r>
      <w:r>
        <w:rPr>
          <w:bCs/>
          <w:sz w:val="18"/>
          <w:szCs w:val="18"/>
          <w:highlight w:val="none"/>
        </w:rPr>
        <w:t xml:space="preserve">, 0.1 M KOH, 1600 rpm) </w:t>
      </w:r>
    </w:p>
    <w:p w14:paraId="62C847B4">
      <w:pPr>
        <w:rPr>
          <w:b/>
          <w:sz w:val="21"/>
          <w:highlight w:val="none"/>
        </w:rPr>
      </w:pPr>
      <w:r>
        <w:rPr>
          <w:b/>
          <w:sz w:val="21"/>
          <w:highlight w:val="none"/>
        </w:rPr>
        <w:br w:type="page"/>
      </w:r>
    </w:p>
    <w:p w14:paraId="11A2EB18">
      <w:pPr>
        <w:widowControl w:val="0"/>
        <w:spacing w:line="312" w:lineRule="auto"/>
        <w:ind w:left="254" w:hanging="254" w:hangingChars="127"/>
        <w:jc w:val="center"/>
        <w:rPr>
          <w:rFonts w:eastAsiaTheme="minorEastAsia"/>
          <w:highlight w:val="none"/>
          <w:lang w:eastAsia="zh-CN"/>
        </w:rPr>
      </w:pPr>
      <w:r>
        <w:rPr>
          <w:rFonts w:eastAsiaTheme="minorEastAsia"/>
          <w:highlight w:val="none"/>
          <w:lang w:eastAsia="zh-CN"/>
        </w:rPr>
        <w:drawing>
          <wp:inline distT="0" distB="0" distL="0" distR="0">
            <wp:extent cx="3404870" cy="3140710"/>
            <wp:effectExtent l="0" t="0" r="5080" b="2540"/>
            <wp:docPr id="194890268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902684" name="图片 1"/>
                    <pic:cNvPicPr>
                      <a:picLocks noChangeAspect="1"/>
                    </pic:cNvPicPr>
                  </pic:nvPicPr>
                  <pic:blipFill>
                    <a:blip r:embed="rId37"/>
                    <a:stretch>
                      <a:fillRect/>
                    </a:stretch>
                  </pic:blipFill>
                  <pic:spPr>
                    <a:xfrm>
                      <a:off x="0" y="0"/>
                      <a:ext cx="3413441" cy="3148152"/>
                    </a:xfrm>
                    <a:prstGeom prst="rect">
                      <a:avLst/>
                    </a:prstGeom>
                  </pic:spPr>
                </pic:pic>
              </a:graphicData>
            </a:graphic>
          </wp:inline>
        </w:drawing>
      </w:r>
    </w:p>
    <w:p w14:paraId="3221A99F">
      <w:pPr>
        <w:spacing w:after="120" w:afterLines="50"/>
        <w:jc w:val="both"/>
        <w:rPr>
          <w:rFonts w:eastAsiaTheme="minorEastAsia"/>
          <w:bCs/>
          <w:sz w:val="18"/>
          <w:szCs w:val="18"/>
          <w:highlight w:val="none"/>
          <w:lang w:eastAsia="zh-CN"/>
        </w:rPr>
      </w:pPr>
      <w:r>
        <w:rPr>
          <w:b/>
          <w:sz w:val="18"/>
          <w:szCs w:val="18"/>
          <w:highlight w:val="none"/>
        </w:rPr>
        <w:t xml:space="preserve">Figure </w:t>
      </w:r>
      <w:r>
        <w:rPr>
          <w:rFonts w:hint="eastAsia" w:eastAsia="宋体"/>
          <w:b/>
          <w:sz w:val="18"/>
          <w:szCs w:val="18"/>
          <w:highlight w:val="none"/>
          <w:lang w:val="en-US" w:eastAsia="zh-CN"/>
        </w:rPr>
        <w:t>S26</w:t>
      </w:r>
      <w:r>
        <w:rPr>
          <w:b/>
          <w:sz w:val="18"/>
          <w:szCs w:val="18"/>
          <w:highlight w:val="none"/>
        </w:rPr>
        <w:t xml:space="preserve">  </w:t>
      </w:r>
      <w:r>
        <w:rPr>
          <w:bCs/>
          <w:sz w:val="18"/>
          <w:szCs w:val="18"/>
          <w:highlight w:val="none"/>
        </w:rPr>
        <w:t>HAADF-STEM of t-Fe-800@CB</w:t>
      </w:r>
      <w:r>
        <w:rPr>
          <w:rFonts w:hint="eastAsia"/>
          <w:color w:val="EE0000"/>
          <w:sz w:val="24"/>
          <w:highlight w:val="none"/>
        </w:rPr>
        <w:t xml:space="preserve"> </w:t>
      </w:r>
      <w:r>
        <w:rPr>
          <w:rFonts w:hint="eastAsia"/>
          <w:bCs/>
          <w:sz w:val="18"/>
          <w:szCs w:val="18"/>
          <w:highlight w:val="none"/>
        </w:rPr>
        <w:t xml:space="preserve">after </w:t>
      </w:r>
      <w:r>
        <w:rPr>
          <w:bCs/>
          <w:sz w:val="18"/>
          <w:szCs w:val="18"/>
          <w:highlight w:val="none"/>
        </w:rPr>
        <w:t>10000 CV cycles</w:t>
      </w:r>
      <w:r>
        <w:rPr>
          <w:rFonts w:hint="eastAsia"/>
          <w:bCs/>
          <w:sz w:val="18"/>
          <w:szCs w:val="18"/>
          <w:highlight w:val="none"/>
        </w:rPr>
        <w:t xml:space="preserve"> operation</w:t>
      </w:r>
      <w:r>
        <w:rPr>
          <w:rFonts w:hint="eastAsia" w:eastAsiaTheme="minorEastAsia"/>
          <w:bCs/>
          <w:sz w:val="18"/>
          <w:szCs w:val="18"/>
          <w:highlight w:val="none"/>
          <w:lang w:eastAsia="zh-CN"/>
        </w:rPr>
        <w:t>.</w:t>
      </w:r>
    </w:p>
    <w:p w14:paraId="3873B11D">
      <w:pPr>
        <w:spacing w:after="120" w:afterLines="50"/>
        <w:jc w:val="center"/>
        <w:rPr>
          <w:b/>
          <w:sz w:val="21"/>
          <w:highlight w:val="none"/>
        </w:rPr>
      </w:pPr>
    </w:p>
    <w:p w14:paraId="495E6E84">
      <w:pPr>
        <w:rPr>
          <w:highlight w:val="none"/>
        </w:rPr>
      </w:pPr>
      <w:r>
        <w:rPr>
          <w:highlight w:val="none"/>
        </w:rPr>
        <w:br w:type="page"/>
      </w:r>
    </w:p>
    <w:p w14:paraId="4960E7CB">
      <w:pPr>
        <w:rPr>
          <w:highlight w:val="none"/>
        </w:rPr>
      </w:pPr>
    </w:p>
    <w:p w14:paraId="46C294A5">
      <w:pPr>
        <w:spacing w:after="120" w:afterLines="50"/>
        <w:jc w:val="center"/>
        <w:rPr>
          <w:highlight w:val="none"/>
        </w:rPr>
      </w:pPr>
    </w:p>
    <w:p w14:paraId="31CD5DDA">
      <w:pPr>
        <w:spacing w:after="120" w:afterLines="50"/>
        <w:jc w:val="center"/>
        <w:rPr>
          <w:highlight w:val="none"/>
        </w:rPr>
      </w:pPr>
      <w:r>
        <w:rPr>
          <w:highlight w:val="none"/>
        </w:rPr>
        <w:drawing>
          <wp:inline distT="0" distB="0" distL="0" distR="0">
            <wp:extent cx="3931920" cy="3038475"/>
            <wp:effectExtent l="0" t="0" r="1905"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icPr>
                  <pic:blipFill>
                    <a:blip r:embed="rId38"/>
                    <a:stretch>
                      <a:fillRect/>
                    </a:stretch>
                  </pic:blipFill>
                  <pic:spPr>
                    <a:xfrm>
                      <a:off x="0" y="0"/>
                      <a:ext cx="3931920" cy="3038475"/>
                    </a:xfrm>
                    <a:prstGeom prst="rect">
                      <a:avLst/>
                    </a:prstGeom>
                  </pic:spPr>
                </pic:pic>
              </a:graphicData>
            </a:graphic>
          </wp:inline>
        </w:drawing>
      </w:r>
    </w:p>
    <w:p w14:paraId="2E963ADB">
      <w:pPr>
        <w:spacing w:after="120" w:afterLines="50"/>
        <w:jc w:val="both"/>
        <w:rPr>
          <w:rFonts w:eastAsia="宋体"/>
          <w:bCs/>
          <w:sz w:val="18"/>
          <w:szCs w:val="18"/>
          <w:highlight w:val="none"/>
          <w:lang w:val="en-US" w:eastAsia="zh-CN"/>
        </w:rPr>
      </w:pPr>
      <w:r>
        <w:rPr>
          <w:b/>
          <w:bCs/>
          <w:sz w:val="18"/>
          <w:szCs w:val="18"/>
          <w:highlight w:val="none"/>
        </w:rPr>
        <w:t>Figure</w:t>
      </w:r>
      <w:r>
        <w:rPr>
          <w:b/>
          <w:sz w:val="18"/>
          <w:szCs w:val="18"/>
          <w:highlight w:val="none"/>
        </w:rPr>
        <w:t xml:space="preserve"> </w:t>
      </w:r>
      <w:r>
        <w:rPr>
          <w:rFonts w:eastAsia="宋体"/>
          <w:b/>
          <w:sz w:val="18"/>
          <w:szCs w:val="18"/>
          <w:highlight w:val="none"/>
          <w:lang w:val="en-US" w:eastAsia="zh-CN"/>
        </w:rPr>
        <w:t>S</w:t>
      </w:r>
      <w:r>
        <w:rPr>
          <w:rFonts w:hint="eastAsia" w:eastAsia="宋体"/>
          <w:b/>
          <w:sz w:val="18"/>
          <w:szCs w:val="18"/>
          <w:highlight w:val="none"/>
          <w:lang w:val="en-US" w:eastAsia="zh-CN"/>
        </w:rPr>
        <w:t>27</w:t>
      </w:r>
      <w:r>
        <w:rPr>
          <w:b/>
          <w:sz w:val="18"/>
          <w:szCs w:val="18"/>
          <w:highlight w:val="none"/>
        </w:rPr>
        <w:t xml:space="preserve">  </w:t>
      </w:r>
      <w:r>
        <w:rPr>
          <w:bCs/>
          <w:sz w:val="18"/>
          <w:szCs w:val="18"/>
          <w:highlight w:val="none"/>
        </w:rPr>
        <w:t>ORR polarization curves for t-Fe-800@CB and commercial Pt-C before and after 10000 CV cycles</w:t>
      </w:r>
      <w:r>
        <w:rPr>
          <w:rFonts w:hint="eastAsia" w:eastAsia="宋体"/>
          <w:bCs/>
          <w:sz w:val="18"/>
          <w:szCs w:val="18"/>
          <w:highlight w:val="none"/>
          <w:lang w:val="en-US" w:eastAsia="zh-CN"/>
        </w:rPr>
        <w:t>.</w:t>
      </w:r>
    </w:p>
    <w:p w14:paraId="67D32BBB">
      <w:pPr>
        <w:rPr>
          <w:rFonts w:eastAsia="宋体"/>
          <w:bCs/>
          <w:sz w:val="18"/>
          <w:szCs w:val="18"/>
          <w:highlight w:val="none"/>
          <w:lang w:val="en-US" w:eastAsia="zh-CN"/>
        </w:rPr>
      </w:pPr>
      <w:r>
        <w:rPr>
          <w:rFonts w:eastAsia="宋体"/>
          <w:bCs/>
          <w:sz w:val="18"/>
          <w:szCs w:val="18"/>
          <w:highlight w:val="none"/>
          <w:lang w:val="en-US" w:eastAsia="zh-CN"/>
        </w:rPr>
        <w:br w:type="page"/>
      </w:r>
    </w:p>
    <w:p w14:paraId="2B419720">
      <w:pPr>
        <w:spacing w:line="360" w:lineRule="auto"/>
        <w:rPr>
          <w:sz w:val="24"/>
          <w:highlight w:val="none"/>
        </w:rPr>
      </w:pPr>
      <w:r>
        <w:rPr>
          <w:sz w:val="24"/>
          <w:highlight w:val="none"/>
        </w:rPr>
        <w:drawing>
          <wp:inline distT="0" distB="0" distL="0" distR="0">
            <wp:extent cx="5274310" cy="4198620"/>
            <wp:effectExtent l="0" t="0" r="2540" b="0"/>
            <wp:docPr id="33427264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272642" name="图片 1"/>
                    <pic:cNvPicPr>
                      <a:picLocks noChangeAspect="1"/>
                    </pic:cNvPicPr>
                  </pic:nvPicPr>
                  <pic:blipFill>
                    <a:blip r:embed="rId39"/>
                    <a:stretch>
                      <a:fillRect/>
                    </a:stretch>
                  </pic:blipFill>
                  <pic:spPr>
                    <a:xfrm>
                      <a:off x="0" y="0"/>
                      <a:ext cx="5274310" cy="4198620"/>
                    </a:xfrm>
                    <a:prstGeom prst="rect">
                      <a:avLst/>
                    </a:prstGeom>
                  </pic:spPr>
                </pic:pic>
              </a:graphicData>
            </a:graphic>
          </wp:inline>
        </w:drawing>
      </w:r>
    </w:p>
    <w:p w14:paraId="0E4F7993">
      <w:pPr>
        <w:pStyle w:val="13"/>
        <w:rPr>
          <w:rFonts w:ascii="Times New Roman" w:hAnsi="Times New Roman"/>
          <w:color w:val="000000" w:themeColor="text1"/>
          <w:w w:val="100"/>
          <w:highlight w:val="none"/>
          <w14:textFill>
            <w14:solidFill>
              <w14:schemeClr w14:val="tx1"/>
            </w14:solidFill>
          </w14:textFill>
        </w:rPr>
      </w:pPr>
      <w:r>
        <w:rPr>
          <w:rFonts w:ascii="Times New Roman" w:hAnsi="Times New Roman"/>
          <w:b/>
          <w:bCs/>
          <w:color w:val="000000" w:themeColor="text1"/>
          <w:w w:val="100"/>
          <w:highlight w:val="none"/>
          <w14:textFill>
            <w14:solidFill>
              <w14:schemeClr w14:val="tx1"/>
            </w14:solidFill>
          </w14:textFill>
        </w:rPr>
        <w:t xml:space="preserve">Figure </w:t>
      </w:r>
      <w:r>
        <w:rPr>
          <w:rFonts w:hint="eastAsia" w:ascii="Times New Roman" w:hAnsi="Times New Roman"/>
          <w:b/>
          <w:bCs/>
          <w:color w:val="000000" w:themeColor="text1"/>
          <w:w w:val="100"/>
          <w:highlight w:val="none"/>
          <w14:textFill>
            <w14:solidFill>
              <w14:schemeClr w14:val="tx1"/>
            </w14:solidFill>
          </w14:textFill>
        </w:rPr>
        <w:t>S28</w:t>
      </w:r>
      <w:r>
        <w:rPr>
          <w:rFonts w:hint="eastAsia" w:ascii="Times New Roman" w:hAnsi="Times New Roman"/>
          <w:color w:val="000000" w:themeColor="text1"/>
          <w:w w:val="100"/>
          <w:highlight w:val="none"/>
          <w14:textFill>
            <w14:solidFill>
              <w14:schemeClr w14:val="tx1"/>
            </w14:solidFill>
          </w14:textFill>
        </w:rPr>
        <w:t xml:space="preserve"> </w:t>
      </w:r>
      <w:r>
        <w:rPr>
          <w:rFonts w:ascii="Times New Roman" w:hAnsi="Times New Roman"/>
          <w:color w:val="000000" w:themeColor="text1"/>
          <w:w w:val="100"/>
          <w:highlight w:val="none"/>
          <w14:textFill>
            <w14:solidFill>
              <w14:schemeClr w14:val="tx1"/>
            </w14:solidFill>
          </w14:textFill>
        </w:rPr>
        <w:t>discharge/charge cycling curves of Zn-Air batteries using the t-</w:t>
      </w:r>
      <w:r>
        <w:rPr>
          <w:rFonts w:hint="eastAsia" w:ascii="Times New Roman" w:hAnsi="Times New Roman"/>
          <w:color w:val="000000" w:themeColor="text1"/>
          <w:w w:val="100"/>
          <w:highlight w:val="none"/>
          <w14:textFill>
            <w14:solidFill>
              <w14:schemeClr w14:val="tx1"/>
            </w14:solidFill>
          </w14:textFill>
        </w:rPr>
        <w:t>Fe-</w:t>
      </w:r>
      <w:r>
        <w:rPr>
          <w:rFonts w:ascii="Times New Roman" w:hAnsi="Times New Roman"/>
          <w:color w:val="000000" w:themeColor="text1"/>
          <w:w w:val="100"/>
          <w:highlight w:val="none"/>
          <w14:textFill>
            <w14:solidFill>
              <w14:schemeClr w14:val="tx1"/>
            </w14:solidFill>
          </w14:textFill>
        </w:rPr>
        <w:t>800</w:t>
      </w:r>
      <w:r>
        <w:rPr>
          <w:rFonts w:hint="eastAsia" w:ascii="Times New Roman" w:hAnsi="Times New Roman"/>
          <w:color w:val="000000" w:themeColor="text1"/>
          <w:w w:val="100"/>
          <w:highlight w:val="none"/>
          <w14:textFill>
            <w14:solidFill>
              <w14:schemeClr w14:val="tx1"/>
            </w14:solidFill>
          </w14:textFill>
        </w:rPr>
        <w:t>/CB</w:t>
      </w:r>
      <w:r>
        <w:rPr>
          <w:rFonts w:ascii="Times New Roman" w:hAnsi="Times New Roman"/>
          <w:color w:val="000000" w:themeColor="text1"/>
          <w:w w:val="100"/>
          <w:highlight w:val="none"/>
          <w14:textFill>
            <w14:solidFill>
              <w14:schemeClr w14:val="tx1"/>
            </w14:solidFill>
          </w14:textFill>
        </w:rPr>
        <w:t xml:space="preserve"> ǁ RuO</w:t>
      </w:r>
      <w:r>
        <w:rPr>
          <w:rFonts w:ascii="Times New Roman" w:hAnsi="Times New Roman"/>
          <w:color w:val="000000" w:themeColor="text1"/>
          <w:w w:val="100"/>
          <w:highlight w:val="none"/>
          <w:vertAlign w:val="subscript"/>
          <w14:textFill>
            <w14:solidFill>
              <w14:schemeClr w14:val="tx1"/>
            </w14:solidFill>
          </w14:textFill>
        </w:rPr>
        <w:t>2</w:t>
      </w:r>
      <w:r>
        <w:rPr>
          <w:rFonts w:ascii="Times New Roman" w:hAnsi="Times New Roman"/>
          <w:color w:val="000000" w:themeColor="text1"/>
          <w:w w:val="100"/>
          <w:highlight w:val="none"/>
          <w14:textFill>
            <w14:solidFill>
              <w14:schemeClr w14:val="tx1"/>
            </w14:solidFill>
          </w14:textFill>
        </w:rPr>
        <w:t xml:space="preserve"> and Pt/C ǁ RuO</w:t>
      </w:r>
      <w:r>
        <w:rPr>
          <w:rFonts w:ascii="Times New Roman" w:hAnsi="Times New Roman"/>
          <w:color w:val="000000" w:themeColor="text1"/>
          <w:w w:val="100"/>
          <w:highlight w:val="none"/>
          <w:vertAlign w:val="subscript"/>
          <w14:textFill>
            <w14:solidFill>
              <w14:schemeClr w14:val="tx1"/>
            </w14:solidFill>
          </w14:textFill>
        </w:rPr>
        <w:t>2</w:t>
      </w:r>
      <w:r>
        <w:rPr>
          <w:rFonts w:ascii="Times New Roman" w:hAnsi="Times New Roman"/>
          <w:color w:val="000000" w:themeColor="text1"/>
          <w:w w:val="100"/>
          <w:highlight w:val="none"/>
          <w14:textFill>
            <w14:solidFill>
              <w14:schemeClr w14:val="tx1"/>
            </w14:solidFill>
          </w14:textFill>
        </w:rPr>
        <w:t xml:space="preserve"> couple as electrodes at </w:t>
      </w:r>
      <w:r>
        <w:rPr>
          <w:rFonts w:hint="eastAsia" w:ascii="Times New Roman" w:hAnsi="Times New Roman"/>
          <w:color w:val="000000" w:themeColor="text1"/>
          <w:w w:val="100"/>
          <w:highlight w:val="none"/>
          <w14:textFill>
            <w14:solidFill>
              <w14:schemeClr w14:val="tx1"/>
            </w14:solidFill>
          </w14:textFill>
        </w:rPr>
        <w:t>10</w:t>
      </w:r>
      <w:r>
        <w:rPr>
          <w:rFonts w:ascii="Times New Roman" w:hAnsi="Times New Roman"/>
          <w:color w:val="000000" w:themeColor="text1"/>
          <w:w w:val="100"/>
          <w:highlight w:val="none"/>
          <w14:textFill>
            <w14:solidFill>
              <w14:schemeClr w14:val="tx1"/>
            </w14:solidFill>
          </w14:textFill>
        </w:rPr>
        <w:t xml:space="preserve"> mA cm</w:t>
      </w:r>
      <w:r>
        <w:rPr>
          <w:rFonts w:ascii="Times New Roman" w:hAnsi="Times New Roman"/>
          <w:color w:val="000000" w:themeColor="text1"/>
          <w:w w:val="100"/>
          <w:highlight w:val="none"/>
          <w:vertAlign w:val="superscript"/>
          <w14:textFill>
            <w14:solidFill>
              <w14:schemeClr w14:val="tx1"/>
            </w14:solidFill>
          </w14:textFill>
        </w:rPr>
        <w:t>-2</w:t>
      </w:r>
      <w:r>
        <w:rPr>
          <w:rFonts w:hint="eastAsia" w:ascii="Times New Roman" w:hAnsi="Times New Roman"/>
          <w:color w:val="000000" w:themeColor="text1"/>
          <w:w w:val="100"/>
          <w:highlight w:val="none"/>
          <w14:textFill>
            <w14:solidFill>
              <w14:schemeClr w14:val="tx1"/>
            </w14:solidFill>
          </w14:textFill>
        </w:rPr>
        <w:t>.</w:t>
      </w:r>
    </w:p>
    <w:p w14:paraId="55B23734">
      <w:pPr>
        <w:spacing w:after="120" w:afterLines="50"/>
        <w:jc w:val="both"/>
        <w:rPr>
          <w:rFonts w:eastAsia="宋体"/>
          <w:bCs/>
          <w:sz w:val="18"/>
          <w:szCs w:val="18"/>
          <w:highlight w:val="none"/>
          <w:lang w:val="en-US" w:eastAsia="zh-CN"/>
        </w:rPr>
      </w:pPr>
    </w:p>
    <w:p w14:paraId="21E82B0D">
      <w:pPr>
        <w:rPr>
          <w:rFonts w:eastAsia="宋体"/>
          <w:highlight w:val="none"/>
          <w:lang w:val="en-US" w:eastAsia="zh-CN"/>
        </w:rPr>
      </w:pPr>
      <w:r>
        <w:rPr>
          <w:rFonts w:eastAsia="宋体"/>
          <w:highlight w:val="none"/>
          <w:lang w:val="en-US" w:eastAsia="zh-CN"/>
        </w:rPr>
        <w:br w:type="page"/>
      </w:r>
    </w:p>
    <w:p w14:paraId="62C86531">
      <w:pPr>
        <w:rPr>
          <w:szCs w:val="20"/>
          <w:highlight w:val="none"/>
        </w:rPr>
      </w:pPr>
      <w:r>
        <w:rPr>
          <w:szCs w:val="20"/>
          <w:highlight w:val="none"/>
        </w:rPr>
        <w:br w:type="page"/>
      </w:r>
    </w:p>
    <w:p w14:paraId="3CDEEFFA">
      <w:pPr>
        <w:widowControl w:val="0"/>
        <w:autoSpaceDE w:val="0"/>
        <w:autoSpaceDN w:val="0"/>
        <w:adjustRightInd w:val="0"/>
        <w:spacing w:line="312" w:lineRule="auto"/>
        <w:jc w:val="both"/>
        <w:rPr>
          <w:szCs w:val="20"/>
          <w:highlight w:val="none"/>
        </w:rPr>
      </w:pPr>
      <w:bookmarkStart w:id="9" w:name="_Hlk214650211"/>
      <w:r>
        <w:rPr>
          <w:rFonts w:hint="eastAsia"/>
          <w:b/>
          <w:szCs w:val="20"/>
          <w:highlight w:val="none"/>
        </w:rPr>
        <w:t>Table S1</w:t>
      </w:r>
      <w:r>
        <w:rPr>
          <w:rFonts w:hint="eastAsia"/>
          <w:szCs w:val="20"/>
          <w:highlight w:val="none"/>
        </w:rPr>
        <w:t xml:space="preserve"> Summary of elemental analysis of electrocatalysts</w:t>
      </w:r>
      <w:r>
        <w:rPr>
          <w:szCs w:val="20"/>
          <w:highlight w:val="none"/>
        </w:rPr>
        <w:t xml:space="preserve"> based on XPS and ICP-MS.</w:t>
      </w:r>
    </w:p>
    <w:tbl>
      <w:tblPr>
        <w:tblStyle w:val="5"/>
        <w:tblW w:w="0" w:type="auto"/>
        <w:jc w:val="center"/>
        <w:tblLayout w:type="autofit"/>
        <w:tblCellMar>
          <w:top w:w="0" w:type="dxa"/>
          <w:left w:w="0" w:type="dxa"/>
          <w:bottom w:w="0" w:type="dxa"/>
          <w:right w:w="0" w:type="dxa"/>
        </w:tblCellMar>
      </w:tblPr>
      <w:tblGrid>
        <w:gridCol w:w="1290"/>
        <w:gridCol w:w="905"/>
        <w:gridCol w:w="905"/>
        <w:gridCol w:w="961"/>
        <w:gridCol w:w="1733"/>
        <w:gridCol w:w="722"/>
      </w:tblGrid>
      <w:tr w14:paraId="55560710">
        <w:tblPrEx>
          <w:tblCellMar>
            <w:top w:w="0" w:type="dxa"/>
            <w:left w:w="0" w:type="dxa"/>
            <w:bottom w:w="0" w:type="dxa"/>
            <w:right w:w="0" w:type="dxa"/>
          </w:tblCellMar>
        </w:tblPrEx>
        <w:trPr>
          <w:trHeight w:val="440" w:hRule="atLeast"/>
          <w:jc w:val="center"/>
        </w:trPr>
        <w:tc>
          <w:tcPr>
            <w:tcW w:w="0" w:type="auto"/>
            <w:tcBorders>
              <w:top w:val="single" w:color="000008" w:sz="6" w:space="0"/>
              <w:bottom w:val="single" w:color="000008" w:sz="2" w:space="0"/>
            </w:tcBorders>
            <w:tcMar>
              <w:left w:w="108" w:type="dxa"/>
              <w:right w:w="108" w:type="dxa"/>
            </w:tcMar>
            <w:vAlign w:val="center"/>
          </w:tcPr>
          <w:p w14:paraId="4FA9283B">
            <w:pPr>
              <w:pStyle w:val="4"/>
              <w:jc w:val="center"/>
              <w:rPr>
                <w:rFonts w:eastAsiaTheme="minorEastAsia"/>
                <w:sz w:val="20"/>
                <w:szCs w:val="20"/>
                <w:highlight w:val="none"/>
              </w:rPr>
            </w:pPr>
            <w:r>
              <w:rPr>
                <w:rFonts w:hint="eastAsia" w:eastAsiaTheme="minorEastAsia"/>
                <w:color w:val="000000"/>
                <w:sz w:val="20"/>
                <w:szCs w:val="20"/>
                <w:highlight w:val="none"/>
              </w:rPr>
              <w:t>S</w:t>
            </w:r>
            <w:r>
              <w:rPr>
                <w:rFonts w:eastAsiaTheme="minorEastAsia"/>
                <w:color w:val="000000"/>
                <w:sz w:val="20"/>
                <w:szCs w:val="20"/>
                <w:highlight w:val="none"/>
              </w:rPr>
              <w:t>amples</w:t>
            </w:r>
          </w:p>
        </w:tc>
        <w:tc>
          <w:tcPr>
            <w:tcW w:w="0" w:type="auto"/>
            <w:tcBorders>
              <w:top w:val="single" w:color="000008" w:sz="6" w:space="0"/>
              <w:bottom w:val="single" w:color="000008" w:sz="2" w:space="0"/>
            </w:tcBorders>
            <w:tcMar>
              <w:left w:w="108" w:type="dxa"/>
              <w:right w:w="108" w:type="dxa"/>
            </w:tcMar>
            <w:vAlign w:val="center"/>
          </w:tcPr>
          <w:p w14:paraId="2779342E">
            <w:pPr>
              <w:pStyle w:val="4"/>
              <w:jc w:val="center"/>
              <w:rPr>
                <w:sz w:val="20"/>
                <w:szCs w:val="20"/>
                <w:highlight w:val="none"/>
              </w:rPr>
            </w:pPr>
            <w:r>
              <w:rPr>
                <w:color w:val="000000"/>
                <w:sz w:val="20"/>
                <w:szCs w:val="20"/>
                <w:highlight w:val="none"/>
              </w:rPr>
              <w:t>O (at.%)</w:t>
            </w:r>
          </w:p>
        </w:tc>
        <w:tc>
          <w:tcPr>
            <w:tcW w:w="0" w:type="auto"/>
            <w:tcBorders>
              <w:top w:val="single" w:color="000008" w:sz="6" w:space="0"/>
              <w:bottom w:val="single" w:color="000008" w:sz="2" w:space="0"/>
            </w:tcBorders>
            <w:tcMar>
              <w:left w:w="108" w:type="dxa"/>
              <w:right w:w="108" w:type="dxa"/>
            </w:tcMar>
            <w:vAlign w:val="center"/>
          </w:tcPr>
          <w:p w14:paraId="6FD38CE5">
            <w:pPr>
              <w:pStyle w:val="4"/>
              <w:jc w:val="center"/>
              <w:rPr>
                <w:sz w:val="20"/>
                <w:szCs w:val="20"/>
                <w:highlight w:val="none"/>
              </w:rPr>
            </w:pPr>
            <w:r>
              <w:rPr>
                <w:color w:val="000000"/>
                <w:sz w:val="20"/>
                <w:szCs w:val="20"/>
                <w:highlight w:val="none"/>
              </w:rPr>
              <w:t>N (at.%)</w:t>
            </w:r>
          </w:p>
        </w:tc>
        <w:tc>
          <w:tcPr>
            <w:tcW w:w="0" w:type="auto"/>
            <w:tcBorders>
              <w:top w:val="single" w:color="000008" w:sz="6" w:space="0"/>
              <w:bottom w:val="single" w:color="000008" w:sz="2" w:space="0"/>
            </w:tcBorders>
            <w:tcMar>
              <w:left w:w="108" w:type="dxa"/>
              <w:right w:w="108" w:type="dxa"/>
            </w:tcMar>
            <w:vAlign w:val="center"/>
          </w:tcPr>
          <w:p w14:paraId="21D11246">
            <w:pPr>
              <w:pStyle w:val="4"/>
              <w:jc w:val="center"/>
              <w:rPr>
                <w:sz w:val="20"/>
                <w:szCs w:val="20"/>
                <w:highlight w:val="none"/>
              </w:rPr>
            </w:pPr>
            <w:r>
              <w:rPr>
                <w:color w:val="000000"/>
                <w:sz w:val="20"/>
                <w:szCs w:val="20"/>
                <w:highlight w:val="none"/>
              </w:rPr>
              <w:t>Fe (at.%)</w:t>
            </w:r>
          </w:p>
        </w:tc>
        <w:tc>
          <w:tcPr>
            <w:tcW w:w="0" w:type="auto"/>
            <w:tcBorders>
              <w:top w:val="single" w:color="000008" w:sz="6" w:space="0"/>
              <w:bottom w:val="single" w:color="000008" w:sz="2" w:space="0"/>
            </w:tcBorders>
            <w:tcMar>
              <w:left w:w="108" w:type="dxa"/>
              <w:right w:w="108" w:type="dxa"/>
            </w:tcMar>
            <w:vAlign w:val="center"/>
          </w:tcPr>
          <w:p w14:paraId="6CB6BC40">
            <w:pPr>
              <w:pStyle w:val="4"/>
              <w:jc w:val="center"/>
              <w:rPr>
                <w:sz w:val="20"/>
                <w:szCs w:val="20"/>
                <w:highlight w:val="none"/>
              </w:rPr>
            </w:pPr>
            <w:r>
              <w:rPr>
                <w:color w:val="000000"/>
                <w:sz w:val="20"/>
                <w:szCs w:val="20"/>
                <w:highlight w:val="none"/>
              </w:rPr>
              <w:t>ICP-MS Fe (wt.%)</w:t>
            </w:r>
          </w:p>
        </w:tc>
        <w:tc>
          <w:tcPr>
            <w:tcW w:w="0" w:type="auto"/>
            <w:tcBorders>
              <w:top w:val="single" w:color="000008" w:sz="6" w:space="0"/>
              <w:bottom w:val="single" w:color="000008" w:sz="2" w:space="0"/>
            </w:tcBorders>
            <w:tcMar>
              <w:left w:w="108" w:type="dxa"/>
              <w:right w:w="108" w:type="dxa"/>
            </w:tcMar>
            <w:vAlign w:val="center"/>
          </w:tcPr>
          <w:p w14:paraId="3960E5A0">
            <w:pPr>
              <w:pStyle w:val="4"/>
              <w:jc w:val="center"/>
              <w:rPr>
                <w:sz w:val="20"/>
                <w:szCs w:val="20"/>
                <w:highlight w:val="none"/>
              </w:rPr>
            </w:pPr>
            <w:r>
              <w:rPr>
                <w:color w:val="000000"/>
                <w:sz w:val="20"/>
                <w:szCs w:val="20"/>
                <w:highlight w:val="none"/>
              </w:rPr>
              <w:t>N:Fe</w:t>
            </w:r>
          </w:p>
        </w:tc>
      </w:tr>
      <w:tr w14:paraId="25BDB884">
        <w:tblPrEx>
          <w:tblCellMar>
            <w:top w:w="0" w:type="dxa"/>
            <w:left w:w="0" w:type="dxa"/>
            <w:bottom w:w="0" w:type="dxa"/>
            <w:right w:w="0" w:type="dxa"/>
          </w:tblCellMar>
        </w:tblPrEx>
        <w:trPr>
          <w:trHeight w:val="440" w:hRule="atLeast"/>
          <w:jc w:val="center"/>
        </w:trPr>
        <w:tc>
          <w:tcPr>
            <w:tcW w:w="0" w:type="auto"/>
            <w:tcBorders>
              <w:top w:val="single" w:color="000008" w:sz="6" w:space="0"/>
              <w:bottom w:val="single" w:color="000008" w:sz="2" w:space="0"/>
            </w:tcBorders>
            <w:tcMar>
              <w:left w:w="108" w:type="dxa"/>
              <w:right w:w="108" w:type="dxa"/>
            </w:tcMar>
            <w:vAlign w:val="center"/>
          </w:tcPr>
          <w:p w14:paraId="6059C5C8">
            <w:pPr>
              <w:pStyle w:val="4"/>
              <w:jc w:val="center"/>
              <w:rPr>
                <w:sz w:val="20"/>
                <w:szCs w:val="20"/>
                <w:highlight w:val="none"/>
              </w:rPr>
            </w:pPr>
            <w:r>
              <w:rPr>
                <w:color w:val="000000"/>
                <w:sz w:val="20"/>
                <w:szCs w:val="20"/>
                <w:highlight w:val="none"/>
              </w:rPr>
              <w:t>t-Fe800@CB</w:t>
            </w:r>
          </w:p>
        </w:tc>
        <w:tc>
          <w:tcPr>
            <w:tcW w:w="0" w:type="auto"/>
            <w:tcBorders>
              <w:top w:val="single" w:color="000008" w:sz="6" w:space="0"/>
              <w:bottom w:val="single" w:color="000008" w:sz="2" w:space="0"/>
            </w:tcBorders>
            <w:tcMar>
              <w:left w:w="108" w:type="dxa"/>
              <w:right w:w="108" w:type="dxa"/>
            </w:tcMar>
            <w:vAlign w:val="center"/>
          </w:tcPr>
          <w:p w14:paraId="6F0562BE">
            <w:pPr>
              <w:pStyle w:val="4"/>
              <w:jc w:val="center"/>
              <w:rPr>
                <w:sz w:val="20"/>
                <w:szCs w:val="20"/>
                <w:highlight w:val="none"/>
              </w:rPr>
            </w:pPr>
            <w:r>
              <w:rPr>
                <w:color w:val="000000"/>
                <w:sz w:val="20"/>
                <w:szCs w:val="20"/>
                <w:highlight w:val="none"/>
              </w:rPr>
              <w:t>2.54 %</w:t>
            </w:r>
          </w:p>
        </w:tc>
        <w:tc>
          <w:tcPr>
            <w:tcW w:w="0" w:type="auto"/>
            <w:tcBorders>
              <w:top w:val="single" w:color="000008" w:sz="6" w:space="0"/>
              <w:bottom w:val="single" w:color="000008" w:sz="2" w:space="0"/>
            </w:tcBorders>
            <w:tcMar>
              <w:left w:w="108" w:type="dxa"/>
              <w:right w:w="108" w:type="dxa"/>
            </w:tcMar>
            <w:vAlign w:val="center"/>
          </w:tcPr>
          <w:p w14:paraId="3CAA121A">
            <w:pPr>
              <w:pStyle w:val="4"/>
              <w:jc w:val="center"/>
              <w:rPr>
                <w:sz w:val="20"/>
                <w:szCs w:val="20"/>
                <w:highlight w:val="none"/>
              </w:rPr>
            </w:pPr>
            <w:r>
              <w:rPr>
                <w:color w:val="000000"/>
                <w:sz w:val="20"/>
                <w:szCs w:val="20"/>
                <w:highlight w:val="none"/>
              </w:rPr>
              <w:t>2.24 %</w:t>
            </w:r>
          </w:p>
        </w:tc>
        <w:tc>
          <w:tcPr>
            <w:tcW w:w="0" w:type="auto"/>
            <w:tcBorders>
              <w:top w:val="single" w:color="000008" w:sz="6" w:space="0"/>
              <w:bottom w:val="single" w:color="000008" w:sz="2" w:space="0"/>
            </w:tcBorders>
            <w:tcMar>
              <w:left w:w="108" w:type="dxa"/>
              <w:right w:w="108" w:type="dxa"/>
            </w:tcMar>
            <w:vAlign w:val="center"/>
          </w:tcPr>
          <w:p w14:paraId="63854BAE">
            <w:pPr>
              <w:pStyle w:val="4"/>
              <w:jc w:val="center"/>
              <w:rPr>
                <w:sz w:val="20"/>
                <w:szCs w:val="20"/>
                <w:highlight w:val="none"/>
              </w:rPr>
            </w:pPr>
            <w:r>
              <w:rPr>
                <w:color w:val="000000"/>
                <w:sz w:val="20"/>
                <w:szCs w:val="20"/>
                <w:highlight w:val="none"/>
              </w:rPr>
              <w:t>0.38%</w:t>
            </w:r>
          </w:p>
        </w:tc>
        <w:tc>
          <w:tcPr>
            <w:tcW w:w="0" w:type="auto"/>
            <w:tcBorders>
              <w:top w:val="single" w:color="000008" w:sz="6" w:space="0"/>
              <w:bottom w:val="single" w:color="000008" w:sz="2" w:space="0"/>
            </w:tcBorders>
            <w:tcMar>
              <w:left w:w="108" w:type="dxa"/>
              <w:right w:w="108" w:type="dxa"/>
            </w:tcMar>
            <w:vAlign w:val="center"/>
          </w:tcPr>
          <w:p w14:paraId="0BB5430E">
            <w:pPr>
              <w:pStyle w:val="4"/>
              <w:jc w:val="center"/>
              <w:rPr>
                <w:sz w:val="20"/>
                <w:szCs w:val="20"/>
                <w:highlight w:val="none"/>
              </w:rPr>
            </w:pPr>
            <w:r>
              <w:rPr>
                <w:color w:val="000000"/>
                <w:sz w:val="20"/>
                <w:szCs w:val="20"/>
                <w:highlight w:val="none"/>
              </w:rPr>
              <w:t>3.01%</w:t>
            </w:r>
          </w:p>
        </w:tc>
        <w:tc>
          <w:tcPr>
            <w:tcW w:w="0" w:type="auto"/>
            <w:tcBorders>
              <w:top w:val="single" w:color="000008" w:sz="6" w:space="0"/>
              <w:bottom w:val="single" w:color="000008" w:sz="2" w:space="0"/>
            </w:tcBorders>
            <w:tcMar>
              <w:left w:w="108" w:type="dxa"/>
              <w:right w:w="108" w:type="dxa"/>
            </w:tcMar>
            <w:vAlign w:val="center"/>
          </w:tcPr>
          <w:p w14:paraId="43DA38B1">
            <w:pPr>
              <w:pStyle w:val="4"/>
              <w:jc w:val="both"/>
              <w:rPr>
                <w:sz w:val="20"/>
                <w:szCs w:val="20"/>
                <w:highlight w:val="none"/>
              </w:rPr>
            </w:pPr>
            <w:r>
              <w:rPr>
                <w:color w:val="000000"/>
                <w:sz w:val="20"/>
                <w:szCs w:val="20"/>
                <w:highlight w:val="none"/>
              </w:rPr>
              <w:t>5.89:1</w:t>
            </w:r>
          </w:p>
        </w:tc>
      </w:tr>
      <w:tr w14:paraId="58E373B6">
        <w:tblPrEx>
          <w:tblCellMar>
            <w:top w:w="0" w:type="dxa"/>
            <w:left w:w="0" w:type="dxa"/>
            <w:bottom w:w="0" w:type="dxa"/>
            <w:right w:w="0" w:type="dxa"/>
          </w:tblCellMar>
        </w:tblPrEx>
        <w:trPr>
          <w:trHeight w:val="440" w:hRule="atLeast"/>
          <w:jc w:val="center"/>
        </w:trPr>
        <w:tc>
          <w:tcPr>
            <w:tcW w:w="0" w:type="auto"/>
            <w:tcBorders>
              <w:top w:val="single" w:color="000008" w:sz="6" w:space="0"/>
              <w:bottom w:val="single" w:color="000008" w:sz="2" w:space="0"/>
            </w:tcBorders>
            <w:tcMar>
              <w:left w:w="108" w:type="dxa"/>
              <w:right w:w="108" w:type="dxa"/>
            </w:tcMar>
            <w:vAlign w:val="center"/>
          </w:tcPr>
          <w:p w14:paraId="7A5C6E1A">
            <w:pPr>
              <w:pStyle w:val="4"/>
              <w:jc w:val="center"/>
              <w:rPr>
                <w:sz w:val="20"/>
                <w:szCs w:val="20"/>
                <w:highlight w:val="none"/>
              </w:rPr>
            </w:pPr>
            <w:r>
              <w:rPr>
                <w:color w:val="000000"/>
                <w:sz w:val="20"/>
                <w:szCs w:val="20"/>
                <w:highlight w:val="none"/>
              </w:rPr>
              <w:t>Fe800@CB</w:t>
            </w:r>
          </w:p>
        </w:tc>
        <w:tc>
          <w:tcPr>
            <w:tcW w:w="0" w:type="auto"/>
            <w:tcBorders>
              <w:top w:val="single" w:color="000008" w:sz="6" w:space="0"/>
              <w:bottom w:val="single" w:color="000008" w:sz="2" w:space="0"/>
            </w:tcBorders>
            <w:tcMar>
              <w:left w:w="108" w:type="dxa"/>
              <w:right w:w="108" w:type="dxa"/>
            </w:tcMar>
            <w:vAlign w:val="center"/>
          </w:tcPr>
          <w:p w14:paraId="46F8C698">
            <w:pPr>
              <w:pStyle w:val="4"/>
              <w:jc w:val="center"/>
              <w:rPr>
                <w:sz w:val="20"/>
                <w:szCs w:val="20"/>
                <w:highlight w:val="none"/>
              </w:rPr>
            </w:pPr>
            <w:r>
              <w:rPr>
                <w:color w:val="000000"/>
                <w:sz w:val="20"/>
                <w:szCs w:val="20"/>
                <w:highlight w:val="none"/>
              </w:rPr>
              <w:t>8.0%</w:t>
            </w:r>
          </w:p>
        </w:tc>
        <w:tc>
          <w:tcPr>
            <w:tcW w:w="0" w:type="auto"/>
            <w:tcBorders>
              <w:top w:val="single" w:color="000008" w:sz="6" w:space="0"/>
              <w:bottom w:val="single" w:color="000008" w:sz="2" w:space="0"/>
            </w:tcBorders>
            <w:tcMar>
              <w:left w:w="108" w:type="dxa"/>
              <w:right w:w="108" w:type="dxa"/>
            </w:tcMar>
            <w:vAlign w:val="center"/>
          </w:tcPr>
          <w:p w14:paraId="50E78577">
            <w:pPr>
              <w:pStyle w:val="4"/>
              <w:jc w:val="center"/>
              <w:rPr>
                <w:sz w:val="20"/>
                <w:szCs w:val="20"/>
                <w:highlight w:val="none"/>
              </w:rPr>
            </w:pPr>
            <w:r>
              <w:rPr>
                <w:color w:val="000000"/>
                <w:sz w:val="20"/>
                <w:szCs w:val="20"/>
                <w:highlight w:val="none"/>
              </w:rPr>
              <w:t>0.95%</w:t>
            </w:r>
          </w:p>
        </w:tc>
        <w:tc>
          <w:tcPr>
            <w:tcW w:w="0" w:type="auto"/>
            <w:tcBorders>
              <w:top w:val="single" w:color="000008" w:sz="6" w:space="0"/>
              <w:bottom w:val="single" w:color="000008" w:sz="2" w:space="0"/>
            </w:tcBorders>
            <w:tcMar>
              <w:left w:w="108" w:type="dxa"/>
              <w:right w:w="108" w:type="dxa"/>
            </w:tcMar>
            <w:vAlign w:val="center"/>
          </w:tcPr>
          <w:p w14:paraId="5CF814AC">
            <w:pPr>
              <w:pStyle w:val="4"/>
              <w:jc w:val="center"/>
              <w:rPr>
                <w:sz w:val="20"/>
                <w:szCs w:val="20"/>
                <w:highlight w:val="none"/>
              </w:rPr>
            </w:pPr>
            <w:r>
              <w:rPr>
                <w:color w:val="000000"/>
                <w:sz w:val="20"/>
                <w:szCs w:val="20"/>
                <w:highlight w:val="none"/>
              </w:rPr>
              <w:t>0.19%</w:t>
            </w:r>
          </w:p>
        </w:tc>
        <w:tc>
          <w:tcPr>
            <w:tcW w:w="0" w:type="auto"/>
            <w:tcBorders>
              <w:top w:val="single" w:color="000008" w:sz="6" w:space="0"/>
              <w:bottom w:val="single" w:color="000008" w:sz="2" w:space="0"/>
            </w:tcBorders>
            <w:tcMar>
              <w:left w:w="108" w:type="dxa"/>
              <w:right w:w="108" w:type="dxa"/>
            </w:tcMar>
            <w:vAlign w:val="center"/>
          </w:tcPr>
          <w:p w14:paraId="343E00A6">
            <w:pPr>
              <w:pStyle w:val="4"/>
              <w:jc w:val="center"/>
              <w:rPr>
                <w:sz w:val="20"/>
                <w:szCs w:val="20"/>
                <w:highlight w:val="none"/>
              </w:rPr>
            </w:pPr>
            <w:r>
              <w:rPr>
                <w:color w:val="000000"/>
                <w:sz w:val="20"/>
                <w:szCs w:val="20"/>
                <w:highlight w:val="none"/>
              </w:rPr>
              <w:t>2.84%</w:t>
            </w:r>
          </w:p>
        </w:tc>
        <w:tc>
          <w:tcPr>
            <w:tcW w:w="0" w:type="auto"/>
            <w:tcBorders>
              <w:top w:val="single" w:color="000008" w:sz="6" w:space="0"/>
              <w:bottom w:val="single" w:color="000008" w:sz="2" w:space="0"/>
            </w:tcBorders>
            <w:tcMar>
              <w:left w:w="108" w:type="dxa"/>
              <w:right w:w="108" w:type="dxa"/>
            </w:tcMar>
            <w:vAlign w:val="center"/>
          </w:tcPr>
          <w:p w14:paraId="49ABA4F0">
            <w:pPr>
              <w:pStyle w:val="4"/>
              <w:jc w:val="center"/>
              <w:rPr>
                <w:sz w:val="20"/>
                <w:szCs w:val="20"/>
                <w:highlight w:val="none"/>
              </w:rPr>
            </w:pPr>
            <w:r>
              <w:rPr>
                <w:color w:val="000000"/>
                <w:sz w:val="20"/>
                <w:szCs w:val="20"/>
                <w:highlight w:val="none"/>
              </w:rPr>
              <w:t>5:1</w:t>
            </w:r>
          </w:p>
        </w:tc>
      </w:tr>
      <w:bookmarkEnd w:id="9"/>
    </w:tbl>
    <w:p w14:paraId="28DAF5DE">
      <w:pPr>
        <w:spacing w:after="120" w:afterLines="50"/>
        <w:jc w:val="center"/>
        <w:rPr>
          <w:b/>
          <w:szCs w:val="21"/>
          <w:highlight w:val="none"/>
        </w:rPr>
      </w:pPr>
    </w:p>
    <w:p w14:paraId="73171CF0">
      <w:pPr>
        <w:spacing w:after="120" w:afterLines="50"/>
        <w:jc w:val="center"/>
        <w:rPr>
          <w:b/>
          <w:szCs w:val="21"/>
          <w:highlight w:val="none"/>
        </w:rPr>
      </w:pPr>
    </w:p>
    <w:p w14:paraId="58BE147A">
      <w:pPr>
        <w:spacing w:after="120" w:afterLines="50"/>
        <w:jc w:val="center"/>
        <w:rPr>
          <w:b/>
          <w:szCs w:val="21"/>
          <w:highlight w:val="none"/>
        </w:rPr>
      </w:pPr>
    </w:p>
    <w:p w14:paraId="0F247EBD">
      <w:pPr>
        <w:spacing w:after="120" w:afterLines="50"/>
        <w:jc w:val="center"/>
        <w:rPr>
          <w:b/>
          <w:szCs w:val="21"/>
          <w:highlight w:val="none"/>
        </w:rPr>
      </w:pPr>
    </w:p>
    <w:p w14:paraId="061EDA27">
      <w:pPr>
        <w:spacing w:after="120" w:afterLines="50"/>
        <w:jc w:val="both"/>
        <w:rPr>
          <w:b/>
          <w:szCs w:val="21"/>
          <w:highlight w:val="none"/>
        </w:rPr>
      </w:pPr>
    </w:p>
    <w:p w14:paraId="68A3B433">
      <w:pPr>
        <w:rPr>
          <w:szCs w:val="20"/>
          <w:highlight w:val="none"/>
        </w:rPr>
      </w:pPr>
      <w:r>
        <w:rPr>
          <w:szCs w:val="20"/>
          <w:highlight w:val="none"/>
        </w:rPr>
        <w:br w:type="page"/>
      </w:r>
    </w:p>
    <w:p w14:paraId="6B4504E8">
      <w:pPr>
        <w:widowControl w:val="0"/>
        <w:autoSpaceDE w:val="0"/>
        <w:autoSpaceDN w:val="0"/>
        <w:adjustRightInd w:val="0"/>
        <w:spacing w:line="312" w:lineRule="auto"/>
        <w:jc w:val="both"/>
        <w:rPr>
          <w:szCs w:val="20"/>
          <w:highlight w:val="none"/>
        </w:rPr>
      </w:pPr>
      <w:r>
        <w:rPr>
          <w:rFonts w:hint="eastAsia"/>
          <w:b/>
          <w:szCs w:val="20"/>
          <w:highlight w:val="none"/>
        </w:rPr>
        <w:t xml:space="preserve">Table </w:t>
      </w:r>
      <w:r>
        <w:rPr>
          <w:b/>
          <w:szCs w:val="20"/>
          <w:highlight w:val="none"/>
        </w:rPr>
        <w:t>S</w:t>
      </w:r>
      <w:r>
        <w:rPr>
          <w:rFonts w:hint="eastAsia" w:eastAsia="宋体"/>
          <w:b/>
          <w:szCs w:val="20"/>
          <w:highlight w:val="none"/>
          <w:lang w:val="en-US" w:eastAsia="zh-CN"/>
        </w:rPr>
        <w:t>2</w:t>
      </w:r>
      <w:r>
        <w:rPr>
          <w:rFonts w:hint="eastAsia"/>
          <w:szCs w:val="20"/>
          <w:highlight w:val="none"/>
        </w:rPr>
        <w:t xml:space="preserve"> The performance of different Fe-N-C catalysts reported in the literature in the last 10 years is compared.</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9"/>
        <w:gridCol w:w="1134"/>
        <w:gridCol w:w="992"/>
        <w:gridCol w:w="4536"/>
      </w:tblGrid>
      <w:tr w14:paraId="5FB55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69" w:type="dxa"/>
            <w:tcBorders>
              <w:top w:val="single" w:color="auto" w:sz="12" w:space="0"/>
              <w:left w:val="nil"/>
              <w:bottom w:val="single" w:color="auto" w:sz="4" w:space="0"/>
              <w:right w:val="nil"/>
            </w:tcBorders>
            <w:vAlign w:val="center"/>
          </w:tcPr>
          <w:p w14:paraId="51DA2633">
            <w:pPr>
              <w:jc w:val="center"/>
              <w:rPr>
                <w:rFonts w:eastAsiaTheme="minorEastAsia"/>
                <w:szCs w:val="21"/>
                <w:highlight w:val="none"/>
                <w:lang w:eastAsia="zh-CN"/>
              </w:rPr>
            </w:pPr>
            <w:r>
              <w:rPr>
                <w:rFonts w:hint="eastAsia" w:eastAsiaTheme="minorEastAsia"/>
                <w:szCs w:val="21"/>
                <w:highlight w:val="none"/>
                <w:lang w:eastAsia="zh-CN"/>
              </w:rPr>
              <w:t>S</w:t>
            </w:r>
            <w:r>
              <w:rPr>
                <w:rFonts w:eastAsiaTheme="minorEastAsia"/>
                <w:szCs w:val="21"/>
                <w:highlight w:val="none"/>
                <w:lang w:eastAsia="zh-CN"/>
              </w:rPr>
              <w:t>amples</w:t>
            </w:r>
          </w:p>
        </w:tc>
        <w:tc>
          <w:tcPr>
            <w:tcW w:w="1134" w:type="dxa"/>
            <w:tcBorders>
              <w:top w:val="single" w:color="auto" w:sz="12" w:space="0"/>
              <w:left w:val="nil"/>
              <w:bottom w:val="single" w:color="auto" w:sz="4" w:space="0"/>
              <w:right w:val="nil"/>
            </w:tcBorders>
            <w:vAlign w:val="center"/>
          </w:tcPr>
          <w:p w14:paraId="38F85E5A">
            <w:pPr>
              <w:jc w:val="center"/>
              <w:rPr>
                <w:szCs w:val="21"/>
                <w:highlight w:val="none"/>
              </w:rPr>
            </w:pPr>
            <w:r>
              <w:rPr>
                <w:rFonts w:hint="eastAsia"/>
                <w:sz w:val="23"/>
                <w:highlight w:val="none"/>
              </w:rPr>
              <w:t>E</w:t>
            </w:r>
            <w:r>
              <w:rPr>
                <w:rFonts w:hint="eastAsia"/>
                <w:sz w:val="23"/>
                <w:highlight w:val="none"/>
                <w:vertAlign w:val="subscript"/>
              </w:rPr>
              <w:t>onset</w:t>
            </w:r>
            <w:r>
              <w:rPr>
                <w:sz w:val="23"/>
                <w:highlight w:val="none"/>
              </w:rPr>
              <w:t xml:space="preserve"> </w:t>
            </w:r>
            <w:r>
              <w:rPr>
                <w:highlight w:val="none"/>
              </w:rPr>
              <w:t>(mV)</w:t>
            </w:r>
          </w:p>
        </w:tc>
        <w:tc>
          <w:tcPr>
            <w:tcW w:w="992" w:type="dxa"/>
            <w:tcBorders>
              <w:top w:val="single" w:color="auto" w:sz="12" w:space="0"/>
              <w:left w:val="nil"/>
              <w:bottom w:val="single" w:color="auto" w:sz="4" w:space="0"/>
              <w:right w:val="nil"/>
            </w:tcBorders>
          </w:tcPr>
          <w:p w14:paraId="2B4864C9">
            <w:pPr>
              <w:jc w:val="center"/>
              <w:rPr>
                <w:szCs w:val="21"/>
                <w:highlight w:val="none"/>
              </w:rPr>
            </w:pPr>
            <w:r>
              <w:rPr>
                <w:rFonts w:hint="eastAsia"/>
                <w:sz w:val="23"/>
                <w:highlight w:val="none"/>
              </w:rPr>
              <w:t>E</w:t>
            </w:r>
            <w:r>
              <w:rPr>
                <w:sz w:val="23"/>
                <w:highlight w:val="none"/>
                <w:vertAlign w:val="subscript"/>
              </w:rPr>
              <w:t>1</w:t>
            </w:r>
            <w:r>
              <w:rPr>
                <w:rFonts w:hint="eastAsia"/>
                <w:sz w:val="23"/>
                <w:highlight w:val="none"/>
                <w:vertAlign w:val="subscript"/>
              </w:rPr>
              <w:t>/</w:t>
            </w:r>
            <w:r>
              <w:rPr>
                <w:sz w:val="23"/>
                <w:highlight w:val="none"/>
                <w:vertAlign w:val="subscript"/>
              </w:rPr>
              <w:t>2</w:t>
            </w:r>
            <w:r>
              <w:rPr>
                <w:sz w:val="23"/>
                <w:highlight w:val="none"/>
              </w:rPr>
              <w:t xml:space="preserve"> </w:t>
            </w:r>
            <w:r>
              <w:rPr>
                <w:highlight w:val="none"/>
              </w:rPr>
              <w:t>(mV)</w:t>
            </w:r>
          </w:p>
        </w:tc>
        <w:tc>
          <w:tcPr>
            <w:tcW w:w="4536" w:type="dxa"/>
            <w:tcBorders>
              <w:top w:val="single" w:color="auto" w:sz="12" w:space="0"/>
              <w:left w:val="nil"/>
              <w:bottom w:val="single" w:color="auto" w:sz="4" w:space="0"/>
              <w:right w:val="nil"/>
            </w:tcBorders>
            <w:vAlign w:val="center"/>
          </w:tcPr>
          <w:p w14:paraId="134F2E71">
            <w:pPr>
              <w:jc w:val="center"/>
              <w:rPr>
                <w:szCs w:val="21"/>
                <w:highlight w:val="none"/>
              </w:rPr>
            </w:pPr>
            <w:r>
              <w:rPr>
                <w:szCs w:val="21"/>
                <w:highlight w:val="none"/>
              </w:rPr>
              <w:t>R</w:t>
            </w:r>
            <w:r>
              <w:rPr>
                <w:rFonts w:hint="eastAsia"/>
                <w:szCs w:val="21"/>
                <w:highlight w:val="none"/>
              </w:rPr>
              <w:t>eference</w:t>
            </w:r>
            <w:r>
              <w:rPr>
                <w:szCs w:val="21"/>
                <w:highlight w:val="none"/>
              </w:rPr>
              <w:t>s</w:t>
            </w:r>
          </w:p>
        </w:tc>
      </w:tr>
      <w:tr w14:paraId="08678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jc w:val="center"/>
        </w:trPr>
        <w:tc>
          <w:tcPr>
            <w:tcW w:w="2269" w:type="dxa"/>
            <w:tcBorders>
              <w:top w:val="nil"/>
              <w:left w:val="nil"/>
              <w:bottom w:val="nil"/>
              <w:right w:val="nil"/>
            </w:tcBorders>
            <w:vAlign w:val="center"/>
          </w:tcPr>
          <w:p w14:paraId="4B4E6200">
            <w:pPr>
              <w:jc w:val="center"/>
              <w:rPr>
                <w:sz w:val="21"/>
                <w:szCs w:val="20"/>
                <w:highlight w:val="none"/>
              </w:rPr>
            </w:pPr>
            <w:r>
              <w:rPr>
                <w:rFonts w:hint="eastAsia"/>
                <w:sz w:val="21"/>
                <w:szCs w:val="20"/>
                <w:highlight w:val="none"/>
              </w:rPr>
              <w:t>t-Fe800@CB</w:t>
            </w:r>
          </w:p>
        </w:tc>
        <w:tc>
          <w:tcPr>
            <w:tcW w:w="1134" w:type="dxa"/>
            <w:tcBorders>
              <w:top w:val="nil"/>
              <w:left w:val="nil"/>
              <w:bottom w:val="nil"/>
              <w:right w:val="nil"/>
            </w:tcBorders>
            <w:vAlign w:val="center"/>
          </w:tcPr>
          <w:p w14:paraId="19126994">
            <w:pPr>
              <w:jc w:val="center"/>
              <w:rPr>
                <w:sz w:val="21"/>
                <w:szCs w:val="20"/>
                <w:highlight w:val="none"/>
              </w:rPr>
            </w:pPr>
            <w:r>
              <w:rPr>
                <w:rFonts w:hint="eastAsia"/>
                <w:sz w:val="21"/>
                <w:szCs w:val="20"/>
                <w:highlight w:val="none"/>
              </w:rPr>
              <w:t>0.99</w:t>
            </w:r>
          </w:p>
        </w:tc>
        <w:tc>
          <w:tcPr>
            <w:tcW w:w="992" w:type="dxa"/>
            <w:tcBorders>
              <w:top w:val="nil"/>
              <w:left w:val="nil"/>
              <w:bottom w:val="nil"/>
              <w:right w:val="nil"/>
            </w:tcBorders>
          </w:tcPr>
          <w:p w14:paraId="7269027E">
            <w:pPr>
              <w:jc w:val="center"/>
              <w:rPr>
                <w:sz w:val="21"/>
                <w:szCs w:val="20"/>
                <w:highlight w:val="none"/>
              </w:rPr>
            </w:pPr>
            <w:r>
              <w:rPr>
                <w:rFonts w:hint="eastAsia"/>
                <w:sz w:val="21"/>
                <w:szCs w:val="20"/>
                <w:highlight w:val="none"/>
              </w:rPr>
              <w:t>0.89</w:t>
            </w:r>
          </w:p>
        </w:tc>
        <w:tc>
          <w:tcPr>
            <w:tcW w:w="4536" w:type="dxa"/>
            <w:tcBorders>
              <w:top w:val="nil"/>
              <w:left w:val="nil"/>
              <w:bottom w:val="nil"/>
              <w:right w:val="nil"/>
            </w:tcBorders>
            <w:vAlign w:val="center"/>
          </w:tcPr>
          <w:p w14:paraId="419190A9">
            <w:pPr>
              <w:jc w:val="center"/>
              <w:rPr>
                <w:sz w:val="21"/>
                <w:szCs w:val="20"/>
                <w:highlight w:val="none"/>
              </w:rPr>
            </w:pPr>
            <w:r>
              <w:rPr>
                <w:rFonts w:hint="eastAsia"/>
                <w:sz w:val="21"/>
                <w:szCs w:val="20"/>
                <w:highlight w:val="none"/>
              </w:rPr>
              <w:t>This work</w:t>
            </w:r>
          </w:p>
        </w:tc>
      </w:tr>
      <w:tr w14:paraId="096B0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 w:hRule="atLeast"/>
          <w:jc w:val="center"/>
        </w:trPr>
        <w:tc>
          <w:tcPr>
            <w:tcW w:w="2269" w:type="dxa"/>
            <w:tcBorders>
              <w:top w:val="nil"/>
              <w:left w:val="nil"/>
              <w:bottom w:val="nil"/>
              <w:right w:val="nil"/>
            </w:tcBorders>
            <w:vAlign w:val="center"/>
          </w:tcPr>
          <w:p w14:paraId="074D20AD">
            <w:pPr>
              <w:jc w:val="center"/>
              <w:rPr>
                <w:sz w:val="21"/>
                <w:szCs w:val="20"/>
                <w:highlight w:val="none"/>
              </w:rPr>
            </w:pPr>
            <w:r>
              <w:rPr>
                <w:rFonts w:hint="eastAsia"/>
                <w:sz w:val="21"/>
                <w:szCs w:val="20"/>
                <w:highlight w:val="none"/>
              </w:rPr>
              <w:t>Fe-N-C</w:t>
            </w:r>
          </w:p>
        </w:tc>
        <w:tc>
          <w:tcPr>
            <w:tcW w:w="1134" w:type="dxa"/>
            <w:tcBorders>
              <w:top w:val="nil"/>
              <w:left w:val="nil"/>
              <w:bottom w:val="nil"/>
              <w:right w:val="nil"/>
            </w:tcBorders>
            <w:vAlign w:val="center"/>
          </w:tcPr>
          <w:p w14:paraId="34EB48DE">
            <w:pPr>
              <w:jc w:val="center"/>
              <w:rPr>
                <w:sz w:val="21"/>
                <w:szCs w:val="20"/>
                <w:highlight w:val="none"/>
              </w:rPr>
            </w:pPr>
            <w:r>
              <w:rPr>
                <w:rFonts w:hint="eastAsia"/>
                <w:sz w:val="21"/>
                <w:szCs w:val="20"/>
                <w:highlight w:val="none"/>
              </w:rPr>
              <w:t>0.98</w:t>
            </w:r>
          </w:p>
        </w:tc>
        <w:tc>
          <w:tcPr>
            <w:tcW w:w="992" w:type="dxa"/>
            <w:tcBorders>
              <w:top w:val="nil"/>
              <w:left w:val="nil"/>
              <w:bottom w:val="nil"/>
              <w:right w:val="nil"/>
            </w:tcBorders>
          </w:tcPr>
          <w:p w14:paraId="41573315">
            <w:pPr>
              <w:jc w:val="center"/>
              <w:rPr>
                <w:sz w:val="21"/>
                <w:szCs w:val="20"/>
                <w:highlight w:val="none"/>
              </w:rPr>
            </w:pPr>
            <w:r>
              <w:rPr>
                <w:rFonts w:hint="eastAsia"/>
                <w:sz w:val="21"/>
                <w:szCs w:val="20"/>
                <w:highlight w:val="none"/>
              </w:rPr>
              <w:t>0.854</w:t>
            </w:r>
          </w:p>
        </w:tc>
        <w:tc>
          <w:tcPr>
            <w:tcW w:w="4536" w:type="dxa"/>
            <w:tcBorders>
              <w:top w:val="nil"/>
              <w:left w:val="nil"/>
              <w:bottom w:val="nil"/>
              <w:right w:val="nil"/>
            </w:tcBorders>
            <w:vAlign w:val="center"/>
          </w:tcPr>
          <w:p w14:paraId="494F7C94">
            <w:pPr>
              <w:jc w:val="center"/>
              <w:rPr>
                <w:sz w:val="21"/>
                <w:szCs w:val="20"/>
                <w:highlight w:val="none"/>
              </w:rPr>
            </w:pPr>
            <w:r>
              <w:rPr>
                <w:rFonts w:hint="eastAsia"/>
                <w:sz w:val="21"/>
                <w:szCs w:val="20"/>
                <w:highlight w:val="none"/>
              </w:rPr>
              <w:t>Appl. Catal. B: Environ., 2022, 305, 121058</w:t>
            </w:r>
          </w:p>
        </w:tc>
      </w:tr>
      <w:tr w14:paraId="777D9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2269" w:type="dxa"/>
            <w:tcBorders>
              <w:top w:val="nil"/>
              <w:left w:val="nil"/>
              <w:bottom w:val="nil"/>
              <w:right w:val="nil"/>
            </w:tcBorders>
            <w:vAlign w:val="center"/>
          </w:tcPr>
          <w:p w14:paraId="6AC51F86">
            <w:pPr>
              <w:jc w:val="center"/>
              <w:rPr>
                <w:sz w:val="21"/>
                <w:szCs w:val="20"/>
                <w:highlight w:val="none"/>
              </w:rPr>
            </w:pPr>
            <w:r>
              <w:rPr>
                <w:rFonts w:hint="eastAsia"/>
                <w:sz w:val="21"/>
                <w:szCs w:val="20"/>
                <w:highlight w:val="none"/>
              </w:rPr>
              <w:t>Fe/Meso-NC-1000</w:t>
            </w:r>
          </w:p>
        </w:tc>
        <w:tc>
          <w:tcPr>
            <w:tcW w:w="1134" w:type="dxa"/>
            <w:tcBorders>
              <w:top w:val="nil"/>
              <w:left w:val="nil"/>
              <w:bottom w:val="nil"/>
              <w:right w:val="nil"/>
            </w:tcBorders>
            <w:vAlign w:val="center"/>
          </w:tcPr>
          <w:p w14:paraId="2757412E">
            <w:pPr>
              <w:jc w:val="center"/>
              <w:rPr>
                <w:sz w:val="21"/>
                <w:szCs w:val="20"/>
                <w:highlight w:val="none"/>
              </w:rPr>
            </w:pPr>
            <w:r>
              <w:rPr>
                <w:rFonts w:hint="eastAsia"/>
                <w:sz w:val="21"/>
                <w:szCs w:val="20"/>
                <w:highlight w:val="none"/>
              </w:rPr>
              <w:t>0.97</w:t>
            </w:r>
          </w:p>
        </w:tc>
        <w:tc>
          <w:tcPr>
            <w:tcW w:w="992" w:type="dxa"/>
            <w:tcBorders>
              <w:top w:val="nil"/>
              <w:left w:val="nil"/>
              <w:bottom w:val="nil"/>
              <w:right w:val="nil"/>
            </w:tcBorders>
          </w:tcPr>
          <w:p w14:paraId="596C51F5">
            <w:pPr>
              <w:jc w:val="center"/>
              <w:rPr>
                <w:sz w:val="21"/>
                <w:szCs w:val="20"/>
                <w:highlight w:val="none"/>
              </w:rPr>
            </w:pPr>
            <w:r>
              <w:rPr>
                <w:rFonts w:hint="eastAsia"/>
                <w:sz w:val="21"/>
                <w:szCs w:val="20"/>
                <w:highlight w:val="none"/>
              </w:rPr>
              <w:t>0.885</w:t>
            </w:r>
          </w:p>
        </w:tc>
        <w:tc>
          <w:tcPr>
            <w:tcW w:w="4536" w:type="dxa"/>
            <w:tcBorders>
              <w:top w:val="nil"/>
              <w:left w:val="nil"/>
              <w:bottom w:val="nil"/>
              <w:right w:val="nil"/>
            </w:tcBorders>
            <w:vAlign w:val="center"/>
          </w:tcPr>
          <w:p w14:paraId="2B911273">
            <w:pPr>
              <w:jc w:val="center"/>
              <w:rPr>
                <w:sz w:val="21"/>
                <w:szCs w:val="20"/>
                <w:highlight w:val="none"/>
              </w:rPr>
            </w:pPr>
            <w:r>
              <w:rPr>
                <w:rFonts w:hint="eastAsia"/>
                <w:sz w:val="21"/>
                <w:szCs w:val="20"/>
                <w:highlight w:val="none"/>
              </w:rPr>
              <w:t>Adv. Mater., 2022, 34, 2107291</w:t>
            </w:r>
          </w:p>
        </w:tc>
      </w:tr>
      <w:tr w14:paraId="73BDB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2269" w:type="dxa"/>
            <w:tcBorders>
              <w:top w:val="nil"/>
              <w:left w:val="nil"/>
              <w:bottom w:val="nil"/>
              <w:right w:val="nil"/>
            </w:tcBorders>
            <w:vAlign w:val="center"/>
          </w:tcPr>
          <w:p w14:paraId="27E01367">
            <w:pPr>
              <w:jc w:val="center"/>
              <w:rPr>
                <w:sz w:val="21"/>
                <w:szCs w:val="20"/>
                <w:highlight w:val="none"/>
              </w:rPr>
            </w:pPr>
            <w:r>
              <w:rPr>
                <w:rFonts w:hint="eastAsia"/>
                <w:sz w:val="21"/>
                <w:szCs w:val="20"/>
                <w:highlight w:val="none"/>
              </w:rPr>
              <w:t>Fe/N-G-SAC</w:t>
            </w:r>
          </w:p>
        </w:tc>
        <w:tc>
          <w:tcPr>
            <w:tcW w:w="1134" w:type="dxa"/>
            <w:tcBorders>
              <w:top w:val="nil"/>
              <w:left w:val="nil"/>
              <w:bottom w:val="nil"/>
              <w:right w:val="nil"/>
            </w:tcBorders>
            <w:vAlign w:val="center"/>
          </w:tcPr>
          <w:p w14:paraId="5A551894">
            <w:pPr>
              <w:jc w:val="center"/>
              <w:rPr>
                <w:sz w:val="21"/>
                <w:szCs w:val="20"/>
                <w:highlight w:val="none"/>
              </w:rPr>
            </w:pPr>
            <w:r>
              <w:rPr>
                <w:rFonts w:hint="eastAsia"/>
                <w:sz w:val="21"/>
                <w:szCs w:val="20"/>
                <w:highlight w:val="none"/>
              </w:rPr>
              <w:t>0.99</w:t>
            </w:r>
          </w:p>
        </w:tc>
        <w:tc>
          <w:tcPr>
            <w:tcW w:w="992" w:type="dxa"/>
            <w:tcBorders>
              <w:top w:val="nil"/>
              <w:left w:val="nil"/>
              <w:bottom w:val="nil"/>
              <w:right w:val="nil"/>
            </w:tcBorders>
          </w:tcPr>
          <w:p w14:paraId="0D9CCE85">
            <w:pPr>
              <w:jc w:val="center"/>
              <w:rPr>
                <w:sz w:val="21"/>
                <w:szCs w:val="20"/>
                <w:highlight w:val="none"/>
              </w:rPr>
            </w:pPr>
            <w:r>
              <w:rPr>
                <w:rFonts w:hint="eastAsia"/>
                <w:sz w:val="21"/>
                <w:szCs w:val="20"/>
                <w:highlight w:val="none"/>
              </w:rPr>
              <w:t>0.89</w:t>
            </w:r>
          </w:p>
        </w:tc>
        <w:tc>
          <w:tcPr>
            <w:tcW w:w="4536" w:type="dxa"/>
            <w:tcBorders>
              <w:top w:val="nil"/>
              <w:left w:val="nil"/>
              <w:bottom w:val="nil"/>
              <w:right w:val="nil"/>
            </w:tcBorders>
            <w:vAlign w:val="center"/>
          </w:tcPr>
          <w:p w14:paraId="53AB753E">
            <w:pPr>
              <w:jc w:val="center"/>
              <w:rPr>
                <w:sz w:val="21"/>
                <w:szCs w:val="20"/>
                <w:highlight w:val="none"/>
              </w:rPr>
            </w:pPr>
            <w:r>
              <w:rPr>
                <w:rFonts w:hint="eastAsia"/>
                <w:sz w:val="21"/>
                <w:szCs w:val="20"/>
                <w:highlight w:val="none"/>
              </w:rPr>
              <w:t>Adv. Mater., 2020, 32, 2004900</w:t>
            </w:r>
          </w:p>
        </w:tc>
      </w:tr>
      <w:tr w14:paraId="53E87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2269" w:type="dxa"/>
            <w:tcBorders>
              <w:top w:val="nil"/>
              <w:left w:val="nil"/>
              <w:bottom w:val="nil"/>
              <w:right w:val="nil"/>
            </w:tcBorders>
            <w:vAlign w:val="center"/>
          </w:tcPr>
          <w:p w14:paraId="510169FA">
            <w:pPr>
              <w:jc w:val="center"/>
              <w:rPr>
                <w:sz w:val="21"/>
                <w:szCs w:val="20"/>
                <w:highlight w:val="none"/>
              </w:rPr>
            </w:pPr>
            <w:r>
              <w:rPr>
                <w:rFonts w:hint="eastAsia"/>
                <w:sz w:val="21"/>
                <w:szCs w:val="20"/>
                <w:highlight w:val="none"/>
              </w:rPr>
              <w:t>Fe</w:t>
            </w:r>
            <w:r>
              <w:rPr>
                <w:rFonts w:hint="eastAsia"/>
                <w:sz w:val="21"/>
                <w:szCs w:val="20"/>
                <w:highlight w:val="none"/>
                <w:vertAlign w:val="subscript"/>
              </w:rPr>
              <w:t>3</w:t>
            </w:r>
            <w:r>
              <w:rPr>
                <w:rFonts w:hint="eastAsia"/>
                <w:sz w:val="21"/>
                <w:szCs w:val="20"/>
                <w:highlight w:val="none"/>
              </w:rPr>
              <w:t>Co</w:t>
            </w:r>
            <w:r>
              <w:rPr>
                <w:rFonts w:hint="eastAsia"/>
                <w:sz w:val="21"/>
                <w:szCs w:val="20"/>
                <w:highlight w:val="none"/>
                <w:vertAlign w:val="subscript"/>
              </w:rPr>
              <w:t>7</w:t>
            </w:r>
            <w:r>
              <w:rPr>
                <w:rFonts w:hint="eastAsia"/>
                <w:sz w:val="21"/>
                <w:szCs w:val="20"/>
                <w:highlight w:val="none"/>
              </w:rPr>
              <w:t>-NC</w:t>
            </w:r>
          </w:p>
        </w:tc>
        <w:tc>
          <w:tcPr>
            <w:tcW w:w="1134" w:type="dxa"/>
            <w:tcBorders>
              <w:top w:val="nil"/>
              <w:left w:val="nil"/>
              <w:bottom w:val="nil"/>
              <w:right w:val="nil"/>
            </w:tcBorders>
            <w:vAlign w:val="center"/>
          </w:tcPr>
          <w:p w14:paraId="3E4B83BF">
            <w:pPr>
              <w:jc w:val="center"/>
              <w:rPr>
                <w:sz w:val="21"/>
                <w:szCs w:val="20"/>
                <w:highlight w:val="none"/>
              </w:rPr>
            </w:pPr>
            <w:r>
              <w:rPr>
                <w:rFonts w:hint="eastAsia"/>
                <w:sz w:val="21"/>
                <w:szCs w:val="20"/>
                <w:highlight w:val="none"/>
              </w:rPr>
              <w:t>1.02</w:t>
            </w:r>
          </w:p>
        </w:tc>
        <w:tc>
          <w:tcPr>
            <w:tcW w:w="992" w:type="dxa"/>
            <w:tcBorders>
              <w:top w:val="nil"/>
              <w:left w:val="nil"/>
              <w:bottom w:val="nil"/>
              <w:right w:val="nil"/>
            </w:tcBorders>
          </w:tcPr>
          <w:p w14:paraId="720A0DC0">
            <w:pPr>
              <w:jc w:val="center"/>
              <w:rPr>
                <w:sz w:val="21"/>
                <w:szCs w:val="20"/>
                <w:highlight w:val="none"/>
              </w:rPr>
            </w:pPr>
            <w:r>
              <w:rPr>
                <w:rFonts w:hint="eastAsia"/>
                <w:sz w:val="21"/>
                <w:szCs w:val="20"/>
                <w:highlight w:val="none"/>
              </w:rPr>
              <w:t>0.893</w:t>
            </w:r>
          </w:p>
        </w:tc>
        <w:tc>
          <w:tcPr>
            <w:tcW w:w="4536" w:type="dxa"/>
            <w:tcBorders>
              <w:top w:val="nil"/>
              <w:left w:val="nil"/>
              <w:bottom w:val="nil"/>
              <w:right w:val="nil"/>
            </w:tcBorders>
            <w:vAlign w:val="center"/>
          </w:tcPr>
          <w:p w14:paraId="06BE7704">
            <w:pPr>
              <w:jc w:val="center"/>
              <w:rPr>
                <w:sz w:val="21"/>
                <w:szCs w:val="20"/>
                <w:highlight w:val="none"/>
              </w:rPr>
            </w:pPr>
            <w:r>
              <w:rPr>
                <w:rFonts w:hint="eastAsia"/>
                <w:sz w:val="21"/>
                <w:szCs w:val="20"/>
                <w:highlight w:val="none"/>
              </w:rPr>
              <w:t>Adv. Funct. Mater., 2023, 33, 2212299</w:t>
            </w:r>
          </w:p>
        </w:tc>
      </w:tr>
      <w:tr w14:paraId="522C2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 w:hRule="atLeast"/>
          <w:jc w:val="center"/>
        </w:trPr>
        <w:tc>
          <w:tcPr>
            <w:tcW w:w="2269" w:type="dxa"/>
            <w:tcBorders>
              <w:top w:val="nil"/>
              <w:left w:val="nil"/>
              <w:bottom w:val="nil"/>
              <w:right w:val="nil"/>
            </w:tcBorders>
            <w:vAlign w:val="center"/>
          </w:tcPr>
          <w:p w14:paraId="180765EA">
            <w:pPr>
              <w:jc w:val="center"/>
              <w:rPr>
                <w:sz w:val="21"/>
                <w:szCs w:val="20"/>
                <w:highlight w:val="none"/>
              </w:rPr>
            </w:pPr>
            <w:r>
              <w:rPr>
                <w:rFonts w:hint="eastAsia"/>
                <w:sz w:val="21"/>
                <w:szCs w:val="20"/>
                <w:highlight w:val="none"/>
              </w:rPr>
              <w:t>FeCo-N-HCN</w:t>
            </w:r>
          </w:p>
        </w:tc>
        <w:tc>
          <w:tcPr>
            <w:tcW w:w="1134" w:type="dxa"/>
            <w:tcBorders>
              <w:top w:val="nil"/>
              <w:left w:val="nil"/>
              <w:bottom w:val="nil"/>
              <w:right w:val="nil"/>
            </w:tcBorders>
            <w:vAlign w:val="center"/>
          </w:tcPr>
          <w:p w14:paraId="6EDD8AC3">
            <w:pPr>
              <w:jc w:val="center"/>
              <w:rPr>
                <w:sz w:val="21"/>
                <w:szCs w:val="20"/>
                <w:highlight w:val="none"/>
              </w:rPr>
            </w:pPr>
            <w:r>
              <w:rPr>
                <w:rFonts w:hint="eastAsia"/>
                <w:sz w:val="21"/>
                <w:szCs w:val="20"/>
                <w:highlight w:val="none"/>
              </w:rPr>
              <w:t>0.98</w:t>
            </w:r>
          </w:p>
        </w:tc>
        <w:tc>
          <w:tcPr>
            <w:tcW w:w="992" w:type="dxa"/>
            <w:tcBorders>
              <w:top w:val="nil"/>
              <w:left w:val="nil"/>
              <w:bottom w:val="nil"/>
              <w:right w:val="nil"/>
            </w:tcBorders>
          </w:tcPr>
          <w:p w14:paraId="442142FE">
            <w:pPr>
              <w:jc w:val="center"/>
              <w:rPr>
                <w:sz w:val="21"/>
                <w:szCs w:val="20"/>
                <w:highlight w:val="none"/>
              </w:rPr>
            </w:pPr>
            <w:r>
              <w:rPr>
                <w:rFonts w:hint="eastAsia"/>
                <w:sz w:val="21"/>
                <w:szCs w:val="20"/>
                <w:highlight w:val="none"/>
              </w:rPr>
              <w:t>0.86</w:t>
            </w:r>
          </w:p>
        </w:tc>
        <w:tc>
          <w:tcPr>
            <w:tcW w:w="4536" w:type="dxa"/>
            <w:tcBorders>
              <w:top w:val="nil"/>
              <w:left w:val="nil"/>
              <w:bottom w:val="nil"/>
              <w:right w:val="nil"/>
            </w:tcBorders>
            <w:vAlign w:val="center"/>
          </w:tcPr>
          <w:p w14:paraId="4B13D055">
            <w:pPr>
              <w:jc w:val="center"/>
              <w:rPr>
                <w:sz w:val="21"/>
                <w:szCs w:val="20"/>
                <w:highlight w:val="none"/>
              </w:rPr>
            </w:pPr>
            <w:r>
              <w:rPr>
                <w:rFonts w:hint="eastAsia"/>
                <w:sz w:val="21"/>
                <w:szCs w:val="20"/>
                <w:highlight w:val="none"/>
              </w:rPr>
              <w:t>Adv. Funct. Mater., 2021, 31, 2011289</w:t>
            </w:r>
          </w:p>
        </w:tc>
      </w:tr>
      <w:tr w14:paraId="5F392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2269" w:type="dxa"/>
            <w:tcBorders>
              <w:top w:val="nil"/>
              <w:left w:val="nil"/>
              <w:bottom w:val="nil"/>
              <w:right w:val="nil"/>
            </w:tcBorders>
            <w:vAlign w:val="center"/>
          </w:tcPr>
          <w:p w14:paraId="01E1DD83">
            <w:pPr>
              <w:jc w:val="center"/>
              <w:rPr>
                <w:sz w:val="21"/>
                <w:szCs w:val="20"/>
                <w:highlight w:val="none"/>
              </w:rPr>
            </w:pPr>
            <w:r>
              <w:rPr>
                <w:rFonts w:hint="eastAsia"/>
                <w:sz w:val="21"/>
                <w:szCs w:val="20"/>
                <w:highlight w:val="none"/>
              </w:rPr>
              <w:t>Co</w:t>
            </w:r>
            <w:r>
              <w:rPr>
                <w:rFonts w:hint="eastAsia"/>
                <w:sz w:val="21"/>
                <w:szCs w:val="20"/>
                <w:highlight w:val="none"/>
                <w:vertAlign w:val="subscript"/>
              </w:rPr>
              <w:t>2</w:t>
            </w:r>
            <w:r>
              <w:rPr>
                <w:rFonts w:hint="eastAsia"/>
                <w:sz w:val="21"/>
                <w:szCs w:val="20"/>
                <w:highlight w:val="none"/>
              </w:rPr>
              <w:t>Fe</w:t>
            </w:r>
            <w:r>
              <w:rPr>
                <w:rFonts w:hint="eastAsia"/>
                <w:sz w:val="21"/>
                <w:szCs w:val="20"/>
                <w:highlight w:val="none"/>
                <w:vertAlign w:val="subscript"/>
              </w:rPr>
              <w:t>1</w:t>
            </w:r>
            <w:r>
              <w:rPr>
                <w:rFonts w:hint="eastAsia"/>
                <w:sz w:val="21"/>
                <w:szCs w:val="20"/>
                <w:highlight w:val="none"/>
              </w:rPr>
              <w:t>@NC</w:t>
            </w:r>
          </w:p>
        </w:tc>
        <w:tc>
          <w:tcPr>
            <w:tcW w:w="1134" w:type="dxa"/>
            <w:tcBorders>
              <w:top w:val="nil"/>
              <w:left w:val="nil"/>
              <w:bottom w:val="nil"/>
              <w:right w:val="nil"/>
            </w:tcBorders>
            <w:vAlign w:val="center"/>
          </w:tcPr>
          <w:p w14:paraId="50FBA2A3">
            <w:pPr>
              <w:jc w:val="center"/>
              <w:rPr>
                <w:sz w:val="21"/>
                <w:szCs w:val="20"/>
                <w:highlight w:val="none"/>
              </w:rPr>
            </w:pPr>
            <w:r>
              <w:rPr>
                <w:rFonts w:hint="eastAsia"/>
                <w:sz w:val="21"/>
                <w:szCs w:val="20"/>
                <w:highlight w:val="none"/>
              </w:rPr>
              <w:t>0.99</w:t>
            </w:r>
          </w:p>
        </w:tc>
        <w:tc>
          <w:tcPr>
            <w:tcW w:w="992" w:type="dxa"/>
            <w:tcBorders>
              <w:top w:val="nil"/>
              <w:left w:val="nil"/>
              <w:bottom w:val="nil"/>
              <w:right w:val="nil"/>
            </w:tcBorders>
          </w:tcPr>
          <w:p w14:paraId="609B1BF6">
            <w:pPr>
              <w:jc w:val="center"/>
              <w:rPr>
                <w:sz w:val="21"/>
                <w:szCs w:val="20"/>
                <w:highlight w:val="none"/>
              </w:rPr>
            </w:pPr>
            <w:r>
              <w:rPr>
                <w:rFonts w:hint="eastAsia"/>
                <w:sz w:val="21"/>
                <w:szCs w:val="20"/>
                <w:highlight w:val="none"/>
              </w:rPr>
              <w:t>0.85</w:t>
            </w:r>
          </w:p>
        </w:tc>
        <w:tc>
          <w:tcPr>
            <w:tcW w:w="4536" w:type="dxa"/>
            <w:tcBorders>
              <w:top w:val="nil"/>
              <w:left w:val="nil"/>
              <w:bottom w:val="nil"/>
              <w:right w:val="nil"/>
            </w:tcBorders>
            <w:vAlign w:val="center"/>
          </w:tcPr>
          <w:p w14:paraId="398C878E">
            <w:pPr>
              <w:jc w:val="center"/>
              <w:rPr>
                <w:sz w:val="21"/>
                <w:szCs w:val="20"/>
                <w:highlight w:val="none"/>
              </w:rPr>
            </w:pPr>
            <w:r>
              <w:rPr>
                <w:rFonts w:hint="eastAsia"/>
                <w:sz w:val="21"/>
                <w:szCs w:val="20"/>
                <w:highlight w:val="none"/>
              </w:rPr>
              <w:t>J. Am. Chem. Soc., 2020, 142, 7116</w:t>
            </w:r>
          </w:p>
        </w:tc>
      </w:tr>
      <w:tr w14:paraId="1495B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jc w:val="center"/>
        </w:trPr>
        <w:tc>
          <w:tcPr>
            <w:tcW w:w="2269" w:type="dxa"/>
            <w:tcBorders>
              <w:top w:val="nil"/>
              <w:left w:val="nil"/>
              <w:bottom w:val="nil"/>
              <w:right w:val="nil"/>
            </w:tcBorders>
            <w:vAlign w:val="center"/>
          </w:tcPr>
          <w:p w14:paraId="2FBD7F85">
            <w:pPr>
              <w:jc w:val="center"/>
              <w:rPr>
                <w:sz w:val="21"/>
                <w:szCs w:val="20"/>
                <w:highlight w:val="none"/>
              </w:rPr>
            </w:pPr>
            <w:r>
              <w:rPr>
                <w:rFonts w:hint="eastAsia"/>
                <w:sz w:val="21"/>
                <w:szCs w:val="20"/>
                <w:highlight w:val="none"/>
              </w:rPr>
              <w:t>Fe-N/P-C-700</w:t>
            </w:r>
          </w:p>
        </w:tc>
        <w:tc>
          <w:tcPr>
            <w:tcW w:w="1134" w:type="dxa"/>
            <w:tcBorders>
              <w:top w:val="nil"/>
              <w:left w:val="nil"/>
              <w:bottom w:val="nil"/>
              <w:right w:val="nil"/>
            </w:tcBorders>
            <w:vAlign w:val="center"/>
          </w:tcPr>
          <w:p w14:paraId="13D1E64A">
            <w:pPr>
              <w:jc w:val="center"/>
              <w:rPr>
                <w:sz w:val="21"/>
                <w:szCs w:val="20"/>
                <w:highlight w:val="none"/>
              </w:rPr>
            </w:pPr>
            <w:r>
              <w:rPr>
                <w:rFonts w:hint="eastAsia"/>
                <w:sz w:val="21"/>
                <w:szCs w:val="20"/>
                <w:highlight w:val="none"/>
              </w:rPr>
              <w:t>0.941</w:t>
            </w:r>
          </w:p>
        </w:tc>
        <w:tc>
          <w:tcPr>
            <w:tcW w:w="992" w:type="dxa"/>
            <w:tcBorders>
              <w:top w:val="nil"/>
              <w:left w:val="nil"/>
              <w:bottom w:val="nil"/>
              <w:right w:val="nil"/>
            </w:tcBorders>
          </w:tcPr>
          <w:p w14:paraId="767C579B">
            <w:pPr>
              <w:jc w:val="center"/>
              <w:rPr>
                <w:sz w:val="21"/>
                <w:szCs w:val="20"/>
                <w:highlight w:val="none"/>
              </w:rPr>
            </w:pPr>
            <w:r>
              <w:rPr>
                <w:rFonts w:hint="eastAsia"/>
                <w:sz w:val="21"/>
                <w:szCs w:val="20"/>
                <w:highlight w:val="none"/>
              </w:rPr>
              <w:t>0.867</w:t>
            </w:r>
          </w:p>
        </w:tc>
        <w:tc>
          <w:tcPr>
            <w:tcW w:w="4536" w:type="dxa"/>
            <w:tcBorders>
              <w:top w:val="nil"/>
              <w:left w:val="nil"/>
              <w:bottom w:val="nil"/>
              <w:right w:val="nil"/>
            </w:tcBorders>
            <w:vAlign w:val="center"/>
          </w:tcPr>
          <w:p w14:paraId="1B39D464">
            <w:pPr>
              <w:jc w:val="center"/>
              <w:rPr>
                <w:sz w:val="21"/>
                <w:szCs w:val="20"/>
                <w:highlight w:val="none"/>
              </w:rPr>
            </w:pPr>
            <w:r>
              <w:rPr>
                <w:rFonts w:hint="eastAsia"/>
                <w:sz w:val="21"/>
                <w:szCs w:val="20"/>
                <w:highlight w:val="none"/>
              </w:rPr>
              <w:t>J. Am. Chem. Soc.</w:t>
            </w:r>
            <w:r>
              <w:rPr>
                <w:sz w:val="21"/>
                <w:szCs w:val="20"/>
                <w:highlight w:val="none"/>
              </w:rPr>
              <w:t>,</w:t>
            </w:r>
            <w:r>
              <w:rPr>
                <w:rFonts w:hint="eastAsia"/>
                <w:sz w:val="21"/>
                <w:szCs w:val="20"/>
                <w:highlight w:val="none"/>
              </w:rPr>
              <w:t xml:space="preserve"> 2020, 142(5): 2404-2412</w:t>
            </w:r>
          </w:p>
        </w:tc>
      </w:tr>
      <w:tr w14:paraId="6CCB0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 w:hRule="atLeast"/>
          <w:jc w:val="center"/>
        </w:trPr>
        <w:tc>
          <w:tcPr>
            <w:tcW w:w="2269" w:type="dxa"/>
            <w:tcBorders>
              <w:top w:val="nil"/>
              <w:left w:val="nil"/>
              <w:bottom w:val="nil"/>
              <w:right w:val="nil"/>
            </w:tcBorders>
            <w:vAlign w:val="center"/>
          </w:tcPr>
          <w:p w14:paraId="4E7BB35E">
            <w:pPr>
              <w:jc w:val="center"/>
              <w:rPr>
                <w:sz w:val="21"/>
                <w:szCs w:val="20"/>
                <w:highlight w:val="none"/>
              </w:rPr>
            </w:pPr>
            <w:r>
              <w:rPr>
                <w:rFonts w:hint="eastAsia"/>
                <w:sz w:val="21"/>
                <w:szCs w:val="20"/>
                <w:highlight w:val="none"/>
              </w:rPr>
              <w:t>Fe-N-C HNSs</w:t>
            </w:r>
          </w:p>
        </w:tc>
        <w:tc>
          <w:tcPr>
            <w:tcW w:w="1134" w:type="dxa"/>
            <w:tcBorders>
              <w:top w:val="nil"/>
              <w:left w:val="nil"/>
              <w:bottom w:val="nil"/>
              <w:right w:val="nil"/>
            </w:tcBorders>
            <w:vAlign w:val="center"/>
          </w:tcPr>
          <w:p w14:paraId="7A9D0C1D">
            <w:pPr>
              <w:jc w:val="center"/>
              <w:rPr>
                <w:sz w:val="21"/>
                <w:szCs w:val="20"/>
                <w:highlight w:val="none"/>
              </w:rPr>
            </w:pPr>
            <w:r>
              <w:rPr>
                <w:rFonts w:hint="eastAsia"/>
                <w:sz w:val="21"/>
                <w:szCs w:val="20"/>
                <w:highlight w:val="none"/>
              </w:rPr>
              <w:t>1.046</w:t>
            </w:r>
          </w:p>
        </w:tc>
        <w:tc>
          <w:tcPr>
            <w:tcW w:w="992" w:type="dxa"/>
            <w:tcBorders>
              <w:top w:val="nil"/>
              <w:left w:val="nil"/>
              <w:bottom w:val="nil"/>
              <w:right w:val="nil"/>
            </w:tcBorders>
          </w:tcPr>
          <w:p w14:paraId="75E6B51C">
            <w:pPr>
              <w:jc w:val="center"/>
              <w:rPr>
                <w:sz w:val="21"/>
                <w:szCs w:val="20"/>
                <w:highlight w:val="none"/>
              </w:rPr>
            </w:pPr>
            <w:r>
              <w:rPr>
                <w:rFonts w:hint="eastAsia"/>
                <w:sz w:val="21"/>
                <w:szCs w:val="20"/>
                <w:highlight w:val="none"/>
              </w:rPr>
              <w:t>0.87</w:t>
            </w:r>
          </w:p>
        </w:tc>
        <w:tc>
          <w:tcPr>
            <w:tcW w:w="4536" w:type="dxa"/>
            <w:tcBorders>
              <w:top w:val="nil"/>
              <w:left w:val="nil"/>
              <w:bottom w:val="nil"/>
              <w:right w:val="nil"/>
            </w:tcBorders>
            <w:vAlign w:val="center"/>
          </w:tcPr>
          <w:p w14:paraId="2EBEE7B0">
            <w:pPr>
              <w:jc w:val="center"/>
              <w:rPr>
                <w:sz w:val="21"/>
                <w:szCs w:val="20"/>
                <w:highlight w:val="none"/>
              </w:rPr>
            </w:pPr>
            <w:r>
              <w:rPr>
                <w:rFonts w:hint="eastAsia"/>
                <w:sz w:val="21"/>
                <w:szCs w:val="20"/>
                <w:highlight w:val="none"/>
              </w:rPr>
              <w:t>Adv. Mater.</w:t>
            </w:r>
            <w:r>
              <w:rPr>
                <w:sz w:val="21"/>
                <w:szCs w:val="20"/>
                <w:highlight w:val="none"/>
              </w:rPr>
              <w:t>,</w:t>
            </w:r>
            <w:r>
              <w:rPr>
                <w:rFonts w:hint="eastAsia"/>
                <w:sz w:val="21"/>
                <w:szCs w:val="20"/>
                <w:highlight w:val="none"/>
              </w:rPr>
              <w:t xml:space="preserve"> 2019, 31, 180631</w:t>
            </w:r>
          </w:p>
        </w:tc>
      </w:tr>
      <w:tr w14:paraId="21765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2269" w:type="dxa"/>
            <w:tcBorders>
              <w:top w:val="nil"/>
              <w:left w:val="nil"/>
              <w:bottom w:val="nil"/>
              <w:right w:val="nil"/>
            </w:tcBorders>
            <w:vAlign w:val="center"/>
          </w:tcPr>
          <w:p w14:paraId="4529DC2D">
            <w:pPr>
              <w:jc w:val="center"/>
              <w:rPr>
                <w:sz w:val="21"/>
                <w:szCs w:val="20"/>
                <w:highlight w:val="none"/>
              </w:rPr>
            </w:pPr>
            <w:r>
              <w:rPr>
                <w:rFonts w:hint="eastAsia"/>
                <w:sz w:val="21"/>
                <w:szCs w:val="20"/>
                <w:highlight w:val="none"/>
              </w:rPr>
              <w:t>SA-Fe/NG</w:t>
            </w:r>
          </w:p>
        </w:tc>
        <w:tc>
          <w:tcPr>
            <w:tcW w:w="1134" w:type="dxa"/>
            <w:tcBorders>
              <w:top w:val="nil"/>
              <w:left w:val="nil"/>
              <w:bottom w:val="nil"/>
              <w:right w:val="nil"/>
            </w:tcBorders>
            <w:vAlign w:val="center"/>
          </w:tcPr>
          <w:p w14:paraId="71F086E2">
            <w:pPr>
              <w:jc w:val="center"/>
              <w:rPr>
                <w:sz w:val="21"/>
                <w:szCs w:val="20"/>
                <w:highlight w:val="none"/>
              </w:rPr>
            </w:pPr>
            <w:r>
              <w:rPr>
                <w:rFonts w:hint="eastAsia"/>
                <w:sz w:val="21"/>
                <w:szCs w:val="20"/>
                <w:highlight w:val="none"/>
              </w:rPr>
              <w:t>1</w:t>
            </w:r>
          </w:p>
        </w:tc>
        <w:tc>
          <w:tcPr>
            <w:tcW w:w="992" w:type="dxa"/>
            <w:tcBorders>
              <w:top w:val="nil"/>
              <w:left w:val="nil"/>
              <w:bottom w:val="nil"/>
              <w:right w:val="nil"/>
            </w:tcBorders>
          </w:tcPr>
          <w:p w14:paraId="33737274">
            <w:pPr>
              <w:jc w:val="center"/>
              <w:rPr>
                <w:sz w:val="21"/>
                <w:szCs w:val="20"/>
                <w:highlight w:val="none"/>
              </w:rPr>
            </w:pPr>
            <w:r>
              <w:rPr>
                <w:rFonts w:hint="eastAsia"/>
                <w:sz w:val="21"/>
                <w:szCs w:val="20"/>
                <w:highlight w:val="none"/>
              </w:rPr>
              <w:t>0.88</w:t>
            </w:r>
          </w:p>
        </w:tc>
        <w:tc>
          <w:tcPr>
            <w:tcW w:w="4536" w:type="dxa"/>
            <w:tcBorders>
              <w:top w:val="nil"/>
              <w:left w:val="nil"/>
              <w:bottom w:val="nil"/>
              <w:right w:val="nil"/>
            </w:tcBorders>
            <w:vAlign w:val="center"/>
          </w:tcPr>
          <w:p w14:paraId="6EFAAAC6">
            <w:pPr>
              <w:jc w:val="center"/>
              <w:rPr>
                <w:sz w:val="21"/>
                <w:szCs w:val="20"/>
                <w:highlight w:val="none"/>
              </w:rPr>
            </w:pPr>
            <w:r>
              <w:rPr>
                <w:rFonts w:hint="eastAsia"/>
                <w:sz w:val="21"/>
                <w:szCs w:val="20"/>
                <w:highlight w:val="none"/>
              </w:rPr>
              <w:t>PNAS</w:t>
            </w:r>
            <w:r>
              <w:rPr>
                <w:sz w:val="21"/>
                <w:szCs w:val="20"/>
                <w:highlight w:val="none"/>
              </w:rPr>
              <w:t>,</w:t>
            </w:r>
            <w:r>
              <w:rPr>
                <w:rFonts w:hint="eastAsia"/>
                <w:sz w:val="21"/>
                <w:szCs w:val="20"/>
                <w:highlight w:val="none"/>
              </w:rPr>
              <w:t xml:space="preserve"> 2018, 115, 6626-6631.</w:t>
            </w:r>
          </w:p>
        </w:tc>
      </w:tr>
      <w:tr w14:paraId="3B01E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2269" w:type="dxa"/>
            <w:tcBorders>
              <w:top w:val="nil"/>
              <w:left w:val="nil"/>
              <w:bottom w:val="nil"/>
              <w:right w:val="nil"/>
            </w:tcBorders>
            <w:vAlign w:val="center"/>
          </w:tcPr>
          <w:p w14:paraId="540AA719">
            <w:pPr>
              <w:jc w:val="center"/>
              <w:rPr>
                <w:sz w:val="21"/>
                <w:szCs w:val="20"/>
                <w:highlight w:val="none"/>
              </w:rPr>
            </w:pPr>
            <w:r>
              <w:rPr>
                <w:rFonts w:hint="eastAsia"/>
                <w:sz w:val="21"/>
                <w:szCs w:val="20"/>
                <w:highlight w:val="none"/>
              </w:rPr>
              <w:t>Fe-N</w:t>
            </w:r>
            <w:r>
              <w:rPr>
                <w:rFonts w:hint="eastAsia"/>
                <w:sz w:val="21"/>
                <w:szCs w:val="20"/>
                <w:highlight w:val="none"/>
                <w:vertAlign w:val="subscript"/>
              </w:rPr>
              <w:t>4</w:t>
            </w:r>
            <w:r>
              <w:rPr>
                <w:rFonts w:hint="eastAsia"/>
                <w:sz w:val="21"/>
                <w:szCs w:val="20"/>
                <w:highlight w:val="none"/>
              </w:rPr>
              <w:t xml:space="preserve"> SAs/NPC</w:t>
            </w:r>
          </w:p>
        </w:tc>
        <w:tc>
          <w:tcPr>
            <w:tcW w:w="1134" w:type="dxa"/>
            <w:tcBorders>
              <w:top w:val="nil"/>
              <w:left w:val="nil"/>
              <w:bottom w:val="nil"/>
              <w:right w:val="nil"/>
            </w:tcBorders>
            <w:vAlign w:val="center"/>
          </w:tcPr>
          <w:p w14:paraId="37B95E39">
            <w:pPr>
              <w:jc w:val="center"/>
              <w:rPr>
                <w:sz w:val="21"/>
                <w:szCs w:val="20"/>
                <w:highlight w:val="none"/>
              </w:rPr>
            </w:pPr>
            <w:r>
              <w:rPr>
                <w:rFonts w:hint="eastAsia"/>
                <w:sz w:val="21"/>
                <w:szCs w:val="20"/>
                <w:highlight w:val="none"/>
              </w:rPr>
              <w:t>0.972</w:t>
            </w:r>
          </w:p>
        </w:tc>
        <w:tc>
          <w:tcPr>
            <w:tcW w:w="992" w:type="dxa"/>
            <w:tcBorders>
              <w:top w:val="nil"/>
              <w:left w:val="nil"/>
              <w:bottom w:val="nil"/>
              <w:right w:val="nil"/>
            </w:tcBorders>
          </w:tcPr>
          <w:p w14:paraId="5D607903">
            <w:pPr>
              <w:jc w:val="center"/>
              <w:rPr>
                <w:sz w:val="21"/>
                <w:szCs w:val="20"/>
                <w:highlight w:val="none"/>
              </w:rPr>
            </w:pPr>
            <w:r>
              <w:rPr>
                <w:rFonts w:hint="eastAsia"/>
                <w:sz w:val="21"/>
                <w:szCs w:val="20"/>
                <w:highlight w:val="none"/>
              </w:rPr>
              <w:t>0.885</w:t>
            </w:r>
          </w:p>
        </w:tc>
        <w:tc>
          <w:tcPr>
            <w:tcW w:w="4536" w:type="dxa"/>
            <w:tcBorders>
              <w:top w:val="nil"/>
              <w:left w:val="nil"/>
              <w:bottom w:val="nil"/>
              <w:right w:val="nil"/>
            </w:tcBorders>
            <w:vAlign w:val="center"/>
          </w:tcPr>
          <w:p w14:paraId="590F4CCB">
            <w:pPr>
              <w:jc w:val="center"/>
              <w:rPr>
                <w:sz w:val="21"/>
                <w:szCs w:val="20"/>
                <w:highlight w:val="none"/>
              </w:rPr>
            </w:pPr>
            <w:r>
              <w:rPr>
                <w:rFonts w:hint="eastAsia"/>
                <w:sz w:val="21"/>
                <w:szCs w:val="20"/>
                <w:highlight w:val="none"/>
              </w:rPr>
              <w:t>Angew.Chem. Int.Ed.</w:t>
            </w:r>
            <w:r>
              <w:rPr>
                <w:sz w:val="21"/>
                <w:szCs w:val="20"/>
                <w:highlight w:val="none"/>
              </w:rPr>
              <w:t>,</w:t>
            </w:r>
            <w:r>
              <w:rPr>
                <w:rFonts w:hint="eastAsia"/>
                <w:sz w:val="21"/>
                <w:szCs w:val="20"/>
                <w:highlight w:val="none"/>
              </w:rPr>
              <w:t xml:space="preserve"> 2018, 57,8614</w:t>
            </w:r>
            <w:r>
              <w:rPr>
                <w:sz w:val="21"/>
                <w:szCs w:val="20"/>
                <w:highlight w:val="none"/>
              </w:rPr>
              <w:t>-</w:t>
            </w:r>
            <w:r>
              <w:rPr>
                <w:rFonts w:hint="eastAsia"/>
                <w:sz w:val="21"/>
                <w:szCs w:val="20"/>
                <w:highlight w:val="none"/>
              </w:rPr>
              <w:t>8618</w:t>
            </w:r>
          </w:p>
        </w:tc>
      </w:tr>
      <w:tr w14:paraId="6348A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 w:hRule="atLeast"/>
          <w:jc w:val="center"/>
        </w:trPr>
        <w:tc>
          <w:tcPr>
            <w:tcW w:w="2269" w:type="dxa"/>
            <w:tcBorders>
              <w:top w:val="nil"/>
              <w:left w:val="nil"/>
              <w:bottom w:val="nil"/>
              <w:right w:val="nil"/>
            </w:tcBorders>
            <w:vAlign w:val="center"/>
          </w:tcPr>
          <w:p w14:paraId="52F000E3">
            <w:pPr>
              <w:jc w:val="center"/>
              <w:rPr>
                <w:sz w:val="21"/>
                <w:szCs w:val="20"/>
                <w:highlight w:val="none"/>
              </w:rPr>
            </w:pPr>
            <w:r>
              <w:rPr>
                <w:rFonts w:hint="eastAsia"/>
                <w:sz w:val="21"/>
                <w:szCs w:val="20"/>
                <w:highlight w:val="none"/>
              </w:rPr>
              <w:t>Fe</w:t>
            </w:r>
            <w:r>
              <w:rPr>
                <w:rFonts w:hint="eastAsia"/>
                <w:sz w:val="21"/>
                <w:szCs w:val="20"/>
                <w:highlight w:val="none"/>
                <w:vertAlign w:val="subscript"/>
              </w:rPr>
              <w:t>1</w:t>
            </w:r>
            <w:r>
              <w:rPr>
                <w:rFonts w:hint="eastAsia"/>
                <w:sz w:val="21"/>
                <w:szCs w:val="20"/>
                <w:highlight w:val="none"/>
              </w:rPr>
              <w:t>Co</w:t>
            </w:r>
            <w:r>
              <w:rPr>
                <w:rFonts w:hint="eastAsia"/>
                <w:sz w:val="21"/>
                <w:szCs w:val="20"/>
                <w:highlight w:val="none"/>
                <w:vertAlign w:val="subscript"/>
              </w:rPr>
              <w:t>3</w:t>
            </w:r>
            <w:r>
              <w:rPr>
                <w:rFonts w:hint="eastAsia"/>
                <w:sz w:val="21"/>
                <w:szCs w:val="20"/>
                <w:highlight w:val="none"/>
              </w:rPr>
              <w:t>-NC 1100</w:t>
            </w:r>
          </w:p>
        </w:tc>
        <w:tc>
          <w:tcPr>
            <w:tcW w:w="1134" w:type="dxa"/>
            <w:tcBorders>
              <w:top w:val="nil"/>
              <w:left w:val="nil"/>
              <w:bottom w:val="nil"/>
              <w:right w:val="nil"/>
            </w:tcBorders>
            <w:vAlign w:val="center"/>
          </w:tcPr>
          <w:p w14:paraId="5C5EE2A6">
            <w:pPr>
              <w:jc w:val="center"/>
              <w:rPr>
                <w:sz w:val="21"/>
                <w:szCs w:val="20"/>
                <w:highlight w:val="none"/>
              </w:rPr>
            </w:pPr>
            <w:r>
              <w:rPr>
                <w:rFonts w:hint="eastAsia"/>
                <w:sz w:val="21"/>
                <w:szCs w:val="20"/>
                <w:highlight w:val="none"/>
              </w:rPr>
              <w:t>1.05</w:t>
            </w:r>
          </w:p>
        </w:tc>
        <w:tc>
          <w:tcPr>
            <w:tcW w:w="992" w:type="dxa"/>
            <w:tcBorders>
              <w:top w:val="nil"/>
              <w:left w:val="nil"/>
              <w:bottom w:val="nil"/>
              <w:right w:val="nil"/>
            </w:tcBorders>
          </w:tcPr>
          <w:p w14:paraId="3F29E082">
            <w:pPr>
              <w:jc w:val="center"/>
              <w:rPr>
                <w:sz w:val="21"/>
                <w:szCs w:val="20"/>
                <w:highlight w:val="none"/>
              </w:rPr>
            </w:pPr>
            <w:r>
              <w:rPr>
                <w:rFonts w:hint="eastAsia"/>
                <w:sz w:val="21"/>
                <w:szCs w:val="20"/>
                <w:highlight w:val="none"/>
              </w:rPr>
              <w:t>0.877</w:t>
            </w:r>
          </w:p>
        </w:tc>
        <w:tc>
          <w:tcPr>
            <w:tcW w:w="4536" w:type="dxa"/>
            <w:tcBorders>
              <w:top w:val="nil"/>
              <w:left w:val="nil"/>
              <w:bottom w:val="nil"/>
              <w:right w:val="nil"/>
            </w:tcBorders>
            <w:vAlign w:val="center"/>
          </w:tcPr>
          <w:p w14:paraId="4496ABC6">
            <w:pPr>
              <w:jc w:val="center"/>
              <w:rPr>
                <w:sz w:val="21"/>
                <w:szCs w:val="20"/>
                <w:highlight w:val="none"/>
              </w:rPr>
            </w:pPr>
            <w:r>
              <w:rPr>
                <w:rFonts w:hint="eastAsia"/>
                <w:sz w:val="21"/>
                <w:szCs w:val="20"/>
                <w:highlight w:val="none"/>
              </w:rPr>
              <w:t>ACS Catal.</w:t>
            </w:r>
            <w:r>
              <w:rPr>
                <w:sz w:val="21"/>
                <w:szCs w:val="20"/>
                <w:highlight w:val="none"/>
              </w:rPr>
              <w:t>,</w:t>
            </w:r>
            <w:r>
              <w:rPr>
                <w:rFonts w:hint="eastAsia"/>
                <w:sz w:val="21"/>
                <w:szCs w:val="20"/>
                <w:highlight w:val="none"/>
              </w:rPr>
              <w:t xml:space="preserve"> 2022, 12, 1216-1227</w:t>
            </w:r>
          </w:p>
        </w:tc>
      </w:tr>
      <w:tr w14:paraId="51707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 w:hRule="atLeast"/>
          <w:jc w:val="center"/>
        </w:trPr>
        <w:tc>
          <w:tcPr>
            <w:tcW w:w="2269" w:type="dxa"/>
            <w:tcBorders>
              <w:top w:val="nil"/>
              <w:left w:val="nil"/>
              <w:bottom w:val="nil"/>
              <w:right w:val="nil"/>
            </w:tcBorders>
            <w:vAlign w:val="center"/>
          </w:tcPr>
          <w:p w14:paraId="7669F9C7">
            <w:pPr>
              <w:jc w:val="center"/>
              <w:rPr>
                <w:sz w:val="21"/>
                <w:szCs w:val="20"/>
                <w:highlight w:val="none"/>
              </w:rPr>
            </w:pPr>
            <w:r>
              <w:rPr>
                <w:rFonts w:hint="eastAsia"/>
                <w:sz w:val="21"/>
                <w:szCs w:val="20"/>
                <w:highlight w:val="none"/>
              </w:rPr>
              <w:t>Fe/OES</w:t>
            </w:r>
          </w:p>
        </w:tc>
        <w:tc>
          <w:tcPr>
            <w:tcW w:w="1134" w:type="dxa"/>
            <w:tcBorders>
              <w:top w:val="nil"/>
              <w:left w:val="nil"/>
              <w:bottom w:val="nil"/>
              <w:right w:val="nil"/>
            </w:tcBorders>
            <w:vAlign w:val="center"/>
          </w:tcPr>
          <w:p w14:paraId="5AA033CA">
            <w:pPr>
              <w:jc w:val="center"/>
              <w:rPr>
                <w:sz w:val="21"/>
                <w:szCs w:val="20"/>
                <w:highlight w:val="none"/>
              </w:rPr>
            </w:pPr>
            <w:r>
              <w:rPr>
                <w:rFonts w:hint="eastAsia"/>
                <w:sz w:val="21"/>
                <w:szCs w:val="20"/>
                <w:highlight w:val="none"/>
              </w:rPr>
              <w:t>1</w:t>
            </w:r>
          </w:p>
        </w:tc>
        <w:tc>
          <w:tcPr>
            <w:tcW w:w="992" w:type="dxa"/>
            <w:tcBorders>
              <w:top w:val="nil"/>
              <w:left w:val="nil"/>
              <w:bottom w:val="nil"/>
              <w:right w:val="nil"/>
            </w:tcBorders>
          </w:tcPr>
          <w:p w14:paraId="4EEFA6D2">
            <w:pPr>
              <w:jc w:val="center"/>
              <w:rPr>
                <w:sz w:val="21"/>
                <w:szCs w:val="20"/>
                <w:highlight w:val="none"/>
              </w:rPr>
            </w:pPr>
            <w:r>
              <w:rPr>
                <w:rFonts w:hint="eastAsia"/>
                <w:sz w:val="21"/>
                <w:szCs w:val="20"/>
                <w:highlight w:val="none"/>
              </w:rPr>
              <w:t>0.85</w:t>
            </w:r>
          </w:p>
        </w:tc>
        <w:tc>
          <w:tcPr>
            <w:tcW w:w="4536" w:type="dxa"/>
            <w:tcBorders>
              <w:top w:val="nil"/>
              <w:left w:val="nil"/>
              <w:bottom w:val="nil"/>
              <w:right w:val="nil"/>
            </w:tcBorders>
            <w:vAlign w:val="center"/>
          </w:tcPr>
          <w:p w14:paraId="5ADFA958">
            <w:pPr>
              <w:jc w:val="center"/>
              <w:rPr>
                <w:sz w:val="21"/>
                <w:szCs w:val="20"/>
                <w:highlight w:val="none"/>
              </w:rPr>
            </w:pPr>
            <w:r>
              <w:rPr>
                <w:rFonts w:hint="eastAsia"/>
                <w:sz w:val="21"/>
                <w:szCs w:val="20"/>
                <w:highlight w:val="none"/>
              </w:rPr>
              <w:t>Angew. Chem. Int. Ed.</w:t>
            </w:r>
            <w:r>
              <w:rPr>
                <w:sz w:val="21"/>
                <w:szCs w:val="20"/>
                <w:highlight w:val="none"/>
              </w:rPr>
              <w:t>,</w:t>
            </w:r>
            <w:r>
              <w:rPr>
                <w:rFonts w:hint="eastAsia"/>
                <w:sz w:val="21"/>
                <w:szCs w:val="20"/>
                <w:highlight w:val="none"/>
              </w:rPr>
              <w:t xml:space="preserve"> 2020, 132(19): 7454</w:t>
            </w:r>
            <w:r>
              <w:rPr>
                <w:sz w:val="21"/>
                <w:szCs w:val="20"/>
                <w:highlight w:val="none"/>
              </w:rPr>
              <w:t>-</w:t>
            </w:r>
            <w:r>
              <w:rPr>
                <w:rFonts w:hint="eastAsia"/>
                <w:sz w:val="21"/>
                <w:szCs w:val="20"/>
                <w:highlight w:val="none"/>
              </w:rPr>
              <w:t>7459.</w:t>
            </w:r>
          </w:p>
        </w:tc>
      </w:tr>
      <w:tr w14:paraId="5DE78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jc w:val="center"/>
        </w:trPr>
        <w:tc>
          <w:tcPr>
            <w:tcW w:w="2269" w:type="dxa"/>
            <w:tcBorders>
              <w:top w:val="nil"/>
              <w:left w:val="nil"/>
              <w:bottom w:val="nil"/>
              <w:right w:val="nil"/>
            </w:tcBorders>
            <w:vAlign w:val="center"/>
          </w:tcPr>
          <w:p w14:paraId="62158455">
            <w:pPr>
              <w:jc w:val="center"/>
              <w:rPr>
                <w:sz w:val="21"/>
                <w:szCs w:val="20"/>
                <w:highlight w:val="none"/>
              </w:rPr>
            </w:pPr>
            <w:r>
              <w:rPr>
                <w:rFonts w:hint="eastAsia"/>
                <w:sz w:val="21"/>
                <w:szCs w:val="20"/>
                <w:highlight w:val="none"/>
              </w:rPr>
              <w:t>Fe-SAs/NSC</w:t>
            </w:r>
          </w:p>
        </w:tc>
        <w:tc>
          <w:tcPr>
            <w:tcW w:w="1134" w:type="dxa"/>
            <w:tcBorders>
              <w:top w:val="nil"/>
              <w:left w:val="nil"/>
              <w:bottom w:val="nil"/>
              <w:right w:val="nil"/>
            </w:tcBorders>
            <w:vAlign w:val="center"/>
          </w:tcPr>
          <w:p w14:paraId="6E82AD2F">
            <w:pPr>
              <w:jc w:val="center"/>
              <w:rPr>
                <w:sz w:val="21"/>
                <w:szCs w:val="20"/>
                <w:highlight w:val="none"/>
              </w:rPr>
            </w:pPr>
            <w:r>
              <w:rPr>
                <w:rFonts w:hint="eastAsia"/>
                <w:sz w:val="21"/>
                <w:szCs w:val="20"/>
                <w:highlight w:val="none"/>
              </w:rPr>
              <w:t>1</w:t>
            </w:r>
          </w:p>
        </w:tc>
        <w:tc>
          <w:tcPr>
            <w:tcW w:w="992" w:type="dxa"/>
            <w:tcBorders>
              <w:top w:val="nil"/>
              <w:left w:val="nil"/>
              <w:bottom w:val="nil"/>
              <w:right w:val="nil"/>
            </w:tcBorders>
          </w:tcPr>
          <w:p w14:paraId="263ACB07">
            <w:pPr>
              <w:jc w:val="center"/>
              <w:rPr>
                <w:sz w:val="21"/>
                <w:szCs w:val="20"/>
                <w:highlight w:val="none"/>
              </w:rPr>
            </w:pPr>
            <w:r>
              <w:rPr>
                <w:rFonts w:hint="eastAsia"/>
                <w:sz w:val="21"/>
                <w:szCs w:val="20"/>
                <w:highlight w:val="none"/>
              </w:rPr>
              <w:t>0.87</w:t>
            </w:r>
          </w:p>
        </w:tc>
        <w:tc>
          <w:tcPr>
            <w:tcW w:w="4536" w:type="dxa"/>
            <w:tcBorders>
              <w:top w:val="nil"/>
              <w:left w:val="nil"/>
              <w:bottom w:val="nil"/>
              <w:right w:val="nil"/>
            </w:tcBorders>
            <w:vAlign w:val="center"/>
          </w:tcPr>
          <w:p w14:paraId="388B9533">
            <w:pPr>
              <w:jc w:val="center"/>
              <w:rPr>
                <w:sz w:val="21"/>
                <w:szCs w:val="20"/>
                <w:highlight w:val="none"/>
              </w:rPr>
            </w:pPr>
            <w:r>
              <w:rPr>
                <w:rFonts w:hint="eastAsia"/>
                <w:sz w:val="21"/>
                <w:szCs w:val="20"/>
                <w:highlight w:val="none"/>
              </w:rPr>
              <w:t>J. Am. Chem. Soc.</w:t>
            </w:r>
            <w:r>
              <w:rPr>
                <w:sz w:val="21"/>
                <w:szCs w:val="20"/>
                <w:highlight w:val="none"/>
              </w:rPr>
              <w:t>,</w:t>
            </w:r>
            <w:r>
              <w:rPr>
                <w:rFonts w:hint="eastAsia"/>
                <w:sz w:val="21"/>
                <w:szCs w:val="20"/>
                <w:highlight w:val="none"/>
              </w:rPr>
              <w:t xml:space="preserve"> 2019, 141(51): 20118-20126.</w:t>
            </w:r>
          </w:p>
        </w:tc>
      </w:tr>
      <w:tr w14:paraId="523DA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 w:hRule="atLeast"/>
          <w:jc w:val="center"/>
        </w:trPr>
        <w:tc>
          <w:tcPr>
            <w:tcW w:w="2269" w:type="dxa"/>
            <w:tcBorders>
              <w:top w:val="nil"/>
              <w:left w:val="nil"/>
              <w:bottom w:val="nil"/>
              <w:right w:val="nil"/>
            </w:tcBorders>
            <w:vAlign w:val="center"/>
          </w:tcPr>
          <w:p w14:paraId="17476870">
            <w:pPr>
              <w:jc w:val="center"/>
              <w:rPr>
                <w:sz w:val="21"/>
                <w:szCs w:val="20"/>
                <w:highlight w:val="none"/>
              </w:rPr>
            </w:pPr>
            <w:r>
              <w:rPr>
                <w:rFonts w:hint="eastAsia"/>
                <w:sz w:val="21"/>
                <w:szCs w:val="20"/>
                <w:highlight w:val="none"/>
              </w:rPr>
              <w:t>Fe-SA/PNC</w:t>
            </w:r>
          </w:p>
        </w:tc>
        <w:tc>
          <w:tcPr>
            <w:tcW w:w="1134" w:type="dxa"/>
            <w:tcBorders>
              <w:top w:val="nil"/>
              <w:left w:val="nil"/>
              <w:bottom w:val="nil"/>
              <w:right w:val="nil"/>
            </w:tcBorders>
            <w:vAlign w:val="center"/>
          </w:tcPr>
          <w:p w14:paraId="297E5AB8">
            <w:pPr>
              <w:jc w:val="center"/>
              <w:rPr>
                <w:sz w:val="21"/>
                <w:szCs w:val="20"/>
                <w:highlight w:val="none"/>
              </w:rPr>
            </w:pPr>
            <w:r>
              <w:rPr>
                <w:rFonts w:hint="eastAsia"/>
                <w:sz w:val="21"/>
                <w:szCs w:val="20"/>
                <w:highlight w:val="none"/>
              </w:rPr>
              <w:t>1.045</w:t>
            </w:r>
          </w:p>
        </w:tc>
        <w:tc>
          <w:tcPr>
            <w:tcW w:w="992" w:type="dxa"/>
            <w:tcBorders>
              <w:top w:val="nil"/>
              <w:left w:val="nil"/>
              <w:bottom w:val="nil"/>
              <w:right w:val="nil"/>
            </w:tcBorders>
          </w:tcPr>
          <w:p w14:paraId="6F6B0A00">
            <w:pPr>
              <w:jc w:val="center"/>
              <w:rPr>
                <w:sz w:val="21"/>
                <w:szCs w:val="20"/>
                <w:highlight w:val="none"/>
              </w:rPr>
            </w:pPr>
            <w:r>
              <w:rPr>
                <w:rFonts w:hint="eastAsia"/>
                <w:sz w:val="21"/>
                <w:szCs w:val="20"/>
                <w:highlight w:val="none"/>
              </w:rPr>
              <w:t>0.921</w:t>
            </w:r>
          </w:p>
        </w:tc>
        <w:tc>
          <w:tcPr>
            <w:tcW w:w="4536" w:type="dxa"/>
            <w:tcBorders>
              <w:top w:val="nil"/>
              <w:left w:val="nil"/>
              <w:bottom w:val="nil"/>
              <w:right w:val="nil"/>
            </w:tcBorders>
            <w:vAlign w:val="center"/>
          </w:tcPr>
          <w:p w14:paraId="786B94F0">
            <w:pPr>
              <w:jc w:val="center"/>
              <w:rPr>
                <w:sz w:val="21"/>
                <w:szCs w:val="20"/>
                <w:highlight w:val="none"/>
              </w:rPr>
            </w:pPr>
            <w:r>
              <w:rPr>
                <w:rFonts w:hint="eastAsia"/>
                <w:sz w:val="21"/>
                <w:szCs w:val="20"/>
                <w:highlight w:val="none"/>
              </w:rPr>
              <w:t>Angew. Chem. Int. Ed.</w:t>
            </w:r>
            <w:r>
              <w:rPr>
                <w:sz w:val="21"/>
                <w:szCs w:val="20"/>
                <w:highlight w:val="none"/>
              </w:rPr>
              <w:t>,</w:t>
            </w:r>
            <w:r>
              <w:rPr>
                <w:rFonts w:hint="eastAsia"/>
                <w:sz w:val="21"/>
                <w:szCs w:val="20"/>
                <w:highlight w:val="none"/>
              </w:rPr>
              <w:t xml:space="preserve"> 2023, 62, 202307504.</w:t>
            </w:r>
          </w:p>
        </w:tc>
      </w:tr>
      <w:tr w14:paraId="153B8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 w:hRule="atLeast"/>
          <w:jc w:val="center"/>
        </w:trPr>
        <w:tc>
          <w:tcPr>
            <w:tcW w:w="2269" w:type="dxa"/>
            <w:tcBorders>
              <w:top w:val="nil"/>
              <w:left w:val="nil"/>
              <w:bottom w:val="nil"/>
              <w:right w:val="nil"/>
            </w:tcBorders>
            <w:vAlign w:val="center"/>
          </w:tcPr>
          <w:p w14:paraId="2339D4DF">
            <w:pPr>
              <w:jc w:val="center"/>
              <w:rPr>
                <w:sz w:val="21"/>
                <w:szCs w:val="20"/>
                <w:highlight w:val="none"/>
              </w:rPr>
            </w:pPr>
            <w:r>
              <w:rPr>
                <w:rFonts w:hint="eastAsia"/>
                <w:sz w:val="21"/>
                <w:szCs w:val="20"/>
                <w:highlight w:val="none"/>
              </w:rPr>
              <w:t>Fe1-NS</w:t>
            </w:r>
            <w:r>
              <w:rPr>
                <w:rFonts w:hint="eastAsia"/>
                <w:sz w:val="21"/>
                <w:szCs w:val="20"/>
                <w:highlight w:val="none"/>
                <w:vertAlign w:val="subscript"/>
              </w:rPr>
              <w:t>1.3</w:t>
            </w:r>
            <w:r>
              <w:rPr>
                <w:rFonts w:hint="eastAsia"/>
                <w:sz w:val="21"/>
                <w:szCs w:val="20"/>
                <w:highlight w:val="none"/>
              </w:rPr>
              <w:t>C</w:t>
            </w:r>
          </w:p>
        </w:tc>
        <w:tc>
          <w:tcPr>
            <w:tcW w:w="1134" w:type="dxa"/>
            <w:tcBorders>
              <w:top w:val="nil"/>
              <w:left w:val="nil"/>
              <w:bottom w:val="nil"/>
              <w:right w:val="nil"/>
            </w:tcBorders>
            <w:vAlign w:val="center"/>
          </w:tcPr>
          <w:p w14:paraId="7CA84660">
            <w:pPr>
              <w:jc w:val="center"/>
              <w:rPr>
                <w:sz w:val="21"/>
                <w:szCs w:val="20"/>
                <w:highlight w:val="none"/>
              </w:rPr>
            </w:pPr>
            <w:r>
              <w:rPr>
                <w:rFonts w:hint="eastAsia"/>
                <w:sz w:val="21"/>
                <w:szCs w:val="20"/>
                <w:highlight w:val="none"/>
              </w:rPr>
              <w:t>0.97</w:t>
            </w:r>
          </w:p>
        </w:tc>
        <w:tc>
          <w:tcPr>
            <w:tcW w:w="992" w:type="dxa"/>
            <w:tcBorders>
              <w:top w:val="nil"/>
              <w:left w:val="nil"/>
              <w:bottom w:val="nil"/>
              <w:right w:val="nil"/>
            </w:tcBorders>
          </w:tcPr>
          <w:p w14:paraId="5EA0C922">
            <w:pPr>
              <w:jc w:val="center"/>
              <w:rPr>
                <w:sz w:val="21"/>
                <w:szCs w:val="20"/>
                <w:highlight w:val="none"/>
              </w:rPr>
            </w:pPr>
            <w:r>
              <w:rPr>
                <w:rFonts w:hint="eastAsia"/>
                <w:sz w:val="21"/>
                <w:szCs w:val="20"/>
                <w:highlight w:val="none"/>
              </w:rPr>
              <w:t>0.86</w:t>
            </w:r>
          </w:p>
        </w:tc>
        <w:tc>
          <w:tcPr>
            <w:tcW w:w="4536" w:type="dxa"/>
            <w:tcBorders>
              <w:top w:val="nil"/>
              <w:left w:val="nil"/>
              <w:bottom w:val="nil"/>
              <w:right w:val="nil"/>
            </w:tcBorders>
            <w:vAlign w:val="center"/>
          </w:tcPr>
          <w:p w14:paraId="59510BB8">
            <w:pPr>
              <w:jc w:val="center"/>
              <w:rPr>
                <w:sz w:val="21"/>
                <w:szCs w:val="20"/>
                <w:highlight w:val="none"/>
              </w:rPr>
            </w:pPr>
            <w:r>
              <w:rPr>
                <w:rFonts w:hint="eastAsia"/>
                <w:sz w:val="21"/>
                <w:szCs w:val="20"/>
                <w:highlight w:val="none"/>
              </w:rPr>
              <w:t>Angew. Chem. Int. Ed.</w:t>
            </w:r>
            <w:r>
              <w:rPr>
                <w:sz w:val="21"/>
                <w:szCs w:val="20"/>
                <w:highlight w:val="none"/>
              </w:rPr>
              <w:t>,</w:t>
            </w:r>
            <w:r>
              <w:rPr>
                <w:rFonts w:hint="eastAsia"/>
                <w:sz w:val="21"/>
                <w:szCs w:val="20"/>
                <w:highlight w:val="none"/>
              </w:rPr>
              <w:t xml:space="preserve"> 2021, 60, 25404.</w:t>
            </w:r>
          </w:p>
        </w:tc>
      </w:tr>
      <w:tr w14:paraId="623DA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2269" w:type="dxa"/>
            <w:tcBorders>
              <w:top w:val="nil"/>
              <w:left w:val="nil"/>
              <w:bottom w:val="nil"/>
              <w:right w:val="nil"/>
            </w:tcBorders>
            <w:vAlign w:val="center"/>
          </w:tcPr>
          <w:p w14:paraId="26D22564">
            <w:pPr>
              <w:jc w:val="center"/>
              <w:rPr>
                <w:sz w:val="21"/>
                <w:szCs w:val="20"/>
                <w:highlight w:val="none"/>
              </w:rPr>
            </w:pPr>
            <w:r>
              <w:rPr>
                <w:rFonts w:hint="eastAsia"/>
                <w:sz w:val="21"/>
                <w:szCs w:val="20"/>
                <w:highlight w:val="none"/>
              </w:rPr>
              <w:t>Fe SA-NSC</w:t>
            </w:r>
          </w:p>
        </w:tc>
        <w:tc>
          <w:tcPr>
            <w:tcW w:w="1134" w:type="dxa"/>
            <w:tcBorders>
              <w:top w:val="nil"/>
              <w:left w:val="nil"/>
              <w:bottom w:val="nil"/>
              <w:right w:val="nil"/>
            </w:tcBorders>
            <w:vAlign w:val="center"/>
          </w:tcPr>
          <w:p w14:paraId="66F12F1D">
            <w:pPr>
              <w:jc w:val="center"/>
              <w:rPr>
                <w:sz w:val="21"/>
                <w:szCs w:val="20"/>
                <w:highlight w:val="none"/>
              </w:rPr>
            </w:pPr>
            <w:r>
              <w:rPr>
                <w:rFonts w:hint="eastAsia"/>
                <w:sz w:val="21"/>
                <w:szCs w:val="20"/>
                <w:highlight w:val="none"/>
              </w:rPr>
              <w:t>0.94</w:t>
            </w:r>
          </w:p>
        </w:tc>
        <w:tc>
          <w:tcPr>
            <w:tcW w:w="992" w:type="dxa"/>
            <w:tcBorders>
              <w:top w:val="nil"/>
              <w:left w:val="nil"/>
              <w:bottom w:val="nil"/>
              <w:right w:val="nil"/>
            </w:tcBorders>
          </w:tcPr>
          <w:p w14:paraId="4DA957CE">
            <w:pPr>
              <w:jc w:val="center"/>
              <w:rPr>
                <w:sz w:val="21"/>
                <w:szCs w:val="20"/>
                <w:highlight w:val="none"/>
              </w:rPr>
            </w:pPr>
            <w:r>
              <w:rPr>
                <w:rFonts w:hint="eastAsia"/>
                <w:sz w:val="21"/>
                <w:szCs w:val="20"/>
                <w:highlight w:val="none"/>
              </w:rPr>
              <w:t>0.86</w:t>
            </w:r>
          </w:p>
        </w:tc>
        <w:tc>
          <w:tcPr>
            <w:tcW w:w="4536" w:type="dxa"/>
            <w:tcBorders>
              <w:top w:val="nil"/>
              <w:left w:val="nil"/>
              <w:bottom w:val="nil"/>
              <w:right w:val="nil"/>
            </w:tcBorders>
            <w:vAlign w:val="center"/>
          </w:tcPr>
          <w:p w14:paraId="749A65BB">
            <w:pPr>
              <w:jc w:val="center"/>
              <w:rPr>
                <w:sz w:val="21"/>
                <w:szCs w:val="20"/>
                <w:highlight w:val="none"/>
              </w:rPr>
            </w:pPr>
            <w:r>
              <w:rPr>
                <w:rFonts w:hint="eastAsia"/>
                <w:sz w:val="21"/>
                <w:szCs w:val="20"/>
                <w:highlight w:val="none"/>
              </w:rPr>
              <w:t>ACS Energy Lett.</w:t>
            </w:r>
            <w:r>
              <w:rPr>
                <w:sz w:val="21"/>
                <w:szCs w:val="20"/>
                <w:highlight w:val="none"/>
              </w:rPr>
              <w:t>,</w:t>
            </w:r>
            <w:r>
              <w:rPr>
                <w:rFonts w:hint="eastAsia"/>
                <w:sz w:val="21"/>
                <w:szCs w:val="20"/>
                <w:highlight w:val="none"/>
              </w:rPr>
              <w:t xml:space="preserve"> 2021, 6, 379.</w:t>
            </w:r>
          </w:p>
        </w:tc>
      </w:tr>
      <w:tr w14:paraId="09795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 w:hRule="atLeast"/>
          <w:jc w:val="center"/>
        </w:trPr>
        <w:tc>
          <w:tcPr>
            <w:tcW w:w="2269" w:type="dxa"/>
            <w:tcBorders>
              <w:top w:val="nil"/>
              <w:left w:val="nil"/>
              <w:bottom w:val="nil"/>
              <w:right w:val="nil"/>
            </w:tcBorders>
            <w:vAlign w:val="center"/>
          </w:tcPr>
          <w:p w14:paraId="7223A86E">
            <w:pPr>
              <w:jc w:val="center"/>
              <w:rPr>
                <w:sz w:val="21"/>
                <w:szCs w:val="20"/>
                <w:highlight w:val="none"/>
              </w:rPr>
            </w:pPr>
            <w:r>
              <w:rPr>
                <w:rFonts w:hint="eastAsia"/>
                <w:sz w:val="21"/>
                <w:szCs w:val="20"/>
                <w:highlight w:val="none"/>
              </w:rPr>
              <w:t>Fe/NCFs-NH</w:t>
            </w:r>
            <w:r>
              <w:rPr>
                <w:rFonts w:hint="eastAsia"/>
                <w:sz w:val="21"/>
                <w:szCs w:val="20"/>
                <w:highlight w:val="none"/>
                <w:vertAlign w:val="subscript"/>
              </w:rPr>
              <w:t>3</w:t>
            </w:r>
          </w:p>
        </w:tc>
        <w:tc>
          <w:tcPr>
            <w:tcW w:w="1134" w:type="dxa"/>
            <w:tcBorders>
              <w:top w:val="nil"/>
              <w:left w:val="nil"/>
              <w:bottom w:val="nil"/>
              <w:right w:val="nil"/>
            </w:tcBorders>
            <w:vAlign w:val="center"/>
          </w:tcPr>
          <w:p w14:paraId="5D0166B7">
            <w:pPr>
              <w:jc w:val="center"/>
              <w:rPr>
                <w:sz w:val="21"/>
                <w:szCs w:val="20"/>
                <w:highlight w:val="none"/>
              </w:rPr>
            </w:pPr>
            <w:r>
              <w:rPr>
                <w:rFonts w:hint="eastAsia"/>
                <w:sz w:val="21"/>
                <w:szCs w:val="20"/>
                <w:highlight w:val="none"/>
              </w:rPr>
              <w:t>1.02</w:t>
            </w:r>
          </w:p>
        </w:tc>
        <w:tc>
          <w:tcPr>
            <w:tcW w:w="992" w:type="dxa"/>
            <w:tcBorders>
              <w:top w:val="nil"/>
              <w:left w:val="nil"/>
              <w:bottom w:val="nil"/>
              <w:right w:val="nil"/>
            </w:tcBorders>
          </w:tcPr>
          <w:p w14:paraId="19CE63E8">
            <w:pPr>
              <w:jc w:val="center"/>
              <w:rPr>
                <w:sz w:val="21"/>
                <w:szCs w:val="20"/>
                <w:highlight w:val="none"/>
              </w:rPr>
            </w:pPr>
            <w:r>
              <w:rPr>
                <w:rFonts w:hint="eastAsia"/>
                <w:sz w:val="21"/>
                <w:szCs w:val="20"/>
                <w:highlight w:val="none"/>
              </w:rPr>
              <w:t>0.89</w:t>
            </w:r>
          </w:p>
        </w:tc>
        <w:tc>
          <w:tcPr>
            <w:tcW w:w="4536" w:type="dxa"/>
            <w:tcBorders>
              <w:top w:val="nil"/>
              <w:left w:val="nil"/>
              <w:bottom w:val="nil"/>
              <w:right w:val="nil"/>
            </w:tcBorders>
            <w:vAlign w:val="center"/>
          </w:tcPr>
          <w:p w14:paraId="1DDB8490">
            <w:pPr>
              <w:jc w:val="center"/>
              <w:rPr>
                <w:sz w:val="21"/>
                <w:szCs w:val="20"/>
                <w:highlight w:val="none"/>
              </w:rPr>
            </w:pPr>
            <w:r>
              <w:rPr>
                <w:rFonts w:hint="eastAsia"/>
                <w:sz w:val="21"/>
                <w:szCs w:val="20"/>
                <w:highlight w:val="none"/>
              </w:rPr>
              <w:t>Adv. Mater.</w:t>
            </w:r>
            <w:r>
              <w:rPr>
                <w:sz w:val="21"/>
                <w:szCs w:val="20"/>
                <w:highlight w:val="none"/>
              </w:rPr>
              <w:t>,</w:t>
            </w:r>
            <w:r>
              <w:rPr>
                <w:rFonts w:hint="eastAsia"/>
                <w:sz w:val="21"/>
                <w:szCs w:val="20"/>
                <w:highlight w:val="none"/>
              </w:rPr>
              <w:t xml:space="preserve"> 2022, 34, 2105410.</w:t>
            </w:r>
          </w:p>
        </w:tc>
      </w:tr>
      <w:tr w14:paraId="6BA4A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2269" w:type="dxa"/>
            <w:tcBorders>
              <w:top w:val="nil"/>
              <w:left w:val="nil"/>
              <w:bottom w:val="nil"/>
              <w:right w:val="nil"/>
            </w:tcBorders>
            <w:vAlign w:val="center"/>
          </w:tcPr>
          <w:p w14:paraId="0EAC1B61">
            <w:pPr>
              <w:jc w:val="center"/>
              <w:rPr>
                <w:sz w:val="21"/>
                <w:szCs w:val="20"/>
                <w:highlight w:val="none"/>
              </w:rPr>
            </w:pPr>
            <w:r>
              <w:rPr>
                <w:rFonts w:hint="eastAsia"/>
                <w:sz w:val="21"/>
                <w:szCs w:val="20"/>
                <w:highlight w:val="none"/>
              </w:rPr>
              <w:t>Fe-CNSs-N</w:t>
            </w:r>
          </w:p>
        </w:tc>
        <w:tc>
          <w:tcPr>
            <w:tcW w:w="1134" w:type="dxa"/>
            <w:tcBorders>
              <w:top w:val="nil"/>
              <w:left w:val="nil"/>
              <w:bottom w:val="nil"/>
              <w:right w:val="nil"/>
            </w:tcBorders>
            <w:vAlign w:val="center"/>
          </w:tcPr>
          <w:p w14:paraId="7BA32064">
            <w:pPr>
              <w:jc w:val="center"/>
              <w:rPr>
                <w:sz w:val="21"/>
                <w:szCs w:val="20"/>
                <w:highlight w:val="none"/>
              </w:rPr>
            </w:pPr>
            <w:r>
              <w:rPr>
                <w:rFonts w:hint="eastAsia"/>
                <w:sz w:val="21"/>
                <w:szCs w:val="20"/>
                <w:highlight w:val="none"/>
              </w:rPr>
              <w:t>0.948</w:t>
            </w:r>
          </w:p>
        </w:tc>
        <w:tc>
          <w:tcPr>
            <w:tcW w:w="992" w:type="dxa"/>
            <w:tcBorders>
              <w:top w:val="nil"/>
              <w:left w:val="nil"/>
              <w:bottom w:val="nil"/>
              <w:right w:val="nil"/>
            </w:tcBorders>
          </w:tcPr>
          <w:p w14:paraId="3C1E9975">
            <w:pPr>
              <w:jc w:val="center"/>
              <w:rPr>
                <w:sz w:val="21"/>
                <w:szCs w:val="20"/>
                <w:highlight w:val="none"/>
              </w:rPr>
            </w:pPr>
            <w:r>
              <w:rPr>
                <w:rFonts w:hint="eastAsia"/>
                <w:sz w:val="21"/>
                <w:szCs w:val="20"/>
                <w:highlight w:val="none"/>
              </w:rPr>
              <w:t>0.828</w:t>
            </w:r>
          </w:p>
        </w:tc>
        <w:tc>
          <w:tcPr>
            <w:tcW w:w="4536" w:type="dxa"/>
            <w:tcBorders>
              <w:top w:val="nil"/>
              <w:left w:val="nil"/>
              <w:bottom w:val="nil"/>
              <w:right w:val="nil"/>
            </w:tcBorders>
            <w:vAlign w:val="center"/>
          </w:tcPr>
          <w:p w14:paraId="7CF20487">
            <w:pPr>
              <w:jc w:val="center"/>
              <w:rPr>
                <w:sz w:val="21"/>
                <w:szCs w:val="20"/>
                <w:highlight w:val="none"/>
              </w:rPr>
            </w:pPr>
            <w:r>
              <w:rPr>
                <w:rFonts w:hint="eastAsia"/>
                <w:sz w:val="21"/>
                <w:szCs w:val="20"/>
                <w:highlight w:val="none"/>
              </w:rPr>
              <w:t>Appl. Catal.,</w:t>
            </w:r>
            <w:r>
              <w:rPr>
                <w:sz w:val="21"/>
                <w:szCs w:val="20"/>
                <w:highlight w:val="none"/>
              </w:rPr>
              <w:t xml:space="preserve"> </w:t>
            </w:r>
            <w:r>
              <w:rPr>
                <w:rFonts w:hint="eastAsia"/>
                <w:sz w:val="21"/>
                <w:szCs w:val="20"/>
                <w:highlight w:val="none"/>
              </w:rPr>
              <w:t>2020, 260, 118198.</w:t>
            </w:r>
          </w:p>
        </w:tc>
      </w:tr>
      <w:tr w14:paraId="47F5C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2269" w:type="dxa"/>
            <w:tcBorders>
              <w:top w:val="nil"/>
              <w:left w:val="nil"/>
              <w:bottom w:val="nil"/>
              <w:right w:val="nil"/>
            </w:tcBorders>
            <w:vAlign w:val="center"/>
          </w:tcPr>
          <w:p w14:paraId="267C85E0">
            <w:pPr>
              <w:jc w:val="center"/>
              <w:rPr>
                <w:sz w:val="21"/>
                <w:szCs w:val="20"/>
                <w:highlight w:val="none"/>
              </w:rPr>
            </w:pPr>
            <w:r>
              <w:rPr>
                <w:rFonts w:hint="eastAsia"/>
                <w:sz w:val="21"/>
                <w:szCs w:val="20"/>
                <w:highlight w:val="none"/>
              </w:rPr>
              <w:t>Fe@NC(10+900)</w:t>
            </w:r>
          </w:p>
        </w:tc>
        <w:tc>
          <w:tcPr>
            <w:tcW w:w="1134" w:type="dxa"/>
            <w:tcBorders>
              <w:top w:val="nil"/>
              <w:left w:val="nil"/>
              <w:bottom w:val="nil"/>
              <w:right w:val="nil"/>
            </w:tcBorders>
            <w:vAlign w:val="center"/>
          </w:tcPr>
          <w:p w14:paraId="1228B3D3">
            <w:pPr>
              <w:jc w:val="center"/>
              <w:rPr>
                <w:sz w:val="21"/>
                <w:szCs w:val="20"/>
                <w:highlight w:val="none"/>
              </w:rPr>
            </w:pPr>
            <w:r>
              <w:rPr>
                <w:rFonts w:hint="eastAsia"/>
                <w:sz w:val="21"/>
                <w:szCs w:val="20"/>
                <w:highlight w:val="none"/>
              </w:rPr>
              <w:t>0.94</w:t>
            </w:r>
          </w:p>
        </w:tc>
        <w:tc>
          <w:tcPr>
            <w:tcW w:w="992" w:type="dxa"/>
            <w:tcBorders>
              <w:top w:val="nil"/>
              <w:left w:val="nil"/>
              <w:bottom w:val="nil"/>
              <w:right w:val="nil"/>
            </w:tcBorders>
          </w:tcPr>
          <w:p w14:paraId="3E876A23">
            <w:pPr>
              <w:jc w:val="center"/>
              <w:rPr>
                <w:sz w:val="21"/>
                <w:szCs w:val="20"/>
                <w:highlight w:val="none"/>
              </w:rPr>
            </w:pPr>
            <w:r>
              <w:rPr>
                <w:rFonts w:hint="eastAsia"/>
                <w:sz w:val="21"/>
                <w:szCs w:val="20"/>
                <w:highlight w:val="none"/>
              </w:rPr>
              <w:t>0.82</w:t>
            </w:r>
          </w:p>
        </w:tc>
        <w:tc>
          <w:tcPr>
            <w:tcW w:w="4536" w:type="dxa"/>
            <w:tcBorders>
              <w:top w:val="nil"/>
              <w:left w:val="nil"/>
              <w:bottom w:val="nil"/>
              <w:right w:val="nil"/>
            </w:tcBorders>
            <w:vAlign w:val="center"/>
          </w:tcPr>
          <w:p w14:paraId="6BFF9B4D">
            <w:pPr>
              <w:jc w:val="center"/>
              <w:rPr>
                <w:sz w:val="21"/>
                <w:szCs w:val="20"/>
                <w:highlight w:val="none"/>
              </w:rPr>
            </w:pPr>
            <w:r>
              <w:rPr>
                <w:rFonts w:hint="eastAsia"/>
                <w:sz w:val="21"/>
                <w:szCs w:val="20"/>
                <w:highlight w:val="none"/>
              </w:rPr>
              <w:t>Inorg. Chem. Front.</w:t>
            </w:r>
            <w:r>
              <w:rPr>
                <w:sz w:val="21"/>
                <w:szCs w:val="20"/>
                <w:highlight w:val="none"/>
              </w:rPr>
              <w:t>,</w:t>
            </w:r>
            <w:r>
              <w:rPr>
                <w:rFonts w:hint="eastAsia"/>
                <w:sz w:val="21"/>
                <w:szCs w:val="20"/>
                <w:highlight w:val="none"/>
              </w:rPr>
              <w:t xml:space="preserve"> 2022, 9(11), 2557-2567.</w:t>
            </w:r>
          </w:p>
        </w:tc>
      </w:tr>
      <w:tr w14:paraId="27F20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2269" w:type="dxa"/>
            <w:tcBorders>
              <w:top w:val="nil"/>
              <w:left w:val="nil"/>
              <w:bottom w:val="nil"/>
              <w:right w:val="nil"/>
            </w:tcBorders>
            <w:vAlign w:val="center"/>
          </w:tcPr>
          <w:p w14:paraId="3B51DF46">
            <w:pPr>
              <w:jc w:val="center"/>
              <w:rPr>
                <w:sz w:val="21"/>
                <w:szCs w:val="20"/>
                <w:highlight w:val="none"/>
              </w:rPr>
            </w:pPr>
            <w:r>
              <w:rPr>
                <w:rFonts w:hint="eastAsia"/>
                <w:sz w:val="21"/>
                <w:szCs w:val="20"/>
                <w:highlight w:val="none"/>
              </w:rPr>
              <w:t>Fe/Fe-N-C-3</w:t>
            </w:r>
          </w:p>
        </w:tc>
        <w:tc>
          <w:tcPr>
            <w:tcW w:w="1134" w:type="dxa"/>
            <w:tcBorders>
              <w:top w:val="nil"/>
              <w:left w:val="nil"/>
              <w:bottom w:val="nil"/>
              <w:right w:val="nil"/>
            </w:tcBorders>
            <w:vAlign w:val="center"/>
          </w:tcPr>
          <w:p w14:paraId="4EEF5267">
            <w:pPr>
              <w:jc w:val="center"/>
              <w:rPr>
                <w:sz w:val="21"/>
                <w:szCs w:val="20"/>
                <w:highlight w:val="none"/>
              </w:rPr>
            </w:pPr>
            <w:r>
              <w:rPr>
                <w:rFonts w:hint="eastAsia"/>
                <w:sz w:val="21"/>
                <w:szCs w:val="20"/>
                <w:highlight w:val="none"/>
              </w:rPr>
              <w:t>0.87</w:t>
            </w:r>
          </w:p>
        </w:tc>
        <w:tc>
          <w:tcPr>
            <w:tcW w:w="992" w:type="dxa"/>
            <w:tcBorders>
              <w:top w:val="nil"/>
              <w:left w:val="nil"/>
              <w:bottom w:val="nil"/>
              <w:right w:val="nil"/>
            </w:tcBorders>
          </w:tcPr>
          <w:p w14:paraId="4E390851">
            <w:pPr>
              <w:jc w:val="center"/>
              <w:rPr>
                <w:sz w:val="21"/>
                <w:szCs w:val="20"/>
                <w:highlight w:val="none"/>
              </w:rPr>
            </w:pPr>
            <w:r>
              <w:rPr>
                <w:rFonts w:hint="eastAsia"/>
                <w:sz w:val="21"/>
                <w:szCs w:val="20"/>
                <w:highlight w:val="none"/>
              </w:rPr>
              <w:t>0.87</w:t>
            </w:r>
          </w:p>
        </w:tc>
        <w:tc>
          <w:tcPr>
            <w:tcW w:w="4536" w:type="dxa"/>
            <w:tcBorders>
              <w:top w:val="nil"/>
              <w:left w:val="nil"/>
              <w:bottom w:val="nil"/>
              <w:right w:val="nil"/>
            </w:tcBorders>
            <w:vAlign w:val="center"/>
          </w:tcPr>
          <w:p w14:paraId="7D00EF87">
            <w:pPr>
              <w:jc w:val="center"/>
              <w:rPr>
                <w:sz w:val="21"/>
                <w:szCs w:val="20"/>
                <w:highlight w:val="none"/>
              </w:rPr>
            </w:pPr>
            <w:r>
              <w:rPr>
                <w:rFonts w:hint="eastAsia"/>
                <w:sz w:val="21"/>
                <w:szCs w:val="20"/>
                <w:highlight w:val="none"/>
              </w:rPr>
              <w:t>J. Mater. Chem. A</w:t>
            </w:r>
            <w:r>
              <w:rPr>
                <w:sz w:val="21"/>
                <w:szCs w:val="20"/>
                <w:highlight w:val="none"/>
              </w:rPr>
              <w:t>,</w:t>
            </w:r>
            <w:r>
              <w:rPr>
                <w:rFonts w:hint="eastAsia"/>
                <w:sz w:val="21"/>
                <w:szCs w:val="20"/>
                <w:highlight w:val="none"/>
              </w:rPr>
              <w:t xml:space="preserve"> 2022, 10(39), 20993-21003.</w:t>
            </w:r>
          </w:p>
        </w:tc>
      </w:tr>
      <w:tr w14:paraId="4C405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 w:hRule="atLeast"/>
          <w:jc w:val="center"/>
        </w:trPr>
        <w:tc>
          <w:tcPr>
            <w:tcW w:w="2269" w:type="dxa"/>
            <w:tcBorders>
              <w:top w:val="nil"/>
              <w:left w:val="nil"/>
              <w:bottom w:val="nil"/>
              <w:right w:val="nil"/>
            </w:tcBorders>
            <w:vAlign w:val="center"/>
          </w:tcPr>
          <w:p w14:paraId="0A366E5D">
            <w:pPr>
              <w:jc w:val="center"/>
              <w:rPr>
                <w:sz w:val="21"/>
                <w:szCs w:val="20"/>
                <w:highlight w:val="none"/>
              </w:rPr>
            </w:pPr>
            <w:r>
              <w:rPr>
                <w:rFonts w:hint="eastAsia"/>
                <w:sz w:val="21"/>
                <w:szCs w:val="20"/>
                <w:highlight w:val="none"/>
              </w:rPr>
              <w:t>FeSA/N-PSCS</w:t>
            </w:r>
          </w:p>
        </w:tc>
        <w:tc>
          <w:tcPr>
            <w:tcW w:w="1134" w:type="dxa"/>
            <w:tcBorders>
              <w:top w:val="nil"/>
              <w:left w:val="nil"/>
              <w:bottom w:val="nil"/>
              <w:right w:val="nil"/>
            </w:tcBorders>
            <w:vAlign w:val="center"/>
          </w:tcPr>
          <w:p w14:paraId="6534A193">
            <w:pPr>
              <w:jc w:val="center"/>
              <w:rPr>
                <w:sz w:val="21"/>
                <w:szCs w:val="20"/>
                <w:highlight w:val="none"/>
              </w:rPr>
            </w:pPr>
            <w:r>
              <w:rPr>
                <w:rFonts w:hint="eastAsia"/>
                <w:sz w:val="21"/>
                <w:szCs w:val="20"/>
                <w:highlight w:val="none"/>
              </w:rPr>
              <w:t>0.976</w:t>
            </w:r>
          </w:p>
        </w:tc>
        <w:tc>
          <w:tcPr>
            <w:tcW w:w="992" w:type="dxa"/>
            <w:tcBorders>
              <w:top w:val="nil"/>
              <w:left w:val="nil"/>
              <w:bottom w:val="nil"/>
              <w:right w:val="nil"/>
            </w:tcBorders>
          </w:tcPr>
          <w:p w14:paraId="2F2782A8">
            <w:pPr>
              <w:jc w:val="center"/>
              <w:rPr>
                <w:sz w:val="21"/>
                <w:szCs w:val="20"/>
                <w:highlight w:val="none"/>
              </w:rPr>
            </w:pPr>
            <w:r>
              <w:rPr>
                <w:rFonts w:hint="eastAsia"/>
                <w:sz w:val="21"/>
                <w:szCs w:val="20"/>
                <w:highlight w:val="none"/>
              </w:rPr>
              <w:t>0.87</w:t>
            </w:r>
          </w:p>
        </w:tc>
        <w:tc>
          <w:tcPr>
            <w:tcW w:w="4536" w:type="dxa"/>
            <w:tcBorders>
              <w:top w:val="nil"/>
              <w:left w:val="nil"/>
              <w:bottom w:val="nil"/>
              <w:right w:val="nil"/>
            </w:tcBorders>
            <w:vAlign w:val="center"/>
          </w:tcPr>
          <w:p w14:paraId="19CC4358">
            <w:pPr>
              <w:jc w:val="center"/>
              <w:rPr>
                <w:sz w:val="21"/>
                <w:szCs w:val="20"/>
                <w:highlight w:val="none"/>
              </w:rPr>
            </w:pPr>
            <w:r>
              <w:rPr>
                <w:rFonts w:hint="eastAsia"/>
                <w:sz w:val="21"/>
                <w:szCs w:val="20"/>
                <w:highlight w:val="none"/>
              </w:rPr>
              <w:t>Energy Storage Mater.</w:t>
            </w:r>
            <w:r>
              <w:rPr>
                <w:sz w:val="21"/>
                <w:szCs w:val="20"/>
                <w:highlight w:val="none"/>
              </w:rPr>
              <w:t>,</w:t>
            </w:r>
            <w:r>
              <w:rPr>
                <w:rFonts w:hint="eastAsia"/>
                <w:sz w:val="21"/>
                <w:szCs w:val="20"/>
                <w:highlight w:val="none"/>
              </w:rPr>
              <w:t xml:space="preserve"> 2023, 59, 102790.</w:t>
            </w:r>
          </w:p>
        </w:tc>
      </w:tr>
      <w:tr w14:paraId="6B025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2269" w:type="dxa"/>
            <w:tcBorders>
              <w:top w:val="nil"/>
              <w:left w:val="nil"/>
              <w:bottom w:val="nil"/>
              <w:right w:val="nil"/>
            </w:tcBorders>
            <w:vAlign w:val="center"/>
          </w:tcPr>
          <w:p w14:paraId="5B8CC55B">
            <w:pPr>
              <w:jc w:val="center"/>
              <w:rPr>
                <w:sz w:val="21"/>
                <w:szCs w:val="20"/>
                <w:highlight w:val="none"/>
              </w:rPr>
            </w:pPr>
            <w:r>
              <w:rPr>
                <w:rFonts w:hint="eastAsia"/>
                <w:sz w:val="21"/>
                <w:szCs w:val="20"/>
                <w:highlight w:val="none"/>
              </w:rPr>
              <w:t>FeN/C-800</w:t>
            </w:r>
          </w:p>
        </w:tc>
        <w:tc>
          <w:tcPr>
            <w:tcW w:w="1134" w:type="dxa"/>
            <w:tcBorders>
              <w:top w:val="nil"/>
              <w:left w:val="nil"/>
              <w:bottom w:val="nil"/>
              <w:right w:val="nil"/>
            </w:tcBorders>
            <w:vAlign w:val="center"/>
          </w:tcPr>
          <w:p w14:paraId="427C0EA6">
            <w:pPr>
              <w:jc w:val="center"/>
              <w:rPr>
                <w:sz w:val="21"/>
                <w:szCs w:val="20"/>
                <w:highlight w:val="none"/>
              </w:rPr>
            </w:pPr>
            <w:r>
              <w:rPr>
                <w:rFonts w:hint="eastAsia"/>
                <w:sz w:val="21"/>
                <w:szCs w:val="20"/>
                <w:highlight w:val="none"/>
              </w:rPr>
              <w:t>0.77</w:t>
            </w:r>
          </w:p>
        </w:tc>
        <w:tc>
          <w:tcPr>
            <w:tcW w:w="992" w:type="dxa"/>
            <w:tcBorders>
              <w:top w:val="nil"/>
              <w:left w:val="nil"/>
              <w:bottom w:val="nil"/>
              <w:right w:val="nil"/>
            </w:tcBorders>
          </w:tcPr>
          <w:p w14:paraId="2C4AC0EF">
            <w:pPr>
              <w:jc w:val="center"/>
              <w:rPr>
                <w:sz w:val="21"/>
                <w:szCs w:val="20"/>
                <w:highlight w:val="none"/>
              </w:rPr>
            </w:pPr>
            <w:r>
              <w:rPr>
                <w:rFonts w:hint="eastAsia"/>
                <w:sz w:val="21"/>
                <w:szCs w:val="20"/>
                <w:highlight w:val="none"/>
              </w:rPr>
              <w:t>0.6</w:t>
            </w:r>
          </w:p>
        </w:tc>
        <w:tc>
          <w:tcPr>
            <w:tcW w:w="4536" w:type="dxa"/>
            <w:tcBorders>
              <w:top w:val="nil"/>
              <w:left w:val="nil"/>
              <w:bottom w:val="nil"/>
              <w:right w:val="nil"/>
            </w:tcBorders>
            <w:vAlign w:val="center"/>
          </w:tcPr>
          <w:p w14:paraId="4AD8675E">
            <w:pPr>
              <w:jc w:val="center"/>
              <w:rPr>
                <w:sz w:val="21"/>
                <w:szCs w:val="20"/>
                <w:highlight w:val="none"/>
              </w:rPr>
            </w:pPr>
            <w:r>
              <w:rPr>
                <w:rFonts w:hint="eastAsia"/>
                <w:sz w:val="21"/>
                <w:szCs w:val="20"/>
                <w:highlight w:val="none"/>
              </w:rPr>
              <w:t>J. Am. Chem. Soc.</w:t>
            </w:r>
            <w:r>
              <w:rPr>
                <w:sz w:val="21"/>
                <w:szCs w:val="20"/>
                <w:highlight w:val="none"/>
              </w:rPr>
              <w:t>,</w:t>
            </w:r>
            <w:r>
              <w:rPr>
                <w:rFonts w:hint="eastAsia"/>
                <w:sz w:val="21"/>
                <w:szCs w:val="20"/>
                <w:highlight w:val="none"/>
              </w:rPr>
              <w:t xml:space="preserve"> 2015, 137(4)</w:t>
            </w:r>
            <w:r>
              <w:rPr>
                <w:sz w:val="21"/>
                <w:szCs w:val="20"/>
                <w:highlight w:val="none"/>
              </w:rPr>
              <w:t>:</w:t>
            </w:r>
            <w:r>
              <w:rPr>
                <w:rFonts w:hint="eastAsia"/>
                <w:sz w:val="21"/>
                <w:szCs w:val="20"/>
                <w:highlight w:val="none"/>
              </w:rPr>
              <w:t xml:space="preserve"> 1436-1439.</w:t>
            </w:r>
          </w:p>
        </w:tc>
      </w:tr>
      <w:tr w14:paraId="0FACD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jc w:val="center"/>
        </w:trPr>
        <w:tc>
          <w:tcPr>
            <w:tcW w:w="2269" w:type="dxa"/>
            <w:tcBorders>
              <w:top w:val="nil"/>
              <w:left w:val="nil"/>
              <w:bottom w:val="single" w:color="auto" w:sz="12" w:space="0"/>
              <w:right w:val="nil"/>
            </w:tcBorders>
            <w:vAlign w:val="center"/>
          </w:tcPr>
          <w:p w14:paraId="533B9B29">
            <w:pPr>
              <w:jc w:val="center"/>
              <w:rPr>
                <w:rFonts w:eastAsia="等线"/>
                <w:color w:val="000000"/>
                <w:sz w:val="21"/>
                <w:szCs w:val="20"/>
                <w:highlight w:val="none"/>
              </w:rPr>
            </w:pPr>
            <w:r>
              <w:rPr>
                <w:rFonts w:hint="eastAsia"/>
                <w:sz w:val="21"/>
                <w:szCs w:val="20"/>
                <w:highlight w:val="none"/>
              </w:rPr>
              <w:t>Fe,N,P-CNSs/Fe</w:t>
            </w:r>
            <w:r>
              <w:rPr>
                <w:rFonts w:hint="eastAsia"/>
                <w:sz w:val="21"/>
                <w:szCs w:val="20"/>
                <w:highlight w:val="none"/>
                <w:vertAlign w:val="subscript"/>
              </w:rPr>
              <w:t>2</w:t>
            </w:r>
            <w:r>
              <w:rPr>
                <w:rFonts w:hint="eastAsia"/>
                <w:sz w:val="21"/>
                <w:szCs w:val="20"/>
                <w:highlight w:val="none"/>
              </w:rPr>
              <w:t>P</w:t>
            </w:r>
          </w:p>
        </w:tc>
        <w:tc>
          <w:tcPr>
            <w:tcW w:w="1134" w:type="dxa"/>
            <w:tcBorders>
              <w:top w:val="nil"/>
              <w:left w:val="nil"/>
              <w:bottom w:val="single" w:color="auto" w:sz="12" w:space="0"/>
              <w:right w:val="nil"/>
            </w:tcBorders>
            <w:vAlign w:val="center"/>
          </w:tcPr>
          <w:p w14:paraId="30BC5813">
            <w:pPr>
              <w:jc w:val="center"/>
              <w:rPr>
                <w:rFonts w:eastAsia="等线"/>
                <w:color w:val="000000"/>
                <w:sz w:val="21"/>
                <w:szCs w:val="20"/>
                <w:highlight w:val="none"/>
              </w:rPr>
            </w:pPr>
            <w:r>
              <w:rPr>
                <w:rFonts w:hint="eastAsia"/>
                <w:sz w:val="21"/>
                <w:szCs w:val="20"/>
                <w:highlight w:val="none"/>
              </w:rPr>
              <w:t>0.955</w:t>
            </w:r>
          </w:p>
        </w:tc>
        <w:tc>
          <w:tcPr>
            <w:tcW w:w="992" w:type="dxa"/>
            <w:tcBorders>
              <w:top w:val="nil"/>
              <w:left w:val="nil"/>
              <w:bottom w:val="single" w:color="auto" w:sz="12" w:space="0"/>
              <w:right w:val="nil"/>
            </w:tcBorders>
          </w:tcPr>
          <w:p w14:paraId="448BA51F">
            <w:pPr>
              <w:jc w:val="center"/>
              <w:rPr>
                <w:sz w:val="21"/>
                <w:szCs w:val="20"/>
                <w:highlight w:val="none"/>
              </w:rPr>
            </w:pPr>
            <w:r>
              <w:rPr>
                <w:rFonts w:hint="eastAsia"/>
                <w:sz w:val="21"/>
                <w:szCs w:val="20"/>
                <w:highlight w:val="none"/>
              </w:rPr>
              <w:t>0.854</w:t>
            </w:r>
          </w:p>
        </w:tc>
        <w:tc>
          <w:tcPr>
            <w:tcW w:w="4536" w:type="dxa"/>
            <w:tcBorders>
              <w:top w:val="nil"/>
              <w:left w:val="nil"/>
              <w:bottom w:val="single" w:color="auto" w:sz="12" w:space="0"/>
              <w:right w:val="nil"/>
            </w:tcBorders>
            <w:vAlign w:val="center"/>
          </w:tcPr>
          <w:p w14:paraId="3C4A7665">
            <w:pPr>
              <w:jc w:val="center"/>
              <w:rPr>
                <w:sz w:val="21"/>
                <w:szCs w:val="20"/>
                <w:highlight w:val="none"/>
              </w:rPr>
            </w:pPr>
            <w:r>
              <w:rPr>
                <w:rFonts w:hint="eastAsia"/>
                <w:sz w:val="21"/>
                <w:szCs w:val="20"/>
                <w:highlight w:val="none"/>
              </w:rPr>
              <w:t>Nano Energy</w:t>
            </w:r>
            <w:r>
              <w:rPr>
                <w:sz w:val="21"/>
                <w:szCs w:val="20"/>
                <w:highlight w:val="none"/>
              </w:rPr>
              <w:t>,</w:t>
            </w:r>
            <w:r>
              <w:rPr>
                <w:rFonts w:hint="eastAsia"/>
                <w:sz w:val="21"/>
                <w:szCs w:val="20"/>
                <w:highlight w:val="none"/>
              </w:rPr>
              <w:t xml:space="preserve"> 2023, 108, 108179.</w:t>
            </w:r>
          </w:p>
        </w:tc>
      </w:tr>
    </w:tbl>
    <w:p w14:paraId="758A821A">
      <w:pPr>
        <w:rPr>
          <w:highlight w:val="none"/>
        </w:rPr>
      </w:pPr>
    </w:p>
    <w:p w14:paraId="5DAE0D24">
      <w:pPr>
        <w:rPr>
          <w:highlight w:val="none"/>
        </w:rPr>
      </w:pPr>
    </w:p>
    <w:p w14:paraId="793AF4EB">
      <w:pPr>
        <w:rPr>
          <w:highlight w:val="none"/>
        </w:rPr>
      </w:pPr>
    </w:p>
    <w:p w14:paraId="65D2C937">
      <w:pPr>
        <w:rPr>
          <w:highlight w:val="none"/>
        </w:rPr>
      </w:pPr>
    </w:p>
    <w:p w14:paraId="627E27E8">
      <w:pPr>
        <w:rPr>
          <w:highlight w:val="none"/>
        </w:rPr>
      </w:pPr>
    </w:p>
    <w:p w14:paraId="1CCDE2D3">
      <w:pPr>
        <w:rPr>
          <w:highlight w:val="none"/>
        </w:rPr>
      </w:pPr>
    </w:p>
    <w:p w14:paraId="21836F94">
      <w:pPr>
        <w:rPr>
          <w:highlight w:val="none"/>
        </w:rPr>
      </w:pPr>
    </w:p>
    <w:p w14:paraId="4A5C39B6">
      <w:pPr>
        <w:rPr>
          <w:highlight w:val="none"/>
        </w:rPr>
      </w:pPr>
    </w:p>
    <w:p w14:paraId="4F1ED6C1">
      <w:pPr>
        <w:rPr>
          <w:highlight w:val="none"/>
        </w:rPr>
      </w:pPr>
    </w:p>
    <w:p w14:paraId="6D218992">
      <w:pPr>
        <w:rPr>
          <w:highlight w:val="none"/>
        </w:rPr>
      </w:pPr>
    </w:p>
    <w:p w14:paraId="3AA78F9D">
      <w:pPr>
        <w:rPr>
          <w:highlight w:val="none"/>
        </w:rPr>
      </w:pPr>
    </w:p>
    <w:p w14:paraId="493D5154">
      <w:pPr>
        <w:rPr>
          <w:highlight w:val="none"/>
        </w:rPr>
      </w:pPr>
    </w:p>
    <w:p w14:paraId="5065CE71">
      <w:pPr>
        <w:rPr>
          <w:highlight w:val="none"/>
        </w:rPr>
      </w:pPr>
    </w:p>
    <w:p w14:paraId="6CADB777">
      <w:pPr>
        <w:rPr>
          <w:highlight w:val="none"/>
        </w:rPr>
      </w:pPr>
    </w:p>
    <w:p w14:paraId="5F643814">
      <w:pPr>
        <w:rPr>
          <w:highlight w:val="none"/>
        </w:rPr>
      </w:pPr>
    </w:p>
    <w:p w14:paraId="22C84E2E">
      <w:pPr>
        <w:rPr>
          <w:highlight w:val="none"/>
        </w:rPr>
      </w:pPr>
    </w:p>
    <w:p w14:paraId="796BF84C">
      <w:pPr>
        <w:rPr>
          <w:highlight w:val="none"/>
        </w:rPr>
      </w:pPr>
    </w:p>
    <w:p w14:paraId="3E2187A7">
      <w:pPr>
        <w:rPr>
          <w:highlight w:val="none"/>
        </w:rPr>
      </w:pPr>
    </w:p>
    <w:p w14:paraId="275DD7E1">
      <w:pPr>
        <w:rPr>
          <w:highlight w:val="none"/>
        </w:rPr>
      </w:pPr>
    </w:p>
    <w:p w14:paraId="562F8DC8">
      <w:pPr>
        <w:rPr>
          <w:highlight w:val="none"/>
        </w:rPr>
      </w:pPr>
    </w:p>
    <w:p w14:paraId="795F1096">
      <w:pPr>
        <w:rPr>
          <w:highlight w:val="none"/>
        </w:rPr>
      </w:pPr>
    </w:p>
    <w:p w14:paraId="4F0C5004">
      <w:pPr>
        <w:rPr>
          <w:highlight w:val="none"/>
        </w:rPr>
      </w:pPr>
    </w:p>
    <w:p w14:paraId="2666774E">
      <w:pPr>
        <w:rPr>
          <w:highlight w:val="none"/>
        </w:rPr>
      </w:pPr>
    </w:p>
    <w:p w14:paraId="43FBBA9C">
      <w:pPr>
        <w:rPr>
          <w:highlight w:val="none"/>
        </w:rPr>
      </w:pPr>
    </w:p>
    <w:p w14:paraId="2B32D342">
      <w:pPr>
        <w:rPr>
          <w:highlight w:val="none"/>
        </w:rPr>
      </w:pPr>
    </w:p>
    <w:p w14:paraId="57DF439F">
      <w:pPr>
        <w:rPr>
          <w:highlight w:val="none"/>
        </w:rPr>
      </w:pPr>
    </w:p>
    <w:p w14:paraId="2B3210E4">
      <w:pPr>
        <w:rPr>
          <w:highlight w:val="none"/>
        </w:rPr>
      </w:pPr>
    </w:p>
    <w:p w14:paraId="3ABEC469">
      <w:pPr>
        <w:rPr>
          <w:highlight w:val="none"/>
        </w:rPr>
      </w:pPr>
    </w:p>
    <w:p w14:paraId="4381B1DB">
      <w:pPr>
        <w:rPr>
          <w:highlight w:val="none"/>
        </w:rPr>
      </w:pPr>
    </w:p>
    <w:p w14:paraId="619103DC">
      <w:pPr>
        <w:jc w:val="both"/>
        <w:rPr>
          <w:szCs w:val="20"/>
          <w:highlight w:val="none"/>
        </w:rPr>
      </w:pPr>
      <w:r>
        <w:rPr>
          <w:b/>
          <w:szCs w:val="20"/>
          <w:highlight w:val="none"/>
        </w:rPr>
        <w:t xml:space="preserve">Table </w:t>
      </w:r>
      <w:r>
        <w:rPr>
          <w:rFonts w:hint="eastAsia" w:eastAsia="宋体"/>
          <w:b/>
          <w:szCs w:val="20"/>
          <w:highlight w:val="none"/>
          <w:lang w:val="en-US" w:eastAsia="zh-CN"/>
        </w:rPr>
        <w:t>S3</w:t>
      </w:r>
      <w:r>
        <w:rPr>
          <w:b/>
          <w:sz w:val="21"/>
          <w:szCs w:val="21"/>
          <w:highlight w:val="none"/>
        </w:rPr>
        <w:t xml:space="preserve"> </w:t>
      </w:r>
      <w:r>
        <w:rPr>
          <w:bCs/>
          <w:szCs w:val="20"/>
          <w:highlight w:val="none"/>
        </w:rPr>
        <w:t>List of experimental reagents</w:t>
      </w:r>
    </w:p>
    <w:tbl>
      <w:tblPr>
        <w:tblStyle w:val="5"/>
        <w:tblW w:w="9443" w:type="dxa"/>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402"/>
        <w:gridCol w:w="2551"/>
        <w:gridCol w:w="2235"/>
        <w:gridCol w:w="2255"/>
      </w:tblGrid>
      <w:tr w14:paraId="276ED01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PrEx>
        <w:trPr>
          <w:trHeight w:val="330" w:hRule="atLeast"/>
          <w:jc w:val="center"/>
        </w:trPr>
        <w:tc>
          <w:tcPr>
            <w:tcW w:w="2402" w:type="dxa"/>
            <w:tcBorders>
              <w:top w:val="single" w:color="auto" w:sz="12" w:space="0"/>
              <w:bottom w:val="single" w:color="auto" w:sz="8" w:space="0"/>
            </w:tcBorders>
          </w:tcPr>
          <w:p w14:paraId="134DFEF1">
            <w:pPr>
              <w:jc w:val="center"/>
              <w:rPr>
                <w:rFonts w:eastAsiaTheme="minorEastAsia"/>
                <w:szCs w:val="21"/>
                <w:highlight w:val="none"/>
                <w:lang w:eastAsia="zh-CN"/>
              </w:rPr>
            </w:pPr>
            <w:r>
              <w:rPr>
                <w:rFonts w:eastAsiaTheme="minorEastAsia"/>
                <w:szCs w:val="21"/>
                <w:highlight w:val="none"/>
                <w:lang w:val="en-US" w:eastAsia="zh-CN"/>
              </w:rPr>
              <w:t>Reagent Name</w:t>
            </w:r>
          </w:p>
        </w:tc>
        <w:tc>
          <w:tcPr>
            <w:tcW w:w="2551" w:type="dxa"/>
            <w:tcBorders>
              <w:top w:val="single" w:color="auto" w:sz="12" w:space="0"/>
              <w:bottom w:val="single" w:color="auto" w:sz="8" w:space="0"/>
            </w:tcBorders>
          </w:tcPr>
          <w:p w14:paraId="323A2C3B">
            <w:pPr>
              <w:jc w:val="center"/>
              <w:rPr>
                <w:rFonts w:eastAsiaTheme="minorEastAsia"/>
                <w:szCs w:val="21"/>
                <w:highlight w:val="none"/>
                <w:lang w:eastAsia="zh-CN"/>
              </w:rPr>
            </w:pPr>
            <w:r>
              <w:rPr>
                <w:rFonts w:eastAsiaTheme="minorEastAsia"/>
                <w:szCs w:val="21"/>
                <w:highlight w:val="none"/>
                <w:lang w:val="en-US" w:eastAsia="zh-CN"/>
              </w:rPr>
              <w:t>Molecular Formula</w:t>
            </w:r>
          </w:p>
        </w:tc>
        <w:tc>
          <w:tcPr>
            <w:tcW w:w="2235" w:type="dxa"/>
            <w:tcBorders>
              <w:top w:val="single" w:color="auto" w:sz="12" w:space="0"/>
              <w:bottom w:val="single" w:color="auto" w:sz="8" w:space="0"/>
            </w:tcBorders>
          </w:tcPr>
          <w:p w14:paraId="7CBFB49D">
            <w:pPr>
              <w:jc w:val="center"/>
              <w:rPr>
                <w:rFonts w:eastAsiaTheme="minorEastAsia"/>
                <w:szCs w:val="21"/>
                <w:highlight w:val="none"/>
                <w:lang w:eastAsia="zh-CN"/>
              </w:rPr>
            </w:pPr>
            <w:r>
              <w:rPr>
                <w:rFonts w:eastAsiaTheme="minorEastAsia"/>
                <w:szCs w:val="21"/>
                <w:highlight w:val="none"/>
                <w:lang w:val="en-US" w:eastAsia="zh-CN"/>
              </w:rPr>
              <w:t>Purity</w:t>
            </w:r>
          </w:p>
        </w:tc>
        <w:tc>
          <w:tcPr>
            <w:tcW w:w="2255" w:type="dxa"/>
            <w:tcBorders>
              <w:top w:val="single" w:color="auto" w:sz="12" w:space="0"/>
              <w:bottom w:val="single" w:color="auto" w:sz="8" w:space="0"/>
            </w:tcBorders>
          </w:tcPr>
          <w:p w14:paraId="6180DB6D">
            <w:pPr>
              <w:jc w:val="center"/>
              <w:rPr>
                <w:rFonts w:eastAsiaTheme="minorEastAsia"/>
                <w:szCs w:val="21"/>
                <w:highlight w:val="none"/>
                <w:lang w:eastAsia="zh-CN"/>
              </w:rPr>
            </w:pPr>
            <w:r>
              <w:rPr>
                <w:rFonts w:eastAsiaTheme="minorEastAsia"/>
                <w:szCs w:val="21"/>
                <w:highlight w:val="none"/>
                <w:lang w:val="en-US" w:eastAsia="zh-CN"/>
              </w:rPr>
              <w:t>Source</w:t>
            </w:r>
          </w:p>
        </w:tc>
      </w:tr>
      <w:tr w14:paraId="5122309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402" w:type="dxa"/>
            <w:tcBorders>
              <w:top w:val="single" w:color="auto" w:sz="8" w:space="0"/>
              <w:bottom w:val="nil"/>
            </w:tcBorders>
          </w:tcPr>
          <w:p w14:paraId="613301D6">
            <w:pPr>
              <w:jc w:val="center"/>
              <w:rPr>
                <w:rFonts w:eastAsiaTheme="minorEastAsia"/>
                <w:szCs w:val="21"/>
                <w:highlight w:val="none"/>
                <w:lang w:eastAsia="zh-CN"/>
              </w:rPr>
            </w:pPr>
            <w:r>
              <w:rPr>
                <w:rFonts w:eastAsiaTheme="minorEastAsia"/>
                <w:szCs w:val="21"/>
                <w:highlight w:val="none"/>
                <w:lang w:val="en-US" w:eastAsia="zh-CN"/>
              </w:rPr>
              <w:t>Pyrrole</w:t>
            </w:r>
          </w:p>
        </w:tc>
        <w:tc>
          <w:tcPr>
            <w:tcW w:w="2551" w:type="dxa"/>
            <w:tcBorders>
              <w:top w:val="single" w:color="auto" w:sz="8" w:space="0"/>
              <w:bottom w:val="nil"/>
            </w:tcBorders>
          </w:tcPr>
          <w:p w14:paraId="7CDA6101">
            <w:pPr>
              <w:jc w:val="center"/>
              <w:rPr>
                <w:rFonts w:eastAsiaTheme="minorEastAsia"/>
                <w:szCs w:val="21"/>
                <w:highlight w:val="none"/>
                <w:lang w:eastAsia="zh-CN"/>
              </w:rPr>
            </w:pPr>
            <w:r>
              <w:rPr>
                <w:rFonts w:eastAsiaTheme="minorEastAsia"/>
                <w:szCs w:val="21"/>
                <w:highlight w:val="none"/>
                <w:lang w:eastAsia="zh-CN"/>
              </w:rPr>
              <w:t>C</w:t>
            </w:r>
            <w:r>
              <w:rPr>
                <w:rFonts w:eastAsiaTheme="minorEastAsia"/>
                <w:szCs w:val="21"/>
                <w:highlight w:val="none"/>
                <w:vertAlign w:val="subscript"/>
                <w:lang w:eastAsia="zh-CN"/>
              </w:rPr>
              <w:t>4</w:t>
            </w:r>
            <w:r>
              <w:rPr>
                <w:rFonts w:eastAsiaTheme="minorEastAsia"/>
                <w:szCs w:val="21"/>
                <w:highlight w:val="none"/>
                <w:lang w:eastAsia="zh-CN"/>
              </w:rPr>
              <w:t>H</w:t>
            </w:r>
            <w:r>
              <w:rPr>
                <w:rFonts w:eastAsiaTheme="minorEastAsia"/>
                <w:szCs w:val="21"/>
                <w:highlight w:val="none"/>
                <w:vertAlign w:val="subscript"/>
                <w:lang w:eastAsia="zh-CN"/>
              </w:rPr>
              <w:t>5</w:t>
            </w:r>
            <w:r>
              <w:rPr>
                <w:rFonts w:eastAsiaTheme="minorEastAsia"/>
                <w:szCs w:val="21"/>
                <w:highlight w:val="none"/>
                <w:lang w:eastAsia="zh-CN"/>
              </w:rPr>
              <w:t>N</w:t>
            </w:r>
          </w:p>
        </w:tc>
        <w:tc>
          <w:tcPr>
            <w:tcW w:w="2235" w:type="dxa"/>
            <w:tcBorders>
              <w:top w:val="single" w:color="auto" w:sz="8" w:space="0"/>
              <w:bottom w:val="nil"/>
            </w:tcBorders>
            <w:vAlign w:val="center"/>
          </w:tcPr>
          <w:p w14:paraId="60C863A4">
            <w:pPr>
              <w:jc w:val="center"/>
              <w:rPr>
                <w:rFonts w:eastAsiaTheme="minorEastAsia"/>
                <w:szCs w:val="21"/>
                <w:highlight w:val="none"/>
                <w:lang w:eastAsia="zh-CN"/>
              </w:rPr>
            </w:pPr>
            <w:r>
              <w:rPr>
                <w:rFonts w:eastAsiaTheme="minorEastAsia"/>
                <w:szCs w:val="21"/>
                <w:highlight w:val="none"/>
                <w:lang w:eastAsia="zh-CN"/>
              </w:rPr>
              <w:t>AR，99%</w:t>
            </w:r>
          </w:p>
        </w:tc>
        <w:tc>
          <w:tcPr>
            <w:tcW w:w="2255" w:type="dxa"/>
            <w:tcBorders>
              <w:top w:val="single" w:color="auto" w:sz="8" w:space="0"/>
              <w:bottom w:val="nil"/>
            </w:tcBorders>
          </w:tcPr>
          <w:p w14:paraId="02A36339">
            <w:pPr>
              <w:jc w:val="center"/>
              <w:rPr>
                <w:rFonts w:eastAsiaTheme="minorEastAsia"/>
                <w:szCs w:val="21"/>
                <w:highlight w:val="none"/>
                <w:lang w:eastAsia="zh-CN"/>
              </w:rPr>
            </w:pPr>
            <w:r>
              <w:rPr>
                <w:rFonts w:eastAsiaTheme="minorEastAsia"/>
                <w:szCs w:val="21"/>
                <w:highlight w:val="none"/>
                <w:lang w:val="en-US" w:eastAsia="zh-CN"/>
              </w:rPr>
              <w:t>Aladdin</w:t>
            </w:r>
          </w:p>
        </w:tc>
      </w:tr>
      <w:tr w14:paraId="622DF27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402" w:type="dxa"/>
            <w:tcBorders>
              <w:top w:val="nil"/>
              <w:bottom w:val="nil"/>
            </w:tcBorders>
          </w:tcPr>
          <w:p w14:paraId="27AFC5A4">
            <w:pPr>
              <w:jc w:val="center"/>
              <w:rPr>
                <w:rFonts w:eastAsiaTheme="minorEastAsia"/>
                <w:szCs w:val="21"/>
                <w:highlight w:val="none"/>
                <w:lang w:eastAsia="zh-CN"/>
              </w:rPr>
            </w:pPr>
            <w:r>
              <w:rPr>
                <w:rFonts w:eastAsiaTheme="minorEastAsia"/>
                <w:szCs w:val="21"/>
                <w:highlight w:val="none"/>
                <w:lang w:val="en-US" w:eastAsia="zh-CN"/>
              </w:rPr>
              <w:t>Pyridine</w:t>
            </w:r>
          </w:p>
        </w:tc>
        <w:tc>
          <w:tcPr>
            <w:tcW w:w="2551" w:type="dxa"/>
            <w:tcBorders>
              <w:top w:val="nil"/>
              <w:bottom w:val="nil"/>
            </w:tcBorders>
          </w:tcPr>
          <w:p w14:paraId="1D3DDD73">
            <w:pPr>
              <w:jc w:val="center"/>
              <w:rPr>
                <w:rFonts w:eastAsiaTheme="minorEastAsia"/>
                <w:szCs w:val="21"/>
                <w:highlight w:val="none"/>
                <w:lang w:eastAsia="zh-CN"/>
              </w:rPr>
            </w:pPr>
            <w:r>
              <w:rPr>
                <w:rFonts w:eastAsiaTheme="minorEastAsia"/>
                <w:szCs w:val="21"/>
                <w:highlight w:val="none"/>
                <w:lang w:eastAsia="zh-CN"/>
              </w:rPr>
              <w:t>C</w:t>
            </w:r>
            <w:r>
              <w:rPr>
                <w:rFonts w:eastAsiaTheme="minorEastAsia"/>
                <w:szCs w:val="21"/>
                <w:highlight w:val="none"/>
                <w:vertAlign w:val="subscript"/>
                <w:lang w:eastAsia="zh-CN"/>
              </w:rPr>
              <w:t>5</w:t>
            </w:r>
            <w:r>
              <w:rPr>
                <w:rFonts w:eastAsiaTheme="minorEastAsia"/>
                <w:szCs w:val="21"/>
                <w:highlight w:val="none"/>
                <w:lang w:eastAsia="zh-CN"/>
              </w:rPr>
              <w:t>H</w:t>
            </w:r>
            <w:r>
              <w:rPr>
                <w:rFonts w:eastAsiaTheme="minorEastAsia"/>
                <w:szCs w:val="21"/>
                <w:highlight w:val="none"/>
                <w:vertAlign w:val="subscript"/>
                <w:lang w:eastAsia="zh-CN"/>
              </w:rPr>
              <w:t>5</w:t>
            </w:r>
            <w:r>
              <w:rPr>
                <w:rFonts w:eastAsiaTheme="minorEastAsia"/>
                <w:szCs w:val="21"/>
                <w:highlight w:val="none"/>
                <w:lang w:eastAsia="zh-CN"/>
              </w:rPr>
              <w:t>N</w:t>
            </w:r>
          </w:p>
        </w:tc>
        <w:tc>
          <w:tcPr>
            <w:tcW w:w="2235" w:type="dxa"/>
            <w:tcBorders>
              <w:top w:val="nil"/>
              <w:bottom w:val="nil"/>
            </w:tcBorders>
            <w:vAlign w:val="center"/>
          </w:tcPr>
          <w:p w14:paraId="69655972">
            <w:pPr>
              <w:jc w:val="center"/>
              <w:rPr>
                <w:rFonts w:eastAsiaTheme="minorEastAsia"/>
                <w:szCs w:val="21"/>
                <w:highlight w:val="none"/>
                <w:lang w:eastAsia="zh-CN"/>
              </w:rPr>
            </w:pPr>
            <w:r>
              <w:rPr>
                <w:rFonts w:eastAsiaTheme="minorEastAsia"/>
                <w:szCs w:val="21"/>
                <w:highlight w:val="none"/>
                <w:lang w:eastAsia="zh-CN"/>
              </w:rPr>
              <w:t>AR，99.5%</w:t>
            </w:r>
          </w:p>
        </w:tc>
        <w:tc>
          <w:tcPr>
            <w:tcW w:w="2255" w:type="dxa"/>
            <w:tcBorders>
              <w:top w:val="nil"/>
              <w:bottom w:val="nil"/>
            </w:tcBorders>
          </w:tcPr>
          <w:p w14:paraId="70254DFE">
            <w:pPr>
              <w:jc w:val="center"/>
              <w:rPr>
                <w:rFonts w:eastAsiaTheme="minorEastAsia"/>
                <w:szCs w:val="21"/>
                <w:highlight w:val="none"/>
                <w:lang w:eastAsia="zh-CN"/>
              </w:rPr>
            </w:pPr>
            <w:r>
              <w:rPr>
                <w:rFonts w:eastAsiaTheme="minorEastAsia"/>
                <w:szCs w:val="21"/>
                <w:highlight w:val="none"/>
                <w:lang w:val="en-US" w:eastAsia="zh-CN"/>
              </w:rPr>
              <w:t>Aladdin</w:t>
            </w:r>
          </w:p>
        </w:tc>
      </w:tr>
      <w:tr w14:paraId="293A16A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402" w:type="dxa"/>
            <w:tcBorders>
              <w:top w:val="nil"/>
              <w:bottom w:val="nil"/>
            </w:tcBorders>
          </w:tcPr>
          <w:p w14:paraId="17BBE6B3">
            <w:pPr>
              <w:jc w:val="center"/>
              <w:rPr>
                <w:rFonts w:eastAsiaTheme="minorEastAsia"/>
                <w:szCs w:val="21"/>
                <w:highlight w:val="none"/>
                <w:lang w:eastAsia="zh-CN"/>
              </w:rPr>
            </w:pPr>
            <w:r>
              <w:rPr>
                <w:rFonts w:eastAsiaTheme="minorEastAsia"/>
                <w:szCs w:val="21"/>
                <w:highlight w:val="none"/>
                <w:lang w:val="en-US" w:eastAsia="zh-CN"/>
              </w:rPr>
              <w:t>Benzaldehyde</w:t>
            </w:r>
          </w:p>
        </w:tc>
        <w:tc>
          <w:tcPr>
            <w:tcW w:w="2551" w:type="dxa"/>
            <w:tcBorders>
              <w:top w:val="nil"/>
              <w:bottom w:val="nil"/>
            </w:tcBorders>
          </w:tcPr>
          <w:p w14:paraId="1E8E133B">
            <w:pPr>
              <w:jc w:val="center"/>
              <w:rPr>
                <w:rFonts w:eastAsiaTheme="minorEastAsia"/>
                <w:szCs w:val="21"/>
                <w:highlight w:val="none"/>
                <w:lang w:eastAsia="zh-CN"/>
              </w:rPr>
            </w:pPr>
            <w:r>
              <w:rPr>
                <w:rFonts w:eastAsiaTheme="minorEastAsia"/>
                <w:szCs w:val="21"/>
                <w:highlight w:val="none"/>
                <w:lang w:eastAsia="zh-CN"/>
              </w:rPr>
              <w:t>C</w:t>
            </w:r>
            <w:r>
              <w:rPr>
                <w:rFonts w:eastAsiaTheme="minorEastAsia"/>
                <w:szCs w:val="21"/>
                <w:highlight w:val="none"/>
                <w:vertAlign w:val="subscript"/>
                <w:lang w:eastAsia="zh-CN"/>
              </w:rPr>
              <w:t>7</w:t>
            </w:r>
            <w:r>
              <w:rPr>
                <w:rFonts w:eastAsiaTheme="minorEastAsia"/>
                <w:szCs w:val="21"/>
                <w:highlight w:val="none"/>
                <w:lang w:eastAsia="zh-CN"/>
              </w:rPr>
              <w:t>H</w:t>
            </w:r>
            <w:r>
              <w:rPr>
                <w:rFonts w:eastAsiaTheme="minorEastAsia"/>
                <w:szCs w:val="21"/>
                <w:highlight w:val="none"/>
                <w:vertAlign w:val="subscript"/>
                <w:lang w:eastAsia="zh-CN"/>
              </w:rPr>
              <w:t>6</w:t>
            </w:r>
            <w:r>
              <w:rPr>
                <w:rFonts w:eastAsiaTheme="minorEastAsia"/>
                <w:szCs w:val="21"/>
                <w:highlight w:val="none"/>
                <w:lang w:eastAsia="zh-CN"/>
              </w:rPr>
              <w:t>O</w:t>
            </w:r>
          </w:p>
        </w:tc>
        <w:tc>
          <w:tcPr>
            <w:tcW w:w="2235" w:type="dxa"/>
            <w:tcBorders>
              <w:top w:val="nil"/>
              <w:bottom w:val="nil"/>
            </w:tcBorders>
            <w:vAlign w:val="center"/>
          </w:tcPr>
          <w:p w14:paraId="4B848CBC">
            <w:pPr>
              <w:jc w:val="center"/>
              <w:rPr>
                <w:rFonts w:eastAsiaTheme="minorEastAsia"/>
                <w:szCs w:val="21"/>
                <w:highlight w:val="none"/>
                <w:lang w:eastAsia="zh-CN"/>
              </w:rPr>
            </w:pPr>
            <w:r>
              <w:rPr>
                <w:rFonts w:eastAsiaTheme="minorEastAsia"/>
                <w:szCs w:val="21"/>
                <w:highlight w:val="none"/>
                <w:lang w:eastAsia="zh-CN"/>
              </w:rPr>
              <w:t>≥99.0%</w:t>
            </w:r>
          </w:p>
        </w:tc>
        <w:tc>
          <w:tcPr>
            <w:tcW w:w="2255" w:type="dxa"/>
            <w:tcBorders>
              <w:top w:val="nil"/>
              <w:bottom w:val="nil"/>
            </w:tcBorders>
          </w:tcPr>
          <w:p w14:paraId="3717DB05">
            <w:pPr>
              <w:jc w:val="center"/>
              <w:rPr>
                <w:rFonts w:eastAsiaTheme="minorEastAsia"/>
                <w:szCs w:val="21"/>
                <w:highlight w:val="none"/>
                <w:lang w:eastAsia="zh-CN"/>
              </w:rPr>
            </w:pPr>
            <w:r>
              <w:rPr>
                <w:rFonts w:eastAsiaTheme="minorEastAsia"/>
                <w:szCs w:val="21"/>
                <w:highlight w:val="none"/>
                <w:lang w:val="en-US" w:eastAsia="zh-CN"/>
              </w:rPr>
              <w:t>Aladdin</w:t>
            </w:r>
          </w:p>
        </w:tc>
      </w:tr>
      <w:tr w14:paraId="28603EF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402" w:type="dxa"/>
            <w:tcBorders>
              <w:top w:val="nil"/>
              <w:bottom w:val="nil"/>
            </w:tcBorders>
          </w:tcPr>
          <w:p w14:paraId="3484A5BE">
            <w:pPr>
              <w:jc w:val="center"/>
              <w:rPr>
                <w:rFonts w:eastAsiaTheme="minorEastAsia"/>
                <w:szCs w:val="21"/>
                <w:highlight w:val="none"/>
                <w:lang w:eastAsia="zh-CN"/>
              </w:rPr>
            </w:pPr>
            <w:r>
              <w:rPr>
                <w:rFonts w:eastAsiaTheme="minorEastAsia"/>
                <w:szCs w:val="21"/>
                <w:highlight w:val="none"/>
                <w:lang w:val="en-US" w:eastAsia="zh-CN"/>
              </w:rPr>
              <w:t>4-Bromobenzaldehyde</w:t>
            </w:r>
          </w:p>
        </w:tc>
        <w:tc>
          <w:tcPr>
            <w:tcW w:w="2551" w:type="dxa"/>
            <w:tcBorders>
              <w:top w:val="nil"/>
              <w:bottom w:val="nil"/>
            </w:tcBorders>
          </w:tcPr>
          <w:p w14:paraId="5FD73B05">
            <w:pPr>
              <w:jc w:val="center"/>
              <w:rPr>
                <w:rFonts w:eastAsiaTheme="minorEastAsia"/>
                <w:szCs w:val="21"/>
                <w:highlight w:val="none"/>
                <w:lang w:eastAsia="zh-CN"/>
              </w:rPr>
            </w:pPr>
            <w:r>
              <w:rPr>
                <w:rFonts w:eastAsiaTheme="minorEastAsia"/>
                <w:szCs w:val="21"/>
                <w:highlight w:val="none"/>
                <w:lang w:eastAsia="zh-CN"/>
              </w:rPr>
              <w:t>C</w:t>
            </w:r>
            <w:r>
              <w:rPr>
                <w:rFonts w:eastAsiaTheme="minorEastAsia"/>
                <w:szCs w:val="21"/>
                <w:highlight w:val="none"/>
                <w:vertAlign w:val="subscript"/>
                <w:lang w:eastAsia="zh-CN"/>
              </w:rPr>
              <w:t>7</w:t>
            </w:r>
            <w:r>
              <w:rPr>
                <w:rFonts w:eastAsiaTheme="minorEastAsia"/>
                <w:szCs w:val="21"/>
                <w:highlight w:val="none"/>
                <w:lang w:eastAsia="zh-CN"/>
              </w:rPr>
              <w:t>H</w:t>
            </w:r>
            <w:r>
              <w:rPr>
                <w:rFonts w:eastAsiaTheme="minorEastAsia"/>
                <w:szCs w:val="21"/>
                <w:highlight w:val="none"/>
                <w:vertAlign w:val="subscript"/>
                <w:lang w:eastAsia="zh-CN"/>
              </w:rPr>
              <w:t>5</w:t>
            </w:r>
            <w:r>
              <w:rPr>
                <w:rFonts w:eastAsiaTheme="minorEastAsia"/>
                <w:szCs w:val="21"/>
                <w:highlight w:val="none"/>
                <w:lang w:eastAsia="zh-CN"/>
              </w:rPr>
              <w:t>BrO</w:t>
            </w:r>
          </w:p>
        </w:tc>
        <w:tc>
          <w:tcPr>
            <w:tcW w:w="2235" w:type="dxa"/>
            <w:tcBorders>
              <w:top w:val="nil"/>
              <w:bottom w:val="nil"/>
            </w:tcBorders>
            <w:vAlign w:val="center"/>
          </w:tcPr>
          <w:p w14:paraId="5F001637">
            <w:pPr>
              <w:jc w:val="center"/>
              <w:rPr>
                <w:rFonts w:eastAsiaTheme="minorEastAsia"/>
                <w:szCs w:val="21"/>
                <w:highlight w:val="none"/>
                <w:lang w:eastAsia="zh-CN"/>
              </w:rPr>
            </w:pPr>
            <w:r>
              <w:rPr>
                <w:rFonts w:eastAsiaTheme="minorEastAsia"/>
                <w:szCs w:val="21"/>
                <w:highlight w:val="none"/>
                <w:lang w:eastAsia="zh-CN"/>
              </w:rPr>
              <w:t>99%</w:t>
            </w:r>
          </w:p>
        </w:tc>
        <w:tc>
          <w:tcPr>
            <w:tcW w:w="2255" w:type="dxa"/>
            <w:tcBorders>
              <w:top w:val="nil"/>
              <w:bottom w:val="nil"/>
            </w:tcBorders>
          </w:tcPr>
          <w:p w14:paraId="21612F4C">
            <w:pPr>
              <w:jc w:val="center"/>
              <w:rPr>
                <w:rFonts w:eastAsiaTheme="minorEastAsia"/>
                <w:szCs w:val="21"/>
                <w:highlight w:val="none"/>
                <w:lang w:eastAsia="zh-CN"/>
              </w:rPr>
            </w:pPr>
            <w:r>
              <w:rPr>
                <w:rFonts w:eastAsiaTheme="minorEastAsia"/>
                <w:szCs w:val="21"/>
                <w:highlight w:val="none"/>
                <w:lang w:val="en-US" w:eastAsia="zh-CN"/>
              </w:rPr>
              <w:t>Aladdin</w:t>
            </w:r>
          </w:p>
        </w:tc>
      </w:tr>
      <w:tr w14:paraId="75B1FE4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402" w:type="dxa"/>
            <w:tcBorders>
              <w:top w:val="nil"/>
              <w:bottom w:val="nil"/>
            </w:tcBorders>
          </w:tcPr>
          <w:p w14:paraId="0F5D5B96">
            <w:pPr>
              <w:jc w:val="center"/>
              <w:rPr>
                <w:rFonts w:eastAsiaTheme="minorEastAsia"/>
                <w:szCs w:val="21"/>
                <w:highlight w:val="none"/>
                <w:lang w:eastAsia="zh-CN"/>
              </w:rPr>
            </w:pPr>
            <w:r>
              <w:rPr>
                <w:rFonts w:eastAsiaTheme="minorEastAsia"/>
                <w:szCs w:val="21"/>
                <w:highlight w:val="none"/>
                <w:lang w:val="en-US" w:eastAsia="zh-CN"/>
              </w:rPr>
              <w:t>4-Methylbenzaldehyde</w:t>
            </w:r>
          </w:p>
        </w:tc>
        <w:tc>
          <w:tcPr>
            <w:tcW w:w="2551" w:type="dxa"/>
            <w:tcBorders>
              <w:top w:val="nil"/>
              <w:bottom w:val="nil"/>
            </w:tcBorders>
          </w:tcPr>
          <w:p w14:paraId="0B8F3DA5">
            <w:pPr>
              <w:jc w:val="center"/>
              <w:rPr>
                <w:rFonts w:eastAsiaTheme="minorEastAsia"/>
                <w:szCs w:val="21"/>
                <w:highlight w:val="none"/>
                <w:lang w:eastAsia="zh-CN"/>
              </w:rPr>
            </w:pPr>
            <w:r>
              <w:rPr>
                <w:rFonts w:eastAsiaTheme="minorEastAsia"/>
                <w:szCs w:val="21"/>
                <w:highlight w:val="none"/>
                <w:lang w:eastAsia="zh-CN"/>
              </w:rPr>
              <w:t>C</w:t>
            </w:r>
            <w:r>
              <w:rPr>
                <w:rFonts w:eastAsiaTheme="minorEastAsia"/>
                <w:szCs w:val="21"/>
                <w:highlight w:val="none"/>
                <w:vertAlign w:val="subscript"/>
                <w:lang w:eastAsia="zh-CN"/>
              </w:rPr>
              <w:t>8</w:t>
            </w:r>
            <w:r>
              <w:rPr>
                <w:rFonts w:eastAsiaTheme="minorEastAsia"/>
                <w:szCs w:val="21"/>
                <w:highlight w:val="none"/>
                <w:lang w:eastAsia="zh-CN"/>
              </w:rPr>
              <w:t>H</w:t>
            </w:r>
            <w:r>
              <w:rPr>
                <w:rFonts w:eastAsiaTheme="minorEastAsia"/>
                <w:szCs w:val="21"/>
                <w:highlight w:val="none"/>
                <w:vertAlign w:val="subscript"/>
                <w:lang w:eastAsia="zh-CN"/>
              </w:rPr>
              <w:t>8</w:t>
            </w:r>
            <w:r>
              <w:rPr>
                <w:rFonts w:eastAsiaTheme="minorEastAsia"/>
                <w:szCs w:val="21"/>
                <w:highlight w:val="none"/>
                <w:lang w:eastAsia="zh-CN"/>
              </w:rPr>
              <w:t>O</w:t>
            </w:r>
          </w:p>
        </w:tc>
        <w:tc>
          <w:tcPr>
            <w:tcW w:w="2235" w:type="dxa"/>
            <w:tcBorders>
              <w:top w:val="nil"/>
              <w:bottom w:val="nil"/>
            </w:tcBorders>
            <w:vAlign w:val="center"/>
          </w:tcPr>
          <w:p w14:paraId="113CA69B">
            <w:pPr>
              <w:jc w:val="center"/>
              <w:rPr>
                <w:rFonts w:eastAsiaTheme="minorEastAsia"/>
                <w:szCs w:val="21"/>
                <w:highlight w:val="none"/>
                <w:lang w:eastAsia="zh-CN"/>
              </w:rPr>
            </w:pPr>
            <w:r>
              <w:rPr>
                <w:rFonts w:eastAsiaTheme="minorEastAsia"/>
                <w:szCs w:val="21"/>
                <w:highlight w:val="none"/>
                <w:lang w:eastAsia="zh-CN"/>
              </w:rPr>
              <w:t>97%</w:t>
            </w:r>
          </w:p>
        </w:tc>
        <w:tc>
          <w:tcPr>
            <w:tcW w:w="2255" w:type="dxa"/>
            <w:tcBorders>
              <w:top w:val="nil"/>
              <w:bottom w:val="nil"/>
            </w:tcBorders>
          </w:tcPr>
          <w:p w14:paraId="5ED03C9B">
            <w:pPr>
              <w:jc w:val="center"/>
              <w:rPr>
                <w:rFonts w:eastAsiaTheme="minorEastAsia"/>
                <w:szCs w:val="21"/>
                <w:highlight w:val="none"/>
                <w:lang w:eastAsia="zh-CN"/>
              </w:rPr>
            </w:pPr>
            <w:r>
              <w:rPr>
                <w:rFonts w:eastAsiaTheme="minorEastAsia"/>
                <w:szCs w:val="21"/>
                <w:highlight w:val="none"/>
                <w:lang w:val="en-US" w:eastAsia="zh-CN"/>
              </w:rPr>
              <w:t>Aladdin</w:t>
            </w:r>
          </w:p>
        </w:tc>
      </w:tr>
      <w:tr w14:paraId="240D709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402" w:type="dxa"/>
          </w:tcPr>
          <w:p w14:paraId="48746F7D">
            <w:pPr>
              <w:jc w:val="center"/>
              <w:rPr>
                <w:rFonts w:eastAsiaTheme="minorEastAsia"/>
                <w:szCs w:val="21"/>
                <w:highlight w:val="none"/>
                <w:lang w:eastAsia="zh-CN"/>
              </w:rPr>
            </w:pPr>
            <w:r>
              <w:rPr>
                <w:rFonts w:eastAsiaTheme="minorEastAsia"/>
                <w:szCs w:val="21"/>
                <w:highlight w:val="none"/>
                <w:lang w:val="en-US" w:eastAsia="zh-CN"/>
              </w:rPr>
              <w:t>4-tert-Butylbenzaldehyde</w:t>
            </w:r>
          </w:p>
        </w:tc>
        <w:tc>
          <w:tcPr>
            <w:tcW w:w="2551" w:type="dxa"/>
          </w:tcPr>
          <w:p w14:paraId="35E5E0C2">
            <w:pPr>
              <w:jc w:val="center"/>
              <w:rPr>
                <w:rFonts w:eastAsiaTheme="minorEastAsia"/>
                <w:szCs w:val="21"/>
                <w:highlight w:val="none"/>
                <w:lang w:eastAsia="zh-CN"/>
              </w:rPr>
            </w:pPr>
            <w:r>
              <w:rPr>
                <w:rFonts w:eastAsiaTheme="minorEastAsia"/>
                <w:szCs w:val="21"/>
                <w:highlight w:val="none"/>
                <w:lang w:eastAsia="zh-CN"/>
              </w:rPr>
              <w:t>C</w:t>
            </w:r>
            <w:r>
              <w:rPr>
                <w:rFonts w:eastAsiaTheme="minorEastAsia"/>
                <w:szCs w:val="21"/>
                <w:highlight w:val="none"/>
                <w:vertAlign w:val="subscript"/>
                <w:lang w:eastAsia="zh-CN"/>
              </w:rPr>
              <w:t>11</w:t>
            </w:r>
            <w:r>
              <w:rPr>
                <w:rFonts w:eastAsiaTheme="minorEastAsia"/>
                <w:szCs w:val="21"/>
                <w:highlight w:val="none"/>
                <w:lang w:eastAsia="zh-CN"/>
              </w:rPr>
              <w:t>H</w:t>
            </w:r>
            <w:r>
              <w:rPr>
                <w:rFonts w:eastAsiaTheme="minorEastAsia"/>
                <w:szCs w:val="21"/>
                <w:highlight w:val="none"/>
                <w:vertAlign w:val="subscript"/>
                <w:lang w:eastAsia="zh-CN"/>
              </w:rPr>
              <w:t>14</w:t>
            </w:r>
            <w:r>
              <w:rPr>
                <w:rFonts w:eastAsiaTheme="minorEastAsia"/>
                <w:szCs w:val="21"/>
                <w:highlight w:val="none"/>
                <w:lang w:eastAsia="zh-CN"/>
              </w:rPr>
              <w:t>O</w:t>
            </w:r>
          </w:p>
        </w:tc>
        <w:tc>
          <w:tcPr>
            <w:tcW w:w="2235" w:type="dxa"/>
            <w:vAlign w:val="center"/>
          </w:tcPr>
          <w:p w14:paraId="4EEC3DDB">
            <w:pPr>
              <w:jc w:val="center"/>
              <w:rPr>
                <w:rFonts w:eastAsiaTheme="minorEastAsia"/>
                <w:szCs w:val="21"/>
                <w:highlight w:val="none"/>
                <w:lang w:eastAsia="zh-CN"/>
              </w:rPr>
            </w:pPr>
            <w:r>
              <w:rPr>
                <w:rFonts w:eastAsiaTheme="minorEastAsia"/>
                <w:szCs w:val="21"/>
                <w:highlight w:val="none"/>
                <w:lang w:eastAsia="zh-CN"/>
              </w:rPr>
              <w:t>97%</w:t>
            </w:r>
          </w:p>
        </w:tc>
        <w:tc>
          <w:tcPr>
            <w:tcW w:w="2255" w:type="dxa"/>
          </w:tcPr>
          <w:p w14:paraId="580DCA0E">
            <w:pPr>
              <w:jc w:val="center"/>
              <w:rPr>
                <w:rFonts w:eastAsiaTheme="minorEastAsia"/>
                <w:szCs w:val="21"/>
                <w:highlight w:val="none"/>
                <w:lang w:eastAsia="zh-CN"/>
              </w:rPr>
            </w:pPr>
            <w:r>
              <w:rPr>
                <w:rFonts w:eastAsiaTheme="minorEastAsia"/>
                <w:szCs w:val="21"/>
                <w:highlight w:val="none"/>
                <w:lang w:val="en-US" w:eastAsia="zh-CN"/>
              </w:rPr>
              <w:t>Aladdin</w:t>
            </w:r>
          </w:p>
        </w:tc>
      </w:tr>
      <w:tr w14:paraId="4990F0C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402" w:type="dxa"/>
          </w:tcPr>
          <w:p w14:paraId="32A48A0D">
            <w:pPr>
              <w:jc w:val="center"/>
              <w:rPr>
                <w:rFonts w:eastAsiaTheme="minorEastAsia"/>
                <w:szCs w:val="21"/>
                <w:highlight w:val="none"/>
                <w:lang w:eastAsia="zh-CN"/>
              </w:rPr>
            </w:pPr>
            <w:r>
              <w:rPr>
                <w:rFonts w:eastAsiaTheme="minorEastAsia"/>
                <w:szCs w:val="21"/>
                <w:highlight w:val="none"/>
                <w:lang w:val="en-US" w:eastAsia="zh-CN"/>
              </w:rPr>
              <w:t>Manganese(II) acetate tetrahydrate</w:t>
            </w:r>
          </w:p>
        </w:tc>
        <w:tc>
          <w:tcPr>
            <w:tcW w:w="2551" w:type="dxa"/>
          </w:tcPr>
          <w:p w14:paraId="6D50D59C">
            <w:pPr>
              <w:jc w:val="center"/>
              <w:rPr>
                <w:rFonts w:eastAsiaTheme="minorEastAsia"/>
                <w:szCs w:val="21"/>
                <w:highlight w:val="none"/>
                <w:lang w:eastAsia="zh-CN"/>
              </w:rPr>
            </w:pPr>
            <w:r>
              <w:rPr>
                <w:rFonts w:eastAsiaTheme="minorEastAsia"/>
                <w:szCs w:val="21"/>
                <w:highlight w:val="none"/>
                <w:lang w:eastAsia="zh-CN"/>
              </w:rPr>
              <w:t>Mn(CH</w:t>
            </w:r>
            <w:r>
              <w:rPr>
                <w:rFonts w:eastAsiaTheme="minorEastAsia"/>
                <w:szCs w:val="21"/>
                <w:highlight w:val="none"/>
                <w:vertAlign w:val="subscript"/>
                <w:lang w:eastAsia="zh-CN"/>
              </w:rPr>
              <w:t>3</w:t>
            </w:r>
            <w:r>
              <w:rPr>
                <w:rFonts w:eastAsiaTheme="minorEastAsia"/>
                <w:szCs w:val="21"/>
                <w:highlight w:val="none"/>
                <w:lang w:eastAsia="zh-CN"/>
              </w:rPr>
              <w:t xml:space="preserve">COO) </w:t>
            </w:r>
            <w:r>
              <w:rPr>
                <w:rFonts w:eastAsiaTheme="minorEastAsia"/>
                <w:szCs w:val="21"/>
                <w:highlight w:val="none"/>
                <w:vertAlign w:val="subscript"/>
                <w:lang w:eastAsia="zh-CN"/>
              </w:rPr>
              <w:t>2</w:t>
            </w:r>
            <w:r>
              <w:rPr>
                <w:rFonts w:eastAsiaTheme="minorEastAsia"/>
                <w:szCs w:val="21"/>
                <w:highlight w:val="none"/>
                <w:lang w:eastAsia="zh-CN"/>
              </w:rPr>
              <w:t>•4H</w:t>
            </w:r>
            <w:r>
              <w:rPr>
                <w:rFonts w:eastAsiaTheme="minorEastAsia"/>
                <w:szCs w:val="21"/>
                <w:highlight w:val="none"/>
                <w:vertAlign w:val="subscript"/>
                <w:lang w:eastAsia="zh-CN"/>
              </w:rPr>
              <w:t>2</w:t>
            </w:r>
            <w:r>
              <w:rPr>
                <w:rFonts w:eastAsiaTheme="minorEastAsia"/>
                <w:szCs w:val="21"/>
                <w:highlight w:val="none"/>
                <w:lang w:eastAsia="zh-CN"/>
              </w:rPr>
              <w:t>O</w:t>
            </w:r>
          </w:p>
        </w:tc>
        <w:tc>
          <w:tcPr>
            <w:tcW w:w="2235" w:type="dxa"/>
            <w:vAlign w:val="center"/>
          </w:tcPr>
          <w:p w14:paraId="511FA70D">
            <w:pPr>
              <w:jc w:val="center"/>
              <w:rPr>
                <w:rFonts w:eastAsiaTheme="minorEastAsia"/>
                <w:szCs w:val="21"/>
                <w:highlight w:val="none"/>
                <w:lang w:eastAsia="zh-CN"/>
              </w:rPr>
            </w:pPr>
            <w:r>
              <w:rPr>
                <w:rFonts w:eastAsiaTheme="minorEastAsia"/>
                <w:szCs w:val="21"/>
                <w:highlight w:val="none"/>
                <w:lang w:eastAsia="zh-CN"/>
              </w:rPr>
              <w:t>AR</w:t>
            </w:r>
          </w:p>
        </w:tc>
        <w:tc>
          <w:tcPr>
            <w:tcW w:w="2255" w:type="dxa"/>
          </w:tcPr>
          <w:p w14:paraId="46586E6C">
            <w:pPr>
              <w:jc w:val="center"/>
              <w:rPr>
                <w:rFonts w:eastAsiaTheme="minorEastAsia"/>
                <w:szCs w:val="21"/>
                <w:highlight w:val="none"/>
                <w:lang w:eastAsia="zh-CN"/>
              </w:rPr>
            </w:pPr>
            <w:r>
              <w:rPr>
                <w:rFonts w:eastAsiaTheme="minorEastAsia"/>
                <w:szCs w:val="21"/>
                <w:highlight w:val="none"/>
                <w:lang w:val="en-US" w:eastAsia="zh-CN"/>
              </w:rPr>
              <w:t>Beijing Chemical Works</w:t>
            </w:r>
          </w:p>
        </w:tc>
      </w:tr>
      <w:tr w14:paraId="2188227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402" w:type="dxa"/>
          </w:tcPr>
          <w:p w14:paraId="58714646">
            <w:pPr>
              <w:jc w:val="center"/>
              <w:rPr>
                <w:rFonts w:eastAsiaTheme="minorEastAsia"/>
                <w:szCs w:val="21"/>
                <w:highlight w:val="none"/>
                <w:lang w:eastAsia="zh-CN"/>
              </w:rPr>
            </w:pPr>
            <w:r>
              <w:rPr>
                <w:rFonts w:eastAsiaTheme="minorEastAsia"/>
                <w:szCs w:val="21"/>
                <w:highlight w:val="none"/>
                <w:lang w:val="en-US" w:eastAsia="zh-CN"/>
              </w:rPr>
              <w:t>Iron(II) chloride tetrahydrate</w:t>
            </w:r>
          </w:p>
        </w:tc>
        <w:tc>
          <w:tcPr>
            <w:tcW w:w="2551" w:type="dxa"/>
          </w:tcPr>
          <w:p w14:paraId="0CA1D8AE">
            <w:pPr>
              <w:jc w:val="center"/>
              <w:rPr>
                <w:rFonts w:eastAsiaTheme="minorEastAsia"/>
                <w:szCs w:val="21"/>
                <w:highlight w:val="none"/>
                <w:lang w:eastAsia="zh-CN"/>
              </w:rPr>
            </w:pPr>
            <w:r>
              <w:rPr>
                <w:rFonts w:eastAsiaTheme="minorEastAsia"/>
                <w:szCs w:val="21"/>
                <w:highlight w:val="none"/>
                <w:lang w:eastAsia="zh-CN"/>
              </w:rPr>
              <w:t>FeCl</w:t>
            </w:r>
            <w:r>
              <w:rPr>
                <w:rFonts w:eastAsiaTheme="minorEastAsia"/>
                <w:szCs w:val="21"/>
                <w:highlight w:val="none"/>
                <w:vertAlign w:val="subscript"/>
                <w:lang w:eastAsia="zh-CN"/>
              </w:rPr>
              <w:t>2</w:t>
            </w:r>
            <w:r>
              <w:rPr>
                <w:rFonts w:eastAsiaTheme="minorEastAsia"/>
                <w:szCs w:val="21"/>
                <w:highlight w:val="none"/>
                <w:lang w:eastAsia="zh-CN"/>
              </w:rPr>
              <w:t>•4H</w:t>
            </w:r>
            <w:r>
              <w:rPr>
                <w:rFonts w:eastAsiaTheme="minorEastAsia"/>
                <w:szCs w:val="21"/>
                <w:highlight w:val="none"/>
                <w:vertAlign w:val="subscript"/>
                <w:lang w:eastAsia="zh-CN"/>
              </w:rPr>
              <w:t>2</w:t>
            </w:r>
            <w:r>
              <w:rPr>
                <w:rFonts w:eastAsiaTheme="minorEastAsia"/>
                <w:szCs w:val="21"/>
                <w:highlight w:val="none"/>
                <w:lang w:eastAsia="zh-CN"/>
              </w:rPr>
              <w:t>O</w:t>
            </w:r>
          </w:p>
        </w:tc>
        <w:tc>
          <w:tcPr>
            <w:tcW w:w="2235" w:type="dxa"/>
            <w:vAlign w:val="center"/>
          </w:tcPr>
          <w:p w14:paraId="3802383E">
            <w:pPr>
              <w:jc w:val="center"/>
              <w:rPr>
                <w:rFonts w:eastAsiaTheme="minorEastAsia"/>
                <w:szCs w:val="21"/>
                <w:highlight w:val="none"/>
                <w:lang w:eastAsia="zh-CN"/>
              </w:rPr>
            </w:pPr>
            <w:r>
              <w:rPr>
                <w:rFonts w:eastAsiaTheme="minorEastAsia"/>
                <w:szCs w:val="21"/>
                <w:highlight w:val="none"/>
                <w:lang w:eastAsia="zh-CN"/>
              </w:rPr>
              <w:t>AR</w:t>
            </w:r>
          </w:p>
        </w:tc>
        <w:tc>
          <w:tcPr>
            <w:tcW w:w="2255" w:type="dxa"/>
          </w:tcPr>
          <w:p w14:paraId="483482BB">
            <w:pPr>
              <w:jc w:val="center"/>
              <w:rPr>
                <w:rFonts w:eastAsiaTheme="minorEastAsia"/>
                <w:szCs w:val="21"/>
                <w:highlight w:val="none"/>
                <w:lang w:eastAsia="zh-CN"/>
              </w:rPr>
            </w:pPr>
            <w:r>
              <w:rPr>
                <w:rFonts w:eastAsiaTheme="minorEastAsia"/>
                <w:szCs w:val="21"/>
                <w:highlight w:val="none"/>
                <w:lang w:val="en-US" w:eastAsia="zh-CN"/>
              </w:rPr>
              <w:t>Beijing Chemical Works</w:t>
            </w:r>
          </w:p>
        </w:tc>
      </w:tr>
      <w:tr w14:paraId="6279F45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402" w:type="dxa"/>
          </w:tcPr>
          <w:p w14:paraId="7E9F0399">
            <w:pPr>
              <w:jc w:val="center"/>
              <w:rPr>
                <w:rFonts w:eastAsiaTheme="minorEastAsia"/>
                <w:szCs w:val="21"/>
                <w:highlight w:val="none"/>
                <w:lang w:eastAsia="zh-CN"/>
              </w:rPr>
            </w:pPr>
            <w:r>
              <w:rPr>
                <w:rFonts w:eastAsiaTheme="minorEastAsia"/>
                <w:szCs w:val="21"/>
                <w:highlight w:val="none"/>
                <w:lang w:val="en-US" w:eastAsia="zh-CN"/>
              </w:rPr>
              <w:t>Cobalt(II) acetate tetrahydrate</w:t>
            </w:r>
          </w:p>
        </w:tc>
        <w:tc>
          <w:tcPr>
            <w:tcW w:w="2551" w:type="dxa"/>
          </w:tcPr>
          <w:p w14:paraId="3559F2A7">
            <w:pPr>
              <w:jc w:val="center"/>
              <w:rPr>
                <w:rFonts w:eastAsiaTheme="minorEastAsia"/>
                <w:szCs w:val="21"/>
                <w:highlight w:val="none"/>
                <w:lang w:eastAsia="zh-CN"/>
              </w:rPr>
            </w:pPr>
            <w:r>
              <w:rPr>
                <w:rFonts w:eastAsiaTheme="minorEastAsia"/>
                <w:szCs w:val="21"/>
                <w:highlight w:val="none"/>
                <w:lang w:eastAsia="zh-CN"/>
              </w:rPr>
              <w:t xml:space="preserve">Co(Co(CH3COO) </w:t>
            </w:r>
            <w:r>
              <w:rPr>
                <w:rFonts w:eastAsiaTheme="minorEastAsia"/>
                <w:szCs w:val="21"/>
                <w:highlight w:val="none"/>
                <w:vertAlign w:val="subscript"/>
                <w:lang w:eastAsia="zh-CN"/>
              </w:rPr>
              <w:t>2</w:t>
            </w:r>
            <w:r>
              <w:rPr>
                <w:rFonts w:eastAsiaTheme="minorEastAsia"/>
                <w:szCs w:val="21"/>
                <w:highlight w:val="none"/>
                <w:lang w:eastAsia="zh-CN"/>
              </w:rPr>
              <w:t>•4H</w:t>
            </w:r>
            <w:r>
              <w:rPr>
                <w:rFonts w:eastAsiaTheme="minorEastAsia"/>
                <w:szCs w:val="21"/>
                <w:highlight w:val="none"/>
                <w:vertAlign w:val="subscript"/>
                <w:lang w:eastAsia="zh-CN"/>
              </w:rPr>
              <w:t>2</w:t>
            </w:r>
            <w:r>
              <w:rPr>
                <w:rFonts w:eastAsiaTheme="minorEastAsia"/>
                <w:szCs w:val="21"/>
                <w:highlight w:val="none"/>
                <w:lang w:eastAsia="zh-CN"/>
              </w:rPr>
              <w:t>O</w:t>
            </w:r>
          </w:p>
        </w:tc>
        <w:tc>
          <w:tcPr>
            <w:tcW w:w="2235" w:type="dxa"/>
            <w:vAlign w:val="center"/>
          </w:tcPr>
          <w:p w14:paraId="56BEC410">
            <w:pPr>
              <w:jc w:val="center"/>
              <w:rPr>
                <w:rFonts w:eastAsiaTheme="minorEastAsia"/>
                <w:szCs w:val="21"/>
                <w:highlight w:val="none"/>
                <w:lang w:eastAsia="zh-CN"/>
              </w:rPr>
            </w:pPr>
            <w:r>
              <w:rPr>
                <w:rFonts w:eastAsiaTheme="minorEastAsia"/>
                <w:szCs w:val="21"/>
                <w:highlight w:val="none"/>
                <w:lang w:eastAsia="zh-CN"/>
              </w:rPr>
              <w:t>AR</w:t>
            </w:r>
          </w:p>
        </w:tc>
        <w:tc>
          <w:tcPr>
            <w:tcW w:w="2255" w:type="dxa"/>
          </w:tcPr>
          <w:p w14:paraId="6F747A05">
            <w:pPr>
              <w:jc w:val="center"/>
              <w:rPr>
                <w:rFonts w:eastAsiaTheme="minorEastAsia"/>
                <w:szCs w:val="21"/>
                <w:highlight w:val="none"/>
                <w:lang w:eastAsia="zh-CN"/>
              </w:rPr>
            </w:pPr>
            <w:r>
              <w:rPr>
                <w:rFonts w:eastAsiaTheme="minorEastAsia"/>
                <w:szCs w:val="21"/>
                <w:highlight w:val="none"/>
                <w:lang w:val="en-US" w:eastAsia="zh-CN"/>
              </w:rPr>
              <w:t>Beijing Chemical Works</w:t>
            </w:r>
          </w:p>
        </w:tc>
      </w:tr>
      <w:tr w14:paraId="16FE7BD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402" w:type="dxa"/>
          </w:tcPr>
          <w:p w14:paraId="7B9FCEC6">
            <w:pPr>
              <w:jc w:val="center"/>
              <w:rPr>
                <w:rFonts w:eastAsiaTheme="minorEastAsia"/>
                <w:szCs w:val="21"/>
                <w:highlight w:val="none"/>
                <w:lang w:eastAsia="zh-CN"/>
              </w:rPr>
            </w:pPr>
            <w:r>
              <w:rPr>
                <w:rFonts w:eastAsiaTheme="minorEastAsia"/>
                <w:szCs w:val="21"/>
                <w:highlight w:val="none"/>
                <w:lang w:val="en-US" w:eastAsia="zh-CN"/>
              </w:rPr>
              <w:t>Zinc acetate dihydrate</w:t>
            </w:r>
          </w:p>
        </w:tc>
        <w:tc>
          <w:tcPr>
            <w:tcW w:w="2551" w:type="dxa"/>
          </w:tcPr>
          <w:p w14:paraId="3CCC76F8">
            <w:pPr>
              <w:jc w:val="center"/>
              <w:rPr>
                <w:rFonts w:eastAsiaTheme="minorEastAsia"/>
                <w:szCs w:val="21"/>
                <w:highlight w:val="none"/>
                <w:lang w:eastAsia="zh-CN"/>
              </w:rPr>
            </w:pPr>
            <w:r>
              <w:rPr>
                <w:rFonts w:eastAsiaTheme="minorEastAsia"/>
                <w:szCs w:val="21"/>
                <w:highlight w:val="none"/>
                <w:lang w:eastAsia="zh-CN"/>
              </w:rPr>
              <w:t>Zn(CH</w:t>
            </w:r>
            <w:r>
              <w:rPr>
                <w:rFonts w:eastAsiaTheme="minorEastAsia"/>
                <w:szCs w:val="21"/>
                <w:highlight w:val="none"/>
                <w:vertAlign w:val="subscript"/>
                <w:lang w:eastAsia="zh-CN"/>
              </w:rPr>
              <w:t>3</w:t>
            </w:r>
            <w:r>
              <w:rPr>
                <w:rFonts w:eastAsiaTheme="minorEastAsia"/>
                <w:szCs w:val="21"/>
                <w:highlight w:val="none"/>
                <w:lang w:eastAsia="zh-CN"/>
              </w:rPr>
              <w:t xml:space="preserve">COO) </w:t>
            </w:r>
            <w:r>
              <w:rPr>
                <w:rFonts w:eastAsiaTheme="minorEastAsia"/>
                <w:szCs w:val="21"/>
                <w:highlight w:val="none"/>
                <w:vertAlign w:val="subscript"/>
                <w:lang w:eastAsia="zh-CN"/>
              </w:rPr>
              <w:t>2</w:t>
            </w:r>
            <w:r>
              <w:rPr>
                <w:rFonts w:eastAsiaTheme="minorEastAsia"/>
                <w:szCs w:val="21"/>
                <w:highlight w:val="none"/>
                <w:lang w:eastAsia="zh-CN"/>
              </w:rPr>
              <w:t>•2H</w:t>
            </w:r>
            <w:r>
              <w:rPr>
                <w:rFonts w:eastAsiaTheme="minorEastAsia"/>
                <w:szCs w:val="21"/>
                <w:highlight w:val="none"/>
                <w:vertAlign w:val="subscript"/>
                <w:lang w:eastAsia="zh-CN"/>
              </w:rPr>
              <w:t>2</w:t>
            </w:r>
            <w:r>
              <w:rPr>
                <w:rFonts w:eastAsiaTheme="minorEastAsia"/>
                <w:szCs w:val="21"/>
                <w:highlight w:val="none"/>
                <w:lang w:eastAsia="zh-CN"/>
              </w:rPr>
              <w:t>O</w:t>
            </w:r>
          </w:p>
        </w:tc>
        <w:tc>
          <w:tcPr>
            <w:tcW w:w="2235" w:type="dxa"/>
            <w:vAlign w:val="center"/>
          </w:tcPr>
          <w:p w14:paraId="0AFCD772">
            <w:pPr>
              <w:jc w:val="center"/>
              <w:rPr>
                <w:rFonts w:eastAsiaTheme="minorEastAsia"/>
                <w:szCs w:val="21"/>
                <w:highlight w:val="none"/>
                <w:lang w:eastAsia="zh-CN"/>
              </w:rPr>
            </w:pPr>
            <w:r>
              <w:rPr>
                <w:rFonts w:eastAsiaTheme="minorEastAsia"/>
                <w:szCs w:val="21"/>
                <w:highlight w:val="none"/>
                <w:lang w:eastAsia="zh-CN"/>
              </w:rPr>
              <w:t>AR，99%</w:t>
            </w:r>
          </w:p>
        </w:tc>
        <w:tc>
          <w:tcPr>
            <w:tcW w:w="2255" w:type="dxa"/>
          </w:tcPr>
          <w:p w14:paraId="20E1F19B">
            <w:pPr>
              <w:jc w:val="center"/>
              <w:rPr>
                <w:rFonts w:eastAsiaTheme="minorEastAsia"/>
                <w:szCs w:val="21"/>
                <w:highlight w:val="none"/>
                <w:lang w:eastAsia="zh-CN"/>
              </w:rPr>
            </w:pPr>
            <w:r>
              <w:rPr>
                <w:rFonts w:eastAsiaTheme="minorEastAsia"/>
                <w:szCs w:val="21"/>
                <w:highlight w:val="none"/>
                <w:lang w:val="en-US" w:eastAsia="zh-CN"/>
              </w:rPr>
              <w:t>Aladdin</w:t>
            </w:r>
          </w:p>
        </w:tc>
      </w:tr>
      <w:tr w14:paraId="7C54E5C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402" w:type="dxa"/>
          </w:tcPr>
          <w:p w14:paraId="3BE180E2">
            <w:pPr>
              <w:jc w:val="center"/>
              <w:rPr>
                <w:rFonts w:eastAsiaTheme="minorEastAsia"/>
                <w:szCs w:val="21"/>
                <w:highlight w:val="none"/>
                <w:lang w:eastAsia="zh-CN"/>
              </w:rPr>
            </w:pPr>
            <w:r>
              <w:rPr>
                <w:rFonts w:eastAsiaTheme="minorEastAsia"/>
                <w:szCs w:val="21"/>
                <w:highlight w:val="none"/>
                <w:lang w:val="en-US" w:eastAsia="zh-CN"/>
              </w:rPr>
              <w:t>Iron(II) sulfate heptahydrate</w:t>
            </w:r>
          </w:p>
        </w:tc>
        <w:tc>
          <w:tcPr>
            <w:tcW w:w="2551" w:type="dxa"/>
          </w:tcPr>
          <w:p w14:paraId="551A2429">
            <w:pPr>
              <w:jc w:val="center"/>
              <w:rPr>
                <w:rFonts w:eastAsiaTheme="minorEastAsia"/>
                <w:szCs w:val="21"/>
                <w:highlight w:val="none"/>
                <w:lang w:eastAsia="zh-CN"/>
              </w:rPr>
            </w:pPr>
            <w:r>
              <w:rPr>
                <w:rFonts w:eastAsiaTheme="minorEastAsia"/>
                <w:szCs w:val="21"/>
                <w:highlight w:val="none"/>
                <w:lang w:eastAsia="zh-CN"/>
              </w:rPr>
              <w:t>FeSO</w:t>
            </w:r>
            <w:r>
              <w:rPr>
                <w:rFonts w:eastAsiaTheme="minorEastAsia"/>
                <w:szCs w:val="21"/>
                <w:highlight w:val="none"/>
                <w:vertAlign w:val="subscript"/>
                <w:lang w:eastAsia="zh-CN"/>
              </w:rPr>
              <w:t>4</w:t>
            </w:r>
            <w:r>
              <w:rPr>
                <w:rFonts w:eastAsiaTheme="minorEastAsia"/>
                <w:szCs w:val="21"/>
                <w:highlight w:val="none"/>
                <w:lang w:eastAsia="zh-CN"/>
              </w:rPr>
              <w:t>·7H</w:t>
            </w:r>
            <w:r>
              <w:rPr>
                <w:rFonts w:eastAsiaTheme="minorEastAsia"/>
                <w:szCs w:val="21"/>
                <w:highlight w:val="none"/>
                <w:vertAlign w:val="subscript"/>
                <w:lang w:eastAsia="zh-CN"/>
              </w:rPr>
              <w:t>2</w:t>
            </w:r>
            <w:r>
              <w:rPr>
                <w:rFonts w:eastAsiaTheme="minorEastAsia"/>
                <w:szCs w:val="21"/>
                <w:highlight w:val="none"/>
                <w:lang w:eastAsia="zh-CN"/>
              </w:rPr>
              <w:t>O</w:t>
            </w:r>
          </w:p>
        </w:tc>
        <w:tc>
          <w:tcPr>
            <w:tcW w:w="2235" w:type="dxa"/>
            <w:vAlign w:val="center"/>
          </w:tcPr>
          <w:p w14:paraId="66EA0C5D">
            <w:pPr>
              <w:jc w:val="center"/>
              <w:rPr>
                <w:rFonts w:eastAsiaTheme="minorEastAsia"/>
                <w:szCs w:val="21"/>
                <w:highlight w:val="none"/>
                <w:lang w:eastAsia="zh-CN"/>
              </w:rPr>
            </w:pPr>
            <w:r>
              <w:rPr>
                <w:rFonts w:eastAsiaTheme="minorEastAsia"/>
                <w:szCs w:val="21"/>
                <w:highlight w:val="none"/>
                <w:lang w:eastAsia="zh-CN"/>
              </w:rPr>
              <w:t>AR</w:t>
            </w:r>
          </w:p>
        </w:tc>
        <w:tc>
          <w:tcPr>
            <w:tcW w:w="2255" w:type="dxa"/>
          </w:tcPr>
          <w:p w14:paraId="3BE932F6">
            <w:pPr>
              <w:jc w:val="center"/>
              <w:rPr>
                <w:rFonts w:eastAsiaTheme="minorEastAsia"/>
                <w:szCs w:val="21"/>
                <w:highlight w:val="none"/>
                <w:lang w:eastAsia="zh-CN"/>
              </w:rPr>
            </w:pPr>
            <w:r>
              <w:rPr>
                <w:rFonts w:eastAsiaTheme="minorEastAsia"/>
                <w:szCs w:val="21"/>
                <w:highlight w:val="none"/>
                <w:lang w:val="en-US" w:eastAsia="zh-CN"/>
              </w:rPr>
              <w:t>Sinopharm Chemical Reagent</w:t>
            </w:r>
          </w:p>
        </w:tc>
      </w:tr>
      <w:tr w14:paraId="1809606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402" w:type="dxa"/>
          </w:tcPr>
          <w:p w14:paraId="5FFFD809">
            <w:pPr>
              <w:jc w:val="center"/>
              <w:rPr>
                <w:rFonts w:eastAsiaTheme="minorEastAsia"/>
                <w:szCs w:val="21"/>
                <w:highlight w:val="none"/>
                <w:lang w:eastAsia="zh-CN"/>
              </w:rPr>
            </w:pPr>
            <w:r>
              <w:rPr>
                <w:rFonts w:eastAsiaTheme="minorEastAsia"/>
                <w:szCs w:val="21"/>
                <w:highlight w:val="none"/>
                <w:lang w:val="en-US" w:eastAsia="zh-CN"/>
              </w:rPr>
              <w:t>Iron(III) nitrate nonahydrate</w:t>
            </w:r>
          </w:p>
        </w:tc>
        <w:tc>
          <w:tcPr>
            <w:tcW w:w="2551" w:type="dxa"/>
          </w:tcPr>
          <w:p w14:paraId="750FBBE4">
            <w:pPr>
              <w:jc w:val="center"/>
              <w:rPr>
                <w:rFonts w:eastAsiaTheme="minorEastAsia"/>
                <w:szCs w:val="21"/>
                <w:highlight w:val="none"/>
                <w:lang w:eastAsia="zh-CN"/>
              </w:rPr>
            </w:pPr>
            <w:r>
              <w:rPr>
                <w:rFonts w:eastAsiaTheme="minorEastAsia"/>
                <w:szCs w:val="21"/>
                <w:highlight w:val="none"/>
                <w:lang w:eastAsia="zh-CN"/>
              </w:rPr>
              <w:t>FeN</w:t>
            </w:r>
            <w:r>
              <w:rPr>
                <w:rFonts w:eastAsiaTheme="minorEastAsia"/>
                <w:szCs w:val="21"/>
                <w:highlight w:val="none"/>
                <w:vertAlign w:val="subscript"/>
                <w:lang w:eastAsia="zh-CN"/>
              </w:rPr>
              <w:t>3</w:t>
            </w:r>
            <w:r>
              <w:rPr>
                <w:rFonts w:eastAsiaTheme="minorEastAsia"/>
                <w:szCs w:val="21"/>
                <w:highlight w:val="none"/>
                <w:lang w:eastAsia="zh-CN"/>
              </w:rPr>
              <w:t>O</w:t>
            </w:r>
            <w:r>
              <w:rPr>
                <w:rFonts w:eastAsiaTheme="minorEastAsia"/>
                <w:szCs w:val="21"/>
                <w:highlight w:val="none"/>
                <w:vertAlign w:val="subscript"/>
                <w:lang w:eastAsia="zh-CN"/>
              </w:rPr>
              <w:t>9</w:t>
            </w:r>
            <w:r>
              <w:rPr>
                <w:rFonts w:eastAsiaTheme="minorEastAsia"/>
                <w:szCs w:val="21"/>
                <w:highlight w:val="none"/>
                <w:lang w:eastAsia="zh-CN"/>
              </w:rPr>
              <w:t>·9H</w:t>
            </w:r>
            <w:r>
              <w:rPr>
                <w:rFonts w:eastAsiaTheme="minorEastAsia"/>
                <w:szCs w:val="21"/>
                <w:highlight w:val="none"/>
                <w:vertAlign w:val="subscript"/>
                <w:lang w:eastAsia="zh-CN"/>
              </w:rPr>
              <w:t>2</w:t>
            </w:r>
            <w:r>
              <w:rPr>
                <w:rFonts w:eastAsiaTheme="minorEastAsia"/>
                <w:szCs w:val="21"/>
                <w:highlight w:val="none"/>
                <w:lang w:eastAsia="zh-CN"/>
              </w:rPr>
              <w:t>O</w:t>
            </w:r>
          </w:p>
        </w:tc>
        <w:tc>
          <w:tcPr>
            <w:tcW w:w="2235" w:type="dxa"/>
            <w:vAlign w:val="center"/>
          </w:tcPr>
          <w:p w14:paraId="77A805DF">
            <w:pPr>
              <w:jc w:val="center"/>
              <w:rPr>
                <w:rFonts w:eastAsiaTheme="minorEastAsia"/>
                <w:szCs w:val="21"/>
                <w:highlight w:val="none"/>
                <w:lang w:eastAsia="zh-CN"/>
              </w:rPr>
            </w:pPr>
            <w:r>
              <w:rPr>
                <w:rFonts w:eastAsiaTheme="minorEastAsia"/>
                <w:szCs w:val="21"/>
                <w:highlight w:val="none"/>
                <w:lang w:eastAsia="zh-CN"/>
              </w:rPr>
              <w:t>99.9%</w:t>
            </w:r>
          </w:p>
        </w:tc>
        <w:tc>
          <w:tcPr>
            <w:tcW w:w="2255" w:type="dxa"/>
          </w:tcPr>
          <w:p w14:paraId="03F63985">
            <w:pPr>
              <w:jc w:val="center"/>
              <w:rPr>
                <w:rFonts w:eastAsiaTheme="minorEastAsia"/>
                <w:szCs w:val="21"/>
                <w:highlight w:val="none"/>
                <w:lang w:eastAsia="zh-CN"/>
              </w:rPr>
            </w:pPr>
            <w:r>
              <w:rPr>
                <w:rFonts w:eastAsiaTheme="minorEastAsia"/>
                <w:szCs w:val="21"/>
                <w:highlight w:val="none"/>
                <w:lang w:val="en-US" w:eastAsia="zh-CN"/>
              </w:rPr>
              <w:t>Shanghai Macklin Biochemical Technology Co., Ltd.</w:t>
            </w:r>
          </w:p>
        </w:tc>
      </w:tr>
      <w:tr w14:paraId="35D9D6F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402" w:type="dxa"/>
          </w:tcPr>
          <w:p w14:paraId="3AC36ADD">
            <w:pPr>
              <w:jc w:val="center"/>
              <w:rPr>
                <w:rFonts w:eastAsiaTheme="minorEastAsia"/>
                <w:szCs w:val="21"/>
                <w:highlight w:val="none"/>
                <w:lang w:eastAsia="zh-CN"/>
              </w:rPr>
            </w:pPr>
            <w:r>
              <w:rPr>
                <w:rFonts w:eastAsiaTheme="minorEastAsia"/>
                <w:szCs w:val="21"/>
                <w:highlight w:val="none"/>
                <w:lang w:val="en-US" w:eastAsia="zh-CN"/>
              </w:rPr>
              <w:t>Propionic acid</w:t>
            </w:r>
          </w:p>
        </w:tc>
        <w:tc>
          <w:tcPr>
            <w:tcW w:w="2551" w:type="dxa"/>
          </w:tcPr>
          <w:p w14:paraId="75E78343">
            <w:pPr>
              <w:jc w:val="center"/>
              <w:rPr>
                <w:rFonts w:eastAsiaTheme="minorEastAsia"/>
                <w:szCs w:val="21"/>
                <w:highlight w:val="none"/>
                <w:lang w:eastAsia="zh-CN"/>
              </w:rPr>
            </w:pPr>
            <w:r>
              <w:rPr>
                <w:rFonts w:eastAsiaTheme="minorEastAsia"/>
                <w:szCs w:val="21"/>
                <w:highlight w:val="none"/>
                <w:lang w:eastAsia="zh-CN"/>
              </w:rPr>
              <w:t>C</w:t>
            </w:r>
            <w:r>
              <w:rPr>
                <w:rFonts w:eastAsiaTheme="minorEastAsia"/>
                <w:szCs w:val="21"/>
                <w:highlight w:val="none"/>
                <w:vertAlign w:val="subscript"/>
                <w:lang w:eastAsia="zh-CN"/>
              </w:rPr>
              <w:t>3</w:t>
            </w:r>
            <w:r>
              <w:rPr>
                <w:rFonts w:eastAsiaTheme="minorEastAsia"/>
                <w:szCs w:val="21"/>
                <w:highlight w:val="none"/>
                <w:lang w:eastAsia="zh-CN"/>
              </w:rPr>
              <w:t>H</w:t>
            </w:r>
            <w:r>
              <w:rPr>
                <w:rFonts w:eastAsiaTheme="minorEastAsia"/>
                <w:szCs w:val="21"/>
                <w:highlight w:val="none"/>
                <w:vertAlign w:val="subscript"/>
                <w:lang w:eastAsia="zh-CN"/>
              </w:rPr>
              <w:t>6</w:t>
            </w:r>
            <w:r>
              <w:rPr>
                <w:rFonts w:eastAsiaTheme="minorEastAsia"/>
                <w:szCs w:val="21"/>
                <w:highlight w:val="none"/>
                <w:lang w:eastAsia="zh-CN"/>
              </w:rPr>
              <w:t>O</w:t>
            </w:r>
            <w:r>
              <w:rPr>
                <w:rFonts w:eastAsiaTheme="minorEastAsia"/>
                <w:szCs w:val="21"/>
                <w:highlight w:val="none"/>
                <w:vertAlign w:val="subscript"/>
                <w:lang w:eastAsia="zh-CN"/>
              </w:rPr>
              <w:t>2</w:t>
            </w:r>
          </w:p>
        </w:tc>
        <w:tc>
          <w:tcPr>
            <w:tcW w:w="2235" w:type="dxa"/>
            <w:vAlign w:val="center"/>
          </w:tcPr>
          <w:p w14:paraId="4DA39F85">
            <w:pPr>
              <w:jc w:val="center"/>
              <w:rPr>
                <w:rFonts w:eastAsiaTheme="minorEastAsia"/>
                <w:szCs w:val="21"/>
                <w:highlight w:val="none"/>
                <w:lang w:eastAsia="zh-CN"/>
              </w:rPr>
            </w:pPr>
            <w:r>
              <w:rPr>
                <w:rFonts w:eastAsiaTheme="minorEastAsia"/>
                <w:szCs w:val="21"/>
                <w:highlight w:val="none"/>
                <w:lang w:eastAsia="zh-CN"/>
              </w:rPr>
              <w:t>AR，≥99.%</w:t>
            </w:r>
          </w:p>
        </w:tc>
        <w:tc>
          <w:tcPr>
            <w:tcW w:w="2255" w:type="dxa"/>
          </w:tcPr>
          <w:p w14:paraId="192B86AA">
            <w:pPr>
              <w:jc w:val="center"/>
              <w:rPr>
                <w:rFonts w:eastAsiaTheme="minorEastAsia"/>
                <w:szCs w:val="21"/>
                <w:highlight w:val="none"/>
                <w:lang w:eastAsia="zh-CN"/>
              </w:rPr>
            </w:pPr>
            <w:r>
              <w:rPr>
                <w:rFonts w:eastAsiaTheme="minorEastAsia"/>
                <w:szCs w:val="21"/>
                <w:highlight w:val="none"/>
                <w:lang w:val="en-US" w:eastAsia="zh-CN"/>
              </w:rPr>
              <w:t>Aladdin</w:t>
            </w:r>
          </w:p>
        </w:tc>
      </w:tr>
      <w:tr w14:paraId="56C851F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402" w:type="dxa"/>
          </w:tcPr>
          <w:p w14:paraId="011885D8">
            <w:pPr>
              <w:jc w:val="center"/>
              <w:rPr>
                <w:rFonts w:eastAsiaTheme="minorEastAsia"/>
                <w:szCs w:val="21"/>
                <w:highlight w:val="none"/>
                <w:lang w:eastAsia="zh-CN"/>
              </w:rPr>
            </w:pPr>
            <w:r>
              <w:rPr>
                <w:rFonts w:eastAsiaTheme="minorEastAsia"/>
                <w:szCs w:val="21"/>
                <w:highlight w:val="none"/>
                <w:lang w:val="en-US" w:eastAsia="zh-CN"/>
              </w:rPr>
              <w:t>Acetone</w:t>
            </w:r>
          </w:p>
        </w:tc>
        <w:tc>
          <w:tcPr>
            <w:tcW w:w="2551" w:type="dxa"/>
          </w:tcPr>
          <w:p w14:paraId="24D36738">
            <w:pPr>
              <w:jc w:val="center"/>
              <w:rPr>
                <w:rFonts w:eastAsiaTheme="minorEastAsia"/>
                <w:szCs w:val="21"/>
                <w:highlight w:val="none"/>
                <w:lang w:eastAsia="zh-CN"/>
              </w:rPr>
            </w:pPr>
            <w:r>
              <w:rPr>
                <w:rFonts w:eastAsiaTheme="minorEastAsia"/>
                <w:szCs w:val="21"/>
                <w:highlight w:val="none"/>
                <w:lang w:eastAsia="zh-CN"/>
              </w:rPr>
              <w:t>C</w:t>
            </w:r>
            <w:r>
              <w:rPr>
                <w:rFonts w:eastAsiaTheme="minorEastAsia"/>
                <w:szCs w:val="21"/>
                <w:highlight w:val="none"/>
                <w:vertAlign w:val="subscript"/>
                <w:lang w:eastAsia="zh-CN"/>
              </w:rPr>
              <w:t>3</w:t>
            </w:r>
            <w:r>
              <w:rPr>
                <w:rFonts w:eastAsiaTheme="minorEastAsia"/>
                <w:szCs w:val="21"/>
                <w:highlight w:val="none"/>
                <w:lang w:eastAsia="zh-CN"/>
              </w:rPr>
              <w:t>H</w:t>
            </w:r>
            <w:r>
              <w:rPr>
                <w:rFonts w:eastAsiaTheme="minorEastAsia"/>
                <w:szCs w:val="21"/>
                <w:highlight w:val="none"/>
                <w:vertAlign w:val="subscript"/>
                <w:lang w:eastAsia="zh-CN"/>
              </w:rPr>
              <w:t>6</w:t>
            </w:r>
            <w:r>
              <w:rPr>
                <w:rFonts w:eastAsiaTheme="minorEastAsia"/>
                <w:szCs w:val="21"/>
                <w:highlight w:val="none"/>
                <w:lang w:eastAsia="zh-CN"/>
              </w:rPr>
              <w:t>O</w:t>
            </w:r>
          </w:p>
        </w:tc>
        <w:tc>
          <w:tcPr>
            <w:tcW w:w="2235" w:type="dxa"/>
            <w:vAlign w:val="center"/>
          </w:tcPr>
          <w:p w14:paraId="5D2B8837">
            <w:pPr>
              <w:jc w:val="center"/>
              <w:rPr>
                <w:rFonts w:eastAsiaTheme="minorEastAsia"/>
                <w:szCs w:val="21"/>
                <w:highlight w:val="none"/>
                <w:lang w:eastAsia="zh-CN"/>
              </w:rPr>
            </w:pPr>
            <w:r>
              <w:rPr>
                <w:rFonts w:eastAsiaTheme="minorEastAsia"/>
                <w:szCs w:val="21"/>
                <w:highlight w:val="none"/>
                <w:lang w:eastAsia="zh-CN"/>
              </w:rPr>
              <w:t>AR</w:t>
            </w:r>
          </w:p>
        </w:tc>
        <w:tc>
          <w:tcPr>
            <w:tcW w:w="2255" w:type="dxa"/>
          </w:tcPr>
          <w:p w14:paraId="6A158626">
            <w:pPr>
              <w:jc w:val="center"/>
              <w:rPr>
                <w:rFonts w:eastAsiaTheme="minorEastAsia"/>
                <w:szCs w:val="21"/>
                <w:highlight w:val="none"/>
                <w:lang w:eastAsia="zh-CN"/>
              </w:rPr>
            </w:pPr>
            <w:r>
              <w:rPr>
                <w:rFonts w:eastAsiaTheme="minorEastAsia"/>
                <w:szCs w:val="21"/>
                <w:highlight w:val="none"/>
                <w:lang w:val="en-US" w:eastAsia="zh-CN"/>
              </w:rPr>
              <w:t>Tianjin Fuyu Chemical</w:t>
            </w:r>
          </w:p>
        </w:tc>
      </w:tr>
      <w:tr w14:paraId="3C076F5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402" w:type="dxa"/>
          </w:tcPr>
          <w:p w14:paraId="5DFE7695">
            <w:pPr>
              <w:jc w:val="center"/>
              <w:rPr>
                <w:rFonts w:eastAsiaTheme="minorEastAsia"/>
                <w:szCs w:val="21"/>
                <w:highlight w:val="none"/>
                <w:lang w:eastAsia="zh-CN"/>
              </w:rPr>
            </w:pPr>
            <w:r>
              <w:rPr>
                <w:rFonts w:eastAsiaTheme="minorEastAsia"/>
                <w:szCs w:val="21"/>
                <w:highlight w:val="none"/>
                <w:lang w:val="en-US" w:eastAsia="zh-CN"/>
              </w:rPr>
              <w:t>Isopropanol</w:t>
            </w:r>
          </w:p>
        </w:tc>
        <w:tc>
          <w:tcPr>
            <w:tcW w:w="2551" w:type="dxa"/>
          </w:tcPr>
          <w:p w14:paraId="06180EE5">
            <w:pPr>
              <w:jc w:val="center"/>
              <w:rPr>
                <w:rFonts w:eastAsiaTheme="minorEastAsia"/>
                <w:szCs w:val="21"/>
                <w:highlight w:val="none"/>
                <w:lang w:eastAsia="zh-CN"/>
              </w:rPr>
            </w:pPr>
            <w:r>
              <w:rPr>
                <w:rFonts w:eastAsiaTheme="minorEastAsia"/>
                <w:szCs w:val="21"/>
                <w:highlight w:val="none"/>
                <w:lang w:eastAsia="zh-CN"/>
              </w:rPr>
              <w:t>C</w:t>
            </w:r>
            <w:r>
              <w:rPr>
                <w:rFonts w:eastAsiaTheme="minorEastAsia"/>
                <w:szCs w:val="21"/>
                <w:highlight w:val="none"/>
                <w:vertAlign w:val="subscript"/>
                <w:lang w:eastAsia="zh-CN"/>
              </w:rPr>
              <w:t>3</w:t>
            </w:r>
            <w:r>
              <w:rPr>
                <w:rFonts w:eastAsiaTheme="minorEastAsia"/>
                <w:szCs w:val="21"/>
                <w:highlight w:val="none"/>
                <w:lang w:eastAsia="zh-CN"/>
              </w:rPr>
              <w:t>H</w:t>
            </w:r>
            <w:r>
              <w:rPr>
                <w:rFonts w:eastAsiaTheme="minorEastAsia"/>
                <w:szCs w:val="21"/>
                <w:highlight w:val="none"/>
                <w:vertAlign w:val="subscript"/>
                <w:lang w:eastAsia="zh-CN"/>
              </w:rPr>
              <w:t>8</w:t>
            </w:r>
            <w:r>
              <w:rPr>
                <w:rFonts w:eastAsiaTheme="minorEastAsia"/>
                <w:szCs w:val="21"/>
                <w:highlight w:val="none"/>
                <w:lang w:eastAsia="zh-CN"/>
              </w:rPr>
              <w:t>O</w:t>
            </w:r>
          </w:p>
        </w:tc>
        <w:tc>
          <w:tcPr>
            <w:tcW w:w="2235" w:type="dxa"/>
            <w:vAlign w:val="center"/>
          </w:tcPr>
          <w:p w14:paraId="640015B8">
            <w:pPr>
              <w:jc w:val="center"/>
              <w:rPr>
                <w:rFonts w:eastAsiaTheme="minorEastAsia"/>
                <w:szCs w:val="21"/>
                <w:highlight w:val="none"/>
                <w:lang w:eastAsia="zh-CN"/>
              </w:rPr>
            </w:pPr>
            <w:r>
              <w:rPr>
                <w:rFonts w:eastAsiaTheme="minorEastAsia"/>
                <w:szCs w:val="21"/>
                <w:highlight w:val="none"/>
                <w:lang w:eastAsia="zh-CN"/>
              </w:rPr>
              <w:t>AR，≥99.7%</w:t>
            </w:r>
          </w:p>
        </w:tc>
        <w:tc>
          <w:tcPr>
            <w:tcW w:w="2255" w:type="dxa"/>
          </w:tcPr>
          <w:p w14:paraId="724E2C53">
            <w:pPr>
              <w:jc w:val="center"/>
              <w:rPr>
                <w:rFonts w:eastAsiaTheme="minorEastAsia"/>
                <w:szCs w:val="21"/>
                <w:highlight w:val="none"/>
                <w:lang w:eastAsia="zh-CN"/>
              </w:rPr>
            </w:pPr>
            <w:r>
              <w:rPr>
                <w:rFonts w:eastAsiaTheme="minorEastAsia"/>
                <w:szCs w:val="21"/>
                <w:highlight w:val="none"/>
                <w:lang w:val="en-US" w:eastAsia="zh-CN"/>
              </w:rPr>
              <w:t>Sinopharm Chemical Reagent</w:t>
            </w:r>
          </w:p>
        </w:tc>
      </w:tr>
      <w:tr w14:paraId="7B4364E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402" w:type="dxa"/>
          </w:tcPr>
          <w:p w14:paraId="0447ABA3">
            <w:pPr>
              <w:jc w:val="center"/>
              <w:rPr>
                <w:rFonts w:eastAsiaTheme="minorEastAsia"/>
                <w:szCs w:val="21"/>
                <w:highlight w:val="none"/>
                <w:lang w:eastAsia="zh-CN"/>
              </w:rPr>
            </w:pPr>
            <w:r>
              <w:rPr>
                <w:rFonts w:eastAsiaTheme="minorEastAsia"/>
                <w:szCs w:val="21"/>
                <w:highlight w:val="none"/>
                <w:lang w:val="en-US" w:eastAsia="zh-CN"/>
              </w:rPr>
              <w:t>Dichloromethane</w:t>
            </w:r>
          </w:p>
        </w:tc>
        <w:tc>
          <w:tcPr>
            <w:tcW w:w="2551" w:type="dxa"/>
          </w:tcPr>
          <w:p w14:paraId="4C903AD2">
            <w:pPr>
              <w:jc w:val="center"/>
              <w:rPr>
                <w:rFonts w:eastAsiaTheme="minorEastAsia"/>
                <w:szCs w:val="21"/>
                <w:highlight w:val="none"/>
                <w:lang w:eastAsia="zh-CN"/>
              </w:rPr>
            </w:pPr>
            <w:r>
              <w:rPr>
                <w:rFonts w:eastAsiaTheme="minorEastAsia"/>
                <w:szCs w:val="21"/>
                <w:highlight w:val="none"/>
                <w:lang w:eastAsia="zh-CN"/>
              </w:rPr>
              <w:t>CH</w:t>
            </w:r>
            <w:r>
              <w:rPr>
                <w:rFonts w:eastAsiaTheme="minorEastAsia"/>
                <w:szCs w:val="21"/>
                <w:highlight w:val="none"/>
                <w:vertAlign w:val="subscript"/>
                <w:lang w:eastAsia="zh-CN"/>
              </w:rPr>
              <w:t>2</w:t>
            </w:r>
            <w:r>
              <w:rPr>
                <w:rFonts w:eastAsiaTheme="minorEastAsia"/>
                <w:szCs w:val="21"/>
                <w:highlight w:val="none"/>
                <w:lang w:eastAsia="zh-CN"/>
              </w:rPr>
              <w:t>C</w:t>
            </w:r>
            <w:r>
              <w:rPr>
                <w:rFonts w:hint="eastAsia" w:eastAsiaTheme="minorEastAsia"/>
                <w:szCs w:val="21"/>
                <w:highlight w:val="none"/>
                <w:lang w:val="en-US" w:eastAsia="zh-CN"/>
              </w:rPr>
              <w:t>l</w:t>
            </w:r>
            <w:r>
              <w:rPr>
                <w:rFonts w:eastAsiaTheme="minorEastAsia"/>
                <w:szCs w:val="21"/>
                <w:highlight w:val="none"/>
                <w:vertAlign w:val="subscript"/>
                <w:lang w:eastAsia="zh-CN"/>
              </w:rPr>
              <w:t>2</w:t>
            </w:r>
          </w:p>
        </w:tc>
        <w:tc>
          <w:tcPr>
            <w:tcW w:w="2235" w:type="dxa"/>
            <w:vAlign w:val="center"/>
          </w:tcPr>
          <w:p w14:paraId="542D6361">
            <w:pPr>
              <w:jc w:val="center"/>
              <w:rPr>
                <w:rFonts w:eastAsiaTheme="minorEastAsia"/>
                <w:szCs w:val="21"/>
                <w:highlight w:val="none"/>
                <w:lang w:eastAsia="zh-CN"/>
              </w:rPr>
            </w:pPr>
            <w:r>
              <w:rPr>
                <w:rFonts w:eastAsiaTheme="minorEastAsia"/>
                <w:szCs w:val="21"/>
                <w:highlight w:val="none"/>
                <w:lang w:eastAsia="zh-CN"/>
              </w:rPr>
              <w:t>AR，≥99.5%</w:t>
            </w:r>
          </w:p>
        </w:tc>
        <w:tc>
          <w:tcPr>
            <w:tcW w:w="2255" w:type="dxa"/>
          </w:tcPr>
          <w:p w14:paraId="6C4A58F3">
            <w:pPr>
              <w:jc w:val="center"/>
              <w:rPr>
                <w:rFonts w:eastAsiaTheme="minorEastAsia"/>
                <w:szCs w:val="21"/>
                <w:highlight w:val="none"/>
                <w:lang w:eastAsia="zh-CN"/>
              </w:rPr>
            </w:pPr>
            <w:r>
              <w:rPr>
                <w:rFonts w:eastAsiaTheme="minorEastAsia"/>
                <w:szCs w:val="21"/>
                <w:highlight w:val="none"/>
                <w:lang w:val="en-US" w:eastAsia="zh-CN"/>
              </w:rPr>
              <w:t>Sinopharm Chemical Reagent</w:t>
            </w:r>
          </w:p>
        </w:tc>
      </w:tr>
      <w:tr w14:paraId="385FF97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402" w:type="dxa"/>
          </w:tcPr>
          <w:p w14:paraId="6381D64A">
            <w:pPr>
              <w:jc w:val="center"/>
              <w:rPr>
                <w:rFonts w:eastAsiaTheme="minorEastAsia"/>
                <w:szCs w:val="21"/>
                <w:highlight w:val="none"/>
                <w:lang w:eastAsia="zh-CN"/>
              </w:rPr>
            </w:pPr>
            <w:r>
              <w:rPr>
                <w:rFonts w:eastAsiaTheme="minorEastAsia"/>
                <w:szCs w:val="21"/>
                <w:highlight w:val="none"/>
                <w:lang w:val="en-US" w:eastAsia="zh-CN"/>
              </w:rPr>
              <w:t>Chloroform</w:t>
            </w:r>
          </w:p>
        </w:tc>
        <w:tc>
          <w:tcPr>
            <w:tcW w:w="2551" w:type="dxa"/>
          </w:tcPr>
          <w:p w14:paraId="0706CAE6">
            <w:pPr>
              <w:jc w:val="center"/>
              <w:rPr>
                <w:rFonts w:eastAsiaTheme="minorEastAsia"/>
                <w:szCs w:val="21"/>
                <w:highlight w:val="none"/>
                <w:lang w:eastAsia="zh-CN"/>
              </w:rPr>
            </w:pPr>
            <w:r>
              <w:rPr>
                <w:rFonts w:eastAsiaTheme="minorEastAsia"/>
                <w:szCs w:val="21"/>
                <w:highlight w:val="none"/>
                <w:lang w:eastAsia="zh-CN"/>
              </w:rPr>
              <w:t>CHCl</w:t>
            </w:r>
            <w:r>
              <w:rPr>
                <w:rFonts w:eastAsiaTheme="minorEastAsia"/>
                <w:szCs w:val="21"/>
                <w:highlight w:val="none"/>
                <w:vertAlign w:val="subscript"/>
                <w:lang w:eastAsia="zh-CN"/>
              </w:rPr>
              <w:t>3</w:t>
            </w:r>
          </w:p>
        </w:tc>
        <w:tc>
          <w:tcPr>
            <w:tcW w:w="2235" w:type="dxa"/>
            <w:vAlign w:val="center"/>
          </w:tcPr>
          <w:p w14:paraId="2AA29041">
            <w:pPr>
              <w:jc w:val="center"/>
              <w:rPr>
                <w:rFonts w:eastAsiaTheme="minorEastAsia"/>
                <w:szCs w:val="21"/>
                <w:highlight w:val="none"/>
                <w:lang w:eastAsia="zh-CN"/>
              </w:rPr>
            </w:pPr>
            <w:r>
              <w:rPr>
                <w:rFonts w:eastAsiaTheme="minorEastAsia"/>
                <w:szCs w:val="21"/>
                <w:highlight w:val="none"/>
                <w:lang w:eastAsia="zh-CN"/>
              </w:rPr>
              <w:t>AR，≥99%</w:t>
            </w:r>
          </w:p>
        </w:tc>
        <w:tc>
          <w:tcPr>
            <w:tcW w:w="2255" w:type="dxa"/>
          </w:tcPr>
          <w:p w14:paraId="3984D805">
            <w:pPr>
              <w:jc w:val="center"/>
              <w:rPr>
                <w:rFonts w:eastAsiaTheme="minorEastAsia"/>
                <w:szCs w:val="21"/>
                <w:highlight w:val="none"/>
                <w:lang w:eastAsia="zh-CN"/>
              </w:rPr>
            </w:pPr>
            <w:r>
              <w:rPr>
                <w:rFonts w:eastAsiaTheme="minorEastAsia"/>
                <w:szCs w:val="21"/>
                <w:highlight w:val="none"/>
                <w:lang w:val="en-US" w:eastAsia="zh-CN"/>
              </w:rPr>
              <w:t>Sinopharm Chemical Reagent</w:t>
            </w:r>
          </w:p>
        </w:tc>
      </w:tr>
      <w:tr w14:paraId="6A6D42C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402" w:type="dxa"/>
          </w:tcPr>
          <w:p w14:paraId="54F1B579">
            <w:pPr>
              <w:jc w:val="center"/>
              <w:rPr>
                <w:rFonts w:eastAsiaTheme="minorEastAsia"/>
                <w:szCs w:val="21"/>
                <w:highlight w:val="none"/>
                <w:lang w:eastAsia="zh-CN"/>
              </w:rPr>
            </w:pPr>
            <w:r>
              <w:rPr>
                <w:rFonts w:eastAsiaTheme="minorEastAsia"/>
                <w:szCs w:val="21"/>
                <w:highlight w:val="none"/>
                <w:lang w:val="en-US" w:eastAsia="zh-CN"/>
              </w:rPr>
              <w:t>Methanol</w:t>
            </w:r>
          </w:p>
        </w:tc>
        <w:tc>
          <w:tcPr>
            <w:tcW w:w="2551" w:type="dxa"/>
          </w:tcPr>
          <w:p w14:paraId="57CBD718">
            <w:pPr>
              <w:jc w:val="center"/>
              <w:rPr>
                <w:rFonts w:eastAsiaTheme="minorEastAsia"/>
                <w:szCs w:val="21"/>
                <w:highlight w:val="none"/>
                <w:lang w:eastAsia="zh-CN"/>
              </w:rPr>
            </w:pPr>
            <w:r>
              <w:rPr>
                <w:rFonts w:eastAsiaTheme="minorEastAsia"/>
                <w:szCs w:val="21"/>
                <w:highlight w:val="none"/>
                <w:lang w:eastAsia="zh-CN"/>
              </w:rPr>
              <w:t>CH</w:t>
            </w:r>
            <w:r>
              <w:rPr>
                <w:rFonts w:eastAsiaTheme="minorEastAsia"/>
                <w:szCs w:val="21"/>
                <w:highlight w:val="none"/>
                <w:vertAlign w:val="subscript"/>
                <w:lang w:eastAsia="zh-CN"/>
              </w:rPr>
              <w:t>3</w:t>
            </w:r>
            <w:r>
              <w:rPr>
                <w:rFonts w:eastAsiaTheme="minorEastAsia"/>
                <w:szCs w:val="21"/>
                <w:highlight w:val="none"/>
                <w:lang w:eastAsia="zh-CN"/>
              </w:rPr>
              <w:t>OH</w:t>
            </w:r>
          </w:p>
        </w:tc>
        <w:tc>
          <w:tcPr>
            <w:tcW w:w="2235" w:type="dxa"/>
            <w:vAlign w:val="center"/>
          </w:tcPr>
          <w:p w14:paraId="4207A263">
            <w:pPr>
              <w:jc w:val="center"/>
              <w:rPr>
                <w:rFonts w:eastAsiaTheme="minorEastAsia"/>
                <w:szCs w:val="21"/>
                <w:highlight w:val="none"/>
                <w:lang w:eastAsia="zh-CN"/>
              </w:rPr>
            </w:pPr>
            <w:r>
              <w:rPr>
                <w:rFonts w:eastAsiaTheme="minorEastAsia"/>
                <w:szCs w:val="21"/>
                <w:highlight w:val="none"/>
                <w:lang w:eastAsia="zh-CN"/>
              </w:rPr>
              <w:t>AR</w:t>
            </w:r>
          </w:p>
        </w:tc>
        <w:tc>
          <w:tcPr>
            <w:tcW w:w="2255" w:type="dxa"/>
          </w:tcPr>
          <w:p w14:paraId="39ED94AB">
            <w:pPr>
              <w:jc w:val="center"/>
              <w:rPr>
                <w:rFonts w:eastAsiaTheme="minorEastAsia"/>
                <w:szCs w:val="21"/>
                <w:highlight w:val="none"/>
                <w:lang w:eastAsia="zh-CN"/>
              </w:rPr>
            </w:pPr>
            <w:r>
              <w:rPr>
                <w:rFonts w:eastAsiaTheme="minorEastAsia"/>
                <w:szCs w:val="21"/>
                <w:highlight w:val="none"/>
                <w:lang w:val="en-US" w:eastAsia="zh-CN"/>
              </w:rPr>
              <w:t>Tianjin Fuyu Fine Chemical Co., Ltd.</w:t>
            </w:r>
          </w:p>
        </w:tc>
      </w:tr>
      <w:tr w14:paraId="390A1DA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402" w:type="dxa"/>
          </w:tcPr>
          <w:p w14:paraId="7CA6CFC2">
            <w:pPr>
              <w:jc w:val="center"/>
              <w:rPr>
                <w:rFonts w:eastAsiaTheme="minorEastAsia"/>
                <w:szCs w:val="21"/>
                <w:highlight w:val="none"/>
                <w:lang w:eastAsia="zh-CN"/>
              </w:rPr>
            </w:pPr>
            <w:r>
              <w:rPr>
                <w:rFonts w:eastAsiaTheme="minorEastAsia"/>
                <w:szCs w:val="21"/>
                <w:highlight w:val="none"/>
                <w:lang w:val="en-US" w:eastAsia="zh-CN"/>
              </w:rPr>
              <w:t>Potassium hydroxide</w:t>
            </w:r>
          </w:p>
        </w:tc>
        <w:tc>
          <w:tcPr>
            <w:tcW w:w="2551" w:type="dxa"/>
          </w:tcPr>
          <w:p w14:paraId="267D4A07">
            <w:pPr>
              <w:jc w:val="center"/>
              <w:rPr>
                <w:rFonts w:eastAsiaTheme="minorEastAsia"/>
                <w:szCs w:val="21"/>
                <w:highlight w:val="none"/>
                <w:lang w:eastAsia="zh-CN"/>
              </w:rPr>
            </w:pPr>
            <w:r>
              <w:rPr>
                <w:rFonts w:eastAsiaTheme="minorEastAsia"/>
                <w:szCs w:val="21"/>
                <w:highlight w:val="none"/>
                <w:lang w:eastAsia="zh-CN"/>
              </w:rPr>
              <w:t>KOH</w:t>
            </w:r>
          </w:p>
        </w:tc>
        <w:tc>
          <w:tcPr>
            <w:tcW w:w="2235" w:type="dxa"/>
            <w:vAlign w:val="center"/>
          </w:tcPr>
          <w:p w14:paraId="2F8DAE75">
            <w:pPr>
              <w:jc w:val="center"/>
              <w:rPr>
                <w:rFonts w:eastAsiaTheme="minorEastAsia"/>
                <w:szCs w:val="21"/>
                <w:highlight w:val="none"/>
                <w:lang w:eastAsia="zh-CN"/>
              </w:rPr>
            </w:pPr>
            <w:r>
              <w:rPr>
                <w:rFonts w:eastAsiaTheme="minorEastAsia"/>
                <w:szCs w:val="21"/>
                <w:highlight w:val="none"/>
                <w:lang w:eastAsia="zh-CN"/>
              </w:rPr>
              <w:t>95%</w:t>
            </w:r>
          </w:p>
        </w:tc>
        <w:tc>
          <w:tcPr>
            <w:tcW w:w="2255" w:type="dxa"/>
          </w:tcPr>
          <w:p w14:paraId="696A9605">
            <w:pPr>
              <w:jc w:val="center"/>
              <w:rPr>
                <w:rFonts w:eastAsiaTheme="minorEastAsia"/>
                <w:szCs w:val="21"/>
                <w:highlight w:val="none"/>
                <w:lang w:eastAsia="zh-CN"/>
              </w:rPr>
            </w:pPr>
            <w:r>
              <w:rPr>
                <w:rFonts w:eastAsiaTheme="minorEastAsia"/>
                <w:szCs w:val="21"/>
                <w:highlight w:val="none"/>
                <w:lang w:val="en-US" w:eastAsia="zh-CN"/>
              </w:rPr>
              <w:t>Shanghai Macklin Biochemical Technology Co., Ltd.</w:t>
            </w:r>
          </w:p>
        </w:tc>
      </w:tr>
      <w:tr w14:paraId="7138240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402" w:type="dxa"/>
          </w:tcPr>
          <w:p w14:paraId="54204F5B">
            <w:pPr>
              <w:jc w:val="center"/>
              <w:rPr>
                <w:rFonts w:eastAsiaTheme="minorEastAsia"/>
                <w:szCs w:val="21"/>
                <w:highlight w:val="none"/>
                <w:lang w:eastAsia="zh-CN"/>
              </w:rPr>
            </w:pPr>
            <w:r>
              <w:rPr>
                <w:rFonts w:eastAsiaTheme="minorEastAsia"/>
                <w:szCs w:val="21"/>
                <w:highlight w:val="none"/>
                <w:lang w:val="en-US" w:eastAsia="zh-CN"/>
              </w:rPr>
              <w:t>Absolute Ethanol</w:t>
            </w:r>
          </w:p>
        </w:tc>
        <w:tc>
          <w:tcPr>
            <w:tcW w:w="2551" w:type="dxa"/>
          </w:tcPr>
          <w:p w14:paraId="76913F08">
            <w:pPr>
              <w:jc w:val="center"/>
              <w:rPr>
                <w:rFonts w:eastAsiaTheme="minorEastAsia"/>
                <w:szCs w:val="21"/>
                <w:highlight w:val="none"/>
                <w:lang w:eastAsia="zh-CN"/>
              </w:rPr>
            </w:pPr>
            <w:r>
              <w:rPr>
                <w:rFonts w:eastAsiaTheme="minorEastAsia"/>
                <w:szCs w:val="21"/>
                <w:highlight w:val="none"/>
                <w:lang w:eastAsia="zh-CN"/>
              </w:rPr>
              <w:t>C</w:t>
            </w:r>
            <w:r>
              <w:rPr>
                <w:rFonts w:eastAsiaTheme="minorEastAsia"/>
                <w:szCs w:val="21"/>
                <w:highlight w:val="none"/>
                <w:vertAlign w:val="subscript"/>
                <w:lang w:eastAsia="zh-CN"/>
              </w:rPr>
              <w:t>2</w:t>
            </w:r>
            <w:r>
              <w:rPr>
                <w:rFonts w:eastAsiaTheme="minorEastAsia"/>
                <w:szCs w:val="21"/>
                <w:highlight w:val="none"/>
                <w:lang w:eastAsia="zh-CN"/>
              </w:rPr>
              <w:t>H</w:t>
            </w:r>
            <w:r>
              <w:rPr>
                <w:rFonts w:eastAsiaTheme="minorEastAsia"/>
                <w:szCs w:val="21"/>
                <w:highlight w:val="none"/>
                <w:vertAlign w:val="subscript"/>
                <w:lang w:eastAsia="zh-CN"/>
              </w:rPr>
              <w:t>5</w:t>
            </w:r>
            <w:r>
              <w:rPr>
                <w:rFonts w:eastAsiaTheme="minorEastAsia"/>
                <w:szCs w:val="21"/>
                <w:highlight w:val="none"/>
                <w:lang w:eastAsia="zh-CN"/>
              </w:rPr>
              <w:t>OH</w:t>
            </w:r>
          </w:p>
        </w:tc>
        <w:tc>
          <w:tcPr>
            <w:tcW w:w="2235" w:type="dxa"/>
            <w:vAlign w:val="center"/>
          </w:tcPr>
          <w:p w14:paraId="3D2C021A">
            <w:pPr>
              <w:jc w:val="center"/>
              <w:rPr>
                <w:rFonts w:eastAsiaTheme="minorEastAsia"/>
                <w:szCs w:val="21"/>
                <w:highlight w:val="none"/>
                <w:lang w:eastAsia="zh-CN"/>
              </w:rPr>
            </w:pPr>
            <w:r>
              <w:rPr>
                <w:rFonts w:eastAsiaTheme="minorEastAsia"/>
                <w:szCs w:val="21"/>
                <w:highlight w:val="none"/>
                <w:lang w:eastAsia="zh-CN"/>
              </w:rPr>
              <w:t>AR，≥99.7%</w:t>
            </w:r>
          </w:p>
        </w:tc>
        <w:tc>
          <w:tcPr>
            <w:tcW w:w="2255" w:type="dxa"/>
          </w:tcPr>
          <w:p w14:paraId="5C59845F">
            <w:pPr>
              <w:jc w:val="center"/>
              <w:rPr>
                <w:rFonts w:eastAsiaTheme="minorEastAsia"/>
                <w:szCs w:val="21"/>
                <w:highlight w:val="none"/>
                <w:lang w:eastAsia="zh-CN"/>
              </w:rPr>
            </w:pPr>
            <w:r>
              <w:rPr>
                <w:rFonts w:eastAsiaTheme="minorEastAsia"/>
                <w:szCs w:val="21"/>
                <w:highlight w:val="none"/>
                <w:lang w:val="en-US" w:eastAsia="zh-CN"/>
              </w:rPr>
              <w:t>Tianjin Fuyu Fine Chemical Co., Ltd.</w:t>
            </w:r>
          </w:p>
        </w:tc>
      </w:tr>
      <w:tr w14:paraId="3D53978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402" w:type="dxa"/>
          </w:tcPr>
          <w:p w14:paraId="11CBE403">
            <w:pPr>
              <w:jc w:val="center"/>
              <w:rPr>
                <w:rFonts w:eastAsiaTheme="minorEastAsia"/>
                <w:szCs w:val="21"/>
                <w:highlight w:val="none"/>
                <w:lang w:eastAsia="zh-CN"/>
              </w:rPr>
            </w:pPr>
            <w:r>
              <w:rPr>
                <w:rFonts w:eastAsiaTheme="minorEastAsia"/>
                <w:szCs w:val="21"/>
                <w:highlight w:val="none"/>
                <w:lang w:val="en-US" w:eastAsia="zh-CN"/>
              </w:rPr>
              <w:t>Conductive Carbon Black Vulcan XC-72R</w:t>
            </w:r>
          </w:p>
        </w:tc>
        <w:tc>
          <w:tcPr>
            <w:tcW w:w="2551" w:type="dxa"/>
          </w:tcPr>
          <w:p w14:paraId="55F7001C">
            <w:pPr>
              <w:jc w:val="center"/>
              <w:rPr>
                <w:rFonts w:eastAsiaTheme="minorEastAsia"/>
                <w:szCs w:val="21"/>
                <w:highlight w:val="none"/>
                <w:lang w:eastAsia="zh-CN"/>
              </w:rPr>
            </w:pPr>
            <w:r>
              <w:rPr>
                <w:rFonts w:eastAsiaTheme="minorEastAsia"/>
                <w:szCs w:val="21"/>
                <w:highlight w:val="none"/>
                <w:lang w:eastAsia="zh-CN"/>
              </w:rPr>
              <w:t>-</w:t>
            </w:r>
          </w:p>
        </w:tc>
        <w:tc>
          <w:tcPr>
            <w:tcW w:w="2235" w:type="dxa"/>
            <w:vAlign w:val="center"/>
          </w:tcPr>
          <w:p w14:paraId="7FCC14C6">
            <w:pPr>
              <w:jc w:val="center"/>
              <w:rPr>
                <w:rFonts w:eastAsiaTheme="minorEastAsia"/>
                <w:szCs w:val="21"/>
                <w:highlight w:val="none"/>
                <w:lang w:val="en-US" w:eastAsia="zh-CN"/>
              </w:rPr>
            </w:pPr>
            <w:r>
              <w:rPr>
                <w:rFonts w:eastAsiaTheme="minorEastAsia"/>
                <w:szCs w:val="21"/>
                <w:highlight w:val="none"/>
                <w:lang w:val="en-US" w:eastAsia="zh-CN"/>
              </w:rPr>
              <w:t>powder</w:t>
            </w:r>
          </w:p>
        </w:tc>
        <w:tc>
          <w:tcPr>
            <w:tcW w:w="2255" w:type="dxa"/>
          </w:tcPr>
          <w:p w14:paraId="5345F1A1">
            <w:pPr>
              <w:jc w:val="center"/>
              <w:rPr>
                <w:rFonts w:eastAsiaTheme="minorEastAsia"/>
                <w:szCs w:val="21"/>
                <w:highlight w:val="none"/>
                <w:lang w:eastAsia="zh-CN"/>
              </w:rPr>
            </w:pPr>
            <w:r>
              <w:rPr>
                <w:rFonts w:eastAsiaTheme="minorEastAsia"/>
                <w:szCs w:val="21"/>
                <w:highlight w:val="none"/>
                <w:lang w:val="en-US" w:eastAsia="zh-CN"/>
              </w:rPr>
              <w:t>Cabot</w:t>
            </w:r>
          </w:p>
        </w:tc>
      </w:tr>
      <w:tr w14:paraId="6072618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402" w:type="dxa"/>
          </w:tcPr>
          <w:p w14:paraId="4AE85741">
            <w:pPr>
              <w:jc w:val="center"/>
              <w:rPr>
                <w:rFonts w:eastAsiaTheme="minorEastAsia"/>
                <w:szCs w:val="21"/>
                <w:highlight w:val="none"/>
                <w:lang w:eastAsia="zh-CN"/>
              </w:rPr>
            </w:pPr>
            <w:r>
              <w:rPr>
                <w:rFonts w:eastAsiaTheme="minorEastAsia"/>
                <w:szCs w:val="21"/>
                <w:highlight w:val="none"/>
                <w:lang w:val="en-US" w:eastAsia="zh-CN"/>
              </w:rPr>
              <w:t>20% Platinum on Carbon</w:t>
            </w:r>
          </w:p>
        </w:tc>
        <w:tc>
          <w:tcPr>
            <w:tcW w:w="2551" w:type="dxa"/>
          </w:tcPr>
          <w:p w14:paraId="4E682A36">
            <w:pPr>
              <w:jc w:val="center"/>
              <w:rPr>
                <w:rFonts w:eastAsiaTheme="minorEastAsia"/>
                <w:szCs w:val="21"/>
                <w:highlight w:val="none"/>
                <w:lang w:eastAsia="zh-CN"/>
              </w:rPr>
            </w:pPr>
            <w:r>
              <w:rPr>
                <w:rFonts w:eastAsiaTheme="minorEastAsia"/>
                <w:szCs w:val="21"/>
                <w:highlight w:val="none"/>
                <w:lang w:eastAsia="zh-CN"/>
              </w:rPr>
              <w:t>Pt/C</w:t>
            </w:r>
          </w:p>
        </w:tc>
        <w:tc>
          <w:tcPr>
            <w:tcW w:w="2235" w:type="dxa"/>
            <w:vAlign w:val="center"/>
          </w:tcPr>
          <w:p w14:paraId="0D282C0B">
            <w:pPr>
              <w:jc w:val="center"/>
              <w:rPr>
                <w:rFonts w:eastAsiaTheme="minorEastAsia"/>
                <w:szCs w:val="21"/>
                <w:highlight w:val="none"/>
                <w:lang w:eastAsia="zh-CN"/>
              </w:rPr>
            </w:pPr>
            <w:r>
              <w:rPr>
                <w:rFonts w:eastAsiaTheme="minorEastAsia"/>
                <w:szCs w:val="21"/>
                <w:highlight w:val="none"/>
                <w:lang w:eastAsia="zh-CN"/>
              </w:rPr>
              <w:t>20%Pt</w:t>
            </w:r>
          </w:p>
        </w:tc>
        <w:tc>
          <w:tcPr>
            <w:tcW w:w="2255" w:type="dxa"/>
          </w:tcPr>
          <w:p w14:paraId="592E4DFA">
            <w:pPr>
              <w:jc w:val="center"/>
              <w:rPr>
                <w:rFonts w:eastAsiaTheme="minorEastAsia"/>
                <w:szCs w:val="21"/>
                <w:highlight w:val="none"/>
                <w:lang w:eastAsia="zh-CN"/>
              </w:rPr>
            </w:pPr>
            <w:r>
              <w:rPr>
                <w:rFonts w:eastAsiaTheme="minorEastAsia"/>
                <w:szCs w:val="21"/>
                <w:highlight w:val="none"/>
                <w:lang w:val="en-US" w:eastAsia="zh-CN"/>
              </w:rPr>
              <w:t>Shanghai Hesen Electric Co., Ltd.</w:t>
            </w:r>
          </w:p>
        </w:tc>
      </w:tr>
      <w:tr w14:paraId="468DA19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402" w:type="dxa"/>
          </w:tcPr>
          <w:p w14:paraId="1F15A0D0">
            <w:pPr>
              <w:jc w:val="center"/>
              <w:rPr>
                <w:rFonts w:eastAsiaTheme="minorEastAsia"/>
                <w:szCs w:val="21"/>
                <w:highlight w:val="none"/>
                <w:lang w:eastAsia="zh-CN"/>
              </w:rPr>
            </w:pPr>
            <w:r>
              <w:rPr>
                <w:rFonts w:eastAsiaTheme="minorEastAsia"/>
                <w:szCs w:val="21"/>
                <w:highlight w:val="none"/>
                <w:lang w:val="en-US" w:eastAsia="zh-CN"/>
              </w:rPr>
              <w:t>Ruthenium Oxide</w:t>
            </w:r>
          </w:p>
        </w:tc>
        <w:tc>
          <w:tcPr>
            <w:tcW w:w="2551" w:type="dxa"/>
          </w:tcPr>
          <w:p w14:paraId="1BC71AB0">
            <w:pPr>
              <w:jc w:val="center"/>
              <w:rPr>
                <w:rFonts w:eastAsiaTheme="minorEastAsia"/>
                <w:szCs w:val="21"/>
                <w:highlight w:val="none"/>
                <w:lang w:eastAsia="zh-CN"/>
              </w:rPr>
            </w:pPr>
            <w:r>
              <w:rPr>
                <w:rFonts w:eastAsiaTheme="minorEastAsia"/>
                <w:szCs w:val="21"/>
                <w:highlight w:val="none"/>
                <w:lang w:eastAsia="zh-CN"/>
              </w:rPr>
              <w:t>RuO</w:t>
            </w:r>
          </w:p>
        </w:tc>
        <w:tc>
          <w:tcPr>
            <w:tcW w:w="2235" w:type="dxa"/>
            <w:vAlign w:val="center"/>
          </w:tcPr>
          <w:p w14:paraId="4057A495">
            <w:pPr>
              <w:jc w:val="center"/>
              <w:rPr>
                <w:rFonts w:eastAsiaTheme="minorEastAsia"/>
                <w:szCs w:val="21"/>
                <w:highlight w:val="none"/>
                <w:lang w:eastAsia="zh-CN"/>
              </w:rPr>
            </w:pPr>
            <w:r>
              <w:rPr>
                <w:rFonts w:eastAsiaTheme="minorEastAsia"/>
                <w:szCs w:val="21"/>
                <w:highlight w:val="none"/>
                <w:lang w:eastAsia="zh-CN"/>
              </w:rPr>
              <w:t>99.9%</w:t>
            </w:r>
          </w:p>
        </w:tc>
        <w:tc>
          <w:tcPr>
            <w:tcW w:w="2255" w:type="dxa"/>
          </w:tcPr>
          <w:p w14:paraId="7D51CF60">
            <w:pPr>
              <w:jc w:val="center"/>
              <w:rPr>
                <w:rFonts w:eastAsiaTheme="minorEastAsia"/>
                <w:szCs w:val="21"/>
                <w:highlight w:val="none"/>
                <w:lang w:eastAsia="zh-CN"/>
              </w:rPr>
            </w:pPr>
            <w:r>
              <w:rPr>
                <w:rFonts w:eastAsiaTheme="minorEastAsia"/>
                <w:szCs w:val="21"/>
                <w:highlight w:val="none"/>
                <w:lang w:val="en-US" w:eastAsia="zh-CN"/>
              </w:rPr>
              <w:t>Shanghai Macklin Biochemical Technology Co., Ltd.</w:t>
            </w:r>
          </w:p>
        </w:tc>
      </w:tr>
      <w:tr w14:paraId="52668C5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402" w:type="dxa"/>
          </w:tcPr>
          <w:p w14:paraId="427DFB19">
            <w:pPr>
              <w:jc w:val="center"/>
              <w:rPr>
                <w:rFonts w:eastAsiaTheme="minorEastAsia"/>
                <w:szCs w:val="21"/>
                <w:highlight w:val="none"/>
                <w:lang w:eastAsia="zh-CN"/>
              </w:rPr>
            </w:pPr>
            <w:r>
              <w:rPr>
                <w:rFonts w:eastAsiaTheme="minorEastAsia"/>
                <w:szCs w:val="21"/>
                <w:highlight w:val="none"/>
                <w:lang w:val="en-US" w:eastAsia="zh-CN"/>
              </w:rPr>
              <w:t>Nafion Membrane Solution</w:t>
            </w:r>
          </w:p>
        </w:tc>
        <w:tc>
          <w:tcPr>
            <w:tcW w:w="2551" w:type="dxa"/>
          </w:tcPr>
          <w:p w14:paraId="7616B99B">
            <w:pPr>
              <w:jc w:val="center"/>
              <w:rPr>
                <w:rFonts w:eastAsiaTheme="minorEastAsia"/>
                <w:szCs w:val="21"/>
                <w:highlight w:val="none"/>
                <w:lang w:eastAsia="zh-CN"/>
              </w:rPr>
            </w:pPr>
            <w:r>
              <w:rPr>
                <w:rFonts w:eastAsiaTheme="minorEastAsia"/>
                <w:szCs w:val="21"/>
                <w:highlight w:val="none"/>
                <w:lang w:eastAsia="zh-CN"/>
              </w:rPr>
              <w:t>-</w:t>
            </w:r>
          </w:p>
        </w:tc>
        <w:tc>
          <w:tcPr>
            <w:tcW w:w="2235" w:type="dxa"/>
            <w:vAlign w:val="center"/>
          </w:tcPr>
          <w:p w14:paraId="60DB731B">
            <w:pPr>
              <w:jc w:val="center"/>
              <w:rPr>
                <w:rFonts w:eastAsiaTheme="minorEastAsia"/>
                <w:szCs w:val="21"/>
                <w:highlight w:val="none"/>
                <w:lang w:eastAsia="zh-CN"/>
              </w:rPr>
            </w:pPr>
            <w:r>
              <w:rPr>
                <w:rFonts w:eastAsiaTheme="minorEastAsia"/>
                <w:szCs w:val="21"/>
                <w:highlight w:val="none"/>
                <w:lang w:eastAsia="zh-CN"/>
              </w:rPr>
              <w:t>5 wt%</w:t>
            </w:r>
          </w:p>
        </w:tc>
        <w:tc>
          <w:tcPr>
            <w:tcW w:w="2255" w:type="dxa"/>
          </w:tcPr>
          <w:p w14:paraId="5DDBC021">
            <w:pPr>
              <w:jc w:val="center"/>
              <w:rPr>
                <w:rFonts w:eastAsiaTheme="minorEastAsia"/>
                <w:szCs w:val="21"/>
                <w:highlight w:val="none"/>
                <w:lang w:eastAsia="zh-CN"/>
              </w:rPr>
            </w:pPr>
            <w:r>
              <w:rPr>
                <w:rFonts w:eastAsiaTheme="minorEastAsia"/>
                <w:szCs w:val="21"/>
                <w:highlight w:val="none"/>
                <w:lang w:val="en-US" w:eastAsia="zh-CN"/>
              </w:rPr>
              <w:t>Dupont</w:t>
            </w:r>
          </w:p>
        </w:tc>
      </w:tr>
      <w:tr w14:paraId="4DDEEC9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402" w:type="dxa"/>
          </w:tcPr>
          <w:p w14:paraId="432334C8">
            <w:pPr>
              <w:jc w:val="center"/>
              <w:rPr>
                <w:rFonts w:eastAsiaTheme="minorEastAsia"/>
                <w:szCs w:val="21"/>
                <w:highlight w:val="none"/>
                <w:lang w:eastAsia="zh-CN"/>
              </w:rPr>
            </w:pPr>
            <w:r>
              <w:rPr>
                <w:rFonts w:eastAsiaTheme="minorEastAsia"/>
                <w:szCs w:val="21"/>
                <w:highlight w:val="none"/>
                <w:lang w:val="en-US" w:eastAsia="zh-CN"/>
              </w:rPr>
              <w:t>Hydrophobic Carbon Paper</w:t>
            </w:r>
          </w:p>
        </w:tc>
        <w:tc>
          <w:tcPr>
            <w:tcW w:w="2551" w:type="dxa"/>
          </w:tcPr>
          <w:p w14:paraId="38ACBF90">
            <w:pPr>
              <w:jc w:val="center"/>
              <w:rPr>
                <w:rFonts w:eastAsiaTheme="minorEastAsia"/>
                <w:szCs w:val="21"/>
                <w:highlight w:val="none"/>
                <w:lang w:eastAsia="zh-CN"/>
              </w:rPr>
            </w:pPr>
          </w:p>
        </w:tc>
        <w:tc>
          <w:tcPr>
            <w:tcW w:w="2235" w:type="dxa"/>
            <w:vAlign w:val="center"/>
          </w:tcPr>
          <w:p w14:paraId="563DC829">
            <w:pPr>
              <w:jc w:val="center"/>
              <w:rPr>
                <w:rFonts w:eastAsiaTheme="minorEastAsia"/>
                <w:szCs w:val="21"/>
                <w:highlight w:val="none"/>
                <w:lang w:eastAsia="zh-CN"/>
              </w:rPr>
            </w:pPr>
          </w:p>
        </w:tc>
        <w:tc>
          <w:tcPr>
            <w:tcW w:w="2255" w:type="dxa"/>
          </w:tcPr>
          <w:p w14:paraId="1B34A65D">
            <w:pPr>
              <w:jc w:val="center"/>
              <w:rPr>
                <w:rFonts w:eastAsiaTheme="minorEastAsia"/>
                <w:szCs w:val="21"/>
                <w:highlight w:val="none"/>
                <w:lang w:eastAsia="zh-CN"/>
              </w:rPr>
            </w:pPr>
            <w:r>
              <w:rPr>
                <w:rFonts w:eastAsiaTheme="minorEastAsia"/>
                <w:szCs w:val="21"/>
                <w:highlight w:val="none"/>
                <w:lang w:val="en-US" w:eastAsia="zh-CN"/>
              </w:rPr>
              <w:t>Shanghai Hesen Electric Co., Ltd.</w:t>
            </w:r>
          </w:p>
        </w:tc>
      </w:tr>
    </w:tbl>
    <w:p w14:paraId="7C283107">
      <w:pPr>
        <w:jc w:val="center"/>
        <w:rPr>
          <w:rFonts w:eastAsiaTheme="minorEastAsia"/>
          <w:szCs w:val="21"/>
          <w:highlight w:val="none"/>
          <w:lang w:eastAsia="zh-CN"/>
        </w:rPr>
      </w:pPr>
    </w:p>
    <w:p w14:paraId="2CEDCC42">
      <w:pPr>
        <w:rPr>
          <w:highlight w:val="none"/>
        </w:rPr>
      </w:pPr>
    </w:p>
    <w:sectPr>
      <w:pgSz w:w="11906" w:h="16838"/>
      <w:pgMar w:top="1440" w:right="1797" w:bottom="1440" w:left="1797" w:header="709" w:footer="709"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Mincho">
    <w:altName w:val="Yu Gothic UI"/>
    <w:panose1 w:val="02020609040205080304"/>
    <w:charset w:val="80"/>
    <w:family w:val="modern"/>
    <w:pitch w:val="default"/>
    <w:sig w:usb0="00000000" w:usb1="00000000" w:usb2="08000012" w:usb3="00000000" w:csb0="0002009F" w:csb1="00000000"/>
  </w:font>
  <w:font w:name="ＭＳ 明朝">
    <w:altName w:val="Segoe Print"/>
    <w:panose1 w:val="00000000000000000000"/>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Cambria Math">
    <w:panose1 w:val="02040503050406030204"/>
    <w:charset w:val="00"/>
    <w:family w:val="roman"/>
    <w:pitch w:val="default"/>
    <w:sig w:usb0="E00006FF" w:usb1="420024FF" w:usb2="02000000" w:usb3="00000000" w:csb0="2000019F" w:csb1="00000000"/>
  </w:font>
  <w:font w:name="Yu Gothic UI">
    <w:panose1 w:val="020B0500000000000000"/>
    <w:charset w:val="80"/>
    <w:family w:val="auto"/>
    <w:pitch w:val="default"/>
    <w:sig w:usb0="E00002FF" w:usb1="2AC7FDFF" w:usb2="00000016" w:usb3="00000000" w:csb0="2002009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2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791"/>
    <w:rsid w:val="00001E02"/>
    <w:rsid w:val="0005678B"/>
    <w:rsid w:val="00066A16"/>
    <w:rsid w:val="00081C14"/>
    <w:rsid w:val="00086D18"/>
    <w:rsid w:val="0012750A"/>
    <w:rsid w:val="00152F75"/>
    <w:rsid w:val="001C2E14"/>
    <w:rsid w:val="001C5DEF"/>
    <w:rsid w:val="00257C14"/>
    <w:rsid w:val="00295432"/>
    <w:rsid w:val="002A1AAB"/>
    <w:rsid w:val="002A7094"/>
    <w:rsid w:val="002E0B8A"/>
    <w:rsid w:val="00346B48"/>
    <w:rsid w:val="0036054E"/>
    <w:rsid w:val="003A66E5"/>
    <w:rsid w:val="003F5678"/>
    <w:rsid w:val="00475EA0"/>
    <w:rsid w:val="00476DA2"/>
    <w:rsid w:val="004A5CD5"/>
    <w:rsid w:val="004D5479"/>
    <w:rsid w:val="004D7716"/>
    <w:rsid w:val="004D7FBE"/>
    <w:rsid w:val="00584791"/>
    <w:rsid w:val="005D4599"/>
    <w:rsid w:val="005F66A6"/>
    <w:rsid w:val="005F7B95"/>
    <w:rsid w:val="0062555E"/>
    <w:rsid w:val="00642185"/>
    <w:rsid w:val="00642E45"/>
    <w:rsid w:val="0065158A"/>
    <w:rsid w:val="006E0477"/>
    <w:rsid w:val="006E69D2"/>
    <w:rsid w:val="0070686E"/>
    <w:rsid w:val="00715BA4"/>
    <w:rsid w:val="007239DF"/>
    <w:rsid w:val="0073304C"/>
    <w:rsid w:val="00753B62"/>
    <w:rsid w:val="007664C0"/>
    <w:rsid w:val="007A67CD"/>
    <w:rsid w:val="007A79D2"/>
    <w:rsid w:val="007E7A15"/>
    <w:rsid w:val="008631B6"/>
    <w:rsid w:val="008B50D9"/>
    <w:rsid w:val="008B63BE"/>
    <w:rsid w:val="008F5A33"/>
    <w:rsid w:val="00907A9D"/>
    <w:rsid w:val="00914141"/>
    <w:rsid w:val="00925E99"/>
    <w:rsid w:val="00933256"/>
    <w:rsid w:val="0098097C"/>
    <w:rsid w:val="009C4F96"/>
    <w:rsid w:val="009E085A"/>
    <w:rsid w:val="009E20E4"/>
    <w:rsid w:val="009E6DDB"/>
    <w:rsid w:val="00A04189"/>
    <w:rsid w:val="00A72FFF"/>
    <w:rsid w:val="00A8011C"/>
    <w:rsid w:val="00AA4E7D"/>
    <w:rsid w:val="00B33E9B"/>
    <w:rsid w:val="00B42936"/>
    <w:rsid w:val="00B518C3"/>
    <w:rsid w:val="00B80189"/>
    <w:rsid w:val="00B8438D"/>
    <w:rsid w:val="00BF6DDA"/>
    <w:rsid w:val="00C52F36"/>
    <w:rsid w:val="00CA1898"/>
    <w:rsid w:val="00CB4968"/>
    <w:rsid w:val="00CD075A"/>
    <w:rsid w:val="00CE4592"/>
    <w:rsid w:val="00CF07C7"/>
    <w:rsid w:val="00D22001"/>
    <w:rsid w:val="00D26569"/>
    <w:rsid w:val="00D46A4D"/>
    <w:rsid w:val="00D96579"/>
    <w:rsid w:val="00DE3A0A"/>
    <w:rsid w:val="00E14956"/>
    <w:rsid w:val="00E21E64"/>
    <w:rsid w:val="00E304F3"/>
    <w:rsid w:val="00E823E5"/>
    <w:rsid w:val="00E867F1"/>
    <w:rsid w:val="00EB2F4C"/>
    <w:rsid w:val="00ED0016"/>
    <w:rsid w:val="00F13113"/>
    <w:rsid w:val="00F7116B"/>
    <w:rsid w:val="00FA5F74"/>
    <w:rsid w:val="00FA6B76"/>
    <w:rsid w:val="0368736B"/>
    <w:rsid w:val="2BA36D19"/>
    <w:rsid w:val="30FA4499"/>
    <w:rsid w:val="3ACE5CAE"/>
    <w:rsid w:val="5577291D"/>
    <w:rsid w:val="73E751E9"/>
    <w:rsid w:val="762B79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iPriority="99" w:semiHidden="0"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MS Mincho" w:cs="Times New Roman"/>
      <w:szCs w:val="24"/>
      <w:lang w:val="de-DE" w:eastAsia="ja-JP" w:bidi="ar-SA"/>
    </w:rPr>
  </w:style>
  <w:style w:type="character" w:default="1" w:styleId="6">
    <w:name w:val="Default Paragraph Font"/>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widowControl w:val="0"/>
      <w:tabs>
        <w:tab w:val="center" w:pos="4153"/>
        <w:tab w:val="right" w:pos="8306"/>
      </w:tabs>
      <w:snapToGrid w:val="0"/>
    </w:pPr>
    <w:rPr>
      <w:rFonts w:asciiTheme="minorHAnsi" w:hAnsiTheme="minorHAnsi" w:eastAsiaTheme="minorEastAsia" w:cstheme="minorBidi"/>
      <w:kern w:val="2"/>
      <w:sz w:val="18"/>
      <w:szCs w:val="18"/>
      <w:lang w:val="en-US" w:eastAsia="zh-CN"/>
    </w:rPr>
  </w:style>
  <w:style w:type="paragraph" w:styleId="3">
    <w:name w:val="header"/>
    <w:basedOn w:val="1"/>
    <w:link w:val="8"/>
    <w:unhideWhenUsed/>
    <w:qFormat/>
    <w:uiPriority w:val="99"/>
    <w:pPr>
      <w:widowControl w:val="0"/>
      <w:pBdr>
        <w:bottom w:val="single" w:color="auto" w:sz="6" w:space="1"/>
      </w:pBdr>
      <w:tabs>
        <w:tab w:val="center" w:pos="4153"/>
        <w:tab w:val="right" w:pos="8306"/>
      </w:tabs>
      <w:snapToGrid w:val="0"/>
      <w:jc w:val="center"/>
    </w:pPr>
    <w:rPr>
      <w:rFonts w:asciiTheme="minorHAnsi" w:hAnsiTheme="minorHAnsi" w:eastAsiaTheme="minorEastAsia" w:cstheme="minorBidi"/>
      <w:kern w:val="2"/>
      <w:sz w:val="18"/>
      <w:szCs w:val="18"/>
      <w:lang w:val="en-US" w:eastAsia="zh-CN"/>
    </w:rPr>
  </w:style>
  <w:style w:type="paragraph" w:styleId="4">
    <w:name w:val="Normal (Web)"/>
    <w:basedOn w:val="1"/>
    <w:qFormat/>
    <w:uiPriority w:val="0"/>
    <w:pPr>
      <w:spacing w:beforeAutospacing="1" w:afterAutospacing="1"/>
    </w:pPr>
    <w:rPr>
      <w:sz w:val="24"/>
      <w:lang w:val="en-US" w:eastAsia="zh-CN"/>
    </w:rPr>
  </w:style>
  <w:style w:type="character" w:styleId="7">
    <w:name w:val="Strong"/>
    <w:basedOn w:val="6"/>
    <w:qFormat/>
    <w:uiPriority w:val="0"/>
    <w:rPr>
      <w:b/>
    </w:rPr>
  </w:style>
  <w:style w:type="character" w:customStyle="1" w:styleId="8">
    <w:name w:val="页眉 字符"/>
    <w:basedOn w:val="6"/>
    <w:link w:val="3"/>
    <w:qFormat/>
    <w:uiPriority w:val="99"/>
    <w:rPr>
      <w:sz w:val="18"/>
      <w:szCs w:val="18"/>
    </w:rPr>
  </w:style>
  <w:style w:type="character" w:customStyle="1" w:styleId="9">
    <w:name w:val="页脚 字符"/>
    <w:basedOn w:val="6"/>
    <w:link w:val="2"/>
    <w:qFormat/>
    <w:uiPriority w:val="99"/>
    <w:rPr>
      <w:sz w:val="18"/>
      <w:szCs w:val="18"/>
    </w:rPr>
  </w:style>
  <w:style w:type="paragraph" w:customStyle="1" w:styleId="10">
    <w:name w:val="P1_without_Indendation"/>
    <w:basedOn w:val="1"/>
    <w:qFormat/>
    <w:uiPriority w:val="0"/>
    <w:pPr>
      <w:spacing w:line="230" w:lineRule="exact"/>
      <w:jc w:val="both"/>
    </w:pPr>
    <w:rPr>
      <w:sz w:val="18"/>
    </w:rPr>
  </w:style>
  <w:style w:type="paragraph" w:customStyle="1" w:styleId="11">
    <w:name w:val="RSC H01 Paper Title"/>
    <w:basedOn w:val="1"/>
    <w:next w:val="1"/>
    <w:qFormat/>
    <w:uiPriority w:val="0"/>
    <w:pPr>
      <w:tabs>
        <w:tab w:val="left" w:pos="284"/>
      </w:tabs>
      <w:spacing w:before="400" w:after="160"/>
    </w:pPr>
    <w:rPr>
      <w:b/>
      <w:sz w:val="29"/>
      <w:szCs w:val="32"/>
    </w:rPr>
  </w:style>
  <w:style w:type="character" w:customStyle="1" w:styleId="12">
    <w:name w:val="RSC B02 Article Text Char"/>
    <w:basedOn w:val="6"/>
    <w:link w:val="13"/>
    <w:qFormat/>
    <w:uiPriority w:val="0"/>
    <w:rPr>
      <w:rFonts w:cs="Times New Roman"/>
      <w:w w:val="108"/>
      <w:sz w:val="18"/>
      <w:szCs w:val="18"/>
    </w:rPr>
  </w:style>
  <w:style w:type="paragraph" w:customStyle="1" w:styleId="13">
    <w:name w:val="RSC B02 Article Text"/>
    <w:basedOn w:val="1"/>
    <w:link w:val="12"/>
    <w:qFormat/>
    <w:uiPriority w:val="0"/>
    <w:pPr>
      <w:spacing w:line="240" w:lineRule="exact"/>
      <w:jc w:val="both"/>
    </w:pPr>
    <w:rPr>
      <w:rFonts w:asciiTheme="minorHAnsi" w:hAnsiTheme="minorHAnsi" w:eastAsiaTheme="minorEastAsia"/>
      <w:w w:val="108"/>
      <w:kern w:val="2"/>
      <w:sz w:val="18"/>
      <w:szCs w:val="18"/>
      <w:lang w:val="en-US" w:eastAsia="zh-CN"/>
    </w:rPr>
  </w:style>
  <w:style w:type="paragraph" w:customStyle="1" w:styleId="14">
    <w:name w:val="1.正文"/>
    <w:qFormat/>
    <w:uiPriority w:val="0"/>
    <w:pPr>
      <w:spacing w:line="360" w:lineRule="auto"/>
      <w:ind w:firstLine="200" w:firstLineChars="200"/>
      <w:jc w:val="both"/>
    </w:pPr>
    <w:rPr>
      <w:rFonts w:ascii="Times New Roman" w:hAnsi="Times New Roman" w:eastAsia="宋体" w:cs="Times New Roman"/>
      <w:kern w:val="2"/>
      <w:sz w:val="24"/>
      <w:szCs w:val="21"/>
      <w:lang w:val="en-US" w:eastAsia="zh-CN" w:bidi="ar-SA"/>
    </w:rPr>
  </w:style>
  <w:style w:type="paragraph" w:customStyle="1" w:styleId="15">
    <w:name w:val="h1stpagehead"/>
    <w:basedOn w:val="1"/>
    <w:qFormat/>
    <w:uiPriority w:val="0"/>
    <w:pPr>
      <w:keepNext/>
      <w:spacing w:before="240"/>
      <w:outlineLvl w:val="0"/>
    </w:pPr>
    <w:rPr>
      <w:rFonts w:eastAsia="宋体"/>
      <w:kern w:val="28"/>
      <w:sz w:val="21"/>
      <w:szCs w:val="20"/>
      <w:lang w:val="en-US" w:eastAsia="en-US"/>
    </w:rPr>
  </w:style>
  <w:style w:type="paragraph" w:customStyle="1" w:styleId="16">
    <w:name w:val="Authors"/>
    <w:basedOn w:val="1"/>
    <w:qFormat/>
    <w:uiPriority w:val="0"/>
    <w:pPr>
      <w:spacing w:after="360" w:line="230" w:lineRule="exact"/>
    </w:pPr>
    <w:rPr>
      <w:i/>
      <w:sz w:val="25"/>
    </w:rPr>
  </w:style>
  <w:style w:type="paragraph" w:customStyle="1" w:styleId="17">
    <w:name w:val="RSC B01 ART Abstract"/>
    <w:basedOn w:val="1"/>
    <w:qFormat/>
    <w:uiPriority w:val="0"/>
    <w:pPr>
      <w:spacing w:line="240" w:lineRule="exact"/>
      <w:jc w:val="both"/>
    </w:pPr>
    <w:rPr>
      <w:sz w:val="16"/>
      <w:lang w:eastAsia="en-GB"/>
    </w:rPr>
  </w:style>
  <w:style w:type="character" w:customStyle="1" w:styleId="18">
    <w:name w:val="text_brbij"/>
    <w:basedOn w:val="6"/>
    <w:qFormat/>
    <w:uiPriority w:val="0"/>
  </w:style>
  <w:style w:type="character" w:styleId="19">
    <w:name w:val="Placeholder Text"/>
    <w:basedOn w:val="6"/>
    <w:unhideWhenUsed/>
    <w:qFormat/>
    <w:uiPriority w:val="99"/>
    <w:rPr>
      <w:color w:val="666666"/>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1" Type="http://schemas.openxmlformats.org/officeDocument/2006/relationships/fontTable" Target="fontTable.xml"/><Relationship Id="rId40" Type="http://schemas.openxmlformats.org/officeDocument/2006/relationships/customXml" Target="../customXml/item1.xml"/><Relationship Id="rId4" Type="http://schemas.openxmlformats.org/officeDocument/2006/relationships/image" Target="media/image1.png"/><Relationship Id="rId39" Type="http://schemas.openxmlformats.org/officeDocument/2006/relationships/image" Target="media/image34.png"/><Relationship Id="rId38" Type="http://schemas.openxmlformats.org/officeDocument/2006/relationships/image" Target="media/image33.png"/><Relationship Id="rId37" Type="http://schemas.openxmlformats.org/officeDocument/2006/relationships/image" Target="media/image32.png"/><Relationship Id="rId36" Type="http://schemas.openxmlformats.org/officeDocument/2006/relationships/image" Target="media/image31.png"/><Relationship Id="rId35" Type="http://schemas.openxmlformats.org/officeDocument/2006/relationships/image" Target="media/image30.png"/><Relationship Id="rId34" Type="http://schemas.openxmlformats.org/officeDocument/2006/relationships/image" Target="media/image29.png"/><Relationship Id="rId33" Type="http://schemas.openxmlformats.org/officeDocument/2006/relationships/image" Target="media/image28.png"/><Relationship Id="rId32" Type="http://schemas.openxmlformats.org/officeDocument/2006/relationships/image" Target="media/image27.png"/><Relationship Id="rId31" Type="http://schemas.openxmlformats.org/officeDocument/2006/relationships/image" Target="media/image26.emf"/><Relationship Id="rId30" Type="http://schemas.openxmlformats.org/officeDocument/2006/relationships/oleObject" Target="embeddings/oleObject2.bin"/><Relationship Id="rId3" Type="http://schemas.openxmlformats.org/officeDocument/2006/relationships/theme" Target="theme/theme1.xml"/><Relationship Id="rId29" Type="http://schemas.openxmlformats.org/officeDocument/2006/relationships/image" Target="media/image25.png"/><Relationship Id="rId28" Type="http://schemas.openxmlformats.org/officeDocument/2006/relationships/image" Target="media/image24.png"/><Relationship Id="rId27" Type="http://schemas.openxmlformats.org/officeDocument/2006/relationships/image" Target="media/image23.png"/><Relationship Id="rId26" Type="http://schemas.openxmlformats.org/officeDocument/2006/relationships/image" Target="media/image22.png"/><Relationship Id="rId25" Type="http://schemas.openxmlformats.org/officeDocument/2006/relationships/image" Target="media/image21.png"/><Relationship Id="rId24" Type="http://schemas.openxmlformats.org/officeDocument/2006/relationships/image" Target="media/image20.png"/><Relationship Id="rId23" Type="http://schemas.openxmlformats.org/officeDocument/2006/relationships/image" Target="media/image19.png"/><Relationship Id="rId22" Type="http://schemas.openxmlformats.org/officeDocument/2006/relationships/image" Target="media/image18.png"/><Relationship Id="rId21" Type="http://schemas.openxmlformats.org/officeDocument/2006/relationships/image" Target="media/image17.emf"/><Relationship Id="rId20" Type="http://schemas.openxmlformats.org/officeDocument/2006/relationships/oleObject" Target="embeddings/oleObject1.bin"/><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36</Pages>
  <Words>2503</Words>
  <Characters>13282</Characters>
  <Lines>308</Lines>
  <Paragraphs>77</Paragraphs>
  <TotalTime>905</TotalTime>
  <ScaleCrop>false</ScaleCrop>
  <LinksUpToDate>false</LinksUpToDate>
  <CharactersWithSpaces>15845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2025-09-30T23:36:00Z</dcterms:created>
  <dc:creator>YichaoHuang</dc:creator>
  <cp:lastModifiedBy>小乔流水</cp:lastModifiedBy>
  <dcterms:modified xsi:type="dcterms:W3CDTF">2026-02-03T03:01:55Z</dcterms:modified>
  <cp:revision>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eyJoZGlkIjoiMzEwNTM5NzYwMDRjMzkwZTVkZjY2ODkwMGIxNGU0OTUiLCJ1c2VySWQiOiI4NTAxMDEzMzgifQ==</vt:lpwstr>
  </property>
  <property fmtid="{D5CDD505-2E9C-101B-9397-08002B2CF9AE}" pid="3" name="KSOProductBuildVer">
    <vt:lpwstr>2052-12.1.0.23542</vt:lpwstr>
  </property>
  <property fmtid="{D5CDD505-2E9C-101B-9397-08002B2CF9AE}" pid="4" name="ICV">
    <vt:lpwstr>C837F96180CF4631B0FA6F66C18307AE_12</vt:lpwstr>
  </property>
</Properties>
</file>