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45DF6C" w14:textId="77777777" w:rsidR="00BB1C50" w:rsidRPr="003C39A5" w:rsidRDefault="00BB1C50" w:rsidP="00BB1C50">
      <w:pPr>
        <w:spacing w:line="480" w:lineRule="auto"/>
        <w:jc w:val="center"/>
        <w:rPr>
          <w:rFonts w:ascii="Times New Roman" w:hAnsi="Times New Roman"/>
          <w:b/>
          <w:bCs/>
          <w:color w:val="000000" w:themeColor="text1"/>
          <w:sz w:val="32"/>
          <w:szCs w:val="32"/>
        </w:rPr>
      </w:pPr>
      <w:r w:rsidRPr="003C39A5">
        <w:rPr>
          <w:rFonts w:ascii="Times New Roman" w:hAnsi="Times New Roman" w:hint="eastAsia"/>
          <w:b/>
          <w:bCs/>
          <w:color w:val="000000" w:themeColor="text1"/>
          <w:sz w:val="32"/>
          <w:szCs w:val="32"/>
        </w:rPr>
        <w:t>Artificial Intelligence</w:t>
      </w:r>
      <w:r w:rsidRPr="003C39A5">
        <w:rPr>
          <w:rFonts w:ascii="Times New Roman" w:hAnsi="Times New Roman"/>
          <w:b/>
          <w:bCs/>
          <w:color w:val="000000" w:themeColor="text1"/>
          <w:sz w:val="32"/>
          <w:szCs w:val="32"/>
        </w:rPr>
        <w:t xml:space="preserve"> for Plastic </w:t>
      </w:r>
      <w:r w:rsidRPr="003C39A5">
        <w:rPr>
          <w:rFonts w:ascii="Times New Roman" w:hAnsi="Times New Roman" w:hint="eastAsia"/>
          <w:b/>
          <w:bCs/>
          <w:color w:val="000000" w:themeColor="text1"/>
          <w:sz w:val="32"/>
          <w:szCs w:val="32"/>
        </w:rPr>
        <w:t>P</w:t>
      </w:r>
      <w:r w:rsidRPr="003C39A5">
        <w:rPr>
          <w:rFonts w:ascii="Times New Roman" w:hAnsi="Times New Roman"/>
          <w:b/>
          <w:bCs/>
          <w:color w:val="000000" w:themeColor="text1"/>
          <w:sz w:val="32"/>
          <w:szCs w:val="32"/>
        </w:rPr>
        <w:t>yrolysis into Fuels and Chemicals: From Reaction Kinetics and Reactor Design to</w:t>
      </w:r>
      <w:r w:rsidRPr="003C39A5">
        <w:rPr>
          <w:rFonts w:ascii="Times New Roman" w:hAnsi="Times New Roman" w:hint="eastAsia"/>
          <w:b/>
          <w:bCs/>
          <w:color w:val="000000" w:themeColor="text1"/>
          <w:sz w:val="32"/>
          <w:szCs w:val="32"/>
        </w:rPr>
        <w:t>wards</w:t>
      </w:r>
      <w:r w:rsidRPr="003C39A5">
        <w:rPr>
          <w:rFonts w:ascii="Times New Roman" w:hAnsi="Times New Roman"/>
          <w:b/>
          <w:bCs/>
          <w:color w:val="000000" w:themeColor="text1"/>
          <w:sz w:val="32"/>
          <w:szCs w:val="32"/>
        </w:rPr>
        <w:t xml:space="preserve"> Intelligent Agent Development</w:t>
      </w:r>
    </w:p>
    <w:p w14:paraId="7C993FFF" w14:textId="77777777" w:rsidR="00BB1C50" w:rsidRDefault="00BB1C50" w:rsidP="00BB1C50">
      <w:pPr>
        <w:spacing w:line="480" w:lineRule="auto"/>
        <w:jc w:val="center"/>
        <w:rPr>
          <w:rFonts w:ascii="Times New Roman" w:hAnsi="Times New Roman"/>
          <w:b/>
          <w:bCs/>
          <w:color w:val="000000" w:themeColor="text1"/>
          <w:sz w:val="24"/>
        </w:rPr>
      </w:pPr>
    </w:p>
    <w:p w14:paraId="1E390CF4" w14:textId="77777777" w:rsidR="00BB1C50" w:rsidRDefault="00BB1C50" w:rsidP="00BB1C50">
      <w:pPr>
        <w:spacing w:line="480" w:lineRule="auto"/>
        <w:jc w:val="center"/>
        <w:rPr>
          <w:rFonts w:ascii="Times New Roman" w:hAnsi="Times New Roman"/>
          <w:b/>
          <w:color w:val="000000" w:themeColor="text1"/>
          <w:spacing w:val="-3"/>
          <w:sz w:val="24"/>
          <w:vertAlign w:val="superscript"/>
        </w:rPr>
      </w:pPr>
      <w:proofErr w:type="spellStart"/>
      <w:r>
        <w:rPr>
          <w:rFonts w:ascii="Times New Roman" w:hAnsi="Times New Roman"/>
          <w:b/>
          <w:color w:val="000000" w:themeColor="text1"/>
          <w:sz w:val="24"/>
        </w:rPr>
        <w:t>Gaoyang</w:t>
      </w:r>
      <w:proofErr w:type="spellEnd"/>
      <w:r>
        <w:rPr>
          <w:rFonts w:ascii="Times New Roman" w:hAnsi="Times New Roman"/>
          <w:b/>
          <w:color w:val="000000" w:themeColor="text1"/>
          <w:sz w:val="24"/>
        </w:rPr>
        <w:t xml:space="preserve"> </w:t>
      </w:r>
      <w:r>
        <w:rPr>
          <w:rFonts w:ascii="Times New Roman" w:hAnsi="Times New Roman"/>
          <w:b/>
          <w:color w:val="000000" w:themeColor="text1"/>
          <w:spacing w:val="-3"/>
          <w:sz w:val="24"/>
        </w:rPr>
        <w:t>Li</w:t>
      </w:r>
      <w:r>
        <w:rPr>
          <w:rFonts w:ascii="Times New Roman" w:hAnsi="Times New Roman"/>
          <w:b/>
          <w:color w:val="000000" w:themeColor="text1"/>
          <w:spacing w:val="-3"/>
          <w:sz w:val="24"/>
          <w:vertAlign w:val="superscript"/>
        </w:rPr>
        <w:t>1</w:t>
      </w:r>
      <w:r>
        <w:rPr>
          <w:rFonts w:ascii="Times New Roman" w:hAnsi="Times New Roman"/>
          <w:b/>
          <w:color w:val="000000" w:themeColor="text1"/>
          <w:spacing w:val="-3"/>
          <w:sz w:val="24"/>
        </w:rPr>
        <w:t>,</w:t>
      </w:r>
      <w:r>
        <w:rPr>
          <w:rFonts w:ascii="Times New Roman" w:hAnsi="Times New Roman" w:hint="eastAsia"/>
          <w:b/>
          <w:color w:val="000000" w:themeColor="text1"/>
          <w:spacing w:val="-3"/>
          <w:sz w:val="24"/>
        </w:rPr>
        <w:t xml:space="preserve"> Jie Huang</w:t>
      </w:r>
      <w:r>
        <w:rPr>
          <w:rFonts w:ascii="Times New Roman" w:hAnsi="Times New Roman"/>
          <w:b/>
          <w:color w:val="000000" w:themeColor="text1"/>
          <w:spacing w:val="-3"/>
          <w:sz w:val="24"/>
          <w:vertAlign w:val="superscript"/>
        </w:rPr>
        <w:t>1</w:t>
      </w:r>
      <w:r>
        <w:rPr>
          <w:rFonts w:ascii="Times New Roman" w:hAnsi="Times New Roman" w:hint="eastAsia"/>
          <w:b/>
          <w:color w:val="000000" w:themeColor="text1"/>
          <w:spacing w:val="-3"/>
          <w:sz w:val="24"/>
        </w:rPr>
        <w:t xml:space="preserve">, </w:t>
      </w:r>
      <w:r>
        <w:rPr>
          <w:rFonts w:ascii="Times New Roman" w:hAnsi="Times New Roman"/>
          <w:b/>
          <w:color w:val="000000" w:themeColor="text1"/>
          <w:spacing w:val="-3"/>
          <w:sz w:val="24"/>
        </w:rPr>
        <w:t>Xi Gao</w:t>
      </w:r>
      <w:r>
        <w:rPr>
          <w:rFonts w:ascii="Times New Roman" w:hAnsi="Times New Roman" w:hint="eastAsia"/>
          <w:b/>
          <w:color w:val="000000" w:themeColor="text1"/>
          <w:spacing w:val="-3"/>
          <w:sz w:val="24"/>
          <w:vertAlign w:val="superscript"/>
        </w:rPr>
        <w:t>2</w:t>
      </w:r>
      <w:r>
        <w:rPr>
          <w:rFonts w:ascii="Times New Roman" w:hAnsi="Times New Roman"/>
          <w:b/>
          <w:color w:val="000000" w:themeColor="text1"/>
          <w:spacing w:val="-3"/>
          <w:sz w:val="24"/>
          <w:vertAlign w:val="superscript"/>
        </w:rPr>
        <w:t>,</w:t>
      </w:r>
      <w:proofErr w:type="gramStart"/>
      <w:r>
        <w:rPr>
          <w:rFonts w:ascii="Times New Roman" w:hAnsi="Times New Roman" w:hint="eastAsia"/>
          <w:b/>
          <w:color w:val="000000" w:themeColor="text1"/>
          <w:spacing w:val="-3"/>
          <w:sz w:val="24"/>
          <w:vertAlign w:val="superscript"/>
        </w:rPr>
        <w:t>3,*</w:t>
      </w:r>
      <w:proofErr w:type="gramEnd"/>
      <w:r>
        <w:rPr>
          <w:rFonts w:ascii="Times New Roman" w:hAnsi="Times New Roman"/>
          <w:b/>
          <w:color w:val="000000" w:themeColor="text1"/>
          <w:spacing w:val="-3"/>
          <w:sz w:val="24"/>
        </w:rPr>
        <w:t>, Yin-Ning Zhou</w:t>
      </w:r>
      <w:proofErr w:type="gramStart"/>
      <w:r>
        <w:rPr>
          <w:rFonts w:ascii="Times New Roman" w:hAnsi="Times New Roman" w:hint="eastAsia"/>
          <w:b/>
          <w:color w:val="000000" w:themeColor="text1"/>
          <w:spacing w:val="-3"/>
          <w:sz w:val="24"/>
          <w:vertAlign w:val="superscript"/>
        </w:rPr>
        <w:t>4,*</w:t>
      </w:r>
      <w:proofErr w:type="gramEnd"/>
      <w:r>
        <w:rPr>
          <w:rFonts w:ascii="Times New Roman" w:hAnsi="Times New Roman" w:hint="eastAsia"/>
          <w:b/>
          <w:color w:val="000000" w:themeColor="text1"/>
          <w:spacing w:val="-3"/>
          <w:sz w:val="24"/>
        </w:rPr>
        <w:t xml:space="preserve">, </w:t>
      </w:r>
      <w:r>
        <w:rPr>
          <w:rFonts w:ascii="Times New Roman" w:hAnsi="Times New Roman"/>
          <w:b/>
          <w:color w:val="000000" w:themeColor="text1"/>
          <w:spacing w:val="-3"/>
          <w:sz w:val="24"/>
        </w:rPr>
        <w:t>Li-Tao Zhu</w:t>
      </w:r>
      <w:proofErr w:type="gramStart"/>
      <w:r>
        <w:rPr>
          <w:rFonts w:ascii="Times New Roman" w:hAnsi="Times New Roman"/>
          <w:b/>
          <w:color w:val="000000" w:themeColor="text1"/>
          <w:spacing w:val="-3"/>
          <w:sz w:val="24"/>
          <w:vertAlign w:val="superscript"/>
        </w:rPr>
        <w:t>1</w:t>
      </w:r>
      <w:r>
        <w:rPr>
          <w:rFonts w:ascii="Times New Roman" w:hAnsi="Times New Roman" w:hint="eastAsia"/>
          <w:b/>
          <w:color w:val="000000" w:themeColor="text1"/>
          <w:spacing w:val="-3"/>
          <w:sz w:val="24"/>
          <w:vertAlign w:val="superscript"/>
        </w:rPr>
        <w:t>,*</w:t>
      </w:r>
      <w:proofErr w:type="gramEnd"/>
    </w:p>
    <w:p w14:paraId="0DB2B51A" w14:textId="77777777" w:rsidR="00BB1C50" w:rsidRDefault="00BB1C50" w:rsidP="00BB1C50">
      <w:pPr>
        <w:spacing w:line="480" w:lineRule="auto"/>
        <w:jc w:val="center"/>
        <w:rPr>
          <w:rFonts w:ascii="Times New Roman" w:hAnsi="Times New Roman"/>
          <w:b/>
          <w:color w:val="000000" w:themeColor="text1"/>
          <w:spacing w:val="-3"/>
          <w:sz w:val="24"/>
          <w:vertAlign w:val="superscript"/>
        </w:rPr>
      </w:pPr>
    </w:p>
    <w:p w14:paraId="1BDA4C5D" w14:textId="77777777" w:rsidR="00BB1C50" w:rsidRDefault="00BB1C50" w:rsidP="00BB1C50">
      <w:pPr>
        <w:suppressAutoHyphens/>
        <w:spacing w:line="480" w:lineRule="auto"/>
        <w:jc w:val="center"/>
        <w:rPr>
          <w:rFonts w:ascii="Times New Roman" w:hAnsi="Times New Roman"/>
          <w:bCs/>
          <w:i/>
          <w:iCs/>
          <w:color w:val="000000" w:themeColor="text1"/>
          <w:spacing w:val="-3"/>
          <w:sz w:val="20"/>
          <w:szCs w:val="20"/>
        </w:rPr>
      </w:pPr>
      <w:r>
        <w:rPr>
          <w:rFonts w:ascii="Times New Roman" w:hAnsi="Times New Roman"/>
          <w:bCs/>
          <w:i/>
          <w:iCs/>
          <w:color w:val="000000" w:themeColor="text1"/>
          <w:spacing w:val="-3"/>
          <w:sz w:val="20"/>
          <w:szCs w:val="20"/>
          <w:vertAlign w:val="superscript"/>
        </w:rPr>
        <w:t>1</w:t>
      </w:r>
      <w:r>
        <w:rPr>
          <w:rFonts w:ascii="Times New Roman" w:hAnsi="Times New Roman"/>
          <w:bCs/>
          <w:i/>
          <w:iCs/>
          <w:color w:val="000000" w:themeColor="text1"/>
          <w:spacing w:val="-3"/>
          <w:sz w:val="20"/>
          <w:szCs w:val="20"/>
        </w:rPr>
        <w:t>College of Smart Energy, Shanghai Jiao Tong University, Shanghai, 200240, China.</w:t>
      </w:r>
    </w:p>
    <w:p w14:paraId="20B03BD1" w14:textId="77777777" w:rsidR="00BB1C50" w:rsidRDefault="00BB1C50" w:rsidP="00BB1C50">
      <w:pPr>
        <w:suppressAutoHyphens/>
        <w:spacing w:line="480" w:lineRule="auto"/>
        <w:jc w:val="center"/>
        <w:rPr>
          <w:rFonts w:ascii="Times New Roman" w:hAnsi="Times New Roman"/>
          <w:bCs/>
          <w:i/>
          <w:iCs/>
          <w:color w:val="000000" w:themeColor="text1"/>
          <w:spacing w:val="-3"/>
          <w:sz w:val="20"/>
          <w:szCs w:val="20"/>
        </w:rPr>
      </w:pPr>
      <w:r>
        <w:rPr>
          <w:rFonts w:ascii="Times New Roman" w:hAnsi="Times New Roman" w:hint="eastAsia"/>
          <w:bCs/>
          <w:i/>
          <w:iCs/>
          <w:color w:val="000000" w:themeColor="text1"/>
          <w:spacing w:val="-3"/>
          <w:sz w:val="20"/>
          <w:szCs w:val="20"/>
          <w:vertAlign w:val="superscript"/>
        </w:rPr>
        <w:t>2</w:t>
      </w:r>
      <w:r>
        <w:rPr>
          <w:rFonts w:ascii="Times New Roman" w:hAnsi="Times New Roman"/>
          <w:bCs/>
          <w:i/>
          <w:iCs/>
          <w:color w:val="000000" w:themeColor="text1"/>
          <w:spacing w:val="-3"/>
          <w:sz w:val="20"/>
          <w:szCs w:val="20"/>
        </w:rPr>
        <w:t>Department of Chemical Engineering, Guangdong Technion-Israel Institute of Technology, Shantou 515063, China.</w:t>
      </w:r>
    </w:p>
    <w:p w14:paraId="23F384F6" w14:textId="77777777" w:rsidR="00BB1C50" w:rsidRDefault="00BB1C50" w:rsidP="00BB1C50">
      <w:pPr>
        <w:suppressAutoHyphens/>
        <w:spacing w:line="480" w:lineRule="auto"/>
        <w:jc w:val="center"/>
        <w:rPr>
          <w:rFonts w:ascii="Times New Roman" w:hAnsi="Times New Roman"/>
          <w:bCs/>
          <w:i/>
          <w:iCs/>
          <w:color w:val="000000" w:themeColor="text1"/>
          <w:spacing w:val="-3"/>
          <w:sz w:val="20"/>
          <w:szCs w:val="20"/>
        </w:rPr>
      </w:pPr>
      <w:r>
        <w:rPr>
          <w:rFonts w:ascii="Times New Roman" w:hAnsi="Times New Roman" w:hint="eastAsia"/>
          <w:bCs/>
          <w:i/>
          <w:iCs/>
          <w:color w:val="000000" w:themeColor="text1"/>
          <w:spacing w:val="-3"/>
          <w:sz w:val="20"/>
          <w:szCs w:val="20"/>
          <w:vertAlign w:val="superscript"/>
        </w:rPr>
        <w:t>3</w:t>
      </w:r>
      <w:r>
        <w:rPr>
          <w:rFonts w:ascii="Times New Roman" w:hAnsi="Times New Roman"/>
          <w:bCs/>
          <w:i/>
          <w:iCs/>
          <w:color w:val="000000" w:themeColor="text1"/>
          <w:spacing w:val="-3"/>
          <w:sz w:val="20"/>
          <w:szCs w:val="20"/>
        </w:rPr>
        <w:t>Wolfson Department of Chemical Engineering, Technion-Israel Institute of Technology, Haifa 3200003, Israel.</w:t>
      </w:r>
    </w:p>
    <w:p w14:paraId="5040A882" w14:textId="77777777" w:rsidR="00BB1C50" w:rsidRDefault="00BB1C50" w:rsidP="00BB1C50">
      <w:pPr>
        <w:suppressAutoHyphens/>
        <w:spacing w:line="480" w:lineRule="auto"/>
        <w:jc w:val="center"/>
        <w:rPr>
          <w:rFonts w:ascii="Times New Roman" w:hAnsi="Times New Roman"/>
          <w:bCs/>
          <w:i/>
          <w:iCs/>
          <w:color w:val="000000" w:themeColor="text1"/>
          <w:spacing w:val="-3"/>
          <w:sz w:val="20"/>
          <w:szCs w:val="20"/>
        </w:rPr>
      </w:pPr>
      <w:r>
        <w:rPr>
          <w:rFonts w:ascii="Times New Roman" w:hAnsi="Times New Roman" w:hint="eastAsia"/>
          <w:bCs/>
          <w:i/>
          <w:iCs/>
          <w:color w:val="000000" w:themeColor="text1"/>
          <w:spacing w:val="-3"/>
          <w:sz w:val="20"/>
          <w:szCs w:val="20"/>
          <w:vertAlign w:val="superscript"/>
        </w:rPr>
        <w:t>4</w:t>
      </w:r>
      <w:r>
        <w:rPr>
          <w:rFonts w:ascii="Times New Roman" w:hAnsi="Times New Roman"/>
          <w:bCs/>
          <w:i/>
          <w:iCs/>
          <w:color w:val="000000" w:themeColor="text1"/>
          <w:spacing w:val="-3"/>
          <w:sz w:val="20"/>
          <w:szCs w:val="20"/>
        </w:rPr>
        <w:t>Department of Chemical Engineering, Shanghai Jiao Tong University, Shanghai, 200240, China.</w:t>
      </w:r>
    </w:p>
    <w:p w14:paraId="5B8D6695" w14:textId="77777777" w:rsidR="00BB1C50" w:rsidRDefault="00BB1C50" w:rsidP="00BB1C50">
      <w:pPr>
        <w:spacing w:after="62" w:line="480" w:lineRule="auto"/>
        <w:ind w:left="120"/>
        <w:jc w:val="center"/>
        <w:rPr>
          <w:rFonts w:ascii="Times New Roman" w:hAnsi="Times New Roman"/>
          <w:color w:val="000000" w:themeColor="text1"/>
        </w:rPr>
      </w:pPr>
    </w:p>
    <w:p w14:paraId="5AA5366C" w14:textId="77777777" w:rsidR="00BB1C50" w:rsidRDefault="00BB1C50" w:rsidP="00BB1C50">
      <w:pPr>
        <w:spacing w:after="62" w:line="480" w:lineRule="auto"/>
        <w:ind w:left="120"/>
        <w:jc w:val="center"/>
        <w:rPr>
          <w:rFonts w:ascii="Times New Roman" w:hAnsi="Times New Roman"/>
          <w:color w:val="000000" w:themeColor="text1"/>
        </w:rPr>
      </w:pPr>
      <w:r>
        <w:rPr>
          <w:rFonts w:ascii="Times New Roman" w:hAnsi="Times New Roman" w:hint="eastAsia"/>
          <w:color w:val="000000" w:themeColor="text1"/>
        </w:rPr>
        <w:t>*</w:t>
      </w:r>
      <w:r>
        <w:rPr>
          <w:rFonts w:ascii="Times New Roman" w:hAnsi="Times New Roman"/>
          <w:color w:val="000000" w:themeColor="text1"/>
        </w:rPr>
        <w:t>Corresponding Author</w:t>
      </w:r>
      <w:r>
        <w:rPr>
          <w:rFonts w:ascii="Times New Roman" w:hAnsi="Times New Roman" w:hint="eastAsia"/>
          <w:color w:val="000000" w:themeColor="text1"/>
        </w:rPr>
        <w:t xml:space="preserve">: </w:t>
      </w:r>
      <w:r>
        <w:rPr>
          <w:rFonts w:ascii="Times New Roman" w:hAnsi="Times New Roman"/>
          <w:color w:val="000000" w:themeColor="text1"/>
        </w:rPr>
        <w:t>xi.gao@gtiit.edu.cn</w:t>
      </w:r>
      <w:r>
        <w:rPr>
          <w:rFonts w:ascii="Times New Roman" w:hAnsi="Times New Roman" w:hint="eastAsia"/>
          <w:color w:val="000000" w:themeColor="text1"/>
        </w:rPr>
        <w:t>;</w:t>
      </w:r>
      <w:r>
        <w:rPr>
          <w:rFonts w:ascii="Times New Roman" w:hAnsi="Times New Roman"/>
          <w:color w:val="000000" w:themeColor="text1"/>
        </w:rPr>
        <w:t xml:space="preserve"> zhouyn@sjtu.edu.cn</w:t>
      </w:r>
      <w:r>
        <w:rPr>
          <w:rFonts w:ascii="Times New Roman" w:hAnsi="Times New Roman" w:hint="eastAsia"/>
          <w:color w:val="000000" w:themeColor="text1"/>
        </w:rPr>
        <w:t xml:space="preserve">; </w:t>
      </w:r>
      <w:r>
        <w:rPr>
          <w:rFonts w:ascii="Times New Roman" w:hAnsi="Times New Roman"/>
          <w:color w:val="000000" w:themeColor="text1"/>
        </w:rPr>
        <w:t>sjtu_zlt@sjtu.edu.cn</w:t>
      </w:r>
    </w:p>
    <w:p w14:paraId="0F25B457" w14:textId="77777777" w:rsidR="00BB1C50" w:rsidRDefault="00BB1C50" w:rsidP="00BB1C50">
      <w:pPr>
        <w:spacing w:after="62" w:line="480" w:lineRule="auto"/>
        <w:ind w:left="120"/>
        <w:jc w:val="center"/>
        <w:rPr>
          <w:rFonts w:ascii="Times New Roman" w:hAnsi="Times New Roman"/>
          <w:color w:val="000000" w:themeColor="text1"/>
        </w:rPr>
      </w:pPr>
      <w:r>
        <w:rPr>
          <w:rFonts w:ascii="Times New Roman" w:hAnsi="Times New Roman"/>
          <w:color w:val="000000" w:themeColor="text1"/>
        </w:rPr>
        <w:t>Tel.: +86-21-64355111-6586; Fax: +86-21-64355111-6586</w:t>
      </w:r>
    </w:p>
    <w:p w14:paraId="049594D7" w14:textId="62D00B59" w:rsidR="00BB1C50" w:rsidRDefault="00BB1C50">
      <w:pPr>
        <w:rPr>
          <w:rFonts w:ascii="Times New Roman" w:hAnsi="Times New Roman" w:cs="Times New Roman"/>
          <w:b/>
          <w:bCs/>
          <w:sz w:val="22"/>
          <w:szCs w:val="22"/>
        </w:rPr>
      </w:pPr>
      <w:r>
        <w:rPr>
          <w:rFonts w:ascii="Times New Roman" w:hAnsi="Times New Roman" w:cs="Times New Roman"/>
          <w:b/>
          <w:bCs/>
          <w:sz w:val="22"/>
          <w:szCs w:val="22"/>
        </w:rPr>
        <w:br w:type="page"/>
      </w:r>
    </w:p>
    <w:p w14:paraId="1ABDC546" w14:textId="77777777" w:rsidR="00BB1C50" w:rsidRDefault="00BB1C50">
      <w:pPr>
        <w:rPr>
          <w:rFonts w:ascii="Times New Roman" w:hAnsi="Times New Roman" w:cs="Times New Roman"/>
          <w:b/>
          <w:bCs/>
          <w:sz w:val="22"/>
          <w:szCs w:val="22"/>
        </w:rPr>
      </w:pPr>
    </w:p>
    <w:p w14:paraId="728CE920" w14:textId="797BBAE4" w:rsidR="008D2FDB" w:rsidRDefault="00000000" w:rsidP="005E758A">
      <w:pPr>
        <w:jc w:val="center"/>
        <w:rPr>
          <w:rFonts w:ascii="Times New Roman" w:hAnsi="Times New Roman" w:cs="Times New Roman"/>
          <w:sz w:val="22"/>
          <w:szCs w:val="22"/>
        </w:rPr>
      </w:pPr>
      <w:r>
        <w:rPr>
          <w:rFonts w:ascii="Times New Roman" w:hAnsi="Times New Roman" w:cs="Times New Roman"/>
          <w:b/>
          <w:bCs/>
          <w:sz w:val="22"/>
          <w:szCs w:val="22"/>
        </w:rPr>
        <w:t>Table S1</w:t>
      </w:r>
      <w:r>
        <w:rPr>
          <w:rFonts w:ascii="Times New Roman" w:hAnsi="Times New Roman" w:cs="Times New Roman"/>
          <w:sz w:val="22"/>
          <w:szCs w:val="22"/>
        </w:rPr>
        <w:t xml:space="preserve"> Summary of polymer-specific pyrolysis pathways, products, and AI-relevant</w:t>
      </w:r>
    </w:p>
    <w:tbl>
      <w:tblPr>
        <w:tblStyle w:val="a3"/>
        <w:tblW w:w="0" w:type="auto"/>
        <w:tblLook w:val="04A0" w:firstRow="1" w:lastRow="0" w:firstColumn="1" w:lastColumn="0" w:noHBand="0" w:noVBand="1"/>
      </w:tblPr>
      <w:tblGrid>
        <w:gridCol w:w="1167"/>
        <w:gridCol w:w="2414"/>
        <w:gridCol w:w="6121"/>
        <w:gridCol w:w="4472"/>
      </w:tblGrid>
      <w:tr w:rsidR="008D2FDB" w14:paraId="422119BB" w14:textId="77777777">
        <w:tc>
          <w:tcPr>
            <w:tcW w:w="0" w:type="auto"/>
            <w:tcBorders>
              <w:top w:val="single" w:sz="4" w:space="0" w:color="auto"/>
              <w:left w:val="nil"/>
              <w:bottom w:val="single" w:sz="4" w:space="0" w:color="auto"/>
              <w:right w:val="nil"/>
            </w:tcBorders>
            <w:vAlign w:val="center"/>
          </w:tcPr>
          <w:p w14:paraId="2B6C8924" w14:textId="77777777" w:rsidR="008D2FDB" w:rsidRDefault="00000000">
            <w:pPr>
              <w:widowControl/>
              <w:jc w:val="center"/>
              <w:rPr>
                <w:rFonts w:ascii="Times New Roman" w:hAnsi="Times New Roman" w:cs="Times New Roman"/>
                <w:sz w:val="22"/>
                <w:szCs w:val="22"/>
              </w:rPr>
            </w:pPr>
            <w:r>
              <w:rPr>
                <w:rFonts w:ascii="Times New Roman" w:eastAsia="宋体" w:hAnsi="Times New Roman" w:cs="Times New Roman"/>
                <w:b/>
                <w:bCs/>
                <w:kern w:val="0"/>
                <w:sz w:val="22"/>
                <w:szCs w:val="22"/>
                <w:lang w:bidi="ar"/>
              </w:rPr>
              <w:t>Polymer</w:t>
            </w:r>
          </w:p>
        </w:tc>
        <w:tc>
          <w:tcPr>
            <w:tcW w:w="0" w:type="auto"/>
            <w:tcBorders>
              <w:top w:val="single" w:sz="4" w:space="0" w:color="auto"/>
              <w:left w:val="nil"/>
              <w:bottom w:val="single" w:sz="4" w:space="0" w:color="auto"/>
              <w:right w:val="nil"/>
            </w:tcBorders>
            <w:vAlign w:val="center"/>
          </w:tcPr>
          <w:p w14:paraId="21CACEBC" w14:textId="77777777" w:rsidR="008D2FDB" w:rsidRDefault="00000000">
            <w:pPr>
              <w:widowControl/>
              <w:jc w:val="center"/>
              <w:rPr>
                <w:rFonts w:ascii="Times New Roman" w:hAnsi="Times New Roman" w:cs="Times New Roman"/>
                <w:sz w:val="22"/>
                <w:szCs w:val="22"/>
              </w:rPr>
            </w:pPr>
            <w:r>
              <w:rPr>
                <w:rFonts w:ascii="Times New Roman" w:eastAsia="宋体" w:hAnsi="Times New Roman" w:cs="Times New Roman"/>
                <w:b/>
                <w:bCs/>
                <w:kern w:val="0"/>
                <w:sz w:val="22"/>
                <w:szCs w:val="22"/>
                <w:lang w:bidi="ar"/>
              </w:rPr>
              <w:t>Structural feature</w:t>
            </w:r>
          </w:p>
        </w:tc>
        <w:tc>
          <w:tcPr>
            <w:tcW w:w="0" w:type="auto"/>
            <w:tcBorders>
              <w:top w:val="single" w:sz="4" w:space="0" w:color="auto"/>
              <w:left w:val="nil"/>
              <w:bottom w:val="single" w:sz="4" w:space="0" w:color="auto"/>
              <w:right w:val="nil"/>
            </w:tcBorders>
            <w:vAlign w:val="center"/>
          </w:tcPr>
          <w:p w14:paraId="009778CD" w14:textId="77777777" w:rsidR="008D2FDB" w:rsidRDefault="00000000">
            <w:pPr>
              <w:widowControl/>
              <w:jc w:val="center"/>
              <w:rPr>
                <w:rFonts w:ascii="Times New Roman" w:hAnsi="Times New Roman" w:cs="Times New Roman"/>
                <w:sz w:val="22"/>
                <w:szCs w:val="22"/>
              </w:rPr>
            </w:pPr>
            <w:r>
              <w:rPr>
                <w:rFonts w:ascii="Times New Roman" w:eastAsia="宋体" w:hAnsi="Times New Roman" w:cs="Times New Roman"/>
                <w:b/>
                <w:bCs/>
                <w:kern w:val="0"/>
                <w:sz w:val="22"/>
                <w:szCs w:val="22"/>
                <w:lang w:bidi="ar"/>
              </w:rPr>
              <w:t>Dominant degradation pathway and major products</w:t>
            </w:r>
          </w:p>
        </w:tc>
        <w:tc>
          <w:tcPr>
            <w:tcW w:w="0" w:type="auto"/>
            <w:tcBorders>
              <w:top w:val="single" w:sz="4" w:space="0" w:color="auto"/>
              <w:left w:val="nil"/>
              <w:bottom w:val="single" w:sz="4" w:space="0" w:color="auto"/>
              <w:right w:val="nil"/>
            </w:tcBorders>
            <w:vAlign w:val="center"/>
          </w:tcPr>
          <w:p w14:paraId="29359571" w14:textId="77777777" w:rsidR="008D2FDB" w:rsidRDefault="00000000">
            <w:pPr>
              <w:widowControl/>
              <w:jc w:val="center"/>
              <w:rPr>
                <w:rFonts w:ascii="Times New Roman" w:hAnsi="Times New Roman" w:cs="Times New Roman"/>
                <w:sz w:val="22"/>
                <w:szCs w:val="22"/>
              </w:rPr>
            </w:pPr>
            <w:r>
              <w:rPr>
                <w:rFonts w:ascii="Times New Roman" w:eastAsia="宋体" w:hAnsi="Times New Roman" w:cs="Times New Roman"/>
                <w:b/>
                <w:bCs/>
                <w:kern w:val="0"/>
                <w:sz w:val="22"/>
                <w:szCs w:val="22"/>
                <w:lang w:bidi="ar"/>
              </w:rPr>
              <w:t>AI-relevant descriptors</w:t>
            </w:r>
          </w:p>
        </w:tc>
      </w:tr>
      <w:tr w:rsidR="008D2FDB" w14:paraId="3394895D" w14:textId="77777777">
        <w:tc>
          <w:tcPr>
            <w:tcW w:w="0" w:type="auto"/>
            <w:tcBorders>
              <w:top w:val="single" w:sz="4" w:space="0" w:color="auto"/>
              <w:left w:val="nil"/>
              <w:bottom w:val="nil"/>
              <w:right w:val="nil"/>
            </w:tcBorders>
            <w:vAlign w:val="center"/>
          </w:tcPr>
          <w:p w14:paraId="59304670" w14:textId="77777777" w:rsidR="008D2FDB" w:rsidRDefault="00000000">
            <w:pPr>
              <w:widowControl/>
              <w:jc w:val="left"/>
              <w:rPr>
                <w:rFonts w:ascii="Times New Roman" w:hAnsi="Times New Roman" w:cs="Times New Roman"/>
                <w:sz w:val="22"/>
                <w:szCs w:val="22"/>
              </w:rPr>
            </w:pPr>
            <w:r>
              <w:rPr>
                <w:rFonts w:ascii="Times New Roman" w:eastAsia="宋体" w:hAnsi="Times New Roman" w:cs="Times New Roman"/>
                <w:kern w:val="0"/>
                <w:sz w:val="22"/>
                <w:szCs w:val="22"/>
                <w:lang w:bidi="ar"/>
              </w:rPr>
              <w:t>PET</w:t>
            </w:r>
          </w:p>
        </w:tc>
        <w:tc>
          <w:tcPr>
            <w:tcW w:w="0" w:type="auto"/>
            <w:tcBorders>
              <w:top w:val="single" w:sz="4" w:space="0" w:color="auto"/>
              <w:left w:val="nil"/>
              <w:bottom w:val="nil"/>
              <w:right w:val="nil"/>
            </w:tcBorders>
            <w:vAlign w:val="center"/>
          </w:tcPr>
          <w:p w14:paraId="3D47F4A5" w14:textId="77777777" w:rsidR="008D2FDB" w:rsidRDefault="00000000">
            <w:pPr>
              <w:widowControl/>
              <w:jc w:val="left"/>
              <w:rPr>
                <w:rFonts w:ascii="Times New Roman" w:hAnsi="Times New Roman" w:cs="Times New Roman"/>
                <w:sz w:val="22"/>
                <w:szCs w:val="22"/>
              </w:rPr>
            </w:pPr>
            <w:r>
              <w:rPr>
                <w:rFonts w:ascii="Times New Roman" w:eastAsia="宋体" w:hAnsi="Times New Roman" w:cs="Times New Roman"/>
                <w:kern w:val="0"/>
                <w:sz w:val="22"/>
                <w:szCs w:val="22"/>
                <w:lang w:bidi="ar"/>
              </w:rPr>
              <w:t>Aromatic polyester containing ester linkages and benzene rings</w:t>
            </w:r>
          </w:p>
        </w:tc>
        <w:tc>
          <w:tcPr>
            <w:tcW w:w="0" w:type="auto"/>
            <w:tcBorders>
              <w:top w:val="single" w:sz="4" w:space="0" w:color="auto"/>
              <w:left w:val="nil"/>
              <w:bottom w:val="nil"/>
              <w:right w:val="nil"/>
            </w:tcBorders>
            <w:vAlign w:val="center"/>
          </w:tcPr>
          <w:p w14:paraId="7225BD20" w14:textId="77777777" w:rsidR="008D2FDB" w:rsidRDefault="00000000">
            <w:pPr>
              <w:widowControl/>
              <w:jc w:val="left"/>
              <w:rPr>
                <w:rFonts w:ascii="Times New Roman" w:hAnsi="Times New Roman" w:cs="Times New Roman"/>
                <w:sz w:val="22"/>
                <w:szCs w:val="22"/>
              </w:rPr>
            </w:pPr>
            <w:r>
              <w:rPr>
                <w:rFonts w:ascii="Times New Roman" w:eastAsia="宋体" w:hAnsi="Times New Roman" w:cs="Times New Roman"/>
                <w:kern w:val="0"/>
                <w:sz w:val="22"/>
                <w:szCs w:val="22"/>
                <w:lang w:bidi="ar"/>
              </w:rPr>
              <w:t xml:space="preserve">PET pyrolysis mainly involves β-H transfer scission at ester bonds, C–O bond cleavage, decarboxylation, and </w:t>
            </w:r>
            <w:proofErr w:type="spellStart"/>
            <w:r>
              <w:rPr>
                <w:rFonts w:ascii="Times New Roman" w:eastAsia="宋体" w:hAnsi="Times New Roman" w:cs="Times New Roman"/>
                <w:kern w:val="0"/>
                <w:sz w:val="22"/>
                <w:szCs w:val="22"/>
                <w:lang w:bidi="ar"/>
              </w:rPr>
              <w:t>decarbonylation</w:t>
            </w:r>
            <w:proofErr w:type="spellEnd"/>
            <w:r>
              <w:rPr>
                <w:rFonts w:ascii="Times New Roman" w:eastAsia="宋体" w:hAnsi="Times New Roman" w:cs="Times New Roman"/>
                <w:kern w:val="0"/>
                <w:sz w:val="22"/>
                <w:szCs w:val="22"/>
                <w:lang w:bidi="ar"/>
              </w:rPr>
              <w:t xml:space="preserve"> of unstable end-groups, producing benzoic acid, CO</w:t>
            </w:r>
            <w:r>
              <w:rPr>
                <w:rFonts w:ascii="Times New Roman" w:eastAsia="宋体" w:hAnsi="Times New Roman" w:cs="Times New Roman" w:hint="eastAsia"/>
                <w:kern w:val="0"/>
                <w:sz w:val="22"/>
                <w:szCs w:val="22"/>
                <w:vertAlign w:val="subscript"/>
                <w:lang w:bidi="ar"/>
              </w:rPr>
              <w:t>2</w:t>
            </w:r>
            <w:r>
              <w:rPr>
                <w:rFonts w:ascii="Times New Roman" w:eastAsia="宋体" w:hAnsi="Times New Roman" w:cs="Times New Roman"/>
                <w:kern w:val="0"/>
                <w:sz w:val="22"/>
                <w:szCs w:val="22"/>
                <w:lang w:bidi="ar"/>
              </w:rPr>
              <w:t>, CO, acetaldehyde, and acetophenone derivatives; acidic products such as benzoic acid may cause corrosion concerns.</w:t>
            </w:r>
          </w:p>
        </w:tc>
        <w:tc>
          <w:tcPr>
            <w:tcW w:w="0" w:type="auto"/>
            <w:tcBorders>
              <w:top w:val="single" w:sz="4" w:space="0" w:color="auto"/>
              <w:left w:val="nil"/>
              <w:bottom w:val="nil"/>
              <w:right w:val="nil"/>
            </w:tcBorders>
            <w:vAlign w:val="center"/>
          </w:tcPr>
          <w:p w14:paraId="76132E45" w14:textId="77777777" w:rsidR="008D2FDB" w:rsidRDefault="00000000">
            <w:pPr>
              <w:widowControl/>
              <w:jc w:val="left"/>
              <w:rPr>
                <w:rFonts w:ascii="Times New Roman" w:hAnsi="Times New Roman" w:cs="Times New Roman"/>
                <w:sz w:val="22"/>
                <w:szCs w:val="22"/>
              </w:rPr>
            </w:pPr>
            <w:r>
              <w:rPr>
                <w:rFonts w:ascii="Times New Roman" w:eastAsia="宋体" w:hAnsi="Times New Roman" w:cs="Times New Roman"/>
                <w:kern w:val="0"/>
                <w:sz w:val="22"/>
                <w:szCs w:val="22"/>
                <w:lang w:bidi="ar"/>
              </w:rPr>
              <w:t>PET fraction; O content; O/C ratio; ester-bond and aromatic-ring indicators; TGA onset/peak temperature; oxygenate or acid-product labels</w:t>
            </w:r>
          </w:p>
        </w:tc>
      </w:tr>
      <w:tr w:rsidR="008D2FDB" w14:paraId="30F47B88" w14:textId="77777777">
        <w:tc>
          <w:tcPr>
            <w:tcW w:w="0" w:type="auto"/>
            <w:tcBorders>
              <w:top w:val="nil"/>
              <w:left w:val="nil"/>
              <w:bottom w:val="nil"/>
              <w:right w:val="nil"/>
            </w:tcBorders>
            <w:vAlign w:val="center"/>
          </w:tcPr>
          <w:p w14:paraId="437E77AF" w14:textId="77777777" w:rsidR="008D2FDB" w:rsidRDefault="00000000">
            <w:pPr>
              <w:widowControl/>
              <w:jc w:val="left"/>
              <w:rPr>
                <w:rFonts w:ascii="Times New Roman" w:hAnsi="Times New Roman" w:cs="Times New Roman"/>
                <w:sz w:val="22"/>
                <w:szCs w:val="22"/>
              </w:rPr>
            </w:pPr>
            <w:r>
              <w:rPr>
                <w:rFonts w:ascii="Times New Roman" w:eastAsia="宋体" w:hAnsi="Times New Roman" w:cs="Times New Roman"/>
                <w:kern w:val="0"/>
                <w:sz w:val="22"/>
                <w:szCs w:val="22"/>
                <w:lang w:bidi="ar"/>
              </w:rPr>
              <w:t>PE / HDPE / LDPE</w:t>
            </w:r>
          </w:p>
        </w:tc>
        <w:tc>
          <w:tcPr>
            <w:tcW w:w="0" w:type="auto"/>
            <w:tcBorders>
              <w:top w:val="nil"/>
              <w:left w:val="nil"/>
              <w:bottom w:val="nil"/>
              <w:right w:val="nil"/>
            </w:tcBorders>
            <w:vAlign w:val="center"/>
          </w:tcPr>
          <w:p w14:paraId="624EAD44" w14:textId="77777777" w:rsidR="008D2FDB" w:rsidRDefault="00000000">
            <w:pPr>
              <w:widowControl/>
              <w:jc w:val="left"/>
              <w:rPr>
                <w:rFonts w:ascii="Times New Roman" w:hAnsi="Times New Roman" w:cs="Times New Roman"/>
                <w:sz w:val="22"/>
                <w:szCs w:val="22"/>
              </w:rPr>
            </w:pPr>
            <w:r>
              <w:rPr>
                <w:rFonts w:ascii="Times New Roman" w:eastAsia="宋体" w:hAnsi="Times New Roman" w:cs="Times New Roman"/>
                <w:kern w:val="0"/>
                <w:sz w:val="22"/>
                <w:szCs w:val="22"/>
                <w:lang w:bidi="ar"/>
              </w:rPr>
              <w:t>Saturated polyolefin with linear or branched –CH</w:t>
            </w:r>
            <w:r>
              <w:rPr>
                <w:rFonts w:ascii="Times New Roman" w:eastAsia="宋体" w:hAnsi="Times New Roman" w:cs="Times New Roman" w:hint="eastAsia"/>
                <w:kern w:val="0"/>
                <w:sz w:val="22"/>
                <w:szCs w:val="22"/>
                <w:vertAlign w:val="subscript"/>
                <w:lang w:bidi="ar"/>
              </w:rPr>
              <w:t>2</w:t>
            </w:r>
            <w:r>
              <w:rPr>
                <w:rFonts w:ascii="Times New Roman" w:eastAsia="宋体" w:hAnsi="Times New Roman" w:cs="Times New Roman"/>
                <w:kern w:val="0"/>
                <w:sz w:val="22"/>
                <w:szCs w:val="22"/>
                <w:lang w:bidi="ar"/>
              </w:rPr>
              <w:t>– backbone</w:t>
            </w:r>
          </w:p>
        </w:tc>
        <w:tc>
          <w:tcPr>
            <w:tcW w:w="0" w:type="auto"/>
            <w:tcBorders>
              <w:top w:val="nil"/>
              <w:left w:val="nil"/>
              <w:bottom w:val="nil"/>
              <w:right w:val="nil"/>
            </w:tcBorders>
            <w:vAlign w:val="center"/>
          </w:tcPr>
          <w:p w14:paraId="3A9B1846" w14:textId="77777777" w:rsidR="008D2FDB" w:rsidRDefault="00000000">
            <w:pPr>
              <w:widowControl/>
              <w:jc w:val="left"/>
              <w:rPr>
                <w:rFonts w:ascii="Times New Roman" w:hAnsi="Times New Roman" w:cs="Times New Roman"/>
                <w:sz w:val="22"/>
                <w:szCs w:val="22"/>
              </w:rPr>
            </w:pPr>
            <w:r>
              <w:rPr>
                <w:rFonts w:ascii="Times New Roman" w:eastAsia="宋体" w:hAnsi="Times New Roman" w:cs="Times New Roman"/>
                <w:kern w:val="0"/>
                <w:sz w:val="22"/>
                <w:szCs w:val="22"/>
                <w:lang w:bidi="ar"/>
              </w:rPr>
              <w:t>PE primarily degrades through random main-chain scission, radical recombination, intramolecular hydrogen transfer, β-scission, and disproportionation, generating alkanes, α-olefins, internal olefins, wax/oil fractions, and negligible solid residue under typical pyrolysis conditions.</w:t>
            </w:r>
          </w:p>
        </w:tc>
        <w:tc>
          <w:tcPr>
            <w:tcW w:w="0" w:type="auto"/>
            <w:tcBorders>
              <w:top w:val="nil"/>
              <w:left w:val="nil"/>
              <w:bottom w:val="nil"/>
              <w:right w:val="nil"/>
            </w:tcBorders>
            <w:vAlign w:val="center"/>
          </w:tcPr>
          <w:p w14:paraId="67499C64" w14:textId="77777777" w:rsidR="008D2FDB" w:rsidRDefault="00000000">
            <w:pPr>
              <w:widowControl/>
              <w:jc w:val="left"/>
              <w:rPr>
                <w:rFonts w:ascii="Times New Roman" w:hAnsi="Times New Roman" w:cs="Times New Roman"/>
                <w:sz w:val="22"/>
                <w:szCs w:val="22"/>
              </w:rPr>
            </w:pPr>
            <w:r>
              <w:rPr>
                <w:rFonts w:ascii="Times New Roman" w:eastAsia="宋体" w:hAnsi="Times New Roman" w:cs="Times New Roman"/>
                <w:kern w:val="0"/>
                <w:sz w:val="22"/>
                <w:szCs w:val="22"/>
                <w:lang w:bidi="ar"/>
              </w:rPr>
              <w:t>PE fraction; HDPE/LDPE type; branching proxy; H/C ratio; volatile matter; melting or melt-flow behavior; temperature, heating rate, and residence time</w:t>
            </w:r>
          </w:p>
        </w:tc>
      </w:tr>
      <w:tr w:rsidR="008D2FDB" w14:paraId="2FEAC1F7" w14:textId="77777777">
        <w:tc>
          <w:tcPr>
            <w:tcW w:w="0" w:type="auto"/>
            <w:tcBorders>
              <w:top w:val="nil"/>
              <w:left w:val="nil"/>
              <w:bottom w:val="nil"/>
              <w:right w:val="nil"/>
            </w:tcBorders>
            <w:vAlign w:val="center"/>
          </w:tcPr>
          <w:p w14:paraId="7C3CCBBE" w14:textId="77777777" w:rsidR="008D2FDB" w:rsidRDefault="00000000">
            <w:pPr>
              <w:widowControl/>
              <w:jc w:val="left"/>
              <w:rPr>
                <w:rFonts w:ascii="Times New Roman" w:hAnsi="Times New Roman" w:cs="Times New Roman"/>
                <w:sz w:val="22"/>
                <w:szCs w:val="22"/>
              </w:rPr>
            </w:pPr>
            <w:r>
              <w:rPr>
                <w:rFonts w:ascii="Times New Roman" w:eastAsia="宋体" w:hAnsi="Times New Roman" w:cs="Times New Roman"/>
                <w:kern w:val="0"/>
                <w:sz w:val="22"/>
                <w:szCs w:val="22"/>
                <w:lang w:bidi="ar"/>
              </w:rPr>
              <w:t>PP</w:t>
            </w:r>
          </w:p>
        </w:tc>
        <w:tc>
          <w:tcPr>
            <w:tcW w:w="0" w:type="auto"/>
            <w:tcBorders>
              <w:top w:val="nil"/>
              <w:left w:val="nil"/>
              <w:bottom w:val="nil"/>
              <w:right w:val="nil"/>
            </w:tcBorders>
            <w:vAlign w:val="center"/>
          </w:tcPr>
          <w:p w14:paraId="1E90E6D6" w14:textId="77777777" w:rsidR="008D2FDB" w:rsidRDefault="00000000">
            <w:pPr>
              <w:widowControl/>
              <w:jc w:val="left"/>
              <w:rPr>
                <w:rFonts w:ascii="Times New Roman" w:hAnsi="Times New Roman" w:cs="Times New Roman"/>
                <w:sz w:val="22"/>
                <w:szCs w:val="22"/>
              </w:rPr>
            </w:pPr>
            <w:r>
              <w:rPr>
                <w:rFonts w:ascii="Times New Roman" w:eastAsia="宋体" w:hAnsi="Times New Roman" w:cs="Times New Roman"/>
                <w:kern w:val="0"/>
                <w:sz w:val="22"/>
                <w:szCs w:val="22"/>
                <w:lang w:bidi="ar"/>
              </w:rPr>
              <w:t>Methyl-branched polyolefin containing tertiary carbon centers</w:t>
            </w:r>
          </w:p>
        </w:tc>
        <w:tc>
          <w:tcPr>
            <w:tcW w:w="0" w:type="auto"/>
            <w:tcBorders>
              <w:top w:val="nil"/>
              <w:left w:val="nil"/>
              <w:bottom w:val="nil"/>
              <w:right w:val="nil"/>
            </w:tcBorders>
            <w:vAlign w:val="center"/>
          </w:tcPr>
          <w:p w14:paraId="16FF6E01" w14:textId="77777777" w:rsidR="008D2FDB" w:rsidRDefault="00000000">
            <w:pPr>
              <w:widowControl/>
              <w:jc w:val="left"/>
              <w:rPr>
                <w:rFonts w:ascii="Times New Roman" w:hAnsi="Times New Roman" w:cs="Times New Roman"/>
                <w:sz w:val="22"/>
                <w:szCs w:val="22"/>
              </w:rPr>
            </w:pPr>
            <w:r>
              <w:rPr>
                <w:rFonts w:ascii="Times New Roman" w:eastAsia="宋体" w:hAnsi="Times New Roman" w:cs="Times New Roman"/>
                <w:kern w:val="0"/>
                <w:sz w:val="22"/>
                <w:szCs w:val="22"/>
                <w:lang w:bidi="ar"/>
              </w:rPr>
              <w:t>PP undergoes random chain scission followed by β-scission, with tertiary radical formation and intramolecular hydrogen transfer favoring the production of propylene, branched alkenes, branched alkanes, and oligomers; its liquid products are often rich in branched aliphatic hydrocarbons.</w:t>
            </w:r>
          </w:p>
        </w:tc>
        <w:tc>
          <w:tcPr>
            <w:tcW w:w="0" w:type="auto"/>
            <w:tcBorders>
              <w:top w:val="nil"/>
              <w:left w:val="nil"/>
              <w:bottom w:val="nil"/>
              <w:right w:val="nil"/>
            </w:tcBorders>
            <w:vAlign w:val="center"/>
          </w:tcPr>
          <w:p w14:paraId="56885D16" w14:textId="77777777" w:rsidR="008D2FDB" w:rsidRDefault="00000000">
            <w:pPr>
              <w:widowControl/>
              <w:jc w:val="left"/>
              <w:rPr>
                <w:rFonts w:ascii="Times New Roman" w:hAnsi="Times New Roman" w:cs="Times New Roman"/>
                <w:sz w:val="22"/>
                <w:szCs w:val="22"/>
              </w:rPr>
            </w:pPr>
            <w:r>
              <w:rPr>
                <w:rFonts w:ascii="Times New Roman" w:eastAsia="宋体" w:hAnsi="Times New Roman" w:cs="Times New Roman"/>
                <w:kern w:val="0"/>
                <w:sz w:val="22"/>
                <w:szCs w:val="22"/>
                <w:lang w:bidi="ar"/>
              </w:rPr>
              <w:t>PP fraction; methyl-branching or tertiary-carbon proxy; H/C ratio; volatile matter; temperature and residence-time descriptors</w:t>
            </w:r>
          </w:p>
        </w:tc>
      </w:tr>
      <w:tr w:rsidR="008D2FDB" w14:paraId="724B0E4C" w14:textId="77777777">
        <w:tc>
          <w:tcPr>
            <w:tcW w:w="0" w:type="auto"/>
            <w:tcBorders>
              <w:top w:val="nil"/>
              <w:left w:val="nil"/>
              <w:bottom w:val="nil"/>
              <w:right w:val="nil"/>
            </w:tcBorders>
            <w:vAlign w:val="center"/>
          </w:tcPr>
          <w:p w14:paraId="271DF899" w14:textId="77777777" w:rsidR="008D2FDB" w:rsidRDefault="00000000">
            <w:pPr>
              <w:widowControl/>
              <w:jc w:val="left"/>
              <w:rPr>
                <w:rFonts w:ascii="Times New Roman" w:hAnsi="Times New Roman" w:cs="Times New Roman"/>
                <w:sz w:val="22"/>
                <w:szCs w:val="22"/>
              </w:rPr>
            </w:pPr>
            <w:r>
              <w:rPr>
                <w:rFonts w:ascii="Times New Roman" w:eastAsia="宋体" w:hAnsi="Times New Roman" w:cs="Times New Roman"/>
                <w:kern w:val="0"/>
                <w:sz w:val="22"/>
                <w:szCs w:val="22"/>
                <w:lang w:bidi="ar"/>
              </w:rPr>
              <w:t>PS</w:t>
            </w:r>
          </w:p>
        </w:tc>
        <w:tc>
          <w:tcPr>
            <w:tcW w:w="0" w:type="auto"/>
            <w:tcBorders>
              <w:top w:val="nil"/>
              <w:left w:val="nil"/>
              <w:bottom w:val="nil"/>
              <w:right w:val="nil"/>
            </w:tcBorders>
            <w:vAlign w:val="center"/>
          </w:tcPr>
          <w:p w14:paraId="576AC687" w14:textId="77777777" w:rsidR="008D2FDB" w:rsidRDefault="00000000">
            <w:pPr>
              <w:widowControl/>
              <w:jc w:val="left"/>
              <w:rPr>
                <w:rFonts w:ascii="Times New Roman" w:hAnsi="Times New Roman" w:cs="Times New Roman"/>
                <w:sz w:val="22"/>
                <w:szCs w:val="22"/>
              </w:rPr>
            </w:pPr>
            <w:r>
              <w:rPr>
                <w:rFonts w:ascii="Times New Roman" w:eastAsia="宋体" w:hAnsi="Times New Roman" w:cs="Times New Roman"/>
                <w:kern w:val="0"/>
                <w:sz w:val="22"/>
                <w:szCs w:val="22"/>
                <w:lang w:bidi="ar"/>
              </w:rPr>
              <w:t>Polyolefin backbone with pendant phenyl groups</w:t>
            </w:r>
          </w:p>
        </w:tc>
        <w:tc>
          <w:tcPr>
            <w:tcW w:w="0" w:type="auto"/>
            <w:tcBorders>
              <w:top w:val="nil"/>
              <w:left w:val="nil"/>
              <w:bottom w:val="nil"/>
              <w:right w:val="nil"/>
            </w:tcBorders>
            <w:vAlign w:val="center"/>
          </w:tcPr>
          <w:p w14:paraId="172C43EE" w14:textId="77777777" w:rsidR="008D2FDB" w:rsidRDefault="00000000">
            <w:pPr>
              <w:widowControl/>
              <w:jc w:val="left"/>
              <w:rPr>
                <w:rFonts w:ascii="Times New Roman" w:hAnsi="Times New Roman" w:cs="Times New Roman"/>
                <w:sz w:val="22"/>
                <w:szCs w:val="22"/>
              </w:rPr>
            </w:pPr>
            <w:r>
              <w:rPr>
                <w:rFonts w:ascii="Times New Roman" w:eastAsia="宋体" w:hAnsi="Times New Roman" w:cs="Times New Roman"/>
                <w:kern w:val="0"/>
                <w:sz w:val="22"/>
                <w:szCs w:val="22"/>
                <w:lang w:bidi="ar"/>
              </w:rPr>
              <w:t>PS degradation is dominated by random main-chain scission, chain-end and mid-chain β-scission, depolymerization, and hydrogen-transfer reactions, producing styrene monomer, aromatic dimers, trimers, and other aromatic-rich liquid products.</w:t>
            </w:r>
          </w:p>
        </w:tc>
        <w:tc>
          <w:tcPr>
            <w:tcW w:w="0" w:type="auto"/>
            <w:tcBorders>
              <w:top w:val="nil"/>
              <w:left w:val="nil"/>
              <w:bottom w:val="nil"/>
              <w:right w:val="nil"/>
            </w:tcBorders>
            <w:vAlign w:val="center"/>
          </w:tcPr>
          <w:p w14:paraId="4C7B947E" w14:textId="77777777" w:rsidR="008D2FDB" w:rsidRDefault="00000000">
            <w:pPr>
              <w:widowControl/>
              <w:jc w:val="left"/>
              <w:rPr>
                <w:rFonts w:ascii="Times New Roman" w:hAnsi="Times New Roman" w:cs="Times New Roman"/>
                <w:sz w:val="22"/>
                <w:szCs w:val="22"/>
              </w:rPr>
            </w:pPr>
            <w:r>
              <w:rPr>
                <w:rFonts w:ascii="Times New Roman" w:eastAsia="宋体" w:hAnsi="Times New Roman" w:cs="Times New Roman"/>
                <w:kern w:val="0"/>
                <w:sz w:val="22"/>
                <w:szCs w:val="22"/>
                <w:lang w:bidi="ar"/>
              </w:rPr>
              <w:t>PS fraction; aromaticity or phenyl-group indicator; C/H ratio; styrene or aromatic-product labels; temperature and vapor residence time</w:t>
            </w:r>
          </w:p>
        </w:tc>
      </w:tr>
      <w:tr w:rsidR="008D2FDB" w14:paraId="2D9E3B53" w14:textId="77777777">
        <w:tc>
          <w:tcPr>
            <w:tcW w:w="0" w:type="auto"/>
            <w:tcBorders>
              <w:top w:val="nil"/>
              <w:left w:val="nil"/>
              <w:bottom w:val="single" w:sz="4" w:space="0" w:color="auto"/>
              <w:right w:val="nil"/>
            </w:tcBorders>
            <w:vAlign w:val="center"/>
          </w:tcPr>
          <w:p w14:paraId="4D2C9162" w14:textId="77777777" w:rsidR="008D2FDB" w:rsidRDefault="00000000">
            <w:pPr>
              <w:widowControl/>
              <w:jc w:val="left"/>
              <w:rPr>
                <w:rFonts w:ascii="Times New Roman" w:hAnsi="Times New Roman" w:cs="Times New Roman"/>
                <w:sz w:val="22"/>
                <w:szCs w:val="22"/>
              </w:rPr>
            </w:pPr>
            <w:r>
              <w:rPr>
                <w:rFonts w:ascii="Times New Roman" w:eastAsia="宋体" w:hAnsi="Times New Roman" w:cs="Times New Roman"/>
                <w:kern w:val="0"/>
                <w:sz w:val="22"/>
                <w:szCs w:val="22"/>
                <w:lang w:bidi="ar"/>
              </w:rPr>
              <w:t>PVC</w:t>
            </w:r>
          </w:p>
        </w:tc>
        <w:tc>
          <w:tcPr>
            <w:tcW w:w="0" w:type="auto"/>
            <w:tcBorders>
              <w:top w:val="nil"/>
              <w:left w:val="nil"/>
              <w:bottom w:val="single" w:sz="4" w:space="0" w:color="auto"/>
              <w:right w:val="nil"/>
            </w:tcBorders>
            <w:vAlign w:val="center"/>
          </w:tcPr>
          <w:p w14:paraId="3058CA2A" w14:textId="77777777" w:rsidR="008D2FDB" w:rsidRDefault="00000000">
            <w:pPr>
              <w:widowControl/>
              <w:jc w:val="left"/>
              <w:rPr>
                <w:rFonts w:ascii="Times New Roman" w:hAnsi="Times New Roman" w:cs="Times New Roman"/>
                <w:sz w:val="22"/>
                <w:szCs w:val="22"/>
              </w:rPr>
            </w:pPr>
            <w:r>
              <w:rPr>
                <w:rFonts w:ascii="Times New Roman" w:eastAsia="宋体" w:hAnsi="Times New Roman" w:cs="Times New Roman"/>
                <w:kern w:val="0"/>
                <w:sz w:val="22"/>
                <w:szCs w:val="22"/>
                <w:lang w:bidi="ar"/>
              </w:rPr>
              <w:t>Chlorinated polymer with –CH</w:t>
            </w:r>
            <w:r>
              <w:rPr>
                <w:rFonts w:ascii="Times New Roman" w:eastAsia="宋体" w:hAnsi="Times New Roman" w:cs="Times New Roman" w:hint="eastAsia"/>
                <w:kern w:val="0"/>
                <w:sz w:val="22"/>
                <w:szCs w:val="22"/>
                <w:vertAlign w:val="subscript"/>
                <w:lang w:bidi="ar"/>
              </w:rPr>
              <w:t>2</w:t>
            </w:r>
            <w:r>
              <w:rPr>
                <w:rFonts w:ascii="Times New Roman" w:eastAsia="宋体" w:hAnsi="Times New Roman" w:cs="Times New Roman"/>
                <w:kern w:val="0"/>
                <w:sz w:val="22"/>
                <w:szCs w:val="22"/>
                <w:lang w:bidi="ar"/>
              </w:rPr>
              <w:t>–</w:t>
            </w:r>
            <w:proofErr w:type="spellStart"/>
            <w:r>
              <w:rPr>
                <w:rFonts w:ascii="Times New Roman" w:eastAsia="宋体" w:hAnsi="Times New Roman" w:cs="Times New Roman"/>
                <w:kern w:val="0"/>
                <w:sz w:val="22"/>
                <w:szCs w:val="22"/>
                <w:lang w:bidi="ar"/>
              </w:rPr>
              <w:t>CHCl</w:t>
            </w:r>
            <w:proofErr w:type="spellEnd"/>
            <w:r>
              <w:rPr>
                <w:rFonts w:ascii="Times New Roman" w:eastAsia="宋体" w:hAnsi="Times New Roman" w:cs="Times New Roman"/>
                <w:kern w:val="0"/>
                <w:sz w:val="22"/>
                <w:szCs w:val="22"/>
                <w:lang w:bidi="ar"/>
              </w:rPr>
              <w:t>– repeating units</w:t>
            </w:r>
          </w:p>
        </w:tc>
        <w:tc>
          <w:tcPr>
            <w:tcW w:w="0" w:type="auto"/>
            <w:tcBorders>
              <w:top w:val="nil"/>
              <w:left w:val="nil"/>
              <w:bottom w:val="single" w:sz="4" w:space="0" w:color="auto"/>
              <w:right w:val="nil"/>
            </w:tcBorders>
            <w:vAlign w:val="center"/>
          </w:tcPr>
          <w:p w14:paraId="3723146B" w14:textId="77777777" w:rsidR="008D2FDB" w:rsidRDefault="00000000">
            <w:pPr>
              <w:widowControl/>
              <w:jc w:val="left"/>
              <w:rPr>
                <w:rFonts w:ascii="Times New Roman" w:hAnsi="Times New Roman" w:cs="Times New Roman"/>
                <w:sz w:val="22"/>
                <w:szCs w:val="22"/>
              </w:rPr>
            </w:pPr>
            <w:r>
              <w:rPr>
                <w:rFonts w:ascii="Times New Roman" w:eastAsia="宋体" w:hAnsi="Times New Roman" w:cs="Times New Roman"/>
                <w:kern w:val="0"/>
                <w:sz w:val="22"/>
                <w:szCs w:val="22"/>
                <w:lang w:bidi="ar"/>
              </w:rPr>
              <w:t>PVC pyrolysis generally proceeds through low-temperature dehydrochlorination to form conjugated polyenes, followed by high-temperature fragmentation, cyclization, and aromatization, producing HCl, chlorinated hydrocarbons, chlorobenzenes, benzene, toluene, and chlorinated char.</w:t>
            </w:r>
          </w:p>
        </w:tc>
        <w:tc>
          <w:tcPr>
            <w:tcW w:w="0" w:type="auto"/>
            <w:tcBorders>
              <w:top w:val="nil"/>
              <w:left w:val="nil"/>
              <w:bottom w:val="single" w:sz="4" w:space="0" w:color="auto"/>
              <w:right w:val="nil"/>
            </w:tcBorders>
            <w:vAlign w:val="center"/>
          </w:tcPr>
          <w:p w14:paraId="10116469" w14:textId="77777777" w:rsidR="008D2FDB" w:rsidRDefault="00000000">
            <w:pPr>
              <w:widowControl/>
              <w:jc w:val="left"/>
              <w:rPr>
                <w:rFonts w:ascii="Times New Roman" w:hAnsi="Times New Roman" w:cs="Times New Roman"/>
                <w:sz w:val="22"/>
                <w:szCs w:val="22"/>
              </w:rPr>
            </w:pPr>
            <w:r>
              <w:rPr>
                <w:rFonts w:ascii="Times New Roman" w:eastAsia="宋体" w:hAnsi="Times New Roman" w:cs="Times New Roman"/>
                <w:kern w:val="0"/>
                <w:sz w:val="22"/>
                <w:szCs w:val="22"/>
                <w:lang w:bidi="ar"/>
              </w:rPr>
              <w:t xml:space="preserve">PVC fraction; Cl content; H/Cl ratio; </w:t>
            </w:r>
            <w:proofErr w:type="spellStart"/>
            <w:r>
              <w:rPr>
                <w:rFonts w:ascii="Times New Roman" w:eastAsia="宋体" w:hAnsi="Times New Roman" w:cs="Times New Roman"/>
                <w:kern w:val="0"/>
                <w:sz w:val="22"/>
                <w:szCs w:val="22"/>
                <w:lang w:bidi="ar"/>
              </w:rPr>
              <w:t>dechlorination</w:t>
            </w:r>
            <w:proofErr w:type="spellEnd"/>
            <w:r>
              <w:rPr>
                <w:rFonts w:ascii="Times New Roman" w:eastAsia="宋体" w:hAnsi="Times New Roman" w:cs="Times New Roman"/>
                <w:kern w:val="0"/>
                <w:sz w:val="22"/>
                <w:szCs w:val="22"/>
                <w:lang w:bidi="ar"/>
              </w:rPr>
              <w:t>-temperature descriptor; HCl-emission label; chlorinated-product and char/coke risk labels</w:t>
            </w:r>
          </w:p>
        </w:tc>
      </w:tr>
    </w:tbl>
    <w:p w14:paraId="43E39916" w14:textId="77777777" w:rsidR="008D2FDB" w:rsidRDefault="008D2FDB">
      <w:pPr>
        <w:rPr>
          <w:rFonts w:ascii="Times New Roman" w:hAnsi="Times New Roman" w:cs="Times New Roman"/>
          <w:sz w:val="22"/>
          <w:szCs w:val="22"/>
        </w:rPr>
        <w:sectPr w:rsidR="008D2FDB" w:rsidSect="005E758A">
          <w:pgSz w:w="16838" w:h="11906" w:orient="landscape"/>
          <w:pgMar w:top="1440" w:right="1440" w:bottom="1440" w:left="1440" w:header="851" w:footer="992" w:gutter="0"/>
          <w:cols w:space="425"/>
          <w:docGrid w:type="lines" w:linePitch="312"/>
        </w:sectPr>
      </w:pPr>
    </w:p>
    <w:p w14:paraId="12BBA5D1" w14:textId="77777777" w:rsidR="008D2FDB" w:rsidRDefault="00000000">
      <w:pPr>
        <w:rPr>
          <w:rFonts w:ascii="Times New Roman" w:hAnsi="Times New Roman" w:cs="Times New Roman"/>
          <w:sz w:val="22"/>
          <w:szCs w:val="22"/>
        </w:rPr>
      </w:pPr>
      <w:r>
        <w:rPr>
          <w:rFonts w:ascii="Times New Roman" w:hAnsi="Times New Roman" w:cs="Times New Roman"/>
          <w:sz w:val="22"/>
          <w:szCs w:val="22"/>
        </w:rPr>
        <w:lastRenderedPageBreak/>
        <w:t>The descriptors listed in the last column are intended as potential feature-engineering candidates for AI-assisted plastic pyrolysis studies rather than definitive or universally applicable input variables. Their relevance and importance may vary depending on the prediction target, dataset composition, reactor configuration, catalyst system, operating conditions, data availability, and preprocessing strategy. Therefore, these descriptors should be selected and validated according to the specific modeling task, preferably through domain knowledge, correlation analysis, model-based feature importance, ablation tests, and external validation. The inclusion of a descriptor in this table does not imply a causal relationship with pyrolysis products.</w:t>
      </w:r>
    </w:p>
    <w:sectPr w:rsidR="008D2FDB">
      <w:pgSz w:w="11906" w:h="16838"/>
      <w:pgMar w:top="1440" w:right="1800" w:bottom="1440" w:left="1800" w:header="851" w:footer="992" w:gutter="0"/>
      <w:cols w:space="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945522" w14:textId="77777777" w:rsidR="002C6C2A" w:rsidRDefault="002C6C2A" w:rsidP="00BB1C50">
      <w:r>
        <w:separator/>
      </w:r>
    </w:p>
  </w:endnote>
  <w:endnote w:type="continuationSeparator" w:id="0">
    <w:p w14:paraId="601E350E" w14:textId="77777777" w:rsidR="002C6C2A" w:rsidRDefault="002C6C2A" w:rsidP="00BB1C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5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AAAF3B" w14:textId="77777777" w:rsidR="002C6C2A" w:rsidRDefault="002C6C2A" w:rsidP="00BB1C50">
      <w:r>
        <w:separator/>
      </w:r>
    </w:p>
  </w:footnote>
  <w:footnote w:type="continuationSeparator" w:id="0">
    <w:p w14:paraId="7220CD4D" w14:textId="77777777" w:rsidR="002C6C2A" w:rsidRDefault="002C6C2A" w:rsidP="00BB1C5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269F17C2"/>
    <w:rsid w:val="002C6C2A"/>
    <w:rsid w:val="003C39A5"/>
    <w:rsid w:val="005E758A"/>
    <w:rsid w:val="008D2FDB"/>
    <w:rsid w:val="00AD40DC"/>
    <w:rsid w:val="00BB1C50"/>
    <w:rsid w:val="269F17C2"/>
    <w:rsid w:val="5A646B5B"/>
    <w:rsid w:val="68EC29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8EA29A"/>
  <w15:docId w15:val="{9C8AFB64-3CA1-4D2A-82A5-4E2CCBB0D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rsid w:val="00BB1C50"/>
    <w:pPr>
      <w:tabs>
        <w:tab w:val="center" w:pos="4153"/>
        <w:tab w:val="right" w:pos="8306"/>
      </w:tabs>
      <w:snapToGrid w:val="0"/>
      <w:jc w:val="center"/>
    </w:pPr>
    <w:rPr>
      <w:sz w:val="18"/>
      <w:szCs w:val="18"/>
    </w:rPr>
  </w:style>
  <w:style w:type="character" w:customStyle="1" w:styleId="a5">
    <w:name w:val="页眉 字符"/>
    <w:basedOn w:val="a0"/>
    <w:link w:val="a4"/>
    <w:rsid w:val="00BB1C50"/>
    <w:rPr>
      <w:rFonts w:asciiTheme="minorHAnsi" w:eastAsiaTheme="minorEastAsia" w:hAnsiTheme="minorHAnsi" w:cstheme="minorBidi"/>
      <w:kern w:val="2"/>
      <w:sz w:val="18"/>
      <w:szCs w:val="18"/>
    </w:rPr>
  </w:style>
  <w:style w:type="paragraph" w:styleId="a6">
    <w:name w:val="footer"/>
    <w:basedOn w:val="a"/>
    <w:link w:val="a7"/>
    <w:rsid w:val="00BB1C50"/>
    <w:pPr>
      <w:tabs>
        <w:tab w:val="center" w:pos="4153"/>
        <w:tab w:val="right" w:pos="8306"/>
      </w:tabs>
      <w:snapToGrid w:val="0"/>
      <w:jc w:val="left"/>
    </w:pPr>
    <w:rPr>
      <w:sz w:val="18"/>
      <w:szCs w:val="18"/>
    </w:rPr>
  </w:style>
  <w:style w:type="character" w:customStyle="1" w:styleId="a7">
    <w:name w:val="页脚 字符"/>
    <w:basedOn w:val="a0"/>
    <w:link w:val="a6"/>
    <w:rsid w:val="00BB1C50"/>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3</Pages>
  <Words>497</Words>
  <Characters>3601</Characters>
  <Application>Microsoft Office Word</Application>
  <DocSecurity>0</DocSecurity>
  <Lines>100</Lines>
  <Paragraphs>36</Paragraphs>
  <ScaleCrop>false</ScaleCrop>
  <Company/>
  <LinksUpToDate>false</LinksUpToDate>
  <CharactersWithSpaces>4062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Gaoyang Li</dc:creator>
  <cp:lastModifiedBy>Litao Zhu</cp:lastModifiedBy>
  <cp:revision>4</cp:revision>
  <dcterms:created xsi:type="dcterms:W3CDTF">2026-06-28T03:18:00Z</dcterms:created>
  <dcterms:modified xsi:type="dcterms:W3CDTF">2026-06-28T13:29:00Z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ECC0A5E7C1AB4974AE491DF18C04899C_11</vt:lpwstr>
  </property>
  <property fmtid="{D5CDD505-2E9C-101B-9397-08002B2CF9AE}" pid="4" name="KSOTemplateDocerSaveRecord">
    <vt:lpwstr>eyJoZGlkIjoiYTIwNzVlZDk5Nzk1OTQwZGJmOTU2M2ExMjg2M2QwZTAiLCJ1c2VySWQiOiI3MjA5NTM2MzIifQ==</vt:lpwstr>
  </property>
</Properties>
</file>