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385A88">
      <w:pPr>
        <w:rPr>
          <w:rFonts w:hint="eastAsia"/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drawing>
          <wp:inline distT="0" distB="0" distL="0" distR="0">
            <wp:extent cx="5274310" cy="3974465"/>
            <wp:effectExtent l="0" t="0" r="2540" b="6985"/>
            <wp:docPr id="20190969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096995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7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5E2D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Fig. S1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eastAsia" w:ascii="Arial" w:hAnsi="Arial" w:cs="Arial"/>
          <w:sz w:val="24"/>
          <w:szCs w:val="24"/>
        </w:rPr>
        <w:t>The PRISMA flow diagram summarizes the various stages of the systematic literature review, including study screening, exclusion details, and the number of studies retained for quantitative analysis.</w:t>
      </w:r>
    </w:p>
    <w:p w14:paraId="130BCD8A">
      <w:pPr>
        <w:rPr>
          <w:rFonts w:hint="eastAsia"/>
          <w:sz w:val="24"/>
          <w:szCs w:val="24"/>
        </w:rPr>
      </w:pPr>
    </w:p>
    <w:p w14:paraId="46D8D7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Table S1</w:t>
      </w:r>
      <w:r>
        <w:rPr>
          <w:rFonts w:ascii="Arial" w:hAnsi="Arial" w:cs="Arial"/>
          <w:sz w:val="24"/>
          <w:szCs w:val="24"/>
        </w:rPr>
        <w:t xml:space="preserve"> Eggers’ test </w:t>
      </w:r>
      <w:r>
        <w:rPr>
          <w:rFonts w:hint="eastAsia" w:ascii="Arial" w:hAnsi="Arial" w:cs="Arial"/>
          <w:sz w:val="24"/>
          <w:szCs w:val="24"/>
        </w:rPr>
        <w:t xml:space="preserve">for publication bias across all interested variables. </w:t>
      </w:r>
      <w:r>
        <w:rPr>
          <w:rFonts w:ascii="Arial" w:hAnsi="Arial" w:cs="Arial"/>
          <w:sz w:val="24"/>
          <w:szCs w:val="24"/>
          <w:vertAlign w:val="superscript"/>
        </w:rPr>
        <w:t>▼</w:t>
      </w:r>
      <w:r>
        <w:rPr>
          <w:rFonts w:hint="eastAsia" w:ascii="Arial" w:hAnsi="Arial" w:cs="Arial"/>
          <w:sz w:val="24"/>
          <w:szCs w:val="24"/>
          <w:vertAlign w:val="superscript"/>
        </w:rPr>
        <w:t xml:space="preserve"> </w:t>
      </w:r>
      <w:r>
        <w:rPr>
          <w:rFonts w:hint="eastAsia" w:ascii="Arial" w:hAnsi="Arial" w:cs="Arial"/>
          <w:sz w:val="24"/>
          <w:szCs w:val="24"/>
        </w:rPr>
        <w:t>indicated the presence of funnel plot asymmetry in the initial test, followed by adjustment using the trim-and-fill method.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5"/>
        <w:gridCol w:w="2766"/>
      </w:tblGrid>
      <w:tr w14:paraId="69110DE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tcBorders>
              <w:top w:val="single" w:color="auto" w:sz="4" w:space="0"/>
              <w:bottom w:val="single" w:color="auto" w:sz="4" w:space="0"/>
            </w:tcBorders>
          </w:tcPr>
          <w:p w14:paraId="07D189A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hint="eastAsia" w:ascii="Arial" w:hAnsi="Arial" w:cs="Arial"/>
                <w:b/>
                <w:bCs/>
                <w:sz w:val="24"/>
                <w:szCs w:val="24"/>
              </w:rPr>
              <w:t>Parameter</w:t>
            </w:r>
          </w:p>
        </w:tc>
        <w:tc>
          <w:tcPr>
            <w:tcW w:w="2765" w:type="dxa"/>
            <w:tcBorders>
              <w:top w:val="single" w:color="auto" w:sz="4" w:space="0"/>
              <w:bottom w:val="single" w:color="auto" w:sz="4" w:space="0"/>
            </w:tcBorders>
          </w:tcPr>
          <w:p w14:paraId="0C9A67D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 value </w:t>
            </w:r>
          </w:p>
        </w:tc>
        <w:tc>
          <w:tcPr>
            <w:tcW w:w="2766" w:type="dxa"/>
            <w:tcBorders>
              <w:top w:val="single" w:color="auto" w:sz="4" w:space="0"/>
              <w:bottom w:val="single" w:color="auto" w:sz="4" w:space="0"/>
            </w:tcBorders>
          </w:tcPr>
          <w:p w14:paraId="1A8E885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sz w:val="24"/>
                <w:szCs w:val="24"/>
              </w:rPr>
              <w:t>p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value</w:t>
            </w:r>
          </w:p>
        </w:tc>
      </w:tr>
      <w:tr w14:paraId="723B12E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tcBorders>
              <w:top w:val="single" w:color="auto" w:sz="4" w:space="0"/>
            </w:tcBorders>
          </w:tcPr>
          <w:p w14:paraId="4E50304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AMF biomass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▼</w:t>
            </w:r>
          </w:p>
        </w:tc>
        <w:tc>
          <w:tcPr>
            <w:tcW w:w="2765" w:type="dxa"/>
            <w:tcBorders>
              <w:top w:val="single" w:color="auto" w:sz="4" w:space="0"/>
            </w:tcBorders>
          </w:tcPr>
          <w:p w14:paraId="75585B2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-0.46</w:t>
            </w:r>
          </w:p>
        </w:tc>
        <w:tc>
          <w:tcPr>
            <w:tcW w:w="2766" w:type="dxa"/>
            <w:tcBorders>
              <w:top w:val="single" w:color="auto" w:sz="4" w:space="0"/>
            </w:tcBorders>
          </w:tcPr>
          <w:p w14:paraId="59AD8E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0.65</w:t>
            </w:r>
          </w:p>
        </w:tc>
      </w:tr>
      <w:tr w14:paraId="63761A4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5F50D33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Chao1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▼</w:t>
            </w:r>
          </w:p>
        </w:tc>
        <w:tc>
          <w:tcPr>
            <w:tcW w:w="2765" w:type="dxa"/>
          </w:tcPr>
          <w:p w14:paraId="3AC4319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-0.18</w:t>
            </w:r>
          </w:p>
        </w:tc>
        <w:tc>
          <w:tcPr>
            <w:tcW w:w="2766" w:type="dxa"/>
          </w:tcPr>
          <w:p w14:paraId="13B009D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0.86</w:t>
            </w:r>
          </w:p>
        </w:tc>
      </w:tr>
      <w:tr w14:paraId="7F43378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44D9FC5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Root colonization</w:t>
            </w:r>
          </w:p>
        </w:tc>
        <w:tc>
          <w:tcPr>
            <w:tcW w:w="2765" w:type="dxa"/>
          </w:tcPr>
          <w:p w14:paraId="79B26F7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-0.96</w:t>
            </w:r>
          </w:p>
        </w:tc>
        <w:tc>
          <w:tcPr>
            <w:tcW w:w="2766" w:type="dxa"/>
          </w:tcPr>
          <w:p w14:paraId="4D6A3A1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0.34</w:t>
            </w:r>
          </w:p>
        </w:tc>
      </w:tr>
      <w:tr w14:paraId="30D50D0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50B6389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Hyphal length density</w:t>
            </w:r>
          </w:p>
        </w:tc>
        <w:tc>
          <w:tcPr>
            <w:tcW w:w="2765" w:type="dxa"/>
          </w:tcPr>
          <w:p w14:paraId="79A4FC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0.03</w:t>
            </w:r>
          </w:p>
        </w:tc>
        <w:tc>
          <w:tcPr>
            <w:tcW w:w="2766" w:type="dxa"/>
          </w:tcPr>
          <w:p w14:paraId="497F39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0.98</w:t>
            </w:r>
          </w:p>
        </w:tc>
      </w:tr>
      <w:tr w14:paraId="0474113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786265B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Richness</w:t>
            </w:r>
          </w:p>
        </w:tc>
        <w:tc>
          <w:tcPr>
            <w:tcW w:w="2765" w:type="dxa"/>
          </w:tcPr>
          <w:p w14:paraId="71E50DF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1.70</w:t>
            </w:r>
          </w:p>
        </w:tc>
        <w:tc>
          <w:tcPr>
            <w:tcW w:w="2766" w:type="dxa"/>
          </w:tcPr>
          <w:p w14:paraId="7B54EF7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0.10</w:t>
            </w:r>
          </w:p>
        </w:tc>
      </w:tr>
      <w:tr w14:paraId="2E89E86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73C4074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Shannon index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▼</w:t>
            </w:r>
          </w:p>
        </w:tc>
        <w:tc>
          <w:tcPr>
            <w:tcW w:w="2765" w:type="dxa"/>
          </w:tcPr>
          <w:p w14:paraId="4257E2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-0.45</w:t>
            </w:r>
          </w:p>
        </w:tc>
        <w:tc>
          <w:tcPr>
            <w:tcW w:w="2766" w:type="dxa"/>
          </w:tcPr>
          <w:p w14:paraId="4087A32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0.65</w:t>
            </w:r>
          </w:p>
        </w:tc>
      </w:tr>
      <w:tr w14:paraId="26DAF09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7BA49E5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Spore density</w:t>
            </w:r>
          </w:p>
        </w:tc>
        <w:tc>
          <w:tcPr>
            <w:tcW w:w="2765" w:type="dxa"/>
          </w:tcPr>
          <w:p w14:paraId="755B45E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0.77</w:t>
            </w:r>
          </w:p>
        </w:tc>
        <w:tc>
          <w:tcPr>
            <w:tcW w:w="2766" w:type="dxa"/>
          </w:tcPr>
          <w:p w14:paraId="4996522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0.45</w:t>
            </w:r>
          </w:p>
        </w:tc>
      </w:tr>
      <w:tr w14:paraId="3B75647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384CE12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AN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▼</w:t>
            </w:r>
          </w:p>
        </w:tc>
        <w:tc>
          <w:tcPr>
            <w:tcW w:w="2765" w:type="dxa"/>
          </w:tcPr>
          <w:p w14:paraId="7867025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0.65</w:t>
            </w:r>
          </w:p>
        </w:tc>
        <w:tc>
          <w:tcPr>
            <w:tcW w:w="2766" w:type="dxa"/>
          </w:tcPr>
          <w:p w14:paraId="22D0B32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0.52</w:t>
            </w:r>
          </w:p>
        </w:tc>
      </w:tr>
      <w:tr w14:paraId="256B2F1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219CE54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AP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▼</w:t>
            </w:r>
          </w:p>
        </w:tc>
        <w:tc>
          <w:tcPr>
            <w:tcW w:w="2765" w:type="dxa"/>
          </w:tcPr>
          <w:p w14:paraId="1B14B4C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0.16</w:t>
            </w:r>
          </w:p>
        </w:tc>
        <w:tc>
          <w:tcPr>
            <w:tcW w:w="2766" w:type="dxa"/>
          </w:tcPr>
          <w:p w14:paraId="046803E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0.87</w:t>
            </w:r>
          </w:p>
        </w:tc>
      </w:tr>
      <w:tr w14:paraId="5D8B42B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1BFAE56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pH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▼</w:t>
            </w:r>
          </w:p>
        </w:tc>
        <w:tc>
          <w:tcPr>
            <w:tcW w:w="2765" w:type="dxa"/>
          </w:tcPr>
          <w:p w14:paraId="033F0B3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0.07</w:t>
            </w:r>
          </w:p>
        </w:tc>
        <w:tc>
          <w:tcPr>
            <w:tcW w:w="2766" w:type="dxa"/>
          </w:tcPr>
          <w:p w14:paraId="249E075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0.94</w:t>
            </w:r>
          </w:p>
        </w:tc>
      </w:tr>
      <w:tr w14:paraId="1B09620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 w14:paraId="428BF9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SOC</w:t>
            </w:r>
          </w:p>
        </w:tc>
        <w:tc>
          <w:tcPr>
            <w:tcW w:w="2765" w:type="dxa"/>
          </w:tcPr>
          <w:p w14:paraId="0EEB5C0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-0.55</w:t>
            </w:r>
          </w:p>
        </w:tc>
        <w:tc>
          <w:tcPr>
            <w:tcW w:w="2766" w:type="dxa"/>
          </w:tcPr>
          <w:p w14:paraId="7636453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eastAsia" w:ascii="Arial" w:hAnsi="Arial" w:cs="Arial"/>
                <w:sz w:val="24"/>
                <w:szCs w:val="24"/>
              </w:rPr>
              <w:t>0.58</w:t>
            </w:r>
          </w:p>
        </w:tc>
      </w:tr>
    </w:tbl>
    <w:p w14:paraId="5202C936">
      <w:pPr>
        <w:rPr>
          <w:sz w:val="24"/>
          <w:szCs w:val="24"/>
        </w:rPr>
      </w:pPr>
    </w:p>
    <w:p w14:paraId="336D6420">
      <w:pPr>
        <w:rPr>
          <w:rFonts w:hint="eastAsia"/>
          <w:sz w:val="24"/>
          <w:szCs w:val="24"/>
        </w:rPr>
      </w:pPr>
    </w:p>
    <w:p w14:paraId="4FEE039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drawing>
          <wp:inline distT="0" distB="0" distL="0" distR="0">
            <wp:extent cx="5274310" cy="1234440"/>
            <wp:effectExtent l="0" t="0" r="2540" b="3810"/>
            <wp:docPr id="181758986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58986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BC18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 xml:space="preserve">Fig. S2 </w:t>
      </w:r>
      <w:r>
        <w:rPr>
          <w:rFonts w:hint="eastAsia" w:ascii="Arial" w:hAnsi="Arial" w:cs="Arial"/>
          <w:sz w:val="24"/>
          <w:szCs w:val="24"/>
        </w:rPr>
        <w:t>Effects of nitrogen (N) addition on soil properties across different subgroups (N addition type, ecosystem type, and climate condition). Purple points represent N addition type, green points represent ecosystem type, and orange points represent climate condition. Point size corresponds to the number of pooled studies. Panels (a)-(c) represent soil available N, soil available P, and soil pH, respectively.</w:t>
      </w:r>
    </w:p>
    <w:p w14:paraId="530CD29A">
      <w:pPr>
        <w:rPr>
          <w:rFonts w:hint="eastAsia"/>
          <w:sz w:val="24"/>
          <w:szCs w:val="24"/>
        </w:rPr>
      </w:pPr>
    </w:p>
    <w:p w14:paraId="2DF8475F">
      <w:pPr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drawing>
          <wp:inline distT="0" distB="0" distL="0" distR="0">
            <wp:extent cx="5274310" cy="1396365"/>
            <wp:effectExtent l="0" t="0" r="2540" b="0"/>
            <wp:docPr id="75438945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389451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529B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 xml:space="preserve">Fig. S3 </w:t>
      </w:r>
      <w:r>
        <w:rPr>
          <w:rFonts w:hint="eastAsia" w:ascii="Arial" w:hAnsi="Arial" w:cs="Arial"/>
          <w:sz w:val="24"/>
          <w:szCs w:val="24"/>
        </w:rPr>
        <w:t>Predictor importance ranking for soil properties. The vertical blue line at 0.8 distinguishes important predictors from non-important ones. Panels (a)-(c) represent soil available N, soil available P, and soil pH, respectively.</w:t>
      </w:r>
    </w:p>
    <w:p w14:paraId="5BCDEF6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5D8675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drawing>
          <wp:inline distT="0" distB="0" distL="0" distR="0">
            <wp:extent cx="4156075" cy="3016250"/>
            <wp:effectExtent l="0" t="0" r="0" b="0"/>
            <wp:docPr id="6509363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936316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61300" cy="302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F1D33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>Fig. S4</w:t>
      </w:r>
    </w:p>
    <w:p w14:paraId="7CD25AD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 xml:space="preserve">Fig. S4 </w:t>
      </w:r>
      <w:r>
        <w:rPr>
          <w:rFonts w:hint="eastAsia" w:ascii="Arial" w:hAnsi="Arial" w:cs="Arial"/>
          <w:sz w:val="24"/>
          <w:szCs w:val="24"/>
        </w:rPr>
        <w:t xml:space="preserve">Predictor importance ranking for soil organic carbon. The vertical blue line at 0.8 distinguishes important predictors from non-important ones. </w:t>
      </w:r>
    </w:p>
    <w:p w14:paraId="4DD42D6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414C7F3">
      <w:pPr>
        <w:rPr>
          <w:rFonts w:ascii="Arial" w:hAnsi="Arial" w:cs="Arial"/>
          <w:sz w:val="24"/>
          <w:szCs w:val="24"/>
        </w:rPr>
      </w:pPr>
    </w:p>
    <w:p w14:paraId="7BD3929F">
      <w:pPr>
        <w:rPr>
          <w:rFonts w:ascii="Arial" w:hAnsi="Arial" w:cs="Arial"/>
          <w:b/>
          <w:bCs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>Studies in the meta-analysis</w:t>
      </w:r>
    </w:p>
    <w:p w14:paraId="7EACEB00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Antoninka, A., P. B. Reich, and N. C. Johnson. 2011. Seven years of carbon dioxide enrichment, nitrogen fertilization and plant diversity influence arbuscular mycorrhizal fungi in a grassland ecosystem. New Phytologist </w:t>
      </w:r>
      <w:r>
        <w:rPr>
          <w:rFonts w:ascii="Arial" w:hAnsi="Arial" w:cs="Arial"/>
          <w:b/>
          <w:sz w:val="24"/>
          <w:szCs w:val="24"/>
        </w:rPr>
        <w:t>192</w:t>
      </w:r>
      <w:r>
        <w:rPr>
          <w:rFonts w:ascii="Arial" w:hAnsi="Arial" w:cs="Arial"/>
          <w:sz w:val="24"/>
          <w:szCs w:val="24"/>
        </w:rPr>
        <w:t>:200-214.</w:t>
      </w:r>
    </w:p>
    <w:p w14:paraId="4AC047F9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Blanke, V., S. Bassin, M. Volk, and J. Fuhrer. 2012. Nitrogen deposition effects on subalpine grassland: The role of nutrient limitations and changes in mycorrhizal abundance. Acta Oecologica-International Journal of Ecology </w:t>
      </w:r>
      <w:r>
        <w:rPr>
          <w:rFonts w:ascii="Arial" w:hAnsi="Arial" w:cs="Arial"/>
          <w:b/>
          <w:sz w:val="24"/>
          <w:szCs w:val="24"/>
        </w:rPr>
        <w:t>45</w:t>
      </w:r>
      <w:r>
        <w:rPr>
          <w:rFonts w:ascii="Arial" w:hAnsi="Arial" w:cs="Arial"/>
          <w:sz w:val="24"/>
          <w:szCs w:val="24"/>
        </w:rPr>
        <w:t>:57-65.</w:t>
      </w:r>
    </w:p>
    <w:p w14:paraId="4D9607BA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Camenzind, T., S. Hempel, J. Homeier, S. Horn, A. Velescu, W. Wilcke, and M. C. Rillig. 2014. Nitrogen and phosphorus additions impact arbuscular mycorrhizal abundance and molecular diversity in a tropical montane forest. Global Change Biology 20:3646-3659.</w:t>
      </w:r>
    </w:p>
    <w:p w14:paraId="0FB35678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Camenzind, T., J. Homeier, K. Dietrich, S. Hempel, D. Hertel, A. Krohn, C. Leuschner, Y. Oelmann, P. A. Olsson, J. P. Suarez, and M. C. Rillig. 2016. Opposing effects of nitrogen versus phosphorus additions on mycorrhizal fungal abundance along an elevational gradient in tropical montane forests. Soil Biology &amp; Biochemistry 94:37-47.</w:t>
      </w:r>
    </w:p>
    <w:p w14:paraId="6E0902A5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Cao, J. L., T. C. Lin, Z. J. Yang, Y. Zheng, L. Xie, D. C. Xiong, and Y. S. Yang. 2020. Warming exerts a stronger effect than nitrogen addition on the soil arbuscular mycorrhizal fungal community in a young subtropical Cunninghamia lanceolata plantation. Geoderma 367.</w:t>
      </w:r>
    </w:p>
    <w:p w14:paraId="6AB777F6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Chen, Y. L., Z. W. Xu, T. L. Xu, S. D. Veresoglou, G. W. Yang, and B. D. Chen. 2017. Nitrogen deposition and precipitation induced phylogenetic clustering of arbuscular mycorrhizal fungal communities. Soil Biology &amp; Biochemistry 115:233-242.</w:t>
      </w:r>
    </w:p>
    <w:p w14:paraId="1B821AAC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Chen, Y. L., X. Zhang, J. S. Ye, H. Y. Han, S. Q. Wan, and B. D. Chen. 2014. Six-year fertilization modifies the biodiversity of arbuscular mycorrhizal fungi in a temperate steppe in Inner Mongolia. Soil Biology &amp; Biochemistry 69:371-381.</w:t>
      </w:r>
    </w:p>
    <w:p w14:paraId="6945E716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Egerton-Warburton, L. M., and E. B. Allen. 2000. Shifts in arbuscular mycorrhizal communities along an anthropogenic nitrogen deposition gradient. Ecological Applications 10:484-496.</w:t>
      </w:r>
    </w:p>
    <w:p w14:paraId="39BF3672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Egerton-Warburton, L. M., N. C. Johnson, and E. B. Allen. 2007. Mycorrhizal community dynamics following nitrogen fertilization: A cross-site test in five grasslands. Ecological Monographs 77:527-544.</w:t>
      </w:r>
    </w:p>
    <w:p w14:paraId="77988C20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Fan, Y. X. 2020. N addition increased microbial residual carbon by altering soil P availability and microbial composition in a subtropical Castanopsis forest. Geoderma.</w:t>
      </w:r>
    </w:p>
    <w:p w14:paraId="3244AA3A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Frater, P. N., E. T. Borer, P. A. Fay, V. Jin, B. Knaeble, E. Seabloom, L. Sullivan, D. A. Wedin, and W. S. Harpole. 2018. Nutrients and environment influence arbuscular mycorrhizal colonization both independently and interactively in Schizachyrium scoparium. Plant and Soil 425:493-506.</w:t>
      </w:r>
    </w:p>
    <w:p w14:paraId="0F433DA1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Garcia, M. O., T. Ovasapyan, M. Greas, and K. K. Treseder. 2008. Mycorrhizal dynamics under elevated CO2 and nitrogen fertilization in a warm temperate forest. Plant and Soil 303:301-310.</w:t>
      </w:r>
    </w:p>
    <w:p w14:paraId="219FF2B3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Guan, Z.-H., Z. Cao, X. G. Li, T. Scholten, P. Kühn, L. Wang, R.-P. Yu, and J.-S. He. 2024. Soil phosphorus availability mediates the effects of nitrogen addition on community-and species-level phosphorus-acquisition strategies in alpine grasslands. Science of the Total Environment 906:167630.</w:t>
      </w:r>
    </w:p>
    <w:p w14:paraId="102E9320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Guo, J., Y. Gao, D. M. Eissenstat, C. He, and L. Sheng. 2020. Belowground responses of woody plants to nitrogen addition in a phosphorus-rich region of northeast China. Trees 34:143-154.</w:t>
      </w:r>
    </w:p>
    <w:p w14:paraId="65CEDAC9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Gutknecht, J. L. M., C. B. Field, and T. C. Balser. 2012. Microbial communities and their responses to simulated global change fluctuate greatly over multiple years. Global Change Biology 18:2256-2269.</w:t>
      </w:r>
    </w:p>
    <w:p w14:paraId="4BAC38A5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Huang, G., Y. Li, and Y. G. Su. 2015. Divergent responses of soil microbial communities to water and nitrogen addition in a temperate desert. Geoderma 251:55-64.</w:t>
      </w:r>
    </w:p>
    <w:p w14:paraId="2905F3CD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Jach-Smith, L. C., and R. D. Jackson. 2018. N addition undermines N supplied by arbuscular mycorrhizal fungi to native perennial grasses. Soil Biology &amp; Biochemistry 116:148-157.</w:t>
      </w:r>
    </w:p>
    <w:p w14:paraId="6466BB7D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Jiang, S. J., Y. J. Liu, J. J. Luo, M. S. Qin, N. C. Johnson, M. Opik, M. Vasar, Y. X. Chai, X. L. Zhou, L. Mao, G. Z. Du, L. Z. An, and H. Y. Feng. 2018. Dynamics of arbuscular mycorrhizal fungal community structure and functioning along a nitrogen enrichment gradient in an alpine meadow ecosystem. New Phytologist 220:1222-1235.</w:t>
      </w:r>
    </w:p>
    <w:p w14:paraId="54339735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Johnson, N. C., D. L. Rowland, L. Corkidi, L. M. Egerton-Warburton, and E. B. Allen. 2003. Nitrogen enrichment alters mycorrhizal allocation at five mesic to semiarid grasslands. Ecology 84:1895-1908.</w:t>
      </w:r>
    </w:p>
    <w:p w14:paraId="5A3C9C33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Kang, F., B. Yang, Wujisiguleng, X. Yang, L. Wang, J. Guo, W. Sun, Q. Zhang, and T. Zhang. 2019. Arbuscular mycorrhizal fungi alleviate the negative effect of nitrogen deposition on ecosystem functions in meadow grassland. Land Degradation &amp; Development.</w:t>
      </w:r>
    </w:p>
    <w:p w14:paraId="62414976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Kim, Y.-C., C. Gao, Y. Zheng, X.-H. He, W. Yang, L. Chen, S.-Q. Wan, and L.-D. Guo. 2015. Arbuscular mycorrhizal fungal community response to warming and nitrogen addition in a semiarid steppe ecosystem. Mycorrhiza 25:267-276.</w:t>
      </w:r>
    </w:p>
    <w:p w14:paraId="7DAC1426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Li, L., M. L. McCormack, F. Chen, H. Wang, Z. Ma, and D. Guo. 2019. Different responses of absorptive roots and arbuscular mycorrhizal fungi to fertilization provide diverse nutrient acquisition strategies in Chinese fir. Forest Ecology and Management 433:64-72.</w:t>
      </w:r>
    </w:p>
    <w:p w14:paraId="4D8DDF4E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Lin, Q.-y., Q.-x. Zeng, X.-c. Yuan, J.-y. Cui, H. Xie, H.-y. Lin, W.-p. Li, Q.-b. Yang, and Y.-m. Chen. 2022. Effects of Nitrogen Addition on the Soil Phoshorus Fractions in Subtropical &lt;i&gt;Pinus taiwanensis&lt;/i&gt; Forests. Forest Research 35:170-178.</w:t>
      </w:r>
    </w:p>
    <w:p w14:paraId="56BC8395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Lin, X., Q. Dong, P. Wang, L. Jiang, J. Hu, S. Wang, and B. Ji. 2020. Effects of nitrogen and phosphorus additions on arbuscular mycorrhizal fungi community in the alpine meadow in Qinghai-Tibetan plateau. Journal of South China Agricultural University 41:95-103.</w:t>
      </w:r>
    </w:p>
    <w:p w14:paraId="1910D993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Liu, L., Y. Ren, S. Sun, C. Liu, K. Ding, R. Li, P. Zhang, B. Shen, M. Ravanbakhsh, and W. Xiong. 2024. Unraveling fertilization effects on the dynamics of arbuscular mycorrhizal fungal community in the Qinghai-Tibet Alpine Meadow. Soil Ecology Letters 6:240248.</w:t>
      </w:r>
    </w:p>
    <w:p w14:paraId="3677AC34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Liu, W., Y. Jiang, G. Wang, Y. Su, J. M. Smoak, M. Liu, and B. Duan. 2021. Effects of N addition and clipping on above and belowground plant biomass, soil microbial community structure, and function in an alpine meadow on the Qinghai-Tibetan Plateau. European Journal of Soil Biology 106:103344.</w:t>
      </w:r>
    </w:p>
    <w:p w14:paraId="28160B87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Luo, R., Y. Kuzyakov, D. Liu, J. Fan, J. Luo, S. Lindsey, J.-S. He, and W. Ding. 2020a. Nutrient addition reduces carbon sequestration in a Tibetan grassland soil: Disentangling microbial and physical controls. Soil Biology &amp; Biochemistry 144.</w:t>
      </w:r>
    </w:p>
    <w:p w14:paraId="70C4FC34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Luo, R., J. Luo, J. Fan, D. Liu, J.-S. He, N. Perveen, and W. Ding. 2020b. Responses of soil microbial communities and functions associated with organic carbon mineralization to nitrogen addition in a Tibetan grassland. Pedosphere 30:214-225.</w:t>
      </w:r>
    </w:p>
    <w:p w14:paraId="500C3FA4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Ma, S., G. Chen, D. Tian, E. Du, W. Xiao, L. Jiang, Z. Zhou, J. Zhu, H. He, B. Zhu, and J. Fang. 2020. Effects of seven-year nitrogen and phosphorus additions on soil microbial community structures and residues in a tropical forest in Hainan Island, China. Geoderma 361.</w:t>
      </w:r>
    </w:p>
    <w:p w14:paraId="00F24E06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Mei, L. L., X. Yang, S. Q. Zhang, T. Zhang, and J. X. Guo. 2019. Arbuscular mycorrhizal fungi alleviate phosphorus limitation by reducing plant N:P ratios under warming and nitrogen addition in a temperate meadow ecosystem. Science of the Total Environment 686:1129-1139.</w:t>
      </w:r>
    </w:p>
    <w:p w14:paraId="6AA7EEAE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Mueller, R. C., and B. J. M. Bohannan. 2015. Shifts in the phylogenetic structure of arbuscular mycorrhizal fungi in response to experimental nitrogen and carbon dioxide additions. Oecologia 179:175-185.</w:t>
      </w:r>
    </w:p>
    <w:p w14:paraId="477C7363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Riggs, C. E., S. E. Hobbie, E. M. Bach, K. S. Hofmockel, and C. E. Kazanski. 2015. Nitrogen addition changes grassland soil organic matter decomposition. Biogeochemistry 125:203-219.</w:t>
      </w:r>
    </w:p>
    <w:p w14:paraId="0C636AAB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Treseder, K. K., K. M. Turner, and M. C. Mack. 2007. Mycorrhizal responses to nitrogen fertilization in boreal ecosystems: potential consequences for soil carbon storage. Global Change Biology 13:78-88.</w:t>
      </w:r>
    </w:p>
    <w:p w14:paraId="5CFFE375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van Diepen, L. T. A., E. A. Lilleskov, K. S. Pregitzer, and R. M. Miller. 2010. Simulated Nitrogen Deposition Causes a Decline of Intra- and Extraradical Abundance of Arbuscular Mycorrhizal Fungi and Changes in Microbial Community Structure in Northern Hardwood Forests. Ecosystems 13:683-695.</w:t>
      </w:r>
    </w:p>
    <w:p w14:paraId="5FC5E854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Wang, C., X. Lu, T. Mori, Q. Mao, K. Zhou, G. Zhou, Y. Nie, and J. Mo. 2018. Responses of soil microbial community to continuous experimental nitrogen additions for 13 years in a nitrogen-rich tropical forest. Soil Biology &amp; Biochemistry 121:103-112.</w:t>
      </w:r>
    </w:p>
    <w:p w14:paraId="466EBCC6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Wu, J. P., W. F. Liu, H. B. Fan, G. M. Huang, S. Z. Wan, Y. H. Yuan, and C. F. Ji. 2013. Asynchronous responses of soil microbial community and understory plant community to simulated nitrogen deposition in a subtropical forest. Ecology and Evolution 3:3895-3905.</w:t>
      </w:r>
    </w:p>
    <w:p w14:paraId="214CE51A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Xiao, D., R. X. Che, X. Liu, Y. J. Tan, R. Yang, W. Zhang, X. Y. He, Z. H. Xu, and K. L. Wang. 2019. Arbuscular mycorrhizal fungi abundance was sensitive to nitrogen addition but diversity was sensitive to phosphorus addition in karst ecosystems. Biology and Fertility of Soils 55:457-469.</w:t>
      </w:r>
    </w:p>
    <w:p w14:paraId="1DFDE2E0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Yan, G. Y., M. X. Zhou, M. Wang, S. J. Han, G. C. Liu, X. Zhang, W. J. Sun, B. B. Huang, H. L. Wang, Y. J. Xing, and Q. G. Wang. 2019. Nitrogen deposition and decreased precipitation altered nutrient foraging strategies of three temperate trees by affecting root and mycorrhizal traits. Catena 181.</w:t>
      </w:r>
    </w:p>
    <w:p w14:paraId="2FF56958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Yang, N., J. Zhang, J. Hua, B. Song, T. Wang, W. Xing, G. Wang, L. Mao, and H. Ruan. 2024. Differentiation of fungal trophic guilds to long-term nitrogen addition in a poplar plantation. Forest Ecology and Management 555:121699.</w:t>
      </w:r>
    </w:p>
    <w:p w14:paraId="74D710C2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Yang, S., Z. W. Xu, R. Z. Wang, Y. Y. Zhang, F. Yao, Y. G. Zhang, R. F. Turco, Y. Jiang, H. T. Zou, and H. Li. 2017. Variations in soil microbial community composition and enzymatic activities in response to increased N deposition and precipitation in Inner Mongolian grassland. Applied Soil Ecology 119:275-285.</w:t>
      </w:r>
    </w:p>
    <w:p w14:paraId="79AAE0BA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Yuan, X., W. Qin, H. Xu, Z. Zhang, H. Zhou, and B. Zhu. 2020. Sensitivity of soil carbon dynamics to nitrogen and phosphorus enrichment in an alpine meadow. Soil Biology and Biochemistry 150:107984.</w:t>
      </w:r>
    </w:p>
    <w:p w14:paraId="2B7C4252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Zhang, J., J. Zhou, E. J. Sayer, H. Lambers, Z. Liu, X. Lu, Y. Li, Y. Li, H. Li, and F. Wang. 2023. Nitrogen deposition enhances soil organic carbon and microbial residual carbon in a tropical forest. Plant and Soil 484:217-235.</w:t>
      </w:r>
    </w:p>
    <w:p w14:paraId="59091C47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Zhao, R., Y. Kuzyakov, H. Zhang, Z. Wang, T. Li, L. Shao, L. Jiang, R. Wang, M. Li, and O. J. Sun. 2024. Labile carbon inputs offset nitrogen-induced soil aggregate destabilization via enhanced growth of saprophytic fungi in a meadow steppe. Geoderma 443:116841.</w:t>
      </w:r>
    </w:p>
    <w:p w14:paraId="4D8EBD7D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Zheng, Y., Y.-C. Kim, X.-F. Tian, L. Chen, W. Yang, C. Gao, M.-H. Song, X.-L. Xu, and L.-D. Guo. 2014. Differential responses of arbuscular mycorrhizal fungi to nitrogen addition in a near pristine Tibetan alpine meadow. Fems Microbiology Ecology 89:594-605.</w:t>
      </w:r>
    </w:p>
    <w:p w14:paraId="78083B40">
      <w:pPr>
        <w:pStyle w:val="1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Zheng, Z., P. F. Ma, J. Li, L. F. Ren, W. M. Bai, Q. Y. Tian, W. Sun, and W. H. Zhang. 2018. Arbuscular mycorrhizal fungal communities associated with two dominant species differ in their responses to long-term nitrogen addition in temperate grasslands. Functional Ecology 32:1575-1588.</w:t>
      </w:r>
    </w:p>
    <w:p w14:paraId="6ED5F418">
      <w:pPr>
        <w:rPr>
          <w:rFonts w:ascii="Arial" w:hAnsi="Arial" w:cs="Arial"/>
          <w:sz w:val="24"/>
          <w:szCs w:val="24"/>
        </w:rPr>
      </w:pPr>
    </w:p>
    <w:p w14:paraId="210221A6">
      <w:pPr>
        <w:rPr>
          <w:rFonts w:hint="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DD05FC"/>
    <w:multiLevelType w:val="multilevel"/>
    <w:tmpl w:val="57DD05FC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727E30"/>
    <w:rsid w:val="0000591E"/>
    <w:rsid w:val="0009022B"/>
    <w:rsid w:val="000A7147"/>
    <w:rsid w:val="000C06D2"/>
    <w:rsid w:val="001325AC"/>
    <w:rsid w:val="001553EF"/>
    <w:rsid w:val="001D7483"/>
    <w:rsid w:val="00302581"/>
    <w:rsid w:val="00332672"/>
    <w:rsid w:val="00391E41"/>
    <w:rsid w:val="004041F8"/>
    <w:rsid w:val="00417755"/>
    <w:rsid w:val="00612297"/>
    <w:rsid w:val="00615954"/>
    <w:rsid w:val="0066756A"/>
    <w:rsid w:val="006B635B"/>
    <w:rsid w:val="006C5519"/>
    <w:rsid w:val="006C68E3"/>
    <w:rsid w:val="00717DAA"/>
    <w:rsid w:val="00727E30"/>
    <w:rsid w:val="0074240E"/>
    <w:rsid w:val="007804FF"/>
    <w:rsid w:val="007F3967"/>
    <w:rsid w:val="008B238D"/>
    <w:rsid w:val="00990502"/>
    <w:rsid w:val="009A3639"/>
    <w:rsid w:val="009B3009"/>
    <w:rsid w:val="009B35BD"/>
    <w:rsid w:val="009E277D"/>
    <w:rsid w:val="00B274C0"/>
    <w:rsid w:val="00B5261B"/>
    <w:rsid w:val="00BE10F7"/>
    <w:rsid w:val="00C9432D"/>
    <w:rsid w:val="00D40244"/>
    <w:rsid w:val="00F875CA"/>
    <w:rsid w:val="00FE5BDF"/>
    <w:rsid w:val="7D86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  <w:style w:type="character" w:customStyle="1" w:styleId="10">
    <w:name w:val="Unresolved Mention"/>
    <w:basedOn w:val="6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1">
    <w:name w:val="EndNote Bibliography Title"/>
    <w:basedOn w:val="1"/>
    <w:link w:val="12"/>
    <w:qFormat/>
    <w:uiPriority w:val="0"/>
    <w:pPr>
      <w:jc w:val="center"/>
    </w:pPr>
    <w:rPr>
      <w:rFonts w:ascii="等线" w:hAnsi="等线" w:eastAsia="等线"/>
      <w:sz w:val="20"/>
    </w:rPr>
  </w:style>
  <w:style w:type="character" w:customStyle="1" w:styleId="12">
    <w:name w:val="EndNote Bibliography Title 字符"/>
    <w:basedOn w:val="6"/>
    <w:link w:val="11"/>
    <w:qFormat/>
    <w:uiPriority w:val="0"/>
    <w:rPr>
      <w:rFonts w:ascii="等线" w:hAnsi="等线" w:eastAsia="等线"/>
      <w:sz w:val="20"/>
    </w:rPr>
  </w:style>
  <w:style w:type="paragraph" w:customStyle="1" w:styleId="13">
    <w:name w:val="EndNote Bibliography"/>
    <w:basedOn w:val="1"/>
    <w:link w:val="14"/>
    <w:qFormat/>
    <w:uiPriority w:val="0"/>
    <w:rPr>
      <w:rFonts w:ascii="等线" w:hAnsi="等线" w:eastAsia="等线"/>
      <w:sz w:val="20"/>
    </w:rPr>
  </w:style>
  <w:style w:type="character" w:customStyle="1" w:styleId="14">
    <w:name w:val="EndNote Bibliography 字符"/>
    <w:basedOn w:val="6"/>
    <w:link w:val="13"/>
    <w:qFormat/>
    <w:uiPriority w:val="0"/>
    <w:rPr>
      <w:rFonts w:ascii="等线" w:hAnsi="等线" w:eastAsia="等线"/>
      <w:sz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1943</Words>
  <Characters>10573</Characters>
  <Lines>88</Lines>
  <Paragraphs>25</Paragraphs>
  <TotalTime>20</TotalTime>
  <ScaleCrop>false</ScaleCrop>
  <LinksUpToDate>false</LinksUpToDate>
  <CharactersWithSpaces>12430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2024-12-04T03:00:00Z</dcterms:created>
  <dc:creator>Andi Li</dc:creator>
  <cp:lastModifiedBy>刘辉</cp:lastModifiedBy>
  <dcterms:modified xsi:type="dcterms:W3CDTF">2025-10-22T07:59:25Z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526EC54777DD4F8BB15AD24C33CCBA05_13</vt:lpwstr>
  </property>
</Properties>
</file>