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DE3711">
      <w:pPr>
        <w:pStyle w:val="28"/>
        <w:rPr>
          <w:rFonts w:hint="default" w:eastAsiaTheme="minorEastAsia"/>
          <w:b/>
          <w:bCs/>
          <w:sz w:val="48"/>
          <w:szCs w:val="48"/>
          <w:lang w:val="en-US" w:eastAsia="zh-CN"/>
        </w:rPr>
      </w:pPr>
      <w:bookmarkStart w:id="3" w:name="_GoBack"/>
      <w:bookmarkEnd w:id="3"/>
      <w:r>
        <w:rPr>
          <w:rFonts w:hint="eastAsia"/>
          <w:b/>
          <w:bCs/>
          <w:sz w:val="48"/>
          <w:szCs w:val="48"/>
          <w:lang w:val="en-US" w:eastAsia="zh-CN"/>
        </w:rPr>
        <w:t>Supplementary Materials</w:t>
      </w:r>
    </w:p>
    <w:p w14:paraId="0BAE0910">
      <w:pPr>
        <w:pStyle w:val="28"/>
        <w:rPr>
          <w:szCs w:val="24"/>
        </w:rPr>
      </w:pPr>
      <w:r>
        <w:rPr>
          <w:szCs w:val="24"/>
        </w:rPr>
        <w:t>https://doi.org/ 10.1007/s11707-025-1167-9</w:t>
      </w:r>
    </w:p>
    <w:p w14:paraId="2E9E60EA">
      <w:pPr>
        <w:pStyle w:val="28"/>
        <w:rPr>
          <w:szCs w:val="24"/>
        </w:rPr>
      </w:pPr>
      <w:r>
        <w:rPr>
          <w:szCs w:val="24"/>
        </w:rPr>
        <w:t>Front. Earth Sci.</w:t>
      </w:r>
    </w:p>
    <w:p w14:paraId="0CF8AA08">
      <w:pPr>
        <w:pStyle w:val="28"/>
        <w:rPr>
          <w:szCs w:val="24"/>
        </w:rPr>
      </w:pPr>
      <w:r>
        <w:rPr>
          <w:szCs w:val="24"/>
        </w:rPr>
        <w:t xml:space="preserve">Dejun LI </w:t>
      </w:r>
      <w:r>
        <w:rPr>
          <w:b/>
          <w:szCs w:val="24"/>
        </w:rPr>
        <w:t>et al.</w:t>
      </w:r>
      <w:r>
        <w:rPr>
          <w:szCs w:val="24"/>
        </w:rPr>
        <w:t xml:space="preserve"> Plant diversity effect on microbial respiration</w:t>
      </w:r>
    </w:p>
    <w:p w14:paraId="3A9FB126">
      <w:pPr>
        <w:pStyle w:val="28"/>
        <w:rPr>
          <w:szCs w:val="24"/>
        </w:rPr>
      </w:pPr>
      <w:r>
        <w:rPr>
          <w:szCs w:val="24"/>
        </w:rPr>
        <w:t>RESEARCH ARTICLE</w:t>
      </w:r>
    </w:p>
    <w:p w14:paraId="1B5BDA25">
      <w:pPr>
        <w:pStyle w:val="28"/>
        <w:jc w:val="center"/>
        <w:rPr>
          <w:sz w:val="36"/>
          <w:szCs w:val="36"/>
        </w:rPr>
      </w:pPr>
      <w:r>
        <w:rPr>
          <w:sz w:val="36"/>
          <w:szCs w:val="36"/>
        </w:rPr>
        <w:t>Increasing plant species diversity enhances microbial respiration but does not alter its temperature sensitivity in a subtropical karst forest</w:t>
      </w:r>
    </w:p>
    <w:p w14:paraId="2DCC8107">
      <w:pPr>
        <w:pStyle w:val="3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Dejun LI</w:t>
      </w:r>
      <w:r>
        <w:rPr>
          <w:rFonts w:hint="eastAsia"/>
          <w:szCs w:val="24"/>
          <w:lang w:eastAsia="zh-CN"/>
        </w:rPr>
        <w:t xml:space="preserve"> (</w:t>
      </w:r>
      <w:r>
        <w:rPr>
          <w:rFonts w:ascii="Wingdings" w:hAnsi="Wingdings" w:eastAsia="Times New Roman"/>
        </w:rPr>
        <w:t></w:t>
      </w:r>
      <w:r>
        <w:rPr>
          <w:rFonts w:hint="eastAsia"/>
          <w:szCs w:val="24"/>
          <w:lang w:eastAsia="zh-CN"/>
        </w:rPr>
        <w:t>)</w:t>
      </w:r>
      <w:r>
        <w:rPr>
          <w:szCs w:val="24"/>
          <w:vertAlign w:val="superscript"/>
        </w:rPr>
        <w:t>1, 2</w:t>
      </w:r>
      <w:r>
        <w:rPr>
          <w:rFonts w:hint="eastAsia"/>
          <w:szCs w:val="24"/>
          <w:vertAlign w:val="superscript"/>
          <w:lang w:val="en-US" w:eastAsia="zh-CN"/>
        </w:rPr>
        <w:t>,</w:t>
      </w:r>
      <w:r>
        <w:rPr>
          <w:szCs w:val="24"/>
          <w:vertAlign w:val="superscript"/>
        </w:rPr>
        <w:t>#</w:t>
      </w:r>
      <w:r>
        <w:rPr>
          <w:szCs w:val="24"/>
        </w:rPr>
        <w:t>, Yuantian FANG</w:t>
      </w:r>
      <w:r>
        <w:rPr>
          <w:szCs w:val="24"/>
          <w:vertAlign w:val="superscript"/>
        </w:rPr>
        <w:t>1, 2, 4</w:t>
      </w:r>
      <w:r>
        <w:rPr>
          <w:rFonts w:hint="eastAsia"/>
          <w:szCs w:val="24"/>
          <w:vertAlign w:val="superscript"/>
          <w:lang w:val="en-US" w:eastAsia="zh-CN"/>
        </w:rPr>
        <w:t>,</w:t>
      </w:r>
      <w:r>
        <w:rPr>
          <w:szCs w:val="24"/>
          <w:vertAlign w:val="superscript"/>
        </w:rPr>
        <w:t>#</w:t>
      </w:r>
      <w:r>
        <w:rPr>
          <w:szCs w:val="24"/>
        </w:rPr>
        <w:t>, Bei LIU</w:t>
      </w:r>
      <w:r>
        <w:rPr>
          <w:szCs w:val="24"/>
          <w:vertAlign w:val="superscript"/>
        </w:rPr>
        <w:t>1, 2, 4</w:t>
      </w:r>
      <w:r>
        <w:rPr>
          <w:szCs w:val="24"/>
        </w:rPr>
        <w:t>, Yongxian LIU</w:t>
      </w:r>
      <w:r>
        <w:rPr>
          <w:szCs w:val="24"/>
          <w:vertAlign w:val="superscript"/>
        </w:rPr>
        <w:t>3</w:t>
      </w:r>
    </w:p>
    <w:p w14:paraId="197EBD3E">
      <w:pPr>
        <w:pStyle w:val="32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1</w:t>
      </w:r>
      <w:r>
        <w:rPr>
          <w:szCs w:val="24"/>
        </w:rPr>
        <w:t xml:space="preserve"> Key Laboratory of Agroecological Processes in Subtropical Region, Institute of Subtropical Agriculture, Chinese Academy of Sciences, Changsha 410125, China</w:t>
      </w:r>
    </w:p>
    <w:p w14:paraId="2E2EA2E1">
      <w:pPr>
        <w:pStyle w:val="32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2</w:t>
      </w:r>
      <w:r>
        <w:rPr>
          <w:szCs w:val="24"/>
        </w:rPr>
        <w:t xml:space="preserve"> Guangxi Key Laboratory of Karst Ecological Processes and Services, Huanjiang Observation and Research Station for Karst Ecosystems, Institute of Subtropical Agriculture, Chinese Academy of Sciences, Huanjiang 547100, China</w:t>
      </w:r>
    </w:p>
    <w:p w14:paraId="4E2B63C9">
      <w:pPr>
        <w:pStyle w:val="32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3</w:t>
      </w:r>
      <w:r>
        <w:rPr>
          <w:szCs w:val="24"/>
        </w:rPr>
        <w:t xml:space="preserve"> Guangxi Key Laboratory of Arable Land Conservation, Agricultural Resources and Environmental Research Institute, Guangxi Academy of Agricultural Sciences, Nanning 530007, China</w:t>
      </w:r>
    </w:p>
    <w:p w14:paraId="719FEBE2">
      <w:pPr>
        <w:pStyle w:val="32"/>
        <w:autoSpaceDE w:val="0"/>
        <w:autoSpaceDN w:val="0"/>
        <w:adjustRightInd w:val="0"/>
        <w:rPr>
          <w:szCs w:val="24"/>
        </w:rPr>
      </w:pPr>
      <w:r>
        <w:rPr>
          <w:szCs w:val="24"/>
          <w:vertAlign w:val="baseline"/>
        </w:rPr>
        <w:t>4</w:t>
      </w:r>
      <w:r>
        <w:rPr>
          <w:szCs w:val="24"/>
        </w:rPr>
        <w:t xml:space="preserve"> College of Resources and Environment, University of Chinese Academy of Sciences, Beijing 101408, China</w:t>
      </w:r>
    </w:p>
    <w:p w14:paraId="28FCF71D">
      <w:pPr>
        <w:pStyle w:val="28"/>
        <w:autoSpaceDE w:val="0"/>
        <w:autoSpaceDN w:val="0"/>
        <w:adjustRightInd w:val="0"/>
        <w:spacing w:line="240" w:lineRule="auto"/>
        <w:rPr>
          <w:szCs w:val="24"/>
        </w:rPr>
      </w:pPr>
      <w:r>
        <w:rPr>
          <w:szCs w:val="24"/>
        </w:rPr>
        <w:t>Received December 16, 2024; accepted April 17, 2025</w:t>
      </w:r>
    </w:p>
    <w:p w14:paraId="2F92E143">
      <w:pPr>
        <w:pStyle w:val="28"/>
        <w:autoSpaceDE w:val="0"/>
        <w:autoSpaceDN w:val="0"/>
        <w:adjustRightInd w:val="0"/>
        <w:spacing w:line="240" w:lineRule="auto"/>
        <w:rPr>
          <w:szCs w:val="24"/>
        </w:rPr>
      </w:pPr>
      <w:r>
        <w:rPr>
          <w:szCs w:val="24"/>
        </w:rPr>
        <w:t>E-mail: lidejun@hotmail.com; dejunli@isa.ac.cn</w:t>
      </w:r>
    </w:p>
    <w:p w14:paraId="6AE518F8">
      <w:pPr>
        <w:pStyle w:val="28"/>
        <w:autoSpaceDE w:val="0"/>
        <w:autoSpaceDN w:val="0"/>
        <w:adjustRightInd w:val="0"/>
        <w:spacing w:line="240" w:lineRule="auto"/>
        <w:rPr>
          <w:szCs w:val="24"/>
        </w:rPr>
      </w:pPr>
      <w:r>
        <w:rPr>
          <w:szCs w:val="24"/>
        </w:rPr>
        <w:t>© Higher Education Press 2025</w:t>
      </w:r>
    </w:p>
    <w:p w14:paraId="19EBADD3">
      <w:pPr>
        <w:pStyle w:val="28"/>
        <w:autoSpaceDE w:val="0"/>
        <w:autoSpaceDN w:val="0"/>
        <w:adjustRightInd w:val="0"/>
        <w:spacing w:line="240" w:lineRule="auto"/>
        <w:rPr>
          <w:szCs w:val="24"/>
        </w:rPr>
      </w:pPr>
      <w:r>
        <w:rPr>
          <w:szCs w:val="24"/>
          <w:vertAlign w:val="superscript"/>
        </w:rPr>
        <w:t>#</w:t>
      </w:r>
      <w:r>
        <w:rPr>
          <w:szCs w:val="24"/>
        </w:rPr>
        <w:t>These authors contributed equally to this work.</w:t>
      </w:r>
    </w:p>
    <w:p w14:paraId="640287EB">
      <w:pPr>
        <w:pStyle w:val="32"/>
        <w:autoSpaceDE w:val="0"/>
        <w:autoSpaceDN w:val="0"/>
        <w:adjustRightInd w:val="0"/>
        <w:rPr>
          <w:szCs w:val="24"/>
        </w:rPr>
      </w:pPr>
    </w:p>
    <w:p w14:paraId="59CB3D0D">
      <w:pPr>
        <w:pStyle w:val="28"/>
        <w:autoSpaceDE w:val="0"/>
        <w:autoSpaceDN w:val="0"/>
        <w:adjustRightInd w:val="0"/>
        <w:rPr>
          <w:szCs w:val="24"/>
        </w:rPr>
      </w:pPr>
    </w:p>
    <w:p w14:paraId="35F475EB">
      <w:pPr>
        <w:pStyle w:val="28"/>
        <w:autoSpaceDE w:val="0"/>
        <w:autoSpaceDN w:val="0"/>
        <w:adjustRightInd w:val="0"/>
        <w:rPr>
          <w:szCs w:val="24"/>
        </w:rPr>
      </w:pPr>
    </w:p>
    <w:p w14:paraId="7F5B4888">
      <w:pPr>
        <w:spacing w:line="480" w:lineRule="auto"/>
        <w:jc w:val="center"/>
        <w:rPr>
          <w:rFonts w:ascii="Times New Roman" w:hAnsi="Times New Roman" w:eastAsia="仿宋" w:cs="Times New Roman"/>
          <w:bCs/>
        </w:rPr>
      </w:pPr>
      <w:r>
        <w:rPr>
          <w:rFonts w:ascii="Times New Roman" w:hAnsi="Times New Roman" w:eastAsia="仿宋" w:cs="Times New Roman"/>
          <w:bCs/>
          <w14:ligatures w14:val="standardContextual"/>
        </w:rPr>
        <w:drawing>
          <wp:inline distT="0" distB="0" distL="0" distR="0">
            <wp:extent cx="3615690" cy="4263390"/>
            <wp:effectExtent l="0" t="0" r="3810" b="3810"/>
            <wp:docPr id="138832079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320798" name="图片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118" cy="427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84374">
      <w:pPr>
        <w:spacing w:line="480" w:lineRule="auto"/>
        <w:jc w:val="both"/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Fig. S1 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 xml:space="preserve">A priori model showing the direct and indirect effects of </w:t>
      </w:r>
      <w:bookmarkStart w:id="0" w:name="_Hlk208922868"/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plant species diversity</w:t>
      </w:r>
      <w:bookmarkEnd w:id="0"/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 xml:space="preserve"> on Rm or Q</w:t>
      </w:r>
      <w:r>
        <w:rPr>
          <w:rFonts w:hint="eastAsia" w:ascii="Times New Roman" w:hAnsi="Times New Roman" w:eastAsia="仿宋" w:cs="Times New Roman"/>
          <w:bCs/>
          <w:sz w:val="18"/>
          <w:szCs w:val="18"/>
          <w:shd w:val="clear" w:color="auto" w:fill="FFFFFF"/>
          <w:vertAlign w:val="subscript"/>
        </w:rPr>
        <w:t>10</w:t>
      </w:r>
      <w:r>
        <w:rPr>
          <w:rFonts w:hint="eastAsia" w:ascii="Times New Roman" w:hAnsi="Times New Roman" w:eastAsia="仿宋" w:cs="Times New Roman"/>
          <w:bCs/>
          <w:sz w:val="18"/>
          <w:szCs w:val="18"/>
          <w:shd w:val="clear" w:color="auto" w:fill="FFFFFF"/>
        </w:rPr>
        <w:t>.</w:t>
      </w:r>
    </w:p>
    <w:p w14:paraId="059D9613">
      <w:pPr>
        <w:spacing w:line="480" w:lineRule="auto"/>
        <w:jc w:val="both"/>
        <w:rPr>
          <w:rFonts w:ascii="Times New Roman" w:hAnsi="Times New Roman" w:eastAsia="仿宋" w:cs="Times New Roman"/>
          <w:bCs/>
        </w:rPr>
      </w:pPr>
      <w:r>
        <w:rPr>
          <w:rFonts w:ascii="Times New Roman" w:hAnsi="Times New Roman" w:eastAsia="仿宋" w:cs="Times New Roman"/>
          <w:bCs/>
        </w:rPr>
        <w:br w:type="page"/>
      </w:r>
    </w:p>
    <w:p w14:paraId="099310FA">
      <w:pPr>
        <w:spacing w:line="480" w:lineRule="auto"/>
        <w:jc w:val="both"/>
        <w:rPr>
          <w:rFonts w:ascii="Times New Roman" w:hAnsi="Times New Roman" w:cs="Times New Roman"/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8120" cy="262953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62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EF18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bookmarkStart w:id="1" w:name="_Hlk128663479"/>
      <w:r>
        <w:rPr>
          <w:rFonts w:ascii="Times New Roman" w:hAnsi="Times New Roman" w:cs="Times New Roman"/>
          <w:b/>
          <w:sz w:val="18"/>
          <w:szCs w:val="18"/>
        </w:rPr>
        <w:t>Fig. S2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Schematic map showing the relative distribution of 45 plots (</w:t>
      </w:r>
      <w:r>
        <w:rPr>
          <w:rFonts w:ascii="Times New Roman" w:hAnsi="Times New Roman" w:cs="Times New Roman"/>
          <w:sz w:val="18"/>
          <w:szCs w:val="18"/>
        </w:rPr>
        <w:t>on 43 plots were included in the current study</w:t>
      </w:r>
      <w:r>
        <w:rPr>
          <w:rFonts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) in the subtropical forest.</w:t>
      </w:r>
      <w:bookmarkEnd w:id="1"/>
      <w:r>
        <w:rPr>
          <w:rFonts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The interval between the neighboring two plots is 40 m. </w:t>
      </w:r>
    </w:p>
    <w:p w14:paraId="7484B669">
      <w:pPr>
        <w:jc w:val="both"/>
        <w:rPr>
          <w:rFonts w:ascii="Times New Roman" w:hAnsi="Times New Roman" w:eastAsia="仿宋" w:cs="Times New Roman"/>
          <w:shd w:val="clear" w:color="auto" w:fill="FFFFFF"/>
        </w:rPr>
      </w:pPr>
      <w:r>
        <w:rPr>
          <w:rFonts w:ascii="Times New Roman" w:hAnsi="Times New Roman" w:eastAsia="仿宋" w:cs="Times New Roman"/>
          <w:shd w:val="clear" w:color="auto" w:fill="FFFFFF"/>
        </w:rPr>
        <w:br w:type="page"/>
      </w:r>
    </w:p>
    <w:p w14:paraId="781B3CFC">
      <w:pPr>
        <w:spacing w:line="480" w:lineRule="auto"/>
        <w:jc w:val="both"/>
        <w:rPr>
          <w:rFonts w:ascii="Times New Roman" w:hAnsi="Times New Roman" w:eastAsia="仿宋" w:cs="Times New Roman"/>
          <w:b/>
          <w:bCs/>
          <w:color w:val="0D0D0D" w:themeColor="text1" w:themeTint="F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26" w:charSpace="0"/>
        </w:sectPr>
      </w:pPr>
      <w:bookmarkStart w:id="2" w:name="_Hlk128663532"/>
    </w:p>
    <w:p w14:paraId="34A1771A">
      <w:pPr>
        <w:spacing w:line="480" w:lineRule="auto"/>
        <w:jc w:val="both"/>
        <w:rPr>
          <w:rFonts w:ascii="Times New Roman" w:hAnsi="Times New Roman" w:eastAsia="仿宋" w:cs="Times New Roman"/>
          <w:b/>
          <w:bCs/>
          <w:color w:val="0D0D0D" w:themeColor="text1" w:themeTint="F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Times New Roman" w:hAnsi="Times New Roman" w:eastAsia="仿宋" w:cs="Times New Roman"/>
          <w:b/>
          <w:bCs/>
          <w:color w:val="0D0D0D" w:themeColor="text1" w:themeTint="F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  <w14:ligatures w14:val="standardContextual"/>
        </w:rPr>
        <w:drawing>
          <wp:inline distT="0" distB="0" distL="0" distR="0">
            <wp:extent cx="5274310" cy="5140325"/>
            <wp:effectExtent l="0" t="0" r="0" b="3175"/>
            <wp:docPr id="16803611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361119" name="图片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4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4A157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sz w:val="18"/>
          <w:szCs w:val="18"/>
        </w:rPr>
        <w:t>Fig. S3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R</w:t>
      </w:r>
      <w:r>
        <w:rPr>
          <w:rFonts w:hint="eastAsia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elationship among plant species diversity</w:t>
      </w:r>
      <w:r>
        <w:rPr>
          <w:rFonts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(</w:t>
      </w:r>
      <w:r>
        <w:rPr>
          <w:rFonts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PSD),</w:t>
      </w:r>
      <w:r>
        <w:rPr>
          <w:rFonts w:hint="eastAsia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biotic and </w:t>
      </w:r>
      <w:r>
        <w:rPr>
          <w:rFonts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abiotic</w:t>
      </w:r>
      <w:r>
        <w:rPr>
          <w:rFonts w:hint="eastAsia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variables.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 xml:space="preserve"> C: carbon; N: nitrogen; P: phosphorus;</w:t>
      </w:r>
      <w:r>
        <w:rPr>
          <w:rFonts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 xml:space="preserve">FRB: fine root biomass; </w:t>
      </w:r>
      <w:r>
        <w:rPr>
          <w:rFonts w:ascii="Times New Roman" w:hAnsi="Times New Roman" w:eastAsia="仿宋" w:cs="Times New Roman"/>
          <w:bCs/>
          <w:sz w:val="18"/>
          <w:szCs w:val="18"/>
        </w:rPr>
        <w:t xml:space="preserve">SWC: soil water content; SOC: soil organic carbon; 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 xml:space="preserve">DOC: dissolved organic carbon; </w:t>
      </w:r>
      <w:r>
        <w:rPr>
          <w:rFonts w:ascii="Times New Roman" w:hAnsi="Times New Roman" w:eastAsia="仿宋" w:cs="Times New Roman"/>
          <w:bCs/>
          <w:sz w:val="18"/>
          <w:szCs w:val="18"/>
        </w:rPr>
        <w:t xml:space="preserve">Ali/Poly: aliphatics/polysaccharides; Aro/Poly: </w:t>
      </w:r>
      <w:r>
        <w:rPr>
          <w:rFonts w:ascii="Times New Roman" w:hAnsi="Times New Roman" w:cs="Times New Roman"/>
          <w:sz w:val="18"/>
          <w:szCs w:val="18"/>
        </w:rPr>
        <w:t>aromatics/polysaccharides</w:t>
      </w:r>
      <w:r>
        <w:rPr>
          <w:rFonts w:ascii="Times New Roman" w:hAnsi="Times New Roman" w:eastAsia="仿宋" w:cs="Times New Roman"/>
          <w:bCs/>
          <w:sz w:val="18"/>
          <w:szCs w:val="18"/>
        </w:rPr>
        <w:t>; (Fe+Al)</w:t>
      </w:r>
      <w:r>
        <w:rPr>
          <w:rFonts w:ascii="Times New Roman" w:hAnsi="Times New Roman" w:eastAsia="仿宋" w:cs="Times New Roman"/>
          <w:bCs/>
          <w:sz w:val="18"/>
          <w:szCs w:val="18"/>
          <w:vertAlign w:val="subscript"/>
        </w:rPr>
        <w:t>d</w:t>
      </w:r>
      <w:r>
        <w:rPr>
          <w:rFonts w:ascii="Times New Roman" w:hAnsi="Times New Roman" w:eastAsia="仿宋" w:cs="Times New Roman"/>
          <w:bCs/>
          <w:sz w:val="18"/>
          <w:szCs w:val="18"/>
        </w:rPr>
        <w:t>: pedogenic Fe/Al oxides; (Fe+Al)</w:t>
      </w:r>
      <w:r>
        <w:rPr>
          <w:rFonts w:ascii="Times New Roman" w:hAnsi="Times New Roman" w:eastAsia="仿宋" w:cs="Times New Roman"/>
          <w:bCs/>
          <w:sz w:val="18"/>
          <w:szCs w:val="18"/>
          <w:vertAlign w:val="subscript"/>
        </w:rPr>
        <w:t>o</w:t>
      </w:r>
      <w:r>
        <w:rPr>
          <w:rFonts w:ascii="Times New Roman" w:hAnsi="Times New Roman" w:eastAsia="仿宋" w:cs="Times New Roman"/>
          <w:bCs/>
          <w:sz w:val="18"/>
          <w:szCs w:val="18"/>
        </w:rPr>
        <w:t xml:space="preserve">: poorly crystalline Fe/Al oxides; 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(Ca + Mg)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  <w:vertAlign w:val="subscript"/>
        </w:rPr>
        <w:t>exe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: exchangeable Ca and Mg; (</w:t>
      </w:r>
      <w:r>
        <w:rPr>
          <w:rFonts w:ascii="Times New Roman" w:hAnsi="Times New Roman" w:eastAsia="仿宋" w:cs="Times New Roman"/>
          <w:bCs/>
          <w:sz w:val="18"/>
          <w:szCs w:val="18"/>
        </w:rPr>
        <w:t>Fe+Al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)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  <w:vertAlign w:val="subscript"/>
        </w:rPr>
        <w:t>exe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: exchangeable</w:t>
      </w:r>
      <w:r>
        <w:rPr>
          <w:rFonts w:ascii="Times New Roman" w:hAnsi="Times New Roman" w:eastAsia="仿宋" w:cs="Times New Roman"/>
          <w:bCs/>
          <w:sz w:val="18"/>
          <w:szCs w:val="18"/>
        </w:rPr>
        <w:t xml:space="preserve"> Fe and Al; B-PLFAs: bacterial PLFAs; F-PLFAs: fungal PLFAs; F/B: fungal/bacterial biomass ratio.</w:t>
      </w:r>
    </w:p>
    <w:p w14:paraId="15C463AF">
      <w:pPr>
        <w:spacing w:line="480" w:lineRule="auto"/>
        <w:jc w:val="both"/>
        <w:rPr>
          <w:rFonts w:ascii="Times New Roman" w:hAnsi="Times New Roman" w:eastAsia="仿宋" w:cs="Times New Roman"/>
          <w:b/>
          <w:bCs/>
          <w:color w:val="0D0D0D" w:themeColor="text1" w:themeTint="F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26" w:charSpace="0"/>
        </w:sectPr>
      </w:pPr>
    </w:p>
    <w:p w14:paraId="1E4D9CEF">
      <w:pPr>
        <w:spacing w:line="480" w:lineRule="auto"/>
        <w:jc w:val="both"/>
        <w:rPr>
          <w:rFonts w:ascii="Times New Roman" w:hAnsi="Times New Roman" w:eastAsia="仿宋" w:cs="Times New Roman"/>
          <w:bCs/>
          <w:color w:val="0D0D0D" w:themeColor="text1" w:themeTint="F2"/>
          <w:sz w:val="18"/>
          <w:szCs w:val="1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Times New Roman" w:hAnsi="Times New Roman" w:eastAsia="仿宋" w:cs="Times New Roman"/>
          <w:b/>
          <w:bCs/>
          <w:color w:val="0D0D0D" w:themeColor="text1" w:themeTint="F2"/>
          <w:sz w:val="18"/>
          <w:szCs w:val="1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Table S1 </w:t>
      </w:r>
      <w:r>
        <w:rPr>
          <w:rFonts w:ascii="Times New Roman" w:hAnsi="Times New Roman" w:eastAsia="仿宋" w:cs="Times New Roman"/>
          <w:bCs/>
          <w:color w:val="0D0D0D" w:themeColor="text1" w:themeTint="F2"/>
          <w:sz w:val="18"/>
          <w:szCs w:val="1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Soil biotic and abiotic properties used in the current study</w:t>
      </w:r>
      <w:bookmarkEnd w:id="2"/>
    </w:p>
    <w:tbl>
      <w:tblPr>
        <w:tblStyle w:val="7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1428"/>
        <w:gridCol w:w="1498"/>
        <w:gridCol w:w="1169"/>
        <w:gridCol w:w="1345"/>
      </w:tblGrid>
      <w:tr w14:paraId="4CA8F1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51175B7">
            <w:pP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Property</w:t>
            </w:r>
          </w:p>
        </w:tc>
        <w:tc>
          <w:tcPr>
            <w:tcW w:w="838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9DDBD5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Minimum</w:t>
            </w:r>
          </w:p>
        </w:tc>
        <w:tc>
          <w:tcPr>
            <w:tcW w:w="879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AB617A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Maximum</w:t>
            </w:r>
          </w:p>
        </w:tc>
        <w:tc>
          <w:tcPr>
            <w:tcW w:w="686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6B692C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790" w:type="pc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52A85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Standard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error</w:t>
            </w:r>
          </w:p>
        </w:tc>
      </w:tr>
      <w:tr w14:paraId="4E415D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404AC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PSD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81DE3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3755C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3.53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E26CB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1.90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707B0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0.14 </w:t>
            </w:r>
          </w:p>
        </w:tc>
      </w:tr>
      <w:tr w14:paraId="00447C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B6EB1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Litter C/P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6699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405.18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11B3F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1754.94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31FFC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836.24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2DF7C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40.17 </w:t>
            </w:r>
          </w:p>
        </w:tc>
      </w:tr>
      <w:tr w14:paraId="19315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580AD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Litter N/P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A4A73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23.46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F80F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65.31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F315A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38.09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91F7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1.58 </w:t>
            </w:r>
          </w:p>
        </w:tc>
      </w:tr>
      <w:tr w14:paraId="3BBEA9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C4AE8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FRB, g m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-2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6850E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50.14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F3876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427.50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9F499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188.84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D6525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14.69 </w:t>
            </w:r>
          </w:p>
        </w:tc>
      </w:tr>
      <w:tr w14:paraId="6D16F9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ECD2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91ED9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5.77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54CD8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7.67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5E018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6.70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6C413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 </w:t>
            </w:r>
          </w:p>
        </w:tc>
      </w:tr>
      <w:tr w14:paraId="075D7B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7D2C9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SWC, %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238BD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41.96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B9B1A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88.46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E0D34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59.76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16C19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1.86 </w:t>
            </w:r>
          </w:p>
        </w:tc>
      </w:tr>
      <w:tr w14:paraId="3DFA8E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6FC15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SOC, </w:t>
            </w: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kg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58C03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28.89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D375E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141.98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5F941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70.03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C0D00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4.14 </w:t>
            </w:r>
          </w:p>
        </w:tc>
      </w:tr>
      <w:tr w14:paraId="022F0F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44DB9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DOC, mg kg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A7E30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180.79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BC5FF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720.16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BABFB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361.92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5A2E7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20.57 </w:t>
            </w:r>
          </w:p>
        </w:tc>
      </w:tr>
      <w:tr w14:paraId="730D50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84528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Aro</w:t>
            </w: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</w:t>
            </w: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oly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5E7F5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4871A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0.21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3D7C0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CBAFE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 </w:t>
            </w:r>
          </w:p>
        </w:tc>
      </w:tr>
      <w:tr w14:paraId="025C82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BAF69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Ali</w:t>
            </w: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Poly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93A37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F2586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0.35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3566C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B44BC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 </w:t>
            </w:r>
          </w:p>
        </w:tc>
      </w:tr>
      <w:tr w14:paraId="260625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0BF39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(F</w:t>
            </w: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e+Al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mg g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8CBBE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14.44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125C4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36.80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6BAA5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27.85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72F0E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0.77 </w:t>
            </w:r>
          </w:p>
        </w:tc>
      </w:tr>
      <w:tr w14:paraId="6A40CD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170D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(Fe+A</w:t>
            </w: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o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mg g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5E279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8.63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21857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19.59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0A7DF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14.54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8EAAF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0.44 </w:t>
            </w:r>
          </w:p>
        </w:tc>
      </w:tr>
      <w:tr w14:paraId="6BD619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4765B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(Ca+Mg)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exe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cmol kg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1726E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4.33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3D4A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15.68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5D533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9.37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4E95D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0.42 </w:t>
            </w:r>
          </w:p>
        </w:tc>
      </w:tr>
      <w:tr w14:paraId="63A939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3D329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(F</w:t>
            </w: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e+Al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exe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cmol kg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CA57D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73.51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97D70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186.28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20E2D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145.76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AA130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3.67 </w:t>
            </w:r>
          </w:p>
        </w:tc>
      </w:tr>
      <w:tr w14:paraId="72A2BC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5407B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Clay/SOC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B920A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271FA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0.14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F63A3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0.07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23FCB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0.01</w:t>
            </w:r>
          </w:p>
        </w:tc>
      </w:tr>
      <w:tr w14:paraId="11A07B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D1030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Total PLFAs, nmol g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-1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6D6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86.40 </w:t>
            </w:r>
          </w:p>
        </w:tc>
        <w:tc>
          <w:tcPr>
            <w:tcW w:w="8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BC065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325.48 </w:t>
            </w: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4BABF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178.84 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12033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9.77 </w:t>
            </w:r>
          </w:p>
        </w:tc>
      </w:tr>
      <w:tr w14:paraId="1F3054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C147AA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B-PLFAs, nmol g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-1</w:t>
            </w:r>
          </w:p>
        </w:tc>
        <w:tc>
          <w:tcPr>
            <w:tcW w:w="83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8B1A73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65.73 </w:t>
            </w:r>
          </w:p>
        </w:tc>
        <w:tc>
          <w:tcPr>
            <w:tcW w:w="87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268C75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245.02 </w:t>
            </w:r>
          </w:p>
        </w:tc>
        <w:tc>
          <w:tcPr>
            <w:tcW w:w="68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8B33C3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136.63 </w:t>
            </w:r>
          </w:p>
        </w:tc>
        <w:tc>
          <w:tcPr>
            <w:tcW w:w="79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F195F3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7.45 </w:t>
            </w:r>
          </w:p>
        </w:tc>
      </w:tr>
      <w:tr w14:paraId="13464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9FD8AA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F-PLFAs, nmol g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-1</w:t>
            </w:r>
          </w:p>
        </w:tc>
        <w:tc>
          <w:tcPr>
            <w:tcW w:w="83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EBE2A6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3.29 </w:t>
            </w:r>
          </w:p>
        </w:tc>
        <w:tc>
          <w:tcPr>
            <w:tcW w:w="87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06D683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10.42 </w:t>
            </w:r>
          </w:p>
        </w:tc>
        <w:tc>
          <w:tcPr>
            <w:tcW w:w="68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042F13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6.28 </w:t>
            </w:r>
          </w:p>
        </w:tc>
        <w:tc>
          <w:tcPr>
            <w:tcW w:w="79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32DE8B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0.32 </w:t>
            </w:r>
          </w:p>
        </w:tc>
      </w:tr>
      <w:tr w14:paraId="24BB37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808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84EA730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F/B</w:t>
            </w:r>
          </w:p>
        </w:tc>
        <w:tc>
          <w:tcPr>
            <w:tcW w:w="838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C70E06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 </w:t>
            </w:r>
          </w:p>
        </w:tc>
        <w:tc>
          <w:tcPr>
            <w:tcW w:w="87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15D0A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 </w:t>
            </w:r>
          </w:p>
        </w:tc>
        <w:tc>
          <w:tcPr>
            <w:tcW w:w="686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9766C1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 </w:t>
            </w:r>
          </w:p>
        </w:tc>
        <w:tc>
          <w:tcPr>
            <w:tcW w:w="790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F1E9EB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 </w:t>
            </w:r>
          </w:p>
        </w:tc>
      </w:tr>
    </w:tbl>
    <w:p w14:paraId="345550D8">
      <w:pPr>
        <w:spacing w:line="240" w:lineRule="auto"/>
        <w:jc w:val="both"/>
        <w:rPr>
          <w:rFonts w:ascii="Times New Roman" w:hAnsi="Times New Roman" w:eastAsia="仿宋" w:cs="Times New Roman"/>
          <w:bCs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Notes: 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 xml:space="preserve">C: carbon; N: nitrogen; P: phosphorus; FRB: fine root biomass; </w:t>
      </w:r>
      <w:r>
        <w:rPr>
          <w:rFonts w:ascii="Times New Roman" w:hAnsi="Times New Roman" w:eastAsia="仿宋" w:cs="Times New Roman"/>
          <w:bCs/>
          <w:sz w:val="18"/>
          <w:szCs w:val="18"/>
        </w:rPr>
        <w:t xml:space="preserve">SWC: soil water content; SOC: soil organic carbon; 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 xml:space="preserve">DOC: dissolved organic carbon; </w:t>
      </w:r>
      <w:r>
        <w:rPr>
          <w:rFonts w:ascii="Times New Roman" w:hAnsi="Times New Roman" w:eastAsia="仿宋" w:cs="Times New Roman"/>
          <w:bCs/>
          <w:sz w:val="18"/>
          <w:szCs w:val="18"/>
        </w:rPr>
        <w:t xml:space="preserve">Ali/Poly: aliphatics/polysaccharides; Aro/Poly: </w:t>
      </w:r>
      <w:r>
        <w:rPr>
          <w:rFonts w:ascii="Times New Roman" w:hAnsi="Times New Roman" w:cs="Times New Roman"/>
          <w:sz w:val="18"/>
          <w:szCs w:val="18"/>
        </w:rPr>
        <w:t>aromatics/polysaccharides</w:t>
      </w:r>
      <w:r>
        <w:rPr>
          <w:rFonts w:ascii="Times New Roman" w:hAnsi="Times New Roman" w:eastAsia="仿宋" w:cs="Times New Roman"/>
          <w:bCs/>
          <w:sz w:val="18"/>
          <w:szCs w:val="18"/>
        </w:rPr>
        <w:t>; (Fe+Al)</w:t>
      </w:r>
      <w:r>
        <w:rPr>
          <w:rFonts w:ascii="Times New Roman" w:hAnsi="Times New Roman" w:eastAsia="仿宋" w:cs="Times New Roman"/>
          <w:bCs/>
          <w:sz w:val="18"/>
          <w:szCs w:val="18"/>
          <w:vertAlign w:val="subscript"/>
        </w:rPr>
        <w:t>d</w:t>
      </w:r>
      <w:r>
        <w:rPr>
          <w:rFonts w:ascii="Times New Roman" w:hAnsi="Times New Roman" w:eastAsia="仿宋" w:cs="Times New Roman"/>
          <w:bCs/>
          <w:sz w:val="18"/>
          <w:szCs w:val="18"/>
        </w:rPr>
        <w:t>: pedogenic Fe/Al oxides; (Fe+Al)</w:t>
      </w:r>
      <w:r>
        <w:rPr>
          <w:rFonts w:ascii="Times New Roman" w:hAnsi="Times New Roman" w:eastAsia="仿宋" w:cs="Times New Roman"/>
          <w:bCs/>
          <w:sz w:val="18"/>
          <w:szCs w:val="18"/>
          <w:vertAlign w:val="subscript"/>
        </w:rPr>
        <w:t>o</w:t>
      </w:r>
      <w:r>
        <w:rPr>
          <w:rFonts w:ascii="Times New Roman" w:hAnsi="Times New Roman" w:eastAsia="仿宋" w:cs="Times New Roman"/>
          <w:bCs/>
          <w:sz w:val="18"/>
          <w:szCs w:val="18"/>
        </w:rPr>
        <w:t xml:space="preserve">: poorly crystalline Fe/Al oxides; 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(Ca + Mg)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  <w:vertAlign w:val="subscript"/>
        </w:rPr>
        <w:t>exe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: exchangeable Ca and Mg; (</w:t>
      </w:r>
      <w:r>
        <w:rPr>
          <w:rFonts w:ascii="Times New Roman" w:hAnsi="Times New Roman" w:eastAsia="仿宋" w:cs="Times New Roman"/>
          <w:bCs/>
          <w:sz w:val="18"/>
          <w:szCs w:val="18"/>
        </w:rPr>
        <w:t>Fe+Al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)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  <w:vertAlign w:val="subscript"/>
        </w:rPr>
        <w:t>exe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: exchangeable</w:t>
      </w:r>
      <w:r>
        <w:rPr>
          <w:rFonts w:ascii="Times New Roman" w:hAnsi="Times New Roman" w:eastAsia="仿宋" w:cs="Times New Roman"/>
          <w:bCs/>
          <w:sz w:val="18"/>
          <w:szCs w:val="18"/>
        </w:rPr>
        <w:t xml:space="preserve"> Fe and Al; B-PLFAs: bacterial PLFAs; F-PLFAs: fungal PLFAs; F/B: fungal/bacterial biomass ratio. </w:t>
      </w:r>
      <w:r>
        <w:rPr>
          <w:rFonts w:ascii="Times New Roman" w:hAnsi="Times New Roman" w:eastAsia="仿宋" w:cs="Times New Roman"/>
          <w:bCs/>
          <w:sz w:val="18"/>
          <w:szCs w:val="18"/>
        </w:rPr>
        <w:br w:type="page"/>
      </w:r>
    </w:p>
    <w:p w14:paraId="4EC4F169">
      <w:pPr>
        <w:spacing w:line="480" w:lineRule="auto"/>
        <w:jc w:val="both"/>
        <w:rPr>
          <w:rFonts w:ascii="Times New Roman" w:hAnsi="Times New Roman" w:eastAsia="仿宋" w:cs="Times New Roman"/>
          <w:b/>
          <w:bCs/>
          <w:sz w:val="18"/>
          <w:szCs w:val="18"/>
        </w:rPr>
      </w:pPr>
      <w:r>
        <w:rPr>
          <w:rFonts w:ascii="Times New Roman" w:hAnsi="Times New Roman" w:eastAsia="仿宋" w:cs="Times New Roman"/>
          <w:b/>
          <w:bCs/>
          <w:sz w:val="18"/>
          <w:szCs w:val="18"/>
        </w:rPr>
        <w:t xml:space="preserve">Table S2 </w:t>
      </w:r>
      <w:r>
        <w:rPr>
          <w:rFonts w:ascii="Times New Roman" w:hAnsi="Times New Roman" w:eastAsia="仿宋" w:cs="Times New Roman"/>
          <w:bCs/>
          <w:sz w:val="18"/>
          <w:szCs w:val="18"/>
        </w:rPr>
        <w:t>Loadings of the indicators building up each latent variable</w:t>
      </w:r>
    </w:p>
    <w:tbl>
      <w:tblPr>
        <w:tblStyle w:val="7"/>
        <w:tblW w:w="852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3"/>
        <w:gridCol w:w="2873"/>
        <w:gridCol w:w="2774"/>
      </w:tblGrid>
      <w:tr w14:paraId="74BCCD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87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42BBCBB">
            <w:pPr>
              <w:rPr>
                <w:rFonts w:ascii="Times New Roman" w:hAnsi="Times New Roman" w:eastAsia="等线" w:cs="Times New Roman"/>
                <w:sz w:val="18"/>
                <w:szCs w:val="18"/>
              </w:rPr>
            </w:pPr>
          </w:p>
        </w:tc>
        <w:tc>
          <w:tcPr>
            <w:tcW w:w="287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F0089D7">
            <w:pP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sz w:val="18"/>
                <w:szCs w:val="18"/>
              </w:rPr>
              <w:t>Variables</w:t>
            </w:r>
          </w:p>
        </w:tc>
        <w:tc>
          <w:tcPr>
            <w:tcW w:w="277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2B4FF8F">
            <w:pPr>
              <w:jc w:val="center"/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sz w:val="18"/>
                <w:szCs w:val="18"/>
              </w:rPr>
              <w:t>Loading</w:t>
            </w:r>
            <w:r>
              <w:rPr>
                <w:rFonts w:hint="eastAsia" w:ascii="Times New Roman" w:hAnsi="Times New Roman" w:eastAsia="等线" w:cs="Times New Roman"/>
                <w:sz w:val="18"/>
                <w:szCs w:val="18"/>
              </w:rPr>
              <w:t>s</w:t>
            </w:r>
          </w:p>
        </w:tc>
      </w:tr>
      <w:tr w14:paraId="483A0E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2E3CE8">
            <w:pPr>
              <w:rPr>
                <w:rFonts w:ascii="Times New Roman" w:hAnsi="Times New Roman" w:eastAsia="等线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b/>
                <w:sz w:val="18"/>
                <w:szCs w:val="18"/>
              </w:rPr>
              <w:t>Rm</w:t>
            </w:r>
          </w:p>
        </w:tc>
        <w:tc>
          <w:tcPr>
            <w:tcW w:w="2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43BE9C">
            <w:pPr>
              <w:rPr>
                <w:rFonts w:ascii="Times New Roman" w:hAnsi="Times New Roman" w:eastAsia="等线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b/>
                <w:sz w:val="18"/>
                <w:szCs w:val="18"/>
              </w:rPr>
              <w:t xml:space="preserve">Substrate </w:t>
            </w:r>
            <w:r>
              <w:rPr>
                <w:rFonts w:hint="eastAsia" w:ascii="Times New Roman" w:hAnsi="Times New Roman" w:eastAsia="等线" w:cs="Times New Roman"/>
                <w:b/>
                <w:sz w:val="18"/>
                <w:szCs w:val="18"/>
              </w:rPr>
              <w:t>properties</w:t>
            </w:r>
          </w:p>
        </w:tc>
        <w:tc>
          <w:tcPr>
            <w:tcW w:w="277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F41E44">
            <w:pPr>
              <w:jc w:val="center"/>
              <w:rPr>
                <w:rFonts w:ascii="Times New Roman" w:hAnsi="Times New Roman" w:eastAsia="等线" w:cs="Times New Roman"/>
                <w:b/>
                <w:sz w:val="18"/>
                <w:szCs w:val="18"/>
              </w:rPr>
            </w:pPr>
          </w:p>
        </w:tc>
      </w:tr>
      <w:tr w14:paraId="1F9DE2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DB736F">
            <w:pPr>
              <w:rPr>
                <w:rFonts w:hint="eastAsia" w:ascii="Times New Roman" w:hAnsi="Times New Roman" w:eastAsia="等线" w:cs="Times New Roman"/>
                <w:bCs/>
                <w:sz w:val="18"/>
                <w:szCs w:val="18"/>
              </w:rPr>
            </w:pPr>
          </w:p>
        </w:tc>
        <w:tc>
          <w:tcPr>
            <w:tcW w:w="2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6CDD30">
            <w:pP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hint="eastAsia" w:ascii="Times New Roman" w:hAnsi="Times New Roman" w:eastAsia="等线" w:cs="Times New Roman"/>
                <w:bCs/>
                <w:sz w:val="18"/>
                <w:szCs w:val="18"/>
              </w:rPr>
              <w:t>S</w:t>
            </w:r>
            <w: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  <w:t>OC</w:t>
            </w:r>
          </w:p>
        </w:tc>
        <w:tc>
          <w:tcPr>
            <w:tcW w:w="277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6E6177">
            <w:pPr>
              <w:jc w:val="center"/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hint="eastAsia" w:ascii="Times New Roman" w:hAnsi="Times New Roman" w:eastAsia="等线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  <w:t>.95</w:t>
            </w:r>
          </w:p>
        </w:tc>
      </w:tr>
      <w:tr w14:paraId="4B96CC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50EE4A">
            <w:pP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</w:p>
        </w:tc>
        <w:tc>
          <w:tcPr>
            <w:tcW w:w="2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63E73D">
            <w:pP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  <w:t>DOC</w:t>
            </w:r>
          </w:p>
        </w:tc>
        <w:tc>
          <w:tcPr>
            <w:tcW w:w="277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AAEEC5">
            <w:pPr>
              <w:jc w:val="center"/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hint="eastAsia" w:ascii="Times New Roman" w:hAnsi="Times New Roman" w:eastAsia="等线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  <w:t>.92</w:t>
            </w:r>
          </w:p>
        </w:tc>
      </w:tr>
      <w:tr w14:paraId="091347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C6DE7C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DADD24">
            <w:pP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Aro</w:t>
            </w: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</w:t>
            </w: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oly</w:t>
            </w:r>
          </w:p>
        </w:tc>
        <w:tc>
          <w:tcPr>
            <w:tcW w:w="277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628EF6">
            <w:pPr>
              <w:jc w:val="center"/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hint="eastAsia" w:ascii="Times New Roman" w:hAnsi="Times New Roman" w:eastAsia="等线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  <w:t>.90</w:t>
            </w:r>
          </w:p>
        </w:tc>
      </w:tr>
      <w:tr w14:paraId="2955A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F6C493">
            <w:pPr>
              <w:rPr>
                <w:rFonts w:ascii="Times New Roman" w:hAnsi="Times New Roman" w:eastAsia="等线" w:cs="Times New Roman"/>
                <w:b/>
                <w:sz w:val="18"/>
                <w:szCs w:val="18"/>
              </w:rPr>
            </w:pPr>
          </w:p>
        </w:tc>
        <w:tc>
          <w:tcPr>
            <w:tcW w:w="2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E42E54">
            <w:pPr>
              <w:rPr>
                <w:rFonts w:ascii="Times New Roman" w:hAnsi="Times New Roman" w:eastAsia="等线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b/>
                <w:sz w:val="18"/>
                <w:szCs w:val="18"/>
              </w:rPr>
              <w:t>Microbial traits</w:t>
            </w:r>
          </w:p>
        </w:tc>
        <w:tc>
          <w:tcPr>
            <w:tcW w:w="277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D22156">
            <w:pPr>
              <w:jc w:val="center"/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</w:p>
        </w:tc>
      </w:tr>
      <w:tr w14:paraId="731BDE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D6A9897">
            <w:pPr>
              <w:rPr>
                <w:rFonts w:ascii="Times New Roman" w:hAnsi="Times New Roman" w:eastAsia="等线" w:cs="Times New Roman"/>
                <w:sz w:val="18"/>
                <w:szCs w:val="18"/>
              </w:rPr>
            </w:pPr>
          </w:p>
        </w:tc>
        <w:tc>
          <w:tcPr>
            <w:tcW w:w="2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69D22A6">
            <w:pP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sz w:val="18"/>
                <w:szCs w:val="18"/>
              </w:rPr>
              <w:t>Total PLFAs</w:t>
            </w:r>
          </w:p>
        </w:tc>
        <w:tc>
          <w:tcPr>
            <w:tcW w:w="27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54715CA">
            <w:pPr>
              <w:jc w:val="center"/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hint="eastAsia" w:ascii="Times New Roman" w:hAnsi="Times New Roman" w:eastAsia="等线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  <w:t>.87</w:t>
            </w:r>
          </w:p>
        </w:tc>
      </w:tr>
      <w:tr w14:paraId="096C0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2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26EA602">
            <w:pPr>
              <w:rPr>
                <w:rFonts w:ascii="Times New Roman" w:hAnsi="Times New Roman" w:eastAsia="等线" w:cs="Times New Roman"/>
                <w:sz w:val="18"/>
                <w:szCs w:val="18"/>
              </w:rPr>
            </w:pPr>
          </w:p>
        </w:tc>
        <w:tc>
          <w:tcPr>
            <w:tcW w:w="2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F2AC886">
            <w:pP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sz w:val="18"/>
                <w:szCs w:val="18"/>
              </w:rPr>
              <w:t>F/B</w:t>
            </w:r>
          </w:p>
        </w:tc>
        <w:tc>
          <w:tcPr>
            <w:tcW w:w="27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75B6CDB">
            <w:pPr>
              <w:jc w:val="center"/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hint="eastAsia" w:ascii="Times New Roman" w:hAnsi="Times New Roman" w:eastAsia="等线" w:cs="Times New Roman"/>
                <w:bCs/>
                <w:sz w:val="18"/>
                <w:szCs w:val="18"/>
              </w:rPr>
              <w:t>-</w:t>
            </w:r>
            <w: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  <w:t>0.81</w:t>
            </w:r>
          </w:p>
        </w:tc>
      </w:tr>
      <w:tr w14:paraId="295A24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C62165">
            <w:pPr>
              <w:rPr>
                <w:rFonts w:ascii="Times New Roman" w:hAnsi="Times New Roman" w:eastAsia="等线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b/>
                <w:sz w:val="18"/>
                <w:szCs w:val="18"/>
              </w:rPr>
              <w:t>Q</w:t>
            </w:r>
            <w:r>
              <w:rPr>
                <w:rFonts w:ascii="Times New Roman" w:hAnsi="Times New Roman" w:eastAsia="等线" w:cs="Times New Roman"/>
                <w:b/>
                <w:sz w:val="18"/>
                <w:szCs w:val="18"/>
                <w:vertAlign w:val="subscript"/>
              </w:rPr>
              <w:t>10</w:t>
            </w:r>
          </w:p>
        </w:tc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02C6E6">
            <w:pPr>
              <w:rPr>
                <w:rFonts w:ascii="Times New Roman" w:hAnsi="Times New Roman" w:eastAsia="等线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b/>
                <w:sz w:val="18"/>
                <w:szCs w:val="18"/>
              </w:rPr>
              <w:t xml:space="preserve">Substrate </w:t>
            </w:r>
            <w:r>
              <w:rPr>
                <w:rFonts w:hint="eastAsia" w:ascii="Times New Roman" w:hAnsi="Times New Roman" w:eastAsia="等线" w:cs="Times New Roman"/>
                <w:b/>
                <w:sz w:val="18"/>
                <w:szCs w:val="18"/>
              </w:rPr>
              <w:t>properties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954A8E">
            <w:pPr>
              <w:jc w:val="center"/>
              <w:rPr>
                <w:rFonts w:ascii="Times New Roman" w:hAnsi="Times New Roman" w:eastAsia="等线" w:cs="Times New Roman"/>
                <w:b/>
                <w:sz w:val="18"/>
                <w:szCs w:val="18"/>
              </w:rPr>
            </w:pPr>
          </w:p>
        </w:tc>
      </w:tr>
      <w:tr w14:paraId="72B277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D227FC">
            <w:pPr>
              <w:rPr>
                <w:rFonts w:ascii="Times New Roman" w:hAnsi="Times New Roman" w:eastAsia="等线" w:cs="Times New Roman"/>
                <w:sz w:val="18"/>
                <w:szCs w:val="18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2785F6">
            <w:pP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sz w:val="18"/>
                <w:szCs w:val="18"/>
              </w:rPr>
              <w:t xml:space="preserve">SOC 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4AEEA8">
            <w:pPr>
              <w:jc w:val="center"/>
              <w:rPr>
                <w:rFonts w:ascii="Times New Roman" w:hAnsi="Times New Roman" w:eastAsia="等线" w:cs="Times New Roman"/>
                <w:bCs/>
                <w:sz w:val="18"/>
                <w:szCs w:val="18"/>
              </w:rPr>
            </w:pPr>
            <w:r>
              <w:rPr>
                <w:rFonts w:hint="eastAsia" w:ascii="Times New Roman" w:hAnsi="Times New Roman" w:eastAsia="等线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  <w:t>.</w:t>
            </w:r>
            <w:r>
              <w:rPr>
                <w:rFonts w:hint="eastAsia" w:ascii="Times New Roman" w:hAnsi="Times New Roman" w:eastAsia="等线" w:cs="Times New Roman"/>
                <w:bCs/>
                <w:sz w:val="18"/>
                <w:szCs w:val="18"/>
              </w:rPr>
              <w:t>90</w:t>
            </w:r>
          </w:p>
        </w:tc>
      </w:tr>
      <w:tr w14:paraId="2A98D6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25D869">
            <w:pPr>
              <w:rPr>
                <w:rFonts w:ascii="Times New Roman" w:hAnsi="Times New Roman" w:eastAsia="等线" w:cs="Times New Roman"/>
                <w:sz w:val="18"/>
                <w:szCs w:val="18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B97770">
            <w:pPr>
              <w:rPr>
                <w:rFonts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sz w:val="18"/>
                <w:szCs w:val="18"/>
              </w:rPr>
              <w:t>Ali/P</w:t>
            </w:r>
            <w:r>
              <w:rPr>
                <w:rFonts w:hint="eastAsia" w:ascii="Times New Roman" w:hAnsi="Times New Roman" w:eastAsia="等线" w:cs="Times New Roman"/>
                <w:sz w:val="18"/>
                <w:szCs w:val="18"/>
              </w:rPr>
              <w:t>oly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27CAB8">
            <w:pPr>
              <w:jc w:val="center"/>
              <w:rPr>
                <w:rFonts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等线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eastAsia="等线" w:cs="Times New Roman"/>
                <w:bCs/>
                <w:sz w:val="18"/>
                <w:szCs w:val="18"/>
              </w:rPr>
              <w:t>.</w:t>
            </w:r>
            <w:r>
              <w:rPr>
                <w:rFonts w:hint="eastAsia" w:ascii="Times New Roman" w:hAnsi="Times New Roman" w:eastAsia="等线" w:cs="Times New Roman"/>
                <w:bCs/>
                <w:sz w:val="18"/>
                <w:szCs w:val="18"/>
              </w:rPr>
              <w:t>77</w:t>
            </w:r>
          </w:p>
        </w:tc>
      </w:tr>
      <w:tr w14:paraId="3D20CB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64331F">
            <w:pPr>
              <w:rPr>
                <w:rFonts w:ascii="Times New Roman" w:hAnsi="Times New Roman" w:eastAsia="等线" w:cs="Times New Roman"/>
                <w:b/>
                <w:sz w:val="18"/>
                <w:szCs w:val="18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F4BB2F">
            <w:pPr>
              <w:rPr>
                <w:rFonts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b/>
                <w:sz w:val="18"/>
                <w:szCs w:val="18"/>
              </w:rPr>
              <w:t>Mineral protection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BDE5AD">
            <w:pPr>
              <w:jc w:val="center"/>
              <w:rPr>
                <w:rFonts w:ascii="Times New Roman" w:hAnsi="Times New Roman" w:eastAsia="等线" w:cs="Times New Roman"/>
                <w:sz w:val="18"/>
                <w:szCs w:val="18"/>
              </w:rPr>
            </w:pPr>
          </w:p>
        </w:tc>
      </w:tr>
      <w:tr w14:paraId="2652BE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875CB2E">
            <w:pPr>
              <w:rPr>
                <w:rFonts w:ascii="Times New Roman" w:hAnsi="Times New Roman" w:eastAsia="等线" w:cs="Times New Roman"/>
                <w:sz w:val="18"/>
                <w:szCs w:val="18"/>
              </w:rPr>
            </w:pPr>
          </w:p>
        </w:tc>
        <w:tc>
          <w:tcPr>
            <w:tcW w:w="2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1B8D931">
            <w:pPr>
              <w:rPr>
                <w:rFonts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ascii="Times New Roman" w:hAnsi="Times New Roman" w:eastAsia="等线" w:cs="Times New Roman"/>
                <w:sz w:val="18"/>
                <w:szCs w:val="18"/>
              </w:rPr>
              <w:t>(Ca+M</w:t>
            </w:r>
            <w:r>
              <w:rPr>
                <w:rFonts w:hint="eastAsia" w:ascii="Times New Roman" w:hAnsi="Times New Roman" w:eastAsia="等线" w:cs="Times New Roman"/>
                <w:sz w:val="18"/>
                <w:szCs w:val="18"/>
              </w:rPr>
              <w:t>g</w:t>
            </w:r>
            <w:r>
              <w:rPr>
                <w:rFonts w:ascii="Times New Roman" w:hAnsi="Times New Roman" w:eastAsia="等线" w:cs="Times New Roman"/>
                <w:sz w:val="18"/>
                <w:szCs w:val="18"/>
              </w:rPr>
              <w:t>)</w:t>
            </w:r>
            <w:r>
              <w:rPr>
                <w:rFonts w:ascii="Times New Roman" w:hAnsi="Times New Roman" w:eastAsia="等线" w:cs="Times New Roman"/>
                <w:sz w:val="18"/>
                <w:szCs w:val="18"/>
                <w:vertAlign w:val="subscript"/>
              </w:rPr>
              <w:t>exe</w:t>
            </w:r>
          </w:p>
        </w:tc>
        <w:tc>
          <w:tcPr>
            <w:tcW w:w="27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B70ED77">
            <w:pPr>
              <w:jc w:val="center"/>
              <w:rPr>
                <w:rFonts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等线" w:cs="Times New Roman"/>
                <w:sz w:val="18"/>
                <w:szCs w:val="18"/>
              </w:rPr>
              <w:t>0.83</w:t>
            </w:r>
          </w:p>
        </w:tc>
      </w:tr>
      <w:tr w14:paraId="746E15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07BD26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1E3CA65">
            <w:pPr>
              <w:rPr>
                <w:rFonts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(F</w:t>
            </w: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e+Al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exe</w:t>
            </w:r>
          </w:p>
        </w:tc>
        <w:tc>
          <w:tcPr>
            <w:tcW w:w="27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AD83B77">
            <w:pPr>
              <w:jc w:val="center"/>
              <w:rPr>
                <w:rFonts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等线" w:cs="Times New Roman"/>
                <w:sz w:val="18"/>
                <w:szCs w:val="18"/>
              </w:rPr>
              <w:t>-0.86</w:t>
            </w:r>
          </w:p>
        </w:tc>
      </w:tr>
      <w:tr w14:paraId="50FD54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873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95D885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73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A1CDD80">
            <w:pPr>
              <w:rPr>
                <w:rFonts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(F</w:t>
            </w: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e+Al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</w:rPr>
              <w:t>o</w:t>
            </w:r>
          </w:p>
        </w:tc>
        <w:tc>
          <w:tcPr>
            <w:tcW w:w="2774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06A81AB">
            <w:pPr>
              <w:jc w:val="center"/>
              <w:rPr>
                <w:rFonts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等线" w:cs="Times New Roman"/>
                <w:sz w:val="18"/>
                <w:szCs w:val="18"/>
              </w:rPr>
              <w:t>-0.84</w:t>
            </w:r>
          </w:p>
        </w:tc>
      </w:tr>
    </w:tbl>
    <w:p w14:paraId="698ACE93">
      <w:pPr>
        <w:spacing w:line="240" w:lineRule="auto"/>
        <w:jc w:val="both"/>
        <w:rPr>
          <w:rFonts w:ascii="Times New Roman" w:hAnsi="Times New Roman" w:eastAsia="仿宋" w:cs="Times New Roman"/>
          <w:bCs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Notes: </w:t>
      </w:r>
      <w:r>
        <w:rPr>
          <w:rFonts w:ascii="Times New Roman" w:hAnsi="Times New Roman" w:eastAsia="仿宋" w:cs="Times New Roman"/>
          <w:bCs/>
          <w:sz w:val="18"/>
          <w:szCs w:val="18"/>
        </w:rPr>
        <w:t xml:space="preserve">SOC: soil organic carbon; 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 xml:space="preserve">DOC: dissolved organic carbon; </w:t>
      </w:r>
      <w:r>
        <w:rPr>
          <w:rFonts w:ascii="Times New Roman" w:hAnsi="Times New Roman" w:eastAsia="仿宋" w:cs="Times New Roman"/>
          <w:bCs/>
          <w:sz w:val="18"/>
          <w:szCs w:val="18"/>
        </w:rPr>
        <w:t xml:space="preserve">Ali/Poly: aliphatics/polysaccharides; Aro/Poly: </w:t>
      </w:r>
      <w:r>
        <w:rPr>
          <w:rFonts w:ascii="Times New Roman" w:hAnsi="Times New Roman" w:cs="Times New Roman"/>
          <w:sz w:val="18"/>
          <w:szCs w:val="18"/>
        </w:rPr>
        <w:t>aromatics/polysaccharides</w:t>
      </w:r>
      <w:r>
        <w:rPr>
          <w:rFonts w:ascii="Times New Roman" w:hAnsi="Times New Roman" w:eastAsia="仿宋" w:cs="Times New Roman"/>
          <w:bCs/>
          <w:sz w:val="18"/>
          <w:szCs w:val="18"/>
        </w:rPr>
        <w:t>; (Fe+Al)</w:t>
      </w:r>
      <w:r>
        <w:rPr>
          <w:rFonts w:ascii="Times New Roman" w:hAnsi="Times New Roman" w:eastAsia="仿宋" w:cs="Times New Roman"/>
          <w:bCs/>
          <w:sz w:val="18"/>
          <w:szCs w:val="18"/>
          <w:vertAlign w:val="subscript"/>
        </w:rPr>
        <w:t>o</w:t>
      </w:r>
      <w:r>
        <w:rPr>
          <w:rFonts w:ascii="Times New Roman" w:hAnsi="Times New Roman" w:eastAsia="仿宋" w:cs="Times New Roman"/>
          <w:bCs/>
          <w:sz w:val="18"/>
          <w:szCs w:val="18"/>
        </w:rPr>
        <w:t xml:space="preserve">: poorly crystalline Fe/Al oxides; 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(Ca + Mg)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  <w:vertAlign w:val="subscript"/>
        </w:rPr>
        <w:t>exe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: exchangeable Ca and Mg; (</w:t>
      </w:r>
      <w:r>
        <w:rPr>
          <w:rFonts w:ascii="Times New Roman" w:hAnsi="Times New Roman" w:eastAsia="仿宋" w:cs="Times New Roman"/>
          <w:bCs/>
          <w:sz w:val="18"/>
          <w:szCs w:val="18"/>
        </w:rPr>
        <w:t>Fe+Al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)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  <w:vertAlign w:val="subscript"/>
        </w:rPr>
        <w:t>exe</w:t>
      </w:r>
      <w:r>
        <w:rPr>
          <w:rFonts w:ascii="Times New Roman" w:hAnsi="Times New Roman" w:eastAsia="仿宋" w:cs="Times New Roman"/>
          <w:bCs/>
          <w:sz w:val="18"/>
          <w:szCs w:val="18"/>
          <w:shd w:val="clear" w:color="auto" w:fill="FFFFFF"/>
        </w:rPr>
        <w:t>: exchangeable</w:t>
      </w:r>
      <w:r>
        <w:rPr>
          <w:rFonts w:ascii="Times New Roman" w:hAnsi="Times New Roman" w:eastAsia="仿宋" w:cs="Times New Roman"/>
          <w:bCs/>
          <w:sz w:val="18"/>
          <w:szCs w:val="18"/>
        </w:rPr>
        <w:t xml:space="preserve"> Fe and Al; F/B: fungal/bacterial biomass ratio.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imes New Roman 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916BB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C73FAF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3C73FAF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6th&lt;/Style&gt;&lt;LeftDelim&gt;{&lt;/LeftDelim&gt;&lt;RightDelim&gt;}&lt;/RightDelim&gt;&lt;FontName&gt;DengXi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</w:docVars>
  <w:rsids>
    <w:rsidRoot w:val="00EA3820"/>
    <w:rsid w:val="00000910"/>
    <w:rsid w:val="00000E9E"/>
    <w:rsid w:val="0001797F"/>
    <w:rsid w:val="0009023A"/>
    <w:rsid w:val="00094EB6"/>
    <w:rsid w:val="000A1780"/>
    <w:rsid w:val="000C12D9"/>
    <w:rsid w:val="000C4223"/>
    <w:rsid w:val="000D6E39"/>
    <w:rsid w:val="000F3044"/>
    <w:rsid w:val="000F7D7A"/>
    <w:rsid w:val="00100D85"/>
    <w:rsid w:val="00127A45"/>
    <w:rsid w:val="001A00DD"/>
    <w:rsid w:val="001C3824"/>
    <w:rsid w:val="001D1E56"/>
    <w:rsid w:val="002052CE"/>
    <w:rsid w:val="00222582"/>
    <w:rsid w:val="002263B5"/>
    <w:rsid w:val="00245A12"/>
    <w:rsid w:val="0027345E"/>
    <w:rsid w:val="002804BE"/>
    <w:rsid w:val="00282759"/>
    <w:rsid w:val="00283F3B"/>
    <w:rsid w:val="0029333B"/>
    <w:rsid w:val="00295648"/>
    <w:rsid w:val="002A49CE"/>
    <w:rsid w:val="003025B3"/>
    <w:rsid w:val="0030263A"/>
    <w:rsid w:val="0030759B"/>
    <w:rsid w:val="003136FB"/>
    <w:rsid w:val="00314C18"/>
    <w:rsid w:val="00326711"/>
    <w:rsid w:val="003358FC"/>
    <w:rsid w:val="00382BF6"/>
    <w:rsid w:val="00384102"/>
    <w:rsid w:val="003B5673"/>
    <w:rsid w:val="003B5B70"/>
    <w:rsid w:val="003C0145"/>
    <w:rsid w:val="003C281E"/>
    <w:rsid w:val="003E5593"/>
    <w:rsid w:val="00412D37"/>
    <w:rsid w:val="00417F76"/>
    <w:rsid w:val="004237CA"/>
    <w:rsid w:val="004615E9"/>
    <w:rsid w:val="00483B4A"/>
    <w:rsid w:val="0049612B"/>
    <w:rsid w:val="004B48B2"/>
    <w:rsid w:val="004D379A"/>
    <w:rsid w:val="004E2074"/>
    <w:rsid w:val="0050348A"/>
    <w:rsid w:val="00506276"/>
    <w:rsid w:val="005141BB"/>
    <w:rsid w:val="00514BF8"/>
    <w:rsid w:val="00536565"/>
    <w:rsid w:val="00547123"/>
    <w:rsid w:val="00570FA7"/>
    <w:rsid w:val="005847EA"/>
    <w:rsid w:val="00584DCB"/>
    <w:rsid w:val="00590DF4"/>
    <w:rsid w:val="00594B90"/>
    <w:rsid w:val="005A696B"/>
    <w:rsid w:val="005F2338"/>
    <w:rsid w:val="006052AB"/>
    <w:rsid w:val="00622FD7"/>
    <w:rsid w:val="00644AA7"/>
    <w:rsid w:val="006450BF"/>
    <w:rsid w:val="00655211"/>
    <w:rsid w:val="00674268"/>
    <w:rsid w:val="00676A5A"/>
    <w:rsid w:val="00695E0D"/>
    <w:rsid w:val="006A5A62"/>
    <w:rsid w:val="006B020A"/>
    <w:rsid w:val="00703535"/>
    <w:rsid w:val="00706294"/>
    <w:rsid w:val="007624DA"/>
    <w:rsid w:val="007757B0"/>
    <w:rsid w:val="007822AF"/>
    <w:rsid w:val="00794869"/>
    <w:rsid w:val="007E7483"/>
    <w:rsid w:val="00812CBD"/>
    <w:rsid w:val="008214D6"/>
    <w:rsid w:val="00821C1D"/>
    <w:rsid w:val="00836A98"/>
    <w:rsid w:val="00865321"/>
    <w:rsid w:val="00876468"/>
    <w:rsid w:val="008947D0"/>
    <w:rsid w:val="008C1FB0"/>
    <w:rsid w:val="008D06AF"/>
    <w:rsid w:val="008F1B98"/>
    <w:rsid w:val="009004F9"/>
    <w:rsid w:val="009055F5"/>
    <w:rsid w:val="00931EF5"/>
    <w:rsid w:val="00955806"/>
    <w:rsid w:val="00963C6C"/>
    <w:rsid w:val="00981798"/>
    <w:rsid w:val="00982384"/>
    <w:rsid w:val="009901DE"/>
    <w:rsid w:val="009B668A"/>
    <w:rsid w:val="009B71EA"/>
    <w:rsid w:val="009B7E64"/>
    <w:rsid w:val="009C65FA"/>
    <w:rsid w:val="009D7222"/>
    <w:rsid w:val="009F6251"/>
    <w:rsid w:val="00A30743"/>
    <w:rsid w:val="00A32AC0"/>
    <w:rsid w:val="00A332BC"/>
    <w:rsid w:val="00A71852"/>
    <w:rsid w:val="00AD1272"/>
    <w:rsid w:val="00AD2E65"/>
    <w:rsid w:val="00AD5E2E"/>
    <w:rsid w:val="00AF3D97"/>
    <w:rsid w:val="00B016F5"/>
    <w:rsid w:val="00B07BB0"/>
    <w:rsid w:val="00B1226B"/>
    <w:rsid w:val="00B21589"/>
    <w:rsid w:val="00B23856"/>
    <w:rsid w:val="00B42E21"/>
    <w:rsid w:val="00B674C4"/>
    <w:rsid w:val="00B75CAA"/>
    <w:rsid w:val="00B764CF"/>
    <w:rsid w:val="00B813A7"/>
    <w:rsid w:val="00B90390"/>
    <w:rsid w:val="00BA4DD1"/>
    <w:rsid w:val="00BC1AF5"/>
    <w:rsid w:val="00BE4F78"/>
    <w:rsid w:val="00BF2AF3"/>
    <w:rsid w:val="00C264BD"/>
    <w:rsid w:val="00C444DB"/>
    <w:rsid w:val="00C73F90"/>
    <w:rsid w:val="00C83170"/>
    <w:rsid w:val="00CD5188"/>
    <w:rsid w:val="00CE31F2"/>
    <w:rsid w:val="00D562DF"/>
    <w:rsid w:val="00D6067E"/>
    <w:rsid w:val="00D63925"/>
    <w:rsid w:val="00D67A19"/>
    <w:rsid w:val="00D95DC3"/>
    <w:rsid w:val="00DA28F9"/>
    <w:rsid w:val="00DB4020"/>
    <w:rsid w:val="00DB4E4F"/>
    <w:rsid w:val="00DB64F5"/>
    <w:rsid w:val="00DB75B5"/>
    <w:rsid w:val="00DC7420"/>
    <w:rsid w:val="00DD36E2"/>
    <w:rsid w:val="00DD4275"/>
    <w:rsid w:val="00E06CF6"/>
    <w:rsid w:val="00E12D1B"/>
    <w:rsid w:val="00E55D40"/>
    <w:rsid w:val="00E6601A"/>
    <w:rsid w:val="00EA3820"/>
    <w:rsid w:val="00EE316A"/>
    <w:rsid w:val="00EF3ACF"/>
    <w:rsid w:val="00F0085D"/>
    <w:rsid w:val="00F10D44"/>
    <w:rsid w:val="00F36AB2"/>
    <w:rsid w:val="00F421D9"/>
    <w:rsid w:val="0F5F5CA1"/>
    <w:rsid w:val="34C31B42"/>
    <w:rsid w:val="435766B4"/>
    <w:rsid w:val="57F82466"/>
    <w:rsid w:val="6F9B53AE"/>
    <w:rsid w:val="77854826"/>
    <w:rsid w:val="7F04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  <w14:ligatures w14:val="none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unhideWhenUsed/>
    <w:uiPriority w:val="99"/>
    <w:pPr>
      <w:widowControl w:val="0"/>
    </w:pPr>
    <w:rPr>
      <w:rFonts w:asciiTheme="minorHAnsi" w:hAnsiTheme="minorHAnsi" w:eastAsiaTheme="minorEastAsia" w:cstheme="minorBidi"/>
      <w:kern w:val="2"/>
      <w:sz w:val="21"/>
      <w:szCs w:val="22"/>
    </w:rPr>
  </w:style>
  <w:style w:type="paragraph" w:styleId="3">
    <w:name w:val="Balloon Text"/>
    <w:basedOn w:val="1"/>
    <w:link w:val="16"/>
    <w:semiHidden/>
    <w:unhideWhenUsed/>
    <w:qFormat/>
    <w:uiPriority w:val="99"/>
    <w:pPr>
      <w:widowControl w:val="0"/>
      <w:jc w:val="both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4">
    <w:name w:val="footer"/>
    <w:basedOn w:val="1"/>
    <w:link w:val="12"/>
    <w:unhideWhenUsed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6">
    <w:name w:val="annotation subject"/>
    <w:basedOn w:val="2"/>
    <w:next w:val="2"/>
    <w:link w:val="15"/>
    <w:semiHidden/>
    <w:unhideWhenUsed/>
    <w:uiPriority w:val="99"/>
    <w:rPr>
      <w:b/>
      <w:bCs/>
    </w:r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0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1">
    <w:name w:val="页眉 字符"/>
    <w:basedOn w:val="8"/>
    <w:link w:val="5"/>
    <w:qFormat/>
    <w:uiPriority w:val="99"/>
    <w:rPr>
      <w:sz w:val="18"/>
      <w:szCs w:val="18"/>
      <w14:ligatures w14:val="none"/>
    </w:rPr>
  </w:style>
  <w:style w:type="character" w:customStyle="1" w:styleId="12">
    <w:name w:val="页脚 字符"/>
    <w:basedOn w:val="8"/>
    <w:link w:val="4"/>
    <w:qFormat/>
    <w:uiPriority w:val="99"/>
    <w:rPr>
      <w:sz w:val="18"/>
      <w:szCs w:val="18"/>
      <w14:ligatures w14:val="none"/>
    </w:rPr>
  </w:style>
  <w:style w:type="paragraph" w:customStyle="1" w:styleId="13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none"/>
    </w:rPr>
  </w:style>
  <w:style w:type="character" w:customStyle="1" w:styleId="14">
    <w:name w:val="批注文字 字符"/>
    <w:basedOn w:val="8"/>
    <w:link w:val="2"/>
    <w:qFormat/>
    <w:uiPriority w:val="99"/>
    <w:rPr>
      <w14:ligatures w14:val="none"/>
    </w:rPr>
  </w:style>
  <w:style w:type="character" w:customStyle="1" w:styleId="15">
    <w:name w:val="批注主题 字符"/>
    <w:basedOn w:val="14"/>
    <w:link w:val="6"/>
    <w:semiHidden/>
    <w:qFormat/>
    <w:uiPriority w:val="99"/>
    <w:rPr>
      <w:b/>
      <w:bCs/>
      <w14:ligatures w14:val="none"/>
    </w:rPr>
  </w:style>
  <w:style w:type="character" w:customStyle="1" w:styleId="16">
    <w:name w:val="批注框文本 字符"/>
    <w:basedOn w:val="8"/>
    <w:link w:val="3"/>
    <w:semiHidden/>
    <w:qFormat/>
    <w:uiPriority w:val="99"/>
    <w:rPr>
      <w:sz w:val="18"/>
      <w:szCs w:val="18"/>
      <w14:ligatures w14:val="none"/>
    </w:rPr>
  </w:style>
  <w:style w:type="table" w:customStyle="1" w:styleId="17">
    <w:name w:val="网格表 1 浅色1"/>
    <w:basedOn w:val="7"/>
    <w:qFormat/>
    <w:uiPriority w:val="46"/>
    <w:rPr>
      <w:kern w:val="0"/>
      <w:sz w:val="22"/>
      <w:lang w:eastAsia="en-US"/>
      <w14:ligatures w14:val="none"/>
    </w:rPr>
    <w:tblPr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8">
    <w:name w:val="Grid Table 1 Light"/>
    <w:basedOn w:val="7"/>
    <w:qFormat/>
    <w:uiPriority w:val="46"/>
    <w:rPr>
      <w14:ligatures w14:val="none"/>
    </w:rPr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19">
    <w:name w:val="EndNote Bibliography Title"/>
    <w:basedOn w:val="1"/>
    <w:link w:val="20"/>
    <w:qFormat/>
    <w:uiPriority w:val="0"/>
    <w:pPr>
      <w:widowControl w:val="0"/>
      <w:jc w:val="center"/>
    </w:pPr>
    <w:rPr>
      <w:rFonts w:ascii="Times New Roman" w:hAnsi="Times New Roman" w:eastAsia="等线" w:cs="Times New Roman"/>
      <w:kern w:val="2"/>
      <w:szCs w:val="22"/>
    </w:rPr>
  </w:style>
  <w:style w:type="character" w:customStyle="1" w:styleId="20">
    <w:name w:val="EndNote Bibliography Title 字符"/>
    <w:basedOn w:val="8"/>
    <w:link w:val="19"/>
    <w:qFormat/>
    <w:uiPriority w:val="0"/>
    <w:rPr>
      <w:rFonts w:ascii="Times New Roman" w:hAnsi="Times New Roman" w:eastAsia="等线" w:cs="Times New Roman"/>
      <w:sz w:val="24"/>
      <w14:ligatures w14:val="none"/>
    </w:rPr>
  </w:style>
  <w:style w:type="paragraph" w:customStyle="1" w:styleId="21">
    <w:name w:val="EndNote Bibliography"/>
    <w:basedOn w:val="1"/>
    <w:link w:val="22"/>
    <w:qFormat/>
    <w:uiPriority w:val="0"/>
    <w:pPr>
      <w:widowControl w:val="0"/>
      <w:spacing w:line="480" w:lineRule="auto"/>
      <w:jc w:val="both"/>
    </w:pPr>
    <w:rPr>
      <w:rFonts w:ascii="Times New Roman" w:hAnsi="Times New Roman" w:eastAsia="等线" w:cs="Times New Roman"/>
      <w:kern w:val="2"/>
      <w:szCs w:val="22"/>
    </w:rPr>
  </w:style>
  <w:style w:type="character" w:customStyle="1" w:styleId="22">
    <w:name w:val="EndNote Bibliography 字符"/>
    <w:basedOn w:val="8"/>
    <w:link w:val="21"/>
    <w:qFormat/>
    <w:uiPriority w:val="0"/>
    <w:rPr>
      <w:rFonts w:ascii="Times New Roman" w:hAnsi="Times New Roman" w:eastAsia="等线" w:cs="Times New Roman"/>
      <w:sz w:val="24"/>
      <w14:ligatures w14:val="none"/>
    </w:rPr>
  </w:style>
  <w:style w:type="table" w:customStyle="1" w:styleId="23">
    <w:name w:val="Plain Table 2"/>
    <w:basedOn w:val="7"/>
    <w:qFormat/>
    <w:uiPriority w:val="42"/>
    <w:rPr>
      <w14:ligatures w14:val="none"/>
    </w:r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bC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2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1Horz">
      <w:tcPr>
        <w:tcBorders>
          <w:top w:val="single" w:color="7E7E7E" w:themeColor="text1" w:themeTint="80" w:sz="4" w:space="0"/>
          <w:bottom w:val="single" w:color="7E7E7E" w:themeColor="text1" w:themeTint="80" w:sz="4" w:space="0"/>
        </w:tcBorders>
      </w:tcPr>
    </w:tblStylePr>
  </w:style>
  <w:style w:type="character" w:customStyle="1" w:styleId="24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5">
    <w:name w:val="font21"/>
    <w:basedOn w:val="8"/>
    <w:qFormat/>
    <w:uiPriority w:val="0"/>
    <w:rPr>
      <w:rFonts w:hint="default" w:ascii="Times New Roman Regular" w:hAnsi="Times New Roman Regular"/>
      <w:color w:val="000000"/>
      <w:sz w:val="24"/>
      <w:szCs w:val="24"/>
      <w:u w:val="none"/>
      <w:vertAlign w:val="subscript"/>
    </w:rPr>
  </w:style>
  <w:style w:type="character" w:customStyle="1" w:styleId="26">
    <w:name w:val="font11"/>
    <w:basedOn w:val="8"/>
    <w:qFormat/>
    <w:uiPriority w:val="0"/>
    <w:rPr>
      <w:rFonts w:hint="default" w:ascii="Times New Roman Regular" w:hAnsi="Times New Roman Regular"/>
      <w:color w:val="000000"/>
      <w:sz w:val="24"/>
      <w:szCs w:val="24"/>
      <w:u w:val="none"/>
    </w:rPr>
  </w:style>
  <w:style w:type="character" w:customStyle="1" w:styleId="27">
    <w:name w:val="font31"/>
    <w:basedOn w:val="8"/>
    <w:qFormat/>
    <w:uiPriority w:val="0"/>
    <w:rPr>
      <w:rFonts w:hint="default" w:ascii="Times New Roman Regular" w:hAnsi="Times New Roman Regular"/>
      <w:color w:val="000000"/>
      <w:sz w:val="24"/>
      <w:szCs w:val="24"/>
      <w:u w:val="none"/>
      <w:vertAlign w:val="superscript"/>
    </w:rPr>
  </w:style>
  <w:style w:type="paragraph" w:customStyle="1" w:styleId="28">
    <w:name w:val="h1stpagehead"/>
    <w:basedOn w:val="29"/>
    <w:qFormat/>
    <w:uiPriority w:val="0"/>
    <w:rPr>
      <w:sz w:val="21"/>
      <w:szCs w:val="20"/>
    </w:rPr>
  </w:style>
  <w:style w:type="paragraph" w:customStyle="1" w:styleId="29">
    <w:name w:val="Base_Heading"/>
    <w:qFormat/>
    <w:uiPriority w:val="0"/>
    <w:pPr>
      <w:keepNext/>
      <w:spacing w:before="240"/>
      <w:outlineLvl w:val="0"/>
    </w:pPr>
    <w:rPr>
      <w:rFonts w:ascii="Times New Roman" w:hAnsi="Times New Roman" w:cs="Times New Roman" w:eastAsiaTheme="minorEastAsia"/>
      <w:kern w:val="28"/>
      <w:sz w:val="36"/>
      <w:szCs w:val="28"/>
      <w:lang w:val="en-US" w:eastAsia="en-US" w:bidi="ar-SA"/>
    </w:rPr>
  </w:style>
  <w:style w:type="paragraph" w:customStyle="1" w:styleId="30">
    <w:name w:val="hauthors"/>
    <w:basedOn w:val="31"/>
    <w:qFormat/>
    <w:uiPriority w:val="0"/>
    <w:pPr>
      <w:jc w:val="center"/>
    </w:pPr>
    <w:rPr>
      <w:sz w:val="21"/>
      <w:szCs w:val="20"/>
    </w:rPr>
  </w:style>
  <w:style w:type="paragraph" w:customStyle="1" w:styleId="31">
    <w:name w:val="Base_Text"/>
    <w:qFormat/>
    <w:uiPriority w:val="0"/>
    <w:pPr>
      <w:spacing w:before="120"/>
    </w:pPr>
    <w:rPr>
      <w:rFonts w:ascii="Times New Roman" w:hAnsi="Times New Roman" w:cs="Times New Roman" w:eastAsiaTheme="minorEastAsia"/>
      <w:sz w:val="24"/>
      <w:szCs w:val="24"/>
      <w:lang w:val="en-US" w:eastAsia="en-US" w:bidi="ar-SA"/>
    </w:rPr>
  </w:style>
  <w:style w:type="paragraph" w:customStyle="1" w:styleId="32">
    <w:name w:val="haffiliations"/>
    <w:basedOn w:val="31"/>
    <w:qFormat/>
    <w:uiPriority w:val="0"/>
    <w:pPr>
      <w:jc w:val="center"/>
    </w:pPr>
    <w:rPr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tiff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388</Words>
  <Characters>2300</Characters>
  <Lines>199</Lines>
  <Paragraphs>187</Paragraphs>
  <TotalTime>1</TotalTime>
  <ScaleCrop>false</ScaleCrop>
  <LinksUpToDate>false</LinksUpToDate>
  <CharactersWithSpaces>2629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2025-02-26T10:50:00Z</dcterms:created>
  <dc:creator>Dejun Li</dc:creator>
  <cp:lastModifiedBy>刘辉</cp:lastModifiedBy>
  <dcterms:modified xsi:type="dcterms:W3CDTF">2025-09-17T02:31:16Z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eyJoZGlkIjoiMTIxMGYzNWJmOWMzYThlM2Y3MTgzYjQzY2M2NWY1ZTgiLCJ1c2VySWQiOiI2MTUzNzcwNDUifQ==</vt:lpwstr>
  </property>
  <property fmtid="{D5CDD505-2E9C-101B-9397-08002B2CF9AE}" pid="3" name="KSOProductBuildVer">
    <vt:lpwstr>2052-12.1.0.21541</vt:lpwstr>
  </property>
  <property fmtid="{D5CDD505-2E9C-101B-9397-08002B2CF9AE}" pid="4" name="ICV">
    <vt:lpwstr>59087485E28F4517AFC1B11EC707F027_13</vt:lpwstr>
  </property>
</Properties>
</file>