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F36C3">
      <w:pPr>
        <w:pStyle w:val="24"/>
        <w:autoSpaceDE w:val="0"/>
        <w:autoSpaceDN w:val="0"/>
        <w:adjustRightInd w:val="0"/>
        <w:rPr>
          <w:rFonts w:hint="default" w:eastAsiaTheme="minorEastAsia"/>
          <w:szCs w:val="24"/>
          <w:lang w:val="en-US" w:eastAsia="zh-CN"/>
        </w:rPr>
      </w:pPr>
      <w:r>
        <w:rPr>
          <w:rFonts w:hint="eastAsia"/>
          <w:szCs w:val="24"/>
          <w:lang w:val="en-US" w:eastAsia="zh-CN"/>
        </w:rPr>
        <w:t>Supplementary Materials</w:t>
      </w:r>
      <w:bookmarkStart w:id="2" w:name="_GoBack"/>
      <w:bookmarkEnd w:id="2"/>
    </w:p>
    <w:p w14:paraId="3D147F35">
      <w:pPr>
        <w:pStyle w:val="24"/>
        <w:autoSpaceDE w:val="0"/>
        <w:autoSpaceDN w:val="0"/>
        <w:adjustRightInd w:val="0"/>
        <w:rPr>
          <w:szCs w:val="24"/>
        </w:rPr>
      </w:pPr>
      <w:r>
        <w:rPr>
          <w:szCs w:val="24"/>
        </w:rPr>
        <w:t>Spatiotemporal simulation, source identification, and ecological risk assessment of potentially toxic elements in river sediments from the Jinsha River Basin, southwest China</w:t>
      </w:r>
    </w:p>
    <w:p w14:paraId="5660E9AC">
      <w:pPr>
        <w:pStyle w:val="26"/>
        <w:autoSpaceDE w:val="0"/>
        <w:autoSpaceDN w:val="0"/>
        <w:adjustRightInd w:val="0"/>
        <w:rPr>
          <w:szCs w:val="24"/>
        </w:rPr>
      </w:pPr>
      <w:r>
        <w:rPr>
          <w:szCs w:val="24"/>
        </w:rPr>
        <w:t xml:space="preserve">Lanchu TAO </w:t>
      </w:r>
      <w:r>
        <w:rPr>
          <w:rFonts w:hint="eastAsia"/>
          <w:szCs w:val="24"/>
          <w:vertAlign w:val="superscript"/>
          <w:lang w:val="en-US" w:eastAsia="zh-CN"/>
        </w:rPr>
        <w:t>1,2</w:t>
      </w:r>
      <w:r>
        <w:rPr>
          <w:szCs w:val="24"/>
        </w:rPr>
        <w:t xml:space="preserve">, Denghui WEI </w:t>
      </w:r>
      <w:r>
        <w:rPr>
          <w:rFonts w:hint="eastAsia"/>
          <w:szCs w:val="24"/>
          <w:vertAlign w:val="superscript"/>
          <w:lang w:val="en-US" w:eastAsia="zh-CN"/>
        </w:rPr>
        <w:t>3,4</w:t>
      </w:r>
      <w:r>
        <w:rPr>
          <w:szCs w:val="24"/>
        </w:rPr>
        <w:t xml:space="preserve">, Jinhai YU </w:t>
      </w:r>
      <w:r>
        <w:rPr>
          <w:rFonts w:hint="eastAsia"/>
          <w:szCs w:val="24"/>
          <w:vertAlign w:val="superscript"/>
          <w:lang w:val="en-US" w:eastAsia="zh-CN"/>
        </w:rPr>
        <w:t>3,4</w:t>
      </w:r>
      <w:r>
        <w:rPr>
          <w:szCs w:val="24"/>
        </w:rPr>
        <w:t xml:space="preserve">, Qingsong CHEN </w:t>
      </w:r>
      <w:r>
        <w:rPr>
          <w:rFonts w:hint="eastAsia"/>
          <w:szCs w:val="24"/>
          <w:vertAlign w:val="superscript"/>
          <w:lang w:val="en-US" w:eastAsia="zh-CN"/>
        </w:rPr>
        <w:t>1,2</w:t>
      </w:r>
      <w:r>
        <w:rPr>
          <w:szCs w:val="24"/>
        </w:rPr>
        <w:t>, Yunhui ZHANG</w:t>
      </w:r>
      <w:r>
        <w:rPr>
          <w:rFonts w:hint="eastAsia"/>
          <w:szCs w:val="24"/>
          <w:lang w:val="en-US" w:eastAsia="zh-CN"/>
        </w:rPr>
        <w:t xml:space="preserve"> </w:t>
      </w:r>
      <w:r>
        <w:rPr>
          <w:rFonts w:eastAsia="宋体"/>
          <w:b w:val="0"/>
          <w:bCs/>
          <w:szCs w:val="24"/>
        </w:rPr>
        <w:t>(</w:t>
      </w:r>
      <w:r>
        <w:rPr>
          <w:rFonts w:ascii="Wingdings" w:hAnsi="Wingdings" w:eastAsia="Times New Roman"/>
        </w:rPr>
        <w:t></w:t>
      </w:r>
      <w:r>
        <w:rPr>
          <w:rFonts w:eastAsia="宋体"/>
          <w:b w:val="0"/>
          <w:bCs/>
          <w:szCs w:val="24"/>
        </w:rPr>
        <w:t>)</w:t>
      </w:r>
      <w:r>
        <w:rPr>
          <w:rFonts w:hint="eastAsia" w:eastAsia="宋体"/>
          <w:b w:val="0"/>
          <w:bCs/>
          <w:szCs w:val="24"/>
          <w:lang w:val="en-US" w:eastAsia="zh-CN"/>
        </w:rPr>
        <w:t xml:space="preserve"> </w:t>
      </w:r>
      <w:r>
        <w:rPr>
          <w:rFonts w:hint="eastAsia"/>
          <w:szCs w:val="24"/>
          <w:vertAlign w:val="superscript"/>
          <w:lang w:val="en-US" w:eastAsia="zh-CN"/>
        </w:rPr>
        <w:t>3,4</w:t>
      </w:r>
    </w:p>
    <w:p w14:paraId="5EF14805">
      <w:pPr>
        <w:pStyle w:val="28"/>
        <w:autoSpaceDE w:val="0"/>
        <w:autoSpaceDN w:val="0"/>
        <w:adjustRightInd w:val="0"/>
        <w:rPr>
          <w:szCs w:val="24"/>
        </w:rPr>
      </w:pPr>
      <w:r>
        <w:rPr>
          <w:rFonts w:hint="eastAsia"/>
          <w:szCs w:val="24"/>
          <w:lang w:val="en-US" w:eastAsia="zh-CN"/>
        </w:rPr>
        <w:t xml:space="preserve">1 </w:t>
      </w:r>
      <w:r>
        <w:rPr>
          <w:szCs w:val="24"/>
        </w:rPr>
        <w:t>Kunming General Survey of Natural Resources Center, China Geological Survey, Kunming 650100, China</w:t>
      </w:r>
    </w:p>
    <w:p w14:paraId="6964CE2B">
      <w:pPr>
        <w:pStyle w:val="28"/>
        <w:autoSpaceDE w:val="0"/>
        <w:autoSpaceDN w:val="0"/>
        <w:adjustRightInd w:val="0"/>
        <w:rPr>
          <w:szCs w:val="24"/>
        </w:rPr>
      </w:pPr>
      <w:r>
        <w:rPr>
          <w:rFonts w:hint="eastAsia"/>
          <w:szCs w:val="24"/>
          <w:lang w:val="en-US" w:eastAsia="zh-CN"/>
        </w:rPr>
        <w:t xml:space="preserve">2 </w:t>
      </w:r>
      <w:r>
        <w:rPr>
          <w:szCs w:val="24"/>
        </w:rPr>
        <w:t>Innovation Base for Eco-geological Evolution, Protection, and Restoration of Southwest Mountainous Areas, Geological Society of China, Kunming</w:t>
      </w:r>
    </w:p>
    <w:p w14:paraId="5B46261B">
      <w:pPr>
        <w:pStyle w:val="28"/>
        <w:autoSpaceDE w:val="0"/>
        <w:autoSpaceDN w:val="0"/>
        <w:adjustRightInd w:val="0"/>
        <w:rPr>
          <w:szCs w:val="24"/>
        </w:rPr>
      </w:pPr>
      <w:r>
        <w:rPr>
          <w:szCs w:val="24"/>
        </w:rPr>
        <w:t>650100, China</w:t>
      </w:r>
    </w:p>
    <w:p w14:paraId="2D30B586">
      <w:pPr>
        <w:pStyle w:val="28"/>
        <w:autoSpaceDE w:val="0"/>
        <w:autoSpaceDN w:val="0"/>
        <w:adjustRightInd w:val="0"/>
        <w:rPr>
          <w:szCs w:val="24"/>
        </w:rPr>
      </w:pPr>
      <w:r>
        <w:rPr>
          <w:rFonts w:hint="eastAsia"/>
          <w:szCs w:val="24"/>
          <w:lang w:val="en-US" w:eastAsia="zh-CN"/>
        </w:rPr>
        <w:t xml:space="preserve">3 </w:t>
      </w:r>
      <w:r>
        <w:rPr>
          <w:szCs w:val="24"/>
        </w:rPr>
        <w:t>Faculty of Geosciences and Engineering, Southwest Jiaotong University, Chengdu 611756, China</w:t>
      </w:r>
    </w:p>
    <w:p w14:paraId="40B095BE">
      <w:pPr>
        <w:pStyle w:val="28"/>
        <w:autoSpaceDE w:val="0"/>
        <w:autoSpaceDN w:val="0"/>
        <w:adjustRightInd w:val="0"/>
        <w:rPr>
          <w:szCs w:val="24"/>
        </w:rPr>
      </w:pPr>
      <w:r>
        <w:rPr>
          <w:rFonts w:hint="eastAsia"/>
          <w:szCs w:val="24"/>
          <w:lang w:val="en-US" w:eastAsia="zh-CN"/>
        </w:rPr>
        <w:t xml:space="preserve">4 </w:t>
      </w:r>
      <w:r>
        <w:rPr>
          <w:szCs w:val="24"/>
        </w:rPr>
        <w:t>Yibin Research Institute, Southwest Jiaotong University, Yibin 644000, China</w:t>
      </w:r>
    </w:p>
    <w:p w14:paraId="2A3D5B0C">
      <w:pPr>
        <w:rPr>
          <w:rFonts w:ascii="Times New Roman" w:hAnsi="Times New Roman" w:eastAsiaTheme="minorEastAsia"/>
          <w:b/>
          <w:sz w:val="32"/>
        </w:rPr>
      </w:pPr>
      <w:r>
        <w:rPr>
          <w:rFonts w:ascii="Times New Roman" w:hAnsi="Times New Roman" w:eastAsiaTheme="minorEastAsia"/>
          <w:b/>
          <w:sz w:val="32"/>
        </w:rPr>
        <w:br w:type="page"/>
      </w:r>
    </w:p>
    <w:p w14:paraId="003832FF">
      <w:pPr>
        <w:jc w:val="center"/>
        <w:rPr>
          <w:rFonts w:ascii="Times New Roman" w:hAnsi="Times New Roman" w:eastAsiaTheme="minorEastAsia"/>
          <w:b/>
          <w:sz w:val="32"/>
        </w:rPr>
      </w:pPr>
      <w:r>
        <w:rPr>
          <w:rFonts w:ascii="Times New Roman" w:hAnsi="Times New Roman" w:eastAsiaTheme="minorEastAsia"/>
          <w:b/>
          <w:sz w:val="32"/>
        </w:rPr>
        <w:t>Spatiotemporal simulation, source identification, and ecological health risk assessment of heavy metals in river sediments from the Jinsha River Basin</w:t>
      </w:r>
      <w:r>
        <w:rPr>
          <w:rFonts w:hint="eastAsia" w:ascii="Times New Roman" w:hAnsi="Times New Roman" w:eastAsiaTheme="minorEastAsia"/>
          <w:b/>
          <w:sz w:val="32"/>
        </w:rPr>
        <w:t>,</w:t>
      </w:r>
      <w:r>
        <w:rPr>
          <w:rFonts w:ascii="Times New Roman" w:hAnsi="Times New Roman" w:eastAsiaTheme="minorEastAsia"/>
          <w:b/>
          <w:sz w:val="32"/>
        </w:rPr>
        <w:t xml:space="preserve"> Southwest China</w:t>
      </w:r>
    </w:p>
    <w:p w14:paraId="289F276D">
      <w:pPr>
        <w:jc w:val="center"/>
        <w:rPr>
          <w:rFonts w:eastAsiaTheme="minorEastAsia"/>
        </w:rPr>
      </w:pPr>
    </w:p>
    <w:p w14:paraId="43A997F1">
      <w:pPr>
        <w:rPr>
          <w:rFonts w:eastAsiaTheme="minorEastAsia"/>
        </w:rPr>
      </w:pPr>
    </w:p>
    <w:p w14:paraId="3F4BCB54">
      <w:pPr>
        <w:rPr>
          <w:rFonts w:ascii="Times New Roman" w:hAnsi="Times New Roman" w:cs="Times New Roman" w:eastAsiaTheme="minorEastAsia"/>
          <w:b/>
          <w:bCs/>
          <w:sz w:val="28"/>
          <w:szCs w:val="24"/>
        </w:rPr>
      </w:pPr>
      <w:r>
        <w:rPr>
          <w:rFonts w:ascii="Times New Roman" w:hAnsi="Times New Roman" w:cs="Times New Roman" w:eastAsiaTheme="minorEastAsia"/>
          <w:b/>
          <w:bCs/>
          <w:sz w:val="28"/>
          <w:szCs w:val="24"/>
        </w:rPr>
        <w:t>2.7 Human health risk assessment</w:t>
      </w:r>
    </w:p>
    <w:p w14:paraId="5C04D1FB">
      <w:pPr>
        <w:ind w:left="240" w:leftChars="100" w:right="240" w:rightChars="100" w:firstLine="480"/>
        <w:rPr>
          <w:rFonts w:ascii="Times New Roman" w:hAnsi="Times New Roman" w:eastAsiaTheme="minorEastAsia"/>
          <w:szCs w:val="24"/>
        </w:rPr>
      </w:pPr>
      <w:r>
        <w:rPr>
          <w:rFonts w:ascii="Times New Roman" w:hAnsi="Times New Roman" w:cs="Times New Roman" w:eastAsiaTheme="minorEastAsia"/>
          <w:szCs w:val="24"/>
        </w:rPr>
        <w:t xml:space="preserve">Three main exposure pathways (ingestion, inhalation, and dermal contact) and two health risks (non-carcinogenic and carcinogenic) were considered, and the population was divided into two groups (children and adults) because of their physiological differences. The calculation process for the health risk value is given by </w:t>
      </w:r>
      <w:r>
        <w:rPr>
          <w:rFonts w:ascii="Times New Roman" w:hAnsi="Times New Roman" w:cs="Times New Roman" w:eastAsiaTheme="minorEastAsia"/>
          <w:color w:val="4472C4" w:themeColor="accent1"/>
          <w:szCs w:val="24"/>
          <w14:textFill>
            <w14:solidFill>
              <w14:schemeClr w14:val="accent1"/>
            </w14:solidFill>
          </w14:textFill>
        </w:rPr>
        <w:t>Eq. 1-2</w:t>
      </w:r>
      <w:r>
        <w:rPr>
          <w:rFonts w:ascii="Times New Roman" w:hAnsi="Times New Roman" w:cs="Times New Roman" w:eastAsiaTheme="minorEastAsia"/>
          <w:szCs w:val="24"/>
        </w:rPr>
        <w:t xml:space="preserve">, </w:t>
      </w:r>
      <w:r>
        <w:rPr>
          <w:rFonts w:ascii="Times New Roman" w:hAnsi="Times New Roman" w:eastAsiaTheme="minorEastAsia"/>
          <w:szCs w:val="24"/>
        </w:rPr>
        <w:t xml:space="preserve">where the ADD represents the average daily intake dose, C is the observed concentration of PTEs, and THI and TCR are the total non-carcinogenic and carcinogenic health risks, respectively. The introduction and reference values of the other exposure parameters are listed in </w:t>
      </w:r>
      <w:r>
        <w:rPr>
          <w:rFonts w:ascii="Times New Roman" w:hAnsi="Times New Roman" w:eastAsiaTheme="minorEastAsia"/>
          <w:color w:val="4472C4" w:themeColor="accent1"/>
          <w:szCs w:val="24"/>
          <w14:textFill>
            <w14:solidFill>
              <w14:schemeClr w14:val="accent1"/>
            </w14:solidFill>
          </w14:textFill>
        </w:rPr>
        <w:t>Tables S7</w:t>
      </w:r>
      <w:r>
        <w:rPr>
          <w:rFonts w:ascii="Times New Roman" w:hAnsi="Times New Roman" w:eastAsiaTheme="minorEastAsia"/>
          <w:szCs w:val="24"/>
        </w:rPr>
        <w:t xml:space="preserve"> and</w:t>
      </w:r>
      <w:r>
        <w:rPr>
          <w:rFonts w:ascii="Times New Roman" w:hAnsi="Times New Roman" w:eastAsiaTheme="minorEastAsia"/>
          <w:color w:val="4472C4" w:themeColor="accent1"/>
          <w:szCs w:val="24"/>
          <w14:textFill>
            <w14:solidFill>
              <w14:schemeClr w14:val="accent1"/>
            </w14:solidFill>
          </w14:textFill>
        </w:rPr>
        <w:t xml:space="preserve"> S8</w:t>
      </w:r>
      <w:r>
        <w:rPr>
          <w:rFonts w:ascii="Times New Roman" w:hAnsi="Times New Roman" w:eastAsiaTheme="minorEastAsia"/>
          <w:szCs w:val="24"/>
        </w:rPr>
        <w:t>.</w:t>
      </w:r>
    </w:p>
    <w:p w14:paraId="3FF88464">
      <w:pPr>
        <w:ind w:left="240" w:leftChars="100" w:right="240" w:rightChars="100" w:firstLine="480"/>
        <w:rPr>
          <w:rFonts w:ascii="Times New Roman" w:hAnsi="Times New Roman" w:cs="Times New Roman" w:eastAsiaTheme="minorEastAsia"/>
          <w:szCs w:val="24"/>
        </w:rPr>
      </w:pPr>
      <m:oMathPara>
        <m:oMath>
          <m:eqArr>
            <m:eqArrPr>
              <m:maxDist m:val="1"/>
              <m:ctrlPr>
                <w:rPr>
                  <w:rFonts w:ascii="Cambria Math" w:hAnsi="Cambria Math" w:cs="Times New Roman"/>
                  <w:iCs/>
                  <w:szCs w:val="24"/>
                </w:rPr>
              </m:ctrlPr>
            </m:eqArrPr>
            <m:e>
              <m:d>
                <m:dPr>
                  <m:begChr m:val="{"/>
                  <m:endChr m:val=""/>
                  <m:ctrlPr>
                    <w:rPr>
                      <w:rFonts w:ascii="Cambria Math" w:hAnsi="Cambria Math" w:cs="Times New Roman"/>
                      <w:iCs/>
                      <w:szCs w:val="24"/>
                    </w:rPr>
                  </m:ctrlPr>
                </m:dPr>
                <m:e>
                  <m:eqArr>
                    <m:eqArrPr>
                      <m:ctrlPr>
                        <w:rPr>
                          <w:rFonts w:ascii="Cambria Math" w:hAnsi="Cambria Math" w:cs="Times New Roman"/>
                          <w:iCs/>
                          <w:szCs w:val="24"/>
                        </w:rPr>
                      </m:ctrlPr>
                    </m:eqArrPr>
                    <m:e>
                      <m:sSub>
                        <m:sSubPr>
                          <m:ctrlPr>
                            <w:rPr>
                              <w:rFonts w:ascii="Cambria Math" w:hAnsi="Cambria Math" w:cs="Times New Roman"/>
                              <w:iCs/>
                              <w:szCs w:val="24"/>
                            </w:rPr>
                          </m:ctrlPr>
                        </m:sSubPr>
                        <m:e>
                          <m:r>
                            <m:rPr>
                              <m:sty m:val="p"/>
                            </m:rPr>
                            <w:rPr>
                              <w:rFonts w:ascii="Cambria Math" w:hAnsi="Cambria Math" w:cs="Times New Roman"/>
                              <w:szCs w:val="24"/>
                            </w:rPr>
                            <m:t>ADD</m:t>
                          </m:r>
                          <m:ctrlPr>
                            <w:rPr>
                              <w:rFonts w:ascii="Cambria Math" w:hAnsi="Cambria Math" w:cs="Times New Roman"/>
                              <w:iCs/>
                              <w:szCs w:val="24"/>
                            </w:rPr>
                          </m:ctrlPr>
                        </m:e>
                        <m:sub>
                          <m:r>
                            <m:rPr>
                              <m:nor/>
                              <m:sty m:val="p"/>
                            </m:rPr>
                            <w:rPr>
                              <w:rFonts w:ascii="Times New Roman" w:hAnsi="Times New Roman" w:cs="Times New Roman"/>
                              <w:iCs/>
                              <w:szCs w:val="24"/>
                            </w:rPr>
                            <m:t>ing</m:t>
                          </m:r>
                          <m:ctrlPr>
                            <w:rPr>
                              <w:rFonts w:ascii="Cambria Math" w:hAnsi="Cambria Math" w:cs="Times New Roman"/>
                              <w:iCs/>
                              <w:szCs w:val="24"/>
                            </w:rPr>
                          </m:ctrlPr>
                        </m:sub>
                      </m:sSub>
                      <m:r>
                        <m:rPr>
                          <m:sty m:val="p"/>
                        </m:rPr>
                        <w:rPr>
                          <w:rFonts w:ascii="Cambria Math" w:hAnsi="Cambria Math" w:cs="Times New Roman"/>
                          <w:szCs w:val="24"/>
                        </w:rPr>
                        <m:t>=C×</m:t>
                      </m:r>
                      <m:f>
                        <m:fPr>
                          <m:ctrlPr>
                            <w:rPr>
                              <w:rFonts w:ascii="Cambria Math" w:hAnsi="Cambria Math" w:cs="Times New Roman" w:eastAsiaTheme="minorEastAsia"/>
                              <w:szCs w:val="24"/>
                            </w:rPr>
                          </m:ctrlPr>
                        </m:fPr>
                        <m:num>
                          <m:r>
                            <m:rPr>
                              <m:sty m:val="p"/>
                            </m:rPr>
                            <w:rPr>
                              <w:rFonts w:ascii="Cambria Math" w:hAnsi="Cambria Math" w:cs="Times New Roman" w:eastAsiaTheme="minorEastAsia"/>
                              <w:szCs w:val="24"/>
                            </w:rPr>
                            <m:t>IngR</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ED</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EF</m:t>
                          </m:r>
                          <m:ctrlPr>
                            <w:rPr>
                              <w:rFonts w:ascii="Cambria Math" w:hAnsi="Cambria Math" w:cs="Times New Roman" w:eastAsiaTheme="minorEastAsia"/>
                              <w:szCs w:val="24"/>
                            </w:rPr>
                          </m:ctrlPr>
                        </m:num>
                        <m:den>
                          <m:r>
                            <m:rPr>
                              <m:sty m:val="p"/>
                            </m:rPr>
                            <w:rPr>
                              <w:rFonts w:ascii="Cambria Math" w:hAnsi="Cambria Math" w:cs="Times New Roman" w:eastAsiaTheme="minorEastAsia"/>
                              <w:szCs w:val="24"/>
                            </w:rPr>
                            <m:t>BW</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A</m:t>
                          </m:r>
                          <m:sSub>
                            <m:sSubPr>
                              <m:ctrlPr>
                                <w:rPr>
                                  <w:rFonts w:ascii="Cambria Math" w:hAnsi="Cambria Math" w:cs="Times New Roman" w:eastAsiaTheme="minorEastAsia"/>
                                  <w:szCs w:val="24"/>
                                </w:rPr>
                              </m:ctrlPr>
                            </m:sSubPr>
                            <m:e>
                              <m:r>
                                <m:rPr>
                                  <m:sty m:val="p"/>
                                </m:rPr>
                                <w:rPr>
                                  <w:rFonts w:ascii="Cambria Math" w:hAnsi="Cambria Math" w:cs="Times New Roman" w:eastAsiaTheme="minorEastAsia"/>
                                  <w:szCs w:val="24"/>
                                </w:rPr>
                                <m:t>T</m:t>
                              </m:r>
                              <m:ctrlPr>
                                <w:rPr>
                                  <w:rFonts w:ascii="Cambria Math" w:hAnsi="Cambria Math" w:cs="Times New Roman" w:eastAsiaTheme="minorEastAsia"/>
                                  <w:szCs w:val="24"/>
                                </w:rPr>
                              </m:ctrlPr>
                            </m:e>
                            <m:sub>
                              <m:r>
                                <m:rPr>
                                  <m:sty m:val="p"/>
                                </m:rPr>
                                <w:rPr>
                                  <w:rFonts w:ascii="Cambria Math" w:hAnsi="Cambria Math" w:cs="Times New Roman" w:eastAsiaTheme="minorEastAsia"/>
                                  <w:szCs w:val="24"/>
                                </w:rPr>
                                <m:t>ca/nc</m:t>
                              </m:r>
                              <m:ctrlPr>
                                <w:rPr>
                                  <w:rFonts w:ascii="Cambria Math" w:hAnsi="Cambria Math" w:cs="Times New Roman" w:eastAsiaTheme="minorEastAsia"/>
                                  <w:szCs w:val="24"/>
                                </w:rPr>
                              </m:ctrlPr>
                            </m:sub>
                          </m:sSub>
                          <m:ctrlPr>
                            <w:rPr>
                              <w:rFonts w:ascii="Cambria Math" w:hAnsi="Cambria Math" w:cs="Times New Roman" w:eastAsiaTheme="minorEastAsia"/>
                              <w:szCs w:val="24"/>
                            </w:rPr>
                          </m:ctrlPr>
                        </m:den>
                      </m:f>
                      <m:r>
                        <m:rPr>
                          <m:sty m:val="p"/>
                        </m:rPr>
                        <w:rPr>
                          <w:rFonts w:ascii="Cambria Math" w:hAnsi="Cambria Math" w:cs="Times New Roman"/>
                          <w:szCs w:val="24"/>
                        </w:rPr>
                        <m:t>×</m:t>
                      </m:r>
                      <m:sSup>
                        <m:sSupPr>
                          <m:ctrlPr>
                            <w:rPr>
                              <w:rFonts w:ascii="Cambria Math" w:hAnsi="Cambria Math" w:cs="Times New Roman"/>
                              <w:iCs/>
                              <w:szCs w:val="24"/>
                            </w:rPr>
                          </m:ctrlPr>
                        </m:sSupPr>
                        <m:e>
                          <m:r>
                            <m:rPr>
                              <m:sty m:val="p"/>
                            </m:rPr>
                            <w:rPr>
                              <w:rFonts w:ascii="Cambria Math" w:hAnsi="Cambria Math" w:cs="Times New Roman"/>
                              <w:szCs w:val="24"/>
                            </w:rPr>
                            <m:t>10</m:t>
                          </m:r>
                          <m:ctrlPr>
                            <w:rPr>
                              <w:rFonts w:ascii="Cambria Math" w:hAnsi="Cambria Math" w:cs="Times New Roman"/>
                              <w:iCs/>
                              <w:szCs w:val="24"/>
                            </w:rPr>
                          </m:ctrlPr>
                        </m:e>
                        <m:sup>
                          <m:r>
                            <m:rPr>
                              <m:sty m:val="p"/>
                            </m:rPr>
                            <w:rPr>
                              <w:rFonts w:ascii="Cambria Math" w:hAnsi="Cambria Math" w:cs="Times New Roman"/>
                              <w:szCs w:val="24"/>
                            </w:rPr>
                            <m:t>−6</m:t>
                          </m:r>
                          <m:ctrlPr>
                            <w:rPr>
                              <w:rFonts w:ascii="Cambria Math" w:hAnsi="Cambria Math" w:cs="Times New Roman"/>
                              <w:iCs/>
                              <w:szCs w:val="24"/>
                            </w:rPr>
                          </m:ctrlPr>
                        </m:sup>
                      </m:sSup>
                      <m:ctrlPr>
                        <w:rPr>
                          <w:rFonts w:ascii="Cambria Math" w:hAnsi="Cambria Math" w:cs="Times New Roman"/>
                          <w:iCs/>
                          <w:szCs w:val="24"/>
                        </w:rPr>
                      </m:ctrlPr>
                    </m:e>
                    <m:e>
                      <m:sSub>
                        <m:sSubPr>
                          <m:ctrlPr>
                            <w:rPr>
                              <w:rFonts w:ascii="Cambria Math" w:hAnsi="Cambria Math" w:cs="Times New Roman"/>
                              <w:iCs/>
                              <w:szCs w:val="24"/>
                            </w:rPr>
                          </m:ctrlPr>
                        </m:sSubPr>
                        <m:e>
                          <m:r>
                            <m:rPr>
                              <m:sty m:val="p"/>
                            </m:rPr>
                            <w:rPr>
                              <w:rFonts w:ascii="Cambria Math" w:hAnsi="Cambria Math" w:cs="Times New Roman"/>
                              <w:szCs w:val="24"/>
                            </w:rPr>
                            <m:t>ADD</m:t>
                          </m:r>
                          <m:ctrlPr>
                            <w:rPr>
                              <w:rFonts w:ascii="Cambria Math" w:hAnsi="Cambria Math" w:cs="Times New Roman"/>
                              <w:iCs/>
                              <w:szCs w:val="24"/>
                            </w:rPr>
                          </m:ctrlPr>
                        </m:e>
                        <m:sub>
                          <m:r>
                            <m:rPr>
                              <m:nor/>
                              <m:sty m:val="p"/>
                            </m:rPr>
                            <w:rPr>
                              <w:rFonts w:ascii="Times New Roman" w:hAnsi="Times New Roman" w:cs="Times New Roman"/>
                              <w:iCs/>
                              <w:szCs w:val="24"/>
                            </w:rPr>
                            <m:t>der</m:t>
                          </m:r>
                          <m:ctrlPr>
                            <w:rPr>
                              <w:rFonts w:ascii="Cambria Math" w:hAnsi="Cambria Math" w:cs="Times New Roman"/>
                              <w:iCs/>
                              <w:szCs w:val="24"/>
                            </w:rPr>
                          </m:ctrlPr>
                        </m:sub>
                      </m:sSub>
                      <m:r>
                        <m:rPr>
                          <m:sty m:val="p"/>
                        </m:rPr>
                        <w:rPr>
                          <w:rFonts w:ascii="Cambria Math" w:hAnsi="Cambria Math" w:cs="Times New Roman"/>
                          <w:szCs w:val="24"/>
                        </w:rPr>
                        <m:t>=C×</m:t>
                      </m:r>
                      <m:f>
                        <m:fPr>
                          <m:ctrlPr>
                            <w:rPr>
                              <w:rFonts w:ascii="Cambria Math" w:hAnsi="Cambria Math" w:cs="Times New Roman" w:eastAsiaTheme="minorEastAsia"/>
                              <w:szCs w:val="24"/>
                            </w:rPr>
                          </m:ctrlPr>
                        </m:fPr>
                        <m:num>
                          <m:r>
                            <m:rPr>
                              <m:sty m:val="p"/>
                            </m:rPr>
                            <w:rPr>
                              <w:rFonts w:ascii="Cambria Math" w:hAnsi="Cambria Math" w:cs="Times New Roman" w:eastAsiaTheme="minorEastAsia"/>
                              <w:szCs w:val="24"/>
                            </w:rPr>
                            <m:t>SA</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SL</m:t>
                          </m:r>
                          <m:r>
                            <m:rPr/>
                            <w:rPr>
                              <w:rFonts w:ascii="Cambria Math" w:hAnsi="Cambria Math" w:cs="Times New Roman" w:eastAsiaTheme="minorEastAsia"/>
                              <w:szCs w:val="24"/>
                            </w:rPr>
                            <m:t>×ABF×</m:t>
                          </m:r>
                          <m:r>
                            <m:rPr>
                              <m:sty m:val="p"/>
                            </m:rPr>
                            <w:rPr>
                              <w:rFonts w:ascii="Cambria Math" w:hAnsi="Cambria Math" w:cs="Times New Roman" w:eastAsiaTheme="minorEastAsia"/>
                              <w:szCs w:val="24"/>
                            </w:rPr>
                            <m:t>ED</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EF</m:t>
                          </m:r>
                          <m:ctrlPr>
                            <w:rPr>
                              <w:rFonts w:ascii="Cambria Math" w:hAnsi="Cambria Math" w:cs="Times New Roman" w:eastAsiaTheme="minorEastAsia"/>
                              <w:szCs w:val="24"/>
                            </w:rPr>
                          </m:ctrlPr>
                        </m:num>
                        <m:den>
                          <m:r>
                            <m:rPr>
                              <m:sty m:val="p"/>
                            </m:rPr>
                            <w:rPr>
                              <w:rFonts w:ascii="Cambria Math" w:hAnsi="Cambria Math" w:cs="Times New Roman" w:eastAsiaTheme="minorEastAsia"/>
                              <w:szCs w:val="24"/>
                            </w:rPr>
                            <m:t>BW</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A</m:t>
                          </m:r>
                          <m:sSub>
                            <m:sSubPr>
                              <m:ctrlPr>
                                <w:rPr>
                                  <w:rFonts w:ascii="Cambria Math" w:hAnsi="Cambria Math" w:cs="Times New Roman" w:eastAsiaTheme="minorEastAsia"/>
                                  <w:szCs w:val="24"/>
                                </w:rPr>
                              </m:ctrlPr>
                            </m:sSubPr>
                            <m:e>
                              <m:r>
                                <m:rPr>
                                  <m:sty m:val="p"/>
                                </m:rPr>
                                <w:rPr>
                                  <w:rFonts w:ascii="Cambria Math" w:hAnsi="Cambria Math" w:cs="Times New Roman" w:eastAsiaTheme="minorEastAsia"/>
                                  <w:szCs w:val="24"/>
                                </w:rPr>
                                <m:t>T</m:t>
                              </m:r>
                              <m:ctrlPr>
                                <w:rPr>
                                  <w:rFonts w:ascii="Cambria Math" w:hAnsi="Cambria Math" w:cs="Times New Roman" w:eastAsiaTheme="minorEastAsia"/>
                                  <w:szCs w:val="24"/>
                                </w:rPr>
                              </m:ctrlPr>
                            </m:e>
                            <m:sub>
                              <m:r>
                                <m:rPr>
                                  <m:sty m:val="p"/>
                                </m:rPr>
                                <w:rPr>
                                  <w:rFonts w:ascii="Cambria Math" w:hAnsi="Cambria Math" w:cs="Times New Roman" w:eastAsiaTheme="minorEastAsia"/>
                                  <w:szCs w:val="24"/>
                                </w:rPr>
                                <m:t>ca/nc</m:t>
                              </m:r>
                              <m:ctrlPr>
                                <w:rPr>
                                  <w:rFonts w:ascii="Cambria Math" w:hAnsi="Cambria Math" w:cs="Times New Roman" w:eastAsiaTheme="minorEastAsia"/>
                                  <w:szCs w:val="24"/>
                                </w:rPr>
                              </m:ctrlPr>
                            </m:sub>
                          </m:sSub>
                          <m:ctrlPr>
                            <w:rPr>
                              <w:rFonts w:ascii="Cambria Math" w:hAnsi="Cambria Math" w:cs="Times New Roman" w:eastAsiaTheme="minorEastAsia"/>
                              <w:szCs w:val="24"/>
                            </w:rPr>
                          </m:ctrlPr>
                        </m:den>
                      </m:f>
                      <m:r>
                        <m:rPr/>
                        <w:rPr>
                          <w:rFonts w:ascii="Cambria Math" w:hAnsi="Cambria Math" w:cs="Times New Roman" w:eastAsiaTheme="minorEastAsia"/>
                          <w:szCs w:val="24"/>
                        </w:rPr>
                        <m:t>×</m:t>
                      </m:r>
                      <m:sSup>
                        <m:sSupPr>
                          <m:ctrlPr>
                            <w:rPr>
                              <w:rFonts w:ascii="Cambria Math" w:hAnsi="Cambria Math" w:cs="Times New Roman"/>
                              <w:iCs/>
                              <w:szCs w:val="24"/>
                            </w:rPr>
                          </m:ctrlPr>
                        </m:sSupPr>
                        <m:e>
                          <m:r>
                            <m:rPr>
                              <m:sty m:val="p"/>
                            </m:rPr>
                            <w:rPr>
                              <w:rFonts w:ascii="Cambria Math" w:hAnsi="Cambria Math" w:cs="Times New Roman"/>
                              <w:szCs w:val="24"/>
                            </w:rPr>
                            <m:t>10</m:t>
                          </m:r>
                          <m:ctrlPr>
                            <w:rPr>
                              <w:rFonts w:ascii="Cambria Math" w:hAnsi="Cambria Math" w:cs="Times New Roman"/>
                              <w:iCs/>
                              <w:szCs w:val="24"/>
                            </w:rPr>
                          </m:ctrlPr>
                        </m:e>
                        <m:sup>
                          <m:r>
                            <m:rPr>
                              <m:sty m:val="p"/>
                            </m:rPr>
                            <w:rPr>
                              <w:rFonts w:ascii="Cambria Math" w:hAnsi="Cambria Math" w:cs="Times New Roman"/>
                              <w:szCs w:val="24"/>
                            </w:rPr>
                            <m:t>−6</m:t>
                          </m:r>
                          <m:ctrlPr>
                            <w:rPr>
                              <w:rFonts w:ascii="Cambria Math" w:hAnsi="Cambria Math" w:cs="Times New Roman"/>
                              <w:iCs/>
                              <w:szCs w:val="24"/>
                            </w:rPr>
                          </m:ctrlPr>
                        </m:sup>
                      </m:sSup>
                      <m:ctrlPr>
                        <w:rPr>
                          <w:rFonts w:ascii="Cambria Math" w:hAnsi="Cambria Math" w:cs="Times New Roman"/>
                          <w:iCs/>
                          <w:szCs w:val="24"/>
                        </w:rPr>
                      </m:ctrlPr>
                    </m:e>
                    <m:e>
                      <m:sSub>
                        <m:sSubPr>
                          <m:ctrlPr>
                            <w:rPr>
                              <w:rFonts w:ascii="Cambria Math" w:hAnsi="Cambria Math" w:cs="Times New Roman"/>
                              <w:iCs/>
                              <w:szCs w:val="24"/>
                            </w:rPr>
                          </m:ctrlPr>
                        </m:sSubPr>
                        <m:e>
                          <m:r>
                            <m:rPr>
                              <m:sty m:val="p"/>
                            </m:rPr>
                            <w:rPr>
                              <w:rFonts w:ascii="Cambria Math" w:hAnsi="Cambria Math" w:cs="Times New Roman"/>
                              <w:szCs w:val="24"/>
                            </w:rPr>
                            <m:t>ADD</m:t>
                          </m:r>
                          <m:ctrlPr>
                            <w:rPr>
                              <w:rFonts w:ascii="Cambria Math" w:hAnsi="Cambria Math" w:cs="Times New Roman"/>
                              <w:iCs/>
                              <w:szCs w:val="24"/>
                            </w:rPr>
                          </m:ctrlPr>
                        </m:e>
                        <m:sub>
                          <m:r>
                            <m:rPr>
                              <m:nor/>
                              <m:sty m:val="p"/>
                            </m:rPr>
                            <w:rPr>
                              <w:rFonts w:ascii="Times New Roman" w:hAnsi="Times New Roman" w:cs="Times New Roman"/>
                              <w:iCs/>
                              <w:szCs w:val="24"/>
                            </w:rPr>
                            <m:t>inh</m:t>
                          </m:r>
                          <m:ctrlPr>
                            <w:rPr>
                              <w:rFonts w:ascii="Cambria Math" w:hAnsi="Cambria Math" w:cs="Times New Roman"/>
                              <w:iCs/>
                              <w:szCs w:val="24"/>
                            </w:rPr>
                          </m:ctrlPr>
                        </m:sub>
                      </m:sSub>
                      <m:r>
                        <m:rPr>
                          <m:sty m:val="p"/>
                        </m:rPr>
                        <w:rPr>
                          <w:rFonts w:ascii="Cambria Math" w:hAnsi="Cambria Math" w:cs="Times New Roman"/>
                          <w:szCs w:val="24"/>
                        </w:rPr>
                        <m:t>=C×</m:t>
                      </m:r>
                      <m:f>
                        <m:fPr>
                          <m:ctrlPr>
                            <w:rPr>
                              <w:rFonts w:ascii="Cambria Math" w:hAnsi="Cambria Math" w:cs="Times New Roman" w:eastAsiaTheme="minorEastAsia"/>
                              <w:szCs w:val="24"/>
                            </w:rPr>
                          </m:ctrlPr>
                        </m:fPr>
                        <m:num>
                          <m:r>
                            <m:rPr>
                              <m:sty m:val="p"/>
                            </m:rPr>
                            <w:rPr>
                              <w:rFonts w:ascii="Cambria Math" w:hAnsi="Cambria Math" w:cs="Times New Roman" w:eastAsiaTheme="minorEastAsia"/>
                              <w:szCs w:val="24"/>
                            </w:rPr>
                            <m:t>InhR</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ED</m:t>
                          </m:r>
                          <m:r>
                            <m:rPr/>
                            <w:rPr>
                              <w:rFonts w:ascii="Cambria Math" w:hAnsi="Cambria Math" w:cs="Times New Roman" w:eastAsiaTheme="minorEastAsia"/>
                              <w:szCs w:val="24"/>
                            </w:rPr>
                            <m:t>×</m:t>
                          </m:r>
                          <m:r>
                            <m:rPr>
                              <m:sty m:val="p"/>
                            </m:rPr>
                            <w:rPr>
                              <w:rFonts w:ascii="Cambria Math" w:hAnsi="Cambria Math" w:cs="Times New Roman" w:eastAsiaTheme="minorEastAsia"/>
                              <w:szCs w:val="24"/>
                            </w:rPr>
                            <m:t>EF</m:t>
                          </m:r>
                          <m:ctrlPr>
                            <w:rPr>
                              <w:rFonts w:ascii="Cambria Math" w:hAnsi="Cambria Math" w:cs="Times New Roman" w:eastAsiaTheme="minorEastAsia"/>
                              <w:szCs w:val="24"/>
                            </w:rPr>
                          </m:ctrlPr>
                        </m:num>
                        <m:den>
                          <m:r>
                            <m:rPr>
                              <m:sty m:val="p"/>
                            </m:rPr>
                            <w:rPr>
                              <w:rFonts w:ascii="Cambria Math" w:hAnsi="Cambria Math" w:cs="Times New Roman" w:eastAsiaTheme="minorEastAsia"/>
                              <w:szCs w:val="24"/>
                            </w:rPr>
                            <m:t>PEF×BW</m:t>
                          </m:r>
                          <m:r>
                            <m:rPr/>
                            <w:rPr>
                              <w:rFonts w:ascii="Cambria Math" w:hAnsi="Cambria Math" w:cs="Times New Roman" w:eastAsiaTheme="minorEastAsia"/>
                              <w:szCs w:val="24"/>
                            </w:rPr>
                            <m:t>×</m:t>
                          </m:r>
                          <m:sSub>
                            <m:sSubPr>
                              <m:ctrlPr>
                                <w:rPr>
                                  <w:rFonts w:ascii="Cambria Math" w:hAnsi="Cambria Math" w:cs="Times New Roman" w:eastAsiaTheme="minorEastAsia"/>
                                  <w:szCs w:val="24"/>
                                </w:rPr>
                              </m:ctrlPr>
                            </m:sSubPr>
                            <m:e>
                              <m:r>
                                <m:rPr>
                                  <m:sty m:val="p"/>
                                </m:rPr>
                                <w:rPr>
                                  <w:rFonts w:ascii="Cambria Math" w:hAnsi="Cambria Math" w:cs="Times New Roman" w:eastAsiaTheme="minorEastAsia"/>
                                  <w:szCs w:val="24"/>
                                </w:rPr>
                                <m:t>AT</m:t>
                              </m:r>
                              <m:ctrlPr>
                                <w:rPr>
                                  <w:rFonts w:ascii="Cambria Math" w:hAnsi="Cambria Math" w:cs="Times New Roman" w:eastAsiaTheme="minorEastAsia"/>
                                  <w:szCs w:val="24"/>
                                </w:rPr>
                              </m:ctrlPr>
                            </m:e>
                            <m:sub>
                              <m:r>
                                <m:rPr>
                                  <m:sty m:val="p"/>
                                </m:rPr>
                                <w:rPr>
                                  <w:rFonts w:ascii="Cambria Math" w:hAnsi="Cambria Math" w:cs="Times New Roman" w:eastAsiaTheme="minorEastAsia"/>
                                  <w:szCs w:val="24"/>
                                </w:rPr>
                                <m:t>ca/nc</m:t>
                              </m:r>
                              <m:ctrlPr>
                                <w:rPr>
                                  <w:rFonts w:ascii="Cambria Math" w:hAnsi="Cambria Math" w:cs="Times New Roman" w:eastAsiaTheme="minorEastAsia"/>
                                  <w:szCs w:val="24"/>
                                </w:rPr>
                              </m:ctrlPr>
                            </m:sub>
                          </m:sSub>
                          <m:ctrlPr>
                            <w:rPr>
                              <w:rFonts w:ascii="Cambria Math" w:hAnsi="Cambria Math" w:cs="Times New Roman" w:eastAsiaTheme="minorEastAsia"/>
                              <w:szCs w:val="24"/>
                            </w:rPr>
                          </m:ctrlPr>
                        </m:den>
                      </m:f>
                      <m:ctrlPr>
                        <w:rPr>
                          <w:rFonts w:ascii="Cambria Math" w:hAnsi="Cambria Math" w:cs="Times New Roman"/>
                          <w:iCs/>
                          <w:szCs w:val="24"/>
                        </w:rPr>
                      </m:ctrlPr>
                    </m:e>
                  </m:eqArr>
                  <m:ctrlPr>
                    <w:rPr>
                      <w:rFonts w:ascii="Cambria Math" w:hAnsi="Cambria Math" w:cs="Times New Roman"/>
                      <w:iCs/>
                      <w:szCs w:val="24"/>
                    </w:rPr>
                  </m:ctrlPr>
                </m:e>
              </m:d>
              <m:r>
                <m:rPr>
                  <m:sty m:val="p"/>
                </m:rPr>
                <w:rPr>
                  <w:rFonts w:ascii="Cambria Math" w:hAnsi="Cambria Math" w:cs="Times New Roman"/>
                  <w:szCs w:val="24"/>
                </w:rPr>
                <m:t>#</m:t>
              </m:r>
              <m:d>
                <m:dPr>
                  <m:ctrlPr>
                    <w:rPr>
                      <w:rFonts w:ascii="Cambria Math" w:hAnsi="Cambria Math" w:cs="Times New Roman"/>
                      <w:iCs/>
                      <w:szCs w:val="24"/>
                    </w:rPr>
                  </m:ctrlPr>
                </m:dPr>
                <m:e>
                  <m:r>
                    <m:rPr>
                      <m:sty m:val="p"/>
                    </m:rPr>
                    <w:rPr>
                      <w:rFonts w:ascii="Cambria Math" w:hAnsi="Cambria Math" w:cs="Times New Roman"/>
                      <w:szCs w:val="24"/>
                    </w:rPr>
                    <m:t>1</m:t>
                  </m:r>
                  <m:ctrlPr>
                    <w:rPr>
                      <w:rFonts w:ascii="Cambria Math" w:hAnsi="Cambria Math" w:cs="Times New Roman"/>
                      <w:iCs/>
                      <w:szCs w:val="24"/>
                    </w:rPr>
                  </m:ctrlPr>
                </m:e>
              </m:d>
              <m:ctrlPr>
                <w:rPr>
                  <w:rFonts w:ascii="Cambria Math" w:hAnsi="Cambria Math" w:cs="Times New Roman"/>
                  <w:iCs/>
                  <w:szCs w:val="24"/>
                </w:rPr>
              </m:ctrlPr>
            </m:e>
          </m:eqArr>
        </m:oMath>
      </m:oMathPara>
    </w:p>
    <w:p w14:paraId="3BFBD3FC">
      <w:pPr>
        <w:ind w:left="240" w:leftChars="100" w:right="240" w:rightChars="100" w:firstLine="480"/>
        <w:rPr>
          <w:rFonts w:ascii="Times New Roman" w:hAnsi="Times New Roman" w:cs="Times New Roman" w:eastAsiaTheme="minorEastAsia"/>
          <w:szCs w:val="24"/>
        </w:rPr>
      </w:pPr>
      <m:oMathPara>
        <m:oMath>
          <m:eqArr>
            <m:eqArrPr>
              <m:maxDist m:val="1"/>
              <m:ctrlPr>
                <w:rPr>
                  <w:rFonts w:ascii="Cambria Math" w:hAnsi="Cambria Math" w:cs="Times New Roman"/>
                  <w:szCs w:val="24"/>
                </w:rPr>
              </m:ctrlPr>
            </m:eqArrPr>
            <m:e>
              <m:d>
                <m:dPr>
                  <m:begChr m:val="{"/>
                  <m:endChr m:val=""/>
                  <m:ctrlPr>
                    <w:rPr>
                      <w:rFonts w:ascii="Cambria Math" w:hAnsi="Cambria Math" w:cs="Times New Roman"/>
                      <w:szCs w:val="24"/>
                    </w:rPr>
                  </m:ctrlPr>
                </m:dPr>
                <m:e>
                  <m:eqArr>
                    <m:eqArrPr>
                      <m:ctrlPr>
                        <w:rPr>
                          <w:rFonts w:ascii="Cambria Math" w:hAnsi="Cambria Math" w:cs="Times New Roman"/>
                          <w:szCs w:val="24"/>
                        </w:rPr>
                      </m:ctrlPr>
                    </m:eqArrPr>
                    <m:e>
                      <m:r>
                        <m:rPr>
                          <m:sty m:val="p"/>
                        </m:rPr>
                        <w:rPr>
                          <w:rFonts w:ascii="Cambria Math" w:hAnsi="Cambria Math" w:cs="Times New Roman"/>
                          <w:szCs w:val="24"/>
                        </w:rPr>
                        <m:t>THI=</m:t>
                      </m:r>
                      <m:nary>
                        <m:naryPr>
                          <m:chr m:val="∑"/>
                          <m:limLoc m:val="undOvr"/>
                          <m:subHide m:val="1"/>
                          <m:supHide m:val="1"/>
                          <m:ctrlPr>
                            <w:rPr>
                              <w:rFonts w:ascii="Cambria Math" w:hAnsi="Cambria Math" w:cs="Times New Roman"/>
                              <w:szCs w:val="24"/>
                            </w:rPr>
                          </m:ctrlPr>
                        </m:naryPr>
                        <m:sub>
                          <m:ctrlPr>
                            <w:rPr>
                              <w:rFonts w:ascii="Cambria Math" w:hAnsi="Cambria Math" w:cs="Times New Roman"/>
                              <w:szCs w:val="24"/>
                            </w:rPr>
                          </m:ctrlPr>
                        </m:sub>
                        <m:sup>
                          <m:ctrlPr>
                            <w:rPr>
                              <w:rFonts w:ascii="Cambria Math" w:hAnsi="Cambria Math" w:cs="Times New Roman"/>
                              <w:szCs w:val="24"/>
                            </w:rPr>
                          </m:ctrlPr>
                        </m:sup>
                        <m:e>
                          <m:sSub>
                            <m:sSubPr>
                              <m:ctrlPr>
                                <w:rPr>
                                  <w:rFonts w:ascii="Cambria Math" w:hAnsi="Cambria Math" w:cs="Times New Roman"/>
                                  <w:szCs w:val="24"/>
                                </w:rPr>
                              </m:ctrlPr>
                            </m:sSubPr>
                            <m:e>
                              <m:r>
                                <m:rPr>
                                  <m:sty m:val="p"/>
                                </m:rPr>
                                <w:rPr>
                                  <w:rFonts w:ascii="Cambria Math" w:hAnsi="Cambria Math" w:cs="Times New Roman"/>
                                  <w:szCs w:val="24"/>
                                </w:rPr>
                                <m:t>HQ</m:t>
                              </m:r>
                              <m:ctrlPr>
                                <w:rPr>
                                  <w:rFonts w:ascii="Cambria Math" w:hAnsi="Cambria Math" w:cs="Times New Roman"/>
                                  <w:szCs w:val="24"/>
                                </w:rPr>
                              </m:ctrlPr>
                            </m:e>
                            <m:sub>
                              <m:r>
                                <m:rPr>
                                  <m:sty m:val="p"/>
                                </m:rPr>
                                <w:rPr>
                                  <w:rFonts w:ascii="Cambria Math" w:hAnsi="Cambria Math" w:cs="Times New Roman"/>
                                  <w:szCs w:val="24"/>
                                </w:rPr>
                                <m:t>i</m:t>
                              </m:r>
                              <m:ctrlPr>
                                <w:rPr>
                                  <w:rFonts w:ascii="Cambria Math" w:hAnsi="Cambria Math" w:cs="Times New Roman"/>
                                  <w:szCs w:val="24"/>
                                </w:rPr>
                              </m:ctrlPr>
                            </m:sub>
                          </m:sSub>
                          <m:ctrlPr>
                            <w:rPr>
                              <w:rFonts w:ascii="Cambria Math" w:hAnsi="Cambria Math" w:cs="Times New Roman"/>
                              <w:szCs w:val="24"/>
                            </w:rPr>
                          </m:ctrlPr>
                        </m:e>
                      </m:nary>
                      <m:r>
                        <m:rPr>
                          <m:sty m:val="p"/>
                        </m:rPr>
                        <w:rPr>
                          <w:rFonts w:ascii="Cambria Math" w:hAnsi="Cambria Math" w:cs="Times New Roman"/>
                          <w:szCs w:val="24"/>
                        </w:rPr>
                        <m:t>=</m:t>
                      </m:r>
                      <m:nary>
                        <m:naryPr>
                          <m:chr m:val="∑"/>
                          <m:limLoc m:val="undOvr"/>
                          <m:subHide m:val="1"/>
                          <m:supHide m:val="1"/>
                          <m:ctrlPr>
                            <w:rPr>
                              <w:rFonts w:ascii="Cambria Math" w:hAnsi="Cambria Math" w:cs="Times New Roman"/>
                              <w:szCs w:val="24"/>
                            </w:rPr>
                          </m:ctrlPr>
                        </m:naryPr>
                        <m:sub>
                          <m:ctrlPr>
                            <w:rPr>
                              <w:rFonts w:ascii="Cambria Math" w:hAnsi="Cambria Math" w:cs="Times New Roman"/>
                              <w:szCs w:val="24"/>
                            </w:rPr>
                          </m:ctrlPr>
                        </m:sub>
                        <m:sup>
                          <m:ctrlPr>
                            <w:rPr>
                              <w:rFonts w:ascii="Cambria Math" w:hAnsi="Cambria Math" w:cs="Times New Roman"/>
                              <w:szCs w:val="24"/>
                            </w:rPr>
                          </m:ctrlPr>
                        </m:sup>
                        <m:e>
                          <m:d>
                            <m:dPr>
                              <m:ctrlPr>
                                <w:rPr>
                                  <w:rFonts w:ascii="Cambria Math" w:hAnsi="Cambria Math" w:cs="Times New Roman"/>
                                  <w:szCs w:val="24"/>
                                </w:rPr>
                              </m:ctrlPr>
                            </m:dPr>
                            <m:e>
                              <m:f>
                                <m:fPr>
                                  <m:ctrlPr>
                                    <w:rPr>
                                      <w:rFonts w:ascii="Cambria Math" w:hAnsi="Cambria Math" w:cs="Times New Roman"/>
                                      <w:szCs w:val="24"/>
                                    </w:rPr>
                                  </m:ctrlPr>
                                </m:fPr>
                                <m:num>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ing</m:t>
                                      </m:r>
                                      <m:ctrlPr>
                                        <w:rPr>
                                          <w:rFonts w:ascii="Cambria Math" w:hAnsi="Cambria Math" w:cs="Times New Roman"/>
                                          <w:szCs w:val="24"/>
                                        </w:rPr>
                                      </m:ctrlPr>
                                    </m:sub>
                                  </m:sSub>
                                  <m:ctrlPr>
                                    <w:rPr>
                                      <w:rFonts w:ascii="Cambria Math" w:hAnsi="Cambria Math" w:cs="Times New Roman"/>
                                      <w:szCs w:val="24"/>
                                    </w:rPr>
                                  </m:ctrlPr>
                                </m:num>
                                <m:den>
                                  <m:sSub>
                                    <m:sSubPr>
                                      <m:ctrlPr>
                                        <w:rPr>
                                          <w:rFonts w:ascii="Cambria Math" w:hAnsi="Cambria Math" w:cs="Times New Roman"/>
                                          <w:szCs w:val="24"/>
                                        </w:rPr>
                                      </m:ctrlPr>
                                    </m:sSubPr>
                                    <m:e>
                                      <m:r>
                                        <m:rPr>
                                          <m:sty m:val="p"/>
                                        </m:rPr>
                                        <w:rPr>
                                          <w:rFonts w:ascii="Cambria Math" w:hAnsi="Cambria Math" w:cs="Times New Roman"/>
                                          <w:szCs w:val="24"/>
                                        </w:rPr>
                                        <m:t>RfD</m:t>
                                      </m:r>
                                      <m:ctrlPr>
                                        <w:rPr>
                                          <w:rFonts w:ascii="Cambria Math" w:hAnsi="Cambria Math" w:cs="Times New Roman"/>
                                          <w:szCs w:val="24"/>
                                        </w:rPr>
                                      </m:ctrlPr>
                                    </m:e>
                                    <m:sub>
                                      <m:r>
                                        <m:rPr>
                                          <m:sty m:val="p"/>
                                        </m:rPr>
                                        <w:rPr>
                                          <w:rFonts w:ascii="Cambria Math" w:hAnsi="Cambria Math" w:cs="Times New Roman"/>
                                          <w:szCs w:val="24"/>
                                        </w:rPr>
                                        <m:t>ing</m:t>
                                      </m:r>
                                      <m:ctrlPr>
                                        <w:rPr>
                                          <w:rFonts w:ascii="Cambria Math" w:hAnsi="Cambria Math" w:cs="Times New Roman"/>
                                          <w:szCs w:val="24"/>
                                        </w:rPr>
                                      </m:ctrlPr>
                                    </m:sub>
                                  </m:sSub>
                                  <m:ctrlPr>
                                    <w:rPr>
                                      <w:rFonts w:ascii="Cambria Math" w:hAnsi="Cambria Math" w:cs="Times New Roman"/>
                                      <w:szCs w:val="24"/>
                                    </w:rPr>
                                  </m:ctrlPr>
                                </m:den>
                              </m:f>
                              <m:r>
                                <m:rPr>
                                  <m:sty m:val="p"/>
                                </m:rPr>
                                <w:rPr>
                                  <w:rFonts w:ascii="Cambria Math" w:hAnsi="Cambria Math" w:cs="Times New Roman"/>
                                  <w:szCs w:val="24"/>
                                </w:rPr>
                                <m:t>+</m:t>
                              </m:r>
                              <m:f>
                                <m:fPr>
                                  <m:ctrlPr>
                                    <w:rPr>
                                      <w:rFonts w:ascii="Cambria Math" w:hAnsi="Cambria Math" w:cs="Times New Roman"/>
                                      <w:szCs w:val="24"/>
                                    </w:rPr>
                                  </m:ctrlPr>
                                </m:fPr>
                                <m:num>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der</m:t>
                                      </m:r>
                                      <m:ctrlPr>
                                        <w:rPr>
                                          <w:rFonts w:ascii="Cambria Math" w:hAnsi="Cambria Math" w:cs="Times New Roman"/>
                                          <w:szCs w:val="24"/>
                                        </w:rPr>
                                      </m:ctrlPr>
                                    </m:sub>
                                  </m:sSub>
                                  <m:ctrlPr>
                                    <w:rPr>
                                      <w:rFonts w:ascii="Cambria Math" w:hAnsi="Cambria Math" w:cs="Times New Roman"/>
                                      <w:szCs w:val="24"/>
                                    </w:rPr>
                                  </m:ctrlPr>
                                </m:num>
                                <m:den>
                                  <m:sSub>
                                    <m:sSubPr>
                                      <m:ctrlPr>
                                        <w:rPr>
                                          <w:rFonts w:ascii="Cambria Math" w:hAnsi="Cambria Math" w:cs="Times New Roman"/>
                                          <w:szCs w:val="24"/>
                                        </w:rPr>
                                      </m:ctrlPr>
                                    </m:sSubPr>
                                    <m:e>
                                      <m:r>
                                        <m:rPr>
                                          <m:sty m:val="p"/>
                                        </m:rPr>
                                        <w:rPr>
                                          <w:rFonts w:ascii="Cambria Math" w:hAnsi="Cambria Math" w:cs="Times New Roman"/>
                                          <w:szCs w:val="24"/>
                                        </w:rPr>
                                        <m:t>RfD</m:t>
                                      </m:r>
                                      <m:ctrlPr>
                                        <w:rPr>
                                          <w:rFonts w:ascii="Cambria Math" w:hAnsi="Cambria Math" w:cs="Times New Roman"/>
                                          <w:szCs w:val="24"/>
                                        </w:rPr>
                                      </m:ctrlPr>
                                    </m:e>
                                    <m:sub>
                                      <m:r>
                                        <m:rPr>
                                          <m:sty m:val="p"/>
                                        </m:rPr>
                                        <w:rPr>
                                          <w:rFonts w:ascii="Cambria Math" w:hAnsi="Cambria Math" w:cs="Times New Roman"/>
                                          <w:szCs w:val="24"/>
                                        </w:rPr>
                                        <m:t>der</m:t>
                                      </m:r>
                                      <m:ctrlPr>
                                        <w:rPr>
                                          <w:rFonts w:ascii="Cambria Math" w:hAnsi="Cambria Math" w:cs="Times New Roman"/>
                                          <w:szCs w:val="24"/>
                                        </w:rPr>
                                      </m:ctrlPr>
                                    </m:sub>
                                  </m:sSub>
                                  <m:ctrlPr>
                                    <w:rPr>
                                      <w:rFonts w:ascii="Cambria Math" w:hAnsi="Cambria Math" w:cs="Times New Roman"/>
                                      <w:szCs w:val="24"/>
                                    </w:rPr>
                                  </m:ctrlPr>
                                </m:den>
                              </m:f>
                              <m:r>
                                <m:rPr>
                                  <m:sty m:val="p"/>
                                </m:rPr>
                                <w:rPr>
                                  <w:rFonts w:ascii="Cambria Math" w:hAnsi="Cambria Math" w:cs="Times New Roman"/>
                                  <w:szCs w:val="24"/>
                                </w:rPr>
                                <m:t>+</m:t>
                              </m:r>
                              <m:f>
                                <m:fPr>
                                  <m:ctrlPr>
                                    <w:rPr>
                                      <w:rFonts w:ascii="Cambria Math" w:hAnsi="Cambria Math" w:cs="Times New Roman"/>
                                      <w:szCs w:val="24"/>
                                    </w:rPr>
                                  </m:ctrlPr>
                                </m:fPr>
                                <m:num>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inh</m:t>
                                      </m:r>
                                      <m:ctrlPr>
                                        <w:rPr>
                                          <w:rFonts w:ascii="Cambria Math" w:hAnsi="Cambria Math" w:cs="Times New Roman"/>
                                          <w:szCs w:val="24"/>
                                        </w:rPr>
                                      </m:ctrlPr>
                                    </m:sub>
                                  </m:sSub>
                                  <m:ctrlPr>
                                    <w:rPr>
                                      <w:rFonts w:ascii="Cambria Math" w:hAnsi="Cambria Math" w:cs="Times New Roman"/>
                                      <w:szCs w:val="24"/>
                                    </w:rPr>
                                  </m:ctrlPr>
                                </m:num>
                                <m:den>
                                  <m:sSub>
                                    <m:sSubPr>
                                      <m:ctrlPr>
                                        <w:rPr>
                                          <w:rFonts w:ascii="Cambria Math" w:hAnsi="Cambria Math" w:cs="Times New Roman"/>
                                          <w:szCs w:val="24"/>
                                        </w:rPr>
                                      </m:ctrlPr>
                                    </m:sSubPr>
                                    <m:e>
                                      <m:r>
                                        <m:rPr>
                                          <m:sty m:val="p"/>
                                        </m:rPr>
                                        <w:rPr>
                                          <w:rFonts w:ascii="Cambria Math" w:hAnsi="Cambria Math" w:cs="Times New Roman"/>
                                          <w:szCs w:val="24"/>
                                        </w:rPr>
                                        <m:t>RfD</m:t>
                                      </m:r>
                                      <m:ctrlPr>
                                        <w:rPr>
                                          <w:rFonts w:ascii="Cambria Math" w:hAnsi="Cambria Math" w:cs="Times New Roman"/>
                                          <w:szCs w:val="24"/>
                                        </w:rPr>
                                      </m:ctrlPr>
                                    </m:e>
                                    <m:sub>
                                      <m:r>
                                        <m:rPr>
                                          <m:sty m:val="p"/>
                                        </m:rPr>
                                        <w:rPr>
                                          <w:rFonts w:ascii="Cambria Math" w:hAnsi="Cambria Math" w:cs="Times New Roman"/>
                                          <w:szCs w:val="24"/>
                                        </w:rPr>
                                        <m:t>inh</m:t>
                                      </m:r>
                                      <m:ctrlPr>
                                        <w:rPr>
                                          <w:rFonts w:ascii="Cambria Math" w:hAnsi="Cambria Math" w:cs="Times New Roman"/>
                                          <w:szCs w:val="24"/>
                                        </w:rPr>
                                      </m:ctrlPr>
                                    </m:sub>
                                  </m:sSub>
                                  <m:ctrlPr>
                                    <w:rPr>
                                      <w:rFonts w:ascii="Cambria Math" w:hAnsi="Cambria Math" w:cs="Times New Roman"/>
                                      <w:szCs w:val="24"/>
                                    </w:rPr>
                                  </m:ctrlPr>
                                </m:den>
                              </m:f>
                              <m:ctrlPr>
                                <w:rPr>
                                  <w:rFonts w:ascii="Cambria Math" w:hAnsi="Cambria Math" w:cs="Times New Roman"/>
                                  <w:szCs w:val="24"/>
                                </w:rPr>
                              </m:ctrlPr>
                            </m:e>
                          </m:d>
                          <m:ctrlPr>
                            <w:rPr>
                              <w:rFonts w:ascii="Cambria Math" w:hAnsi="Cambria Math" w:cs="Times New Roman"/>
                              <w:szCs w:val="24"/>
                            </w:rPr>
                          </m:ctrlPr>
                        </m:e>
                      </m:nary>
                      <m:ctrlPr>
                        <w:rPr>
                          <w:rFonts w:ascii="Cambria Math" w:hAnsi="Cambria Math" w:cs="Times New Roman"/>
                          <w:szCs w:val="24"/>
                        </w:rPr>
                      </m:ctrlPr>
                    </m:e>
                    <m:e>
                      <m:r>
                        <m:rPr>
                          <m:sty m:val="p"/>
                        </m:rPr>
                        <w:rPr>
                          <w:rFonts w:ascii="Cambria Math" w:hAnsi="Cambria Math" w:cs="Times New Roman"/>
                          <w:szCs w:val="24"/>
                        </w:rPr>
                        <m:t>TCR=</m:t>
                      </m:r>
                      <m:nary>
                        <m:naryPr>
                          <m:chr m:val="∑"/>
                          <m:limLoc m:val="undOvr"/>
                          <m:subHide m:val="1"/>
                          <m:supHide m:val="1"/>
                          <m:ctrlPr>
                            <w:rPr>
                              <w:rFonts w:ascii="Cambria Math" w:hAnsi="Cambria Math" w:cs="Times New Roman"/>
                              <w:szCs w:val="24"/>
                            </w:rPr>
                          </m:ctrlPr>
                        </m:naryPr>
                        <m:sub>
                          <m:ctrlPr>
                            <w:rPr>
                              <w:rFonts w:ascii="Cambria Math" w:hAnsi="Cambria Math" w:cs="Times New Roman"/>
                              <w:szCs w:val="24"/>
                            </w:rPr>
                          </m:ctrlPr>
                        </m:sub>
                        <m:sup>
                          <m:ctrlPr>
                            <w:rPr>
                              <w:rFonts w:ascii="Cambria Math" w:hAnsi="Cambria Math" w:cs="Times New Roman"/>
                              <w:szCs w:val="24"/>
                            </w:rPr>
                          </m:ctrlPr>
                        </m:sup>
                        <m:e>
                          <m:sSub>
                            <m:sSubPr>
                              <m:ctrlPr>
                                <w:rPr>
                                  <w:rFonts w:ascii="Cambria Math" w:hAnsi="Cambria Math" w:cs="Times New Roman"/>
                                  <w:szCs w:val="24"/>
                                </w:rPr>
                              </m:ctrlPr>
                            </m:sSubPr>
                            <m:e>
                              <m:r>
                                <m:rPr>
                                  <m:sty m:val="p"/>
                                </m:rPr>
                                <w:rPr>
                                  <w:rFonts w:ascii="Cambria Math" w:hAnsi="Cambria Math" w:cs="Times New Roman"/>
                                  <w:szCs w:val="24"/>
                                </w:rPr>
                                <m:t>CR</m:t>
                              </m:r>
                              <m:ctrlPr>
                                <w:rPr>
                                  <w:rFonts w:ascii="Cambria Math" w:hAnsi="Cambria Math" w:cs="Times New Roman"/>
                                  <w:szCs w:val="24"/>
                                </w:rPr>
                              </m:ctrlPr>
                            </m:e>
                            <m:sub>
                              <m:r>
                                <m:rPr>
                                  <m:sty m:val="p"/>
                                </m:rPr>
                                <w:rPr>
                                  <w:rFonts w:ascii="Cambria Math" w:hAnsi="Cambria Math" w:cs="Times New Roman"/>
                                  <w:szCs w:val="24"/>
                                </w:rPr>
                                <m:t>i</m:t>
                              </m:r>
                              <m:ctrlPr>
                                <w:rPr>
                                  <w:rFonts w:ascii="Cambria Math" w:hAnsi="Cambria Math" w:cs="Times New Roman"/>
                                  <w:szCs w:val="24"/>
                                </w:rPr>
                              </m:ctrlPr>
                            </m:sub>
                          </m:sSub>
                          <m:ctrlPr>
                            <w:rPr>
                              <w:rFonts w:ascii="Cambria Math" w:hAnsi="Cambria Math" w:cs="Times New Roman"/>
                              <w:szCs w:val="24"/>
                            </w:rPr>
                          </m:ctrlPr>
                        </m:e>
                      </m:nary>
                      <m:r>
                        <m:rPr>
                          <m:sty m:val="p"/>
                        </m:rPr>
                        <w:rPr>
                          <w:rFonts w:ascii="Cambria Math" w:hAnsi="Cambria Math" w:cs="Times New Roman"/>
                          <w:szCs w:val="24"/>
                        </w:rPr>
                        <m:t>=</m:t>
                      </m:r>
                      <m:nary>
                        <m:naryPr>
                          <m:chr m:val="∑"/>
                          <m:limLoc m:val="undOvr"/>
                          <m:subHide m:val="1"/>
                          <m:supHide m:val="1"/>
                          <m:ctrlPr>
                            <w:rPr>
                              <w:rFonts w:ascii="Cambria Math" w:hAnsi="Cambria Math" w:cs="Times New Roman"/>
                              <w:szCs w:val="24"/>
                            </w:rPr>
                          </m:ctrlPr>
                        </m:naryPr>
                        <m:sub>
                          <m:ctrlPr>
                            <w:rPr>
                              <w:rFonts w:ascii="Cambria Math" w:hAnsi="Cambria Math" w:cs="Times New Roman"/>
                              <w:szCs w:val="24"/>
                            </w:rPr>
                          </m:ctrlPr>
                        </m:sub>
                        <m:sup>
                          <m:ctrlPr>
                            <w:rPr>
                              <w:rFonts w:ascii="Cambria Math" w:hAnsi="Cambria Math" w:cs="Times New Roman"/>
                              <w:szCs w:val="24"/>
                            </w:rPr>
                          </m:ctrlPr>
                        </m:sup>
                        <m:e>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ing</m:t>
                              </m:r>
                              <m:ctrlPr>
                                <w:rPr>
                                  <w:rFonts w:ascii="Cambria Math" w:hAnsi="Cambria Math" w:cs="Times New Roman"/>
                                  <w:szCs w:val="24"/>
                                </w:rPr>
                              </m:ctrlPr>
                            </m:sub>
                          </m:sSub>
                          <m:r>
                            <m:rPr>
                              <m:sty m:val="p"/>
                            </m:rPr>
                            <w:rPr>
                              <w:rFonts w:ascii="Cambria Math" w:hAnsi="Cambria Math" w:cs="Times New Roman"/>
                              <w:szCs w:val="24"/>
                            </w:rPr>
                            <m:t>×</m:t>
                          </m:r>
                          <m:sSub>
                            <m:sSubPr>
                              <m:ctrlPr>
                                <w:rPr>
                                  <w:rFonts w:ascii="Cambria Math" w:hAnsi="Cambria Math" w:cs="Times New Roman"/>
                                  <w:szCs w:val="24"/>
                                </w:rPr>
                              </m:ctrlPr>
                            </m:sSubPr>
                            <m:e>
                              <m:r>
                                <m:rPr>
                                  <m:sty m:val="p"/>
                                </m:rPr>
                                <w:rPr>
                                  <w:rFonts w:ascii="Cambria Math" w:hAnsi="Cambria Math" w:cs="Times New Roman"/>
                                  <w:szCs w:val="24"/>
                                </w:rPr>
                                <m:t>SF</m:t>
                              </m:r>
                              <m:ctrlPr>
                                <w:rPr>
                                  <w:rFonts w:ascii="Cambria Math" w:hAnsi="Cambria Math" w:cs="Times New Roman"/>
                                  <w:szCs w:val="24"/>
                                </w:rPr>
                              </m:ctrlPr>
                            </m:e>
                            <m:sub>
                              <m:r>
                                <m:rPr>
                                  <m:sty m:val="p"/>
                                </m:rPr>
                                <w:rPr>
                                  <w:rFonts w:ascii="Cambria Math" w:hAnsi="Cambria Math" w:cs="Times New Roman"/>
                                  <w:szCs w:val="24"/>
                                </w:rPr>
                                <m:t>ing</m:t>
                              </m:r>
                              <m:ctrlPr>
                                <w:rPr>
                                  <w:rFonts w:ascii="Cambria Math" w:hAnsi="Cambria Math" w:cs="Times New Roman"/>
                                  <w:szCs w:val="24"/>
                                </w:rPr>
                              </m:ctrlPr>
                            </m:sub>
                          </m:sSub>
                          <m:r>
                            <m:rPr>
                              <m:sty m:val="p"/>
                            </m:rPr>
                            <w:rPr>
                              <w:rFonts w:ascii="Cambria Math" w:hAnsi="Cambria Math" w:cs="Times New Roman"/>
                              <w:szCs w:val="24"/>
                            </w:rPr>
                            <m:t>+</m:t>
                          </m:r>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der</m:t>
                              </m:r>
                              <m:ctrlPr>
                                <w:rPr>
                                  <w:rFonts w:ascii="Cambria Math" w:hAnsi="Cambria Math" w:cs="Times New Roman"/>
                                  <w:szCs w:val="24"/>
                                </w:rPr>
                              </m:ctrlPr>
                            </m:sub>
                          </m:sSub>
                          <m:r>
                            <m:rPr>
                              <m:sty m:val="p"/>
                            </m:rPr>
                            <w:rPr>
                              <w:rFonts w:ascii="Cambria Math" w:hAnsi="Cambria Math" w:cs="Times New Roman"/>
                              <w:szCs w:val="24"/>
                            </w:rPr>
                            <m:t>×</m:t>
                          </m:r>
                          <m:sSub>
                            <m:sSubPr>
                              <m:ctrlPr>
                                <w:rPr>
                                  <w:rFonts w:ascii="Cambria Math" w:hAnsi="Cambria Math" w:cs="Times New Roman"/>
                                  <w:szCs w:val="24"/>
                                </w:rPr>
                              </m:ctrlPr>
                            </m:sSubPr>
                            <m:e>
                              <m:r>
                                <m:rPr>
                                  <m:sty m:val="p"/>
                                </m:rPr>
                                <w:rPr>
                                  <w:rFonts w:ascii="Cambria Math" w:hAnsi="Cambria Math" w:cs="Times New Roman"/>
                                  <w:szCs w:val="24"/>
                                </w:rPr>
                                <m:t>SF</m:t>
                              </m:r>
                              <m:ctrlPr>
                                <w:rPr>
                                  <w:rFonts w:ascii="Cambria Math" w:hAnsi="Cambria Math" w:cs="Times New Roman"/>
                                  <w:szCs w:val="24"/>
                                </w:rPr>
                              </m:ctrlPr>
                            </m:e>
                            <m:sub>
                              <m:r>
                                <m:rPr>
                                  <m:sty m:val="p"/>
                                </m:rPr>
                                <w:rPr>
                                  <w:rFonts w:ascii="Cambria Math" w:hAnsi="Cambria Math" w:cs="Times New Roman"/>
                                  <w:szCs w:val="24"/>
                                </w:rPr>
                                <m:t>der</m:t>
                              </m:r>
                              <m:ctrlPr>
                                <w:rPr>
                                  <w:rFonts w:ascii="Cambria Math" w:hAnsi="Cambria Math" w:cs="Times New Roman"/>
                                  <w:szCs w:val="24"/>
                                </w:rPr>
                              </m:ctrlPr>
                            </m:sub>
                          </m:sSub>
                          <m:r>
                            <m:rPr>
                              <m:sty m:val="p"/>
                            </m:rPr>
                            <w:rPr>
                              <w:rFonts w:ascii="Cambria Math" w:hAnsi="Cambria Math" w:cs="Times New Roman"/>
                              <w:szCs w:val="24"/>
                            </w:rPr>
                            <m:t>+</m:t>
                          </m:r>
                          <m:sSub>
                            <m:sSubPr>
                              <m:ctrlPr>
                                <w:rPr>
                                  <w:rFonts w:ascii="Cambria Math" w:hAnsi="Cambria Math" w:cs="Times New Roman"/>
                                  <w:szCs w:val="24"/>
                                </w:rPr>
                              </m:ctrlPr>
                            </m:sSubPr>
                            <m:e>
                              <m:r>
                                <m:rPr>
                                  <m:sty m:val="p"/>
                                </m:rPr>
                                <w:rPr>
                                  <w:rFonts w:ascii="Cambria Math" w:hAnsi="Cambria Math" w:cs="Times New Roman"/>
                                  <w:szCs w:val="24"/>
                                </w:rPr>
                                <m:t>ADD</m:t>
                              </m:r>
                              <m:ctrlPr>
                                <w:rPr>
                                  <w:rFonts w:ascii="Cambria Math" w:hAnsi="Cambria Math" w:cs="Times New Roman"/>
                                  <w:szCs w:val="24"/>
                                </w:rPr>
                              </m:ctrlPr>
                            </m:e>
                            <m:sub>
                              <m:r>
                                <m:rPr>
                                  <m:sty m:val="p"/>
                                </m:rPr>
                                <w:rPr>
                                  <w:rFonts w:ascii="Cambria Math" w:hAnsi="Cambria Math" w:cs="Times New Roman"/>
                                  <w:szCs w:val="24"/>
                                </w:rPr>
                                <m:t>inh</m:t>
                              </m:r>
                              <m:ctrlPr>
                                <w:rPr>
                                  <w:rFonts w:ascii="Cambria Math" w:hAnsi="Cambria Math" w:cs="Times New Roman"/>
                                  <w:szCs w:val="24"/>
                                </w:rPr>
                              </m:ctrlPr>
                            </m:sub>
                          </m:sSub>
                          <m:r>
                            <m:rPr>
                              <m:sty m:val="p"/>
                            </m:rPr>
                            <w:rPr>
                              <w:rFonts w:ascii="Cambria Math" w:hAnsi="Cambria Math" w:cs="Times New Roman"/>
                              <w:szCs w:val="24"/>
                            </w:rPr>
                            <m:t>×</m:t>
                          </m:r>
                          <m:sSub>
                            <m:sSubPr>
                              <m:ctrlPr>
                                <w:rPr>
                                  <w:rFonts w:ascii="Cambria Math" w:hAnsi="Cambria Math" w:cs="Times New Roman"/>
                                  <w:szCs w:val="24"/>
                                </w:rPr>
                              </m:ctrlPr>
                            </m:sSubPr>
                            <m:e>
                              <m:r>
                                <m:rPr>
                                  <m:sty m:val="p"/>
                                </m:rPr>
                                <w:rPr>
                                  <w:rFonts w:ascii="Cambria Math" w:hAnsi="Cambria Math" w:cs="Times New Roman"/>
                                  <w:szCs w:val="24"/>
                                </w:rPr>
                                <m:t>SF</m:t>
                              </m:r>
                              <m:ctrlPr>
                                <w:rPr>
                                  <w:rFonts w:ascii="Cambria Math" w:hAnsi="Cambria Math" w:cs="Times New Roman"/>
                                  <w:szCs w:val="24"/>
                                </w:rPr>
                              </m:ctrlPr>
                            </m:e>
                            <m:sub>
                              <m:r>
                                <m:rPr>
                                  <m:sty m:val="p"/>
                                </m:rPr>
                                <w:rPr>
                                  <w:rFonts w:ascii="Cambria Math" w:hAnsi="Cambria Math" w:cs="Times New Roman"/>
                                  <w:szCs w:val="24"/>
                                </w:rPr>
                                <m:t>inh</m:t>
                              </m:r>
                              <m:ctrlPr>
                                <w:rPr>
                                  <w:rFonts w:ascii="Cambria Math" w:hAnsi="Cambria Math" w:cs="Times New Roman"/>
                                  <w:szCs w:val="24"/>
                                </w:rPr>
                              </m:ctrlPr>
                            </m:sub>
                          </m:sSub>
                          <m:r>
                            <m:rPr>
                              <m:sty m:val="p"/>
                            </m:rPr>
                            <w:rPr>
                              <w:rFonts w:ascii="Cambria Math" w:hAnsi="Cambria Math" w:cs="Times New Roman"/>
                              <w:szCs w:val="24"/>
                            </w:rPr>
                            <m:t>)</m:t>
                          </m:r>
                          <m:ctrlPr>
                            <w:rPr>
                              <w:rFonts w:ascii="Cambria Math" w:hAnsi="Cambria Math" w:cs="Times New Roman"/>
                              <w:szCs w:val="24"/>
                            </w:rPr>
                          </m:ctrlPr>
                        </m:e>
                      </m:nary>
                      <m:ctrlPr>
                        <w:rPr>
                          <w:rFonts w:ascii="Cambria Math" w:hAnsi="Cambria Math" w:cs="Times New Roman"/>
                          <w:szCs w:val="24"/>
                        </w:rPr>
                      </m:ctrlPr>
                    </m:e>
                  </m:eqArr>
                  <m:ctrlPr>
                    <w:rPr>
                      <w:rFonts w:ascii="Cambria Math" w:hAnsi="Cambria Math" w:cs="Times New Roman"/>
                      <w:szCs w:val="24"/>
                    </w:rPr>
                  </m:ctrlPr>
                </m:e>
              </m:d>
              <m:r>
                <m:rPr>
                  <m:sty m:val="p"/>
                </m:rPr>
                <w:rPr>
                  <w:rFonts w:ascii="Cambria Math" w:hAnsi="Cambria Math" w:cs="Times New Roman"/>
                  <w:szCs w:val="24"/>
                </w:rPr>
                <m:t>#</m:t>
              </m:r>
              <m:d>
                <m:dPr>
                  <m:ctrlPr>
                    <w:rPr>
                      <w:rFonts w:ascii="Cambria Math" w:hAnsi="Cambria Math" w:cs="Times New Roman"/>
                      <w:szCs w:val="24"/>
                    </w:rPr>
                  </m:ctrlPr>
                </m:dPr>
                <m:e>
                  <m:r>
                    <m:rPr>
                      <m:sty m:val="p"/>
                    </m:rPr>
                    <w:rPr>
                      <w:rFonts w:ascii="Cambria Math" w:hAnsi="Cambria Math" w:cs="Times New Roman"/>
                      <w:szCs w:val="24"/>
                    </w:rPr>
                    <m:t>2</m:t>
                  </m:r>
                  <m:ctrlPr>
                    <w:rPr>
                      <w:rFonts w:ascii="Cambria Math" w:hAnsi="Cambria Math" w:cs="Times New Roman"/>
                      <w:szCs w:val="24"/>
                    </w:rPr>
                  </m:ctrlPr>
                </m:e>
              </m:d>
              <m:ctrlPr>
                <w:rPr>
                  <w:rFonts w:ascii="Cambria Math" w:hAnsi="Cambria Math" w:cs="Times New Roman"/>
                  <w:szCs w:val="24"/>
                </w:rPr>
              </m:ctrlPr>
            </m:e>
          </m:eqArr>
        </m:oMath>
      </m:oMathPara>
    </w:p>
    <w:p w14:paraId="4700345A">
      <w:pPr>
        <w:ind w:right="240" w:rightChars="100" w:firstLine="480" w:firstLineChars="200"/>
        <w:rPr>
          <w:rFonts w:ascii="Times New Roman" w:hAnsi="Times New Roman" w:eastAsiaTheme="minorEastAsia"/>
          <w:szCs w:val="24"/>
        </w:rPr>
      </w:pPr>
      <w:r>
        <w:rPr>
          <w:rFonts w:ascii="Times New Roman" w:hAnsi="Times New Roman" w:eastAsiaTheme="minorEastAsia"/>
          <w:szCs w:val="24"/>
        </w:rPr>
        <w:t>When the non-carcinogenic hazard quotient (HQ) and carcinogenic hazard quotient (CR) caused by a single substance or their total risk value (THI or TCR) exceed 1.0 and 10</w:t>
      </w:r>
      <w:r>
        <w:rPr>
          <w:rFonts w:ascii="Times New Roman" w:hAnsi="Times New Roman" w:eastAsiaTheme="minorEastAsia"/>
          <w:szCs w:val="24"/>
          <w:vertAlign w:val="superscript"/>
        </w:rPr>
        <w:t>-4</w:t>
      </w:r>
      <w:r>
        <w:rPr>
          <w:rFonts w:ascii="Times New Roman" w:hAnsi="Times New Roman" w:eastAsiaTheme="minorEastAsia"/>
          <w:szCs w:val="24"/>
        </w:rPr>
        <w:t>, respectively. It is considered an unacceptable non-carcinogenic risk or carcinogenic risk.</w:t>
      </w:r>
    </w:p>
    <w:p w14:paraId="78D0B69C">
      <w:pPr>
        <w:rPr>
          <w:rFonts w:eastAsiaTheme="minorEastAsia"/>
        </w:rPr>
      </w:pPr>
    </w:p>
    <w:p w14:paraId="5378B1E0">
      <w:pPr>
        <w:rPr>
          <w:rFonts w:eastAsiaTheme="minorEastAsia"/>
        </w:rPr>
      </w:pPr>
    </w:p>
    <w:p w14:paraId="716BB563">
      <w:pPr>
        <w:rPr>
          <w:rFonts w:eastAsiaTheme="minorEastAsia"/>
        </w:rPr>
      </w:pPr>
    </w:p>
    <w:p w14:paraId="07091DDB">
      <w:pPr>
        <w:spacing w:line="240" w:lineRule="atLeast"/>
        <w:jc w:val="center"/>
        <w:rPr>
          <w:rFonts w:ascii="Times New Roman" w:hAnsi="Times New Roman" w:cs="Times New Roman"/>
          <w:sz w:val="21"/>
          <w:szCs w:val="21"/>
        </w:rPr>
      </w:pPr>
      <w:r>
        <w:rPr>
          <w:rFonts w:ascii="Times New Roman" w:hAnsi="Times New Roman" w:cs="Times New Roman"/>
          <w:b/>
          <w:bCs/>
          <w:sz w:val="21"/>
          <w:szCs w:val="21"/>
        </w:rPr>
        <w:t>Table S1</w:t>
      </w:r>
      <w:r>
        <w:rPr>
          <w:rFonts w:hint="eastAsia" w:ascii="Times New Roman" w:hAnsi="Times New Roman" w:cs="Times New Roman"/>
          <w:sz w:val="21"/>
          <w:szCs w:val="21"/>
        </w:rPr>
        <w:t xml:space="preserve"> Methods and detection limits of </w:t>
      </w:r>
      <w:r>
        <w:rPr>
          <w:rFonts w:ascii="Times New Roman" w:hAnsi="Times New Roman" w:cs="Times New Roman"/>
          <w:sz w:val="21"/>
          <w:szCs w:val="21"/>
        </w:rPr>
        <w:t>PTEs</w:t>
      </w:r>
      <w:r>
        <w:rPr>
          <w:rFonts w:hint="eastAsia" w:ascii="Times New Roman" w:hAnsi="Times New Roman" w:cs="Times New Roman"/>
          <w:sz w:val="21"/>
          <w:szCs w:val="21"/>
        </w:rPr>
        <w:t xml:space="preserve"> in </w:t>
      </w:r>
      <w:r>
        <w:rPr>
          <w:rFonts w:ascii="Times New Roman" w:hAnsi="Times New Roman" w:cs="Times New Roman"/>
          <w:sz w:val="21"/>
          <w:szCs w:val="21"/>
        </w:rPr>
        <w:t xml:space="preserve">river sediments </w:t>
      </w:r>
      <w:r>
        <w:rPr>
          <w:rFonts w:ascii="Times New Roman" w:hAnsi="Times New Roman" w:eastAsia="宋体" w:cs="Times New Roman"/>
          <w:sz w:val="21"/>
          <w:szCs w:val="21"/>
        </w:rPr>
        <w:t>(mg/kg)</w:t>
      </w:r>
      <w:r>
        <w:rPr>
          <w:rFonts w:ascii="宋体" w:hAnsi="宋体" w:eastAsia="宋体" w:cs="宋体"/>
          <w:sz w:val="21"/>
          <w:szCs w:val="21"/>
        </w:rPr>
        <w:t>.</w:t>
      </w:r>
    </w:p>
    <w:tbl>
      <w:tblPr>
        <w:tblStyle w:val="11"/>
        <w:tblW w:w="5699"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28"/>
        <w:gridCol w:w="2240"/>
        <w:gridCol w:w="1831"/>
      </w:tblGrid>
      <w:tr w14:paraId="54A961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tcBorders>
              <w:bottom w:val="single" w:color="auto" w:sz="4" w:space="0"/>
              <w:insideH w:val="single" w:sz="4" w:space="0"/>
            </w:tcBorders>
            <w:noWrap/>
            <w:vAlign w:val="center"/>
          </w:tcPr>
          <w:p w14:paraId="03CB1D66">
            <w:pPr>
              <w:widowControl/>
              <w:jc w:val="center"/>
              <w:rPr>
                <w:rFonts w:ascii="Times New Roman" w:hAnsi="Times New Roman" w:cs="Times New Roman"/>
                <w:kern w:val="0"/>
                <w:sz w:val="21"/>
                <w:szCs w:val="21"/>
              </w:rPr>
            </w:pPr>
            <w:r>
              <w:rPr>
                <w:rFonts w:ascii="Times New Roman" w:hAnsi="Times New Roman" w:cs="Times New Roman"/>
                <w:kern w:val="0"/>
                <w:sz w:val="21"/>
                <w:szCs w:val="21"/>
              </w:rPr>
              <w:t>HMs</w:t>
            </w:r>
          </w:p>
        </w:tc>
        <w:tc>
          <w:tcPr>
            <w:tcW w:w="2240" w:type="dxa"/>
            <w:tcBorders>
              <w:bottom w:val="single" w:color="auto" w:sz="4" w:space="0"/>
              <w:insideH w:val="single" w:sz="4" w:space="0"/>
            </w:tcBorders>
            <w:noWrap/>
            <w:vAlign w:val="center"/>
          </w:tcPr>
          <w:p w14:paraId="223394CF">
            <w:pPr>
              <w:widowControl/>
              <w:jc w:val="center"/>
              <w:rPr>
                <w:rFonts w:ascii="Times New Roman" w:hAnsi="Times New Roman" w:cs="Times New Roman"/>
                <w:kern w:val="0"/>
                <w:sz w:val="21"/>
                <w:szCs w:val="21"/>
              </w:rPr>
            </w:pPr>
            <w:r>
              <w:rPr>
                <w:rFonts w:ascii="Times New Roman" w:hAnsi="Times New Roman" w:cs="Times New Roman"/>
                <w:kern w:val="0"/>
                <w:sz w:val="21"/>
                <w:szCs w:val="21"/>
              </w:rPr>
              <w:t>Methods</w:t>
            </w:r>
          </w:p>
        </w:tc>
        <w:tc>
          <w:tcPr>
            <w:tcW w:w="1831" w:type="dxa"/>
            <w:tcBorders>
              <w:bottom w:val="single" w:color="auto" w:sz="4" w:space="0"/>
              <w:insideH w:val="single" w:sz="4" w:space="0"/>
            </w:tcBorders>
            <w:noWrap/>
            <w:vAlign w:val="center"/>
          </w:tcPr>
          <w:p w14:paraId="2FE08DB7">
            <w:pPr>
              <w:widowControl/>
              <w:jc w:val="center"/>
              <w:rPr>
                <w:rFonts w:ascii="Times New Roman" w:hAnsi="Times New Roman" w:cs="Times New Roman"/>
                <w:kern w:val="0"/>
                <w:sz w:val="21"/>
                <w:szCs w:val="21"/>
              </w:rPr>
            </w:pPr>
            <w:r>
              <w:rPr>
                <w:rFonts w:ascii="Times New Roman" w:hAnsi="Times New Roman" w:cs="Times New Roman"/>
                <w:kern w:val="0"/>
                <w:sz w:val="21"/>
                <w:szCs w:val="21"/>
              </w:rPr>
              <w:t>Detect limits</w:t>
            </w:r>
          </w:p>
        </w:tc>
      </w:tr>
      <w:tr w14:paraId="44FC408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00FFD295">
            <w:pPr>
              <w:widowControl/>
              <w:jc w:val="center"/>
              <w:rPr>
                <w:rFonts w:ascii="Times New Roman" w:hAnsi="Times New Roman" w:cs="Times New Roman"/>
                <w:kern w:val="0"/>
                <w:sz w:val="21"/>
                <w:szCs w:val="21"/>
              </w:rPr>
            </w:pPr>
            <w:r>
              <w:rPr>
                <w:rFonts w:ascii="Times New Roman" w:hAnsi="Times New Roman" w:cs="Times New Roman"/>
                <w:kern w:val="0"/>
                <w:sz w:val="21"/>
                <w:szCs w:val="21"/>
              </w:rPr>
              <w:t>As</w:t>
            </w:r>
          </w:p>
        </w:tc>
        <w:tc>
          <w:tcPr>
            <w:tcW w:w="2240" w:type="dxa"/>
            <w:noWrap/>
            <w:vAlign w:val="center"/>
          </w:tcPr>
          <w:p w14:paraId="713E5C51">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0068867E">
            <w:pPr>
              <w:widowControl/>
              <w:jc w:val="center"/>
              <w:rPr>
                <w:rFonts w:ascii="Times New Roman" w:hAnsi="Times New Roman" w:cs="Times New Roman"/>
                <w:kern w:val="0"/>
                <w:sz w:val="21"/>
                <w:szCs w:val="21"/>
              </w:rPr>
            </w:pPr>
            <w:r>
              <w:rPr>
                <w:rFonts w:ascii="Times New Roman" w:hAnsi="Times New Roman" w:cs="Times New Roman"/>
                <w:kern w:val="0"/>
                <w:sz w:val="21"/>
                <w:szCs w:val="21"/>
              </w:rPr>
              <w:t>0.2</w:t>
            </w:r>
          </w:p>
        </w:tc>
      </w:tr>
      <w:tr w14:paraId="3F8717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1C454495">
            <w:pPr>
              <w:widowControl/>
              <w:jc w:val="center"/>
              <w:rPr>
                <w:rFonts w:ascii="Times New Roman" w:hAnsi="Times New Roman" w:cs="Times New Roman"/>
                <w:kern w:val="0"/>
                <w:sz w:val="21"/>
                <w:szCs w:val="21"/>
              </w:rPr>
            </w:pPr>
            <w:r>
              <w:rPr>
                <w:rFonts w:ascii="Times New Roman" w:hAnsi="Times New Roman" w:cs="Times New Roman"/>
                <w:kern w:val="0"/>
                <w:sz w:val="21"/>
                <w:szCs w:val="21"/>
              </w:rPr>
              <w:t>Cr</w:t>
            </w:r>
          </w:p>
        </w:tc>
        <w:tc>
          <w:tcPr>
            <w:tcW w:w="2240" w:type="dxa"/>
            <w:noWrap/>
            <w:vAlign w:val="center"/>
          </w:tcPr>
          <w:p w14:paraId="2864C473">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3CD12BB8">
            <w:pPr>
              <w:widowControl/>
              <w:jc w:val="center"/>
              <w:rPr>
                <w:rFonts w:ascii="Times New Roman" w:hAnsi="Times New Roman" w:cs="Times New Roman"/>
                <w:kern w:val="0"/>
                <w:sz w:val="21"/>
                <w:szCs w:val="21"/>
              </w:rPr>
            </w:pPr>
            <w:r>
              <w:rPr>
                <w:rFonts w:ascii="Times New Roman" w:hAnsi="Times New Roman" w:cs="Times New Roman"/>
                <w:kern w:val="0"/>
                <w:sz w:val="21"/>
                <w:szCs w:val="21"/>
              </w:rPr>
              <w:t>2.0</w:t>
            </w:r>
          </w:p>
        </w:tc>
      </w:tr>
      <w:tr w14:paraId="2D2EDC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3CA3F58E">
            <w:pPr>
              <w:widowControl/>
              <w:jc w:val="center"/>
              <w:rPr>
                <w:rFonts w:ascii="Times New Roman" w:hAnsi="Times New Roman" w:cs="Times New Roman"/>
                <w:kern w:val="0"/>
                <w:sz w:val="21"/>
                <w:szCs w:val="21"/>
              </w:rPr>
            </w:pPr>
            <w:r>
              <w:rPr>
                <w:rFonts w:ascii="Times New Roman" w:hAnsi="Times New Roman" w:cs="Times New Roman"/>
                <w:kern w:val="0"/>
                <w:sz w:val="21"/>
                <w:szCs w:val="21"/>
              </w:rPr>
              <w:t>Cd</w:t>
            </w:r>
          </w:p>
        </w:tc>
        <w:tc>
          <w:tcPr>
            <w:tcW w:w="2240" w:type="dxa"/>
            <w:noWrap/>
            <w:vAlign w:val="center"/>
          </w:tcPr>
          <w:p w14:paraId="79101AC7">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79E04E75">
            <w:pPr>
              <w:widowControl/>
              <w:jc w:val="center"/>
              <w:rPr>
                <w:rFonts w:ascii="Times New Roman" w:hAnsi="Times New Roman" w:cs="Times New Roman"/>
                <w:kern w:val="0"/>
                <w:sz w:val="21"/>
                <w:szCs w:val="21"/>
              </w:rPr>
            </w:pPr>
            <w:r>
              <w:rPr>
                <w:rFonts w:ascii="Times New Roman" w:hAnsi="Times New Roman" w:cs="Times New Roman"/>
                <w:kern w:val="0"/>
                <w:sz w:val="21"/>
                <w:szCs w:val="21"/>
              </w:rPr>
              <w:t>0.03</w:t>
            </w:r>
          </w:p>
        </w:tc>
      </w:tr>
      <w:tr w14:paraId="520D751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79D21B1E">
            <w:pPr>
              <w:widowControl/>
              <w:jc w:val="center"/>
              <w:rPr>
                <w:rFonts w:ascii="Times New Roman" w:hAnsi="Times New Roman" w:cs="Times New Roman"/>
                <w:kern w:val="0"/>
                <w:sz w:val="21"/>
                <w:szCs w:val="21"/>
              </w:rPr>
            </w:pPr>
            <w:r>
              <w:rPr>
                <w:rFonts w:ascii="Times New Roman" w:hAnsi="Times New Roman" w:cs="Times New Roman"/>
                <w:kern w:val="0"/>
                <w:sz w:val="21"/>
                <w:szCs w:val="21"/>
              </w:rPr>
              <w:t>Hg</w:t>
            </w:r>
          </w:p>
        </w:tc>
        <w:tc>
          <w:tcPr>
            <w:tcW w:w="2240" w:type="dxa"/>
            <w:noWrap/>
            <w:vAlign w:val="center"/>
          </w:tcPr>
          <w:p w14:paraId="0C6754EC">
            <w:pPr>
              <w:widowControl/>
              <w:jc w:val="center"/>
              <w:rPr>
                <w:rFonts w:ascii="Times New Roman" w:hAnsi="Times New Roman" w:cs="Times New Roman"/>
                <w:kern w:val="0"/>
                <w:sz w:val="21"/>
                <w:szCs w:val="21"/>
              </w:rPr>
            </w:pPr>
            <w:r>
              <w:rPr>
                <w:rFonts w:ascii="Times New Roman" w:hAnsi="Times New Roman" w:cs="Times New Roman"/>
                <w:kern w:val="0"/>
                <w:sz w:val="21"/>
                <w:szCs w:val="21"/>
              </w:rPr>
              <w:t>AFS</w:t>
            </w:r>
          </w:p>
        </w:tc>
        <w:tc>
          <w:tcPr>
            <w:tcW w:w="1831" w:type="dxa"/>
            <w:noWrap/>
            <w:vAlign w:val="center"/>
          </w:tcPr>
          <w:p w14:paraId="7331A17F">
            <w:pPr>
              <w:widowControl/>
              <w:jc w:val="center"/>
              <w:rPr>
                <w:rFonts w:ascii="Times New Roman" w:hAnsi="Times New Roman" w:cs="Times New Roman"/>
                <w:kern w:val="0"/>
                <w:sz w:val="21"/>
                <w:szCs w:val="21"/>
              </w:rPr>
            </w:pPr>
            <w:r>
              <w:rPr>
                <w:rFonts w:ascii="Times New Roman" w:hAnsi="Times New Roman" w:cs="Times New Roman"/>
                <w:kern w:val="0"/>
                <w:sz w:val="21"/>
                <w:szCs w:val="21"/>
              </w:rPr>
              <w:t>0.0003</w:t>
            </w:r>
          </w:p>
        </w:tc>
      </w:tr>
      <w:tr w14:paraId="74A63D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6951687D">
            <w:pPr>
              <w:widowControl/>
              <w:jc w:val="center"/>
              <w:rPr>
                <w:rFonts w:ascii="Times New Roman" w:hAnsi="Times New Roman" w:cs="Times New Roman"/>
                <w:kern w:val="0"/>
                <w:sz w:val="21"/>
                <w:szCs w:val="21"/>
              </w:rPr>
            </w:pPr>
            <w:r>
              <w:rPr>
                <w:rFonts w:ascii="Times New Roman" w:hAnsi="Times New Roman" w:cs="Times New Roman"/>
                <w:kern w:val="0"/>
                <w:sz w:val="21"/>
                <w:szCs w:val="21"/>
              </w:rPr>
              <w:t>Pb</w:t>
            </w:r>
          </w:p>
        </w:tc>
        <w:tc>
          <w:tcPr>
            <w:tcW w:w="2240" w:type="dxa"/>
            <w:noWrap/>
            <w:vAlign w:val="center"/>
          </w:tcPr>
          <w:p w14:paraId="732276A6">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0C2EA615">
            <w:pPr>
              <w:widowControl/>
              <w:jc w:val="center"/>
              <w:rPr>
                <w:rFonts w:ascii="Times New Roman" w:hAnsi="Times New Roman" w:cs="Times New Roman"/>
                <w:kern w:val="0"/>
                <w:sz w:val="21"/>
                <w:szCs w:val="21"/>
              </w:rPr>
            </w:pPr>
            <w:r>
              <w:rPr>
                <w:rFonts w:ascii="Times New Roman" w:hAnsi="Times New Roman" w:cs="Times New Roman"/>
                <w:kern w:val="0"/>
                <w:sz w:val="21"/>
                <w:szCs w:val="21"/>
              </w:rPr>
              <w:t>1.0</w:t>
            </w:r>
          </w:p>
        </w:tc>
      </w:tr>
      <w:tr w14:paraId="4B4D6F6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28842276">
            <w:pPr>
              <w:widowControl/>
              <w:jc w:val="center"/>
              <w:rPr>
                <w:rFonts w:ascii="Times New Roman" w:hAnsi="Times New Roman" w:cs="Times New Roman"/>
                <w:kern w:val="0"/>
                <w:sz w:val="21"/>
                <w:szCs w:val="21"/>
              </w:rPr>
            </w:pPr>
            <w:r>
              <w:rPr>
                <w:rFonts w:ascii="Times New Roman" w:hAnsi="Times New Roman" w:cs="Times New Roman"/>
                <w:kern w:val="0"/>
                <w:sz w:val="21"/>
                <w:szCs w:val="21"/>
              </w:rPr>
              <w:t>Cu</w:t>
            </w:r>
          </w:p>
        </w:tc>
        <w:tc>
          <w:tcPr>
            <w:tcW w:w="2240" w:type="dxa"/>
            <w:noWrap/>
            <w:vAlign w:val="center"/>
          </w:tcPr>
          <w:p w14:paraId="702ACBED">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34DE32BE">
            <w:pPr>
              <w:widowControl/>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0</w:t>
            </w:r>
            <w:r>
              <w:rPr>
                <w:rFonts w:ascii="Times New Roman" w:hAnsi="Times New Roman" w:cs="Times New Roman" w:eastAsiaTheme="minorEastAsia"/>
                <w:kern w:val="0"/>
                <w:sz w:val="21"/>
                <w:szCs w:val="21"/>
              </w:rPr>
              <w:t>.7</w:t>
            </w:r>
          </w:p>
        </w:tc>
      </w:tr>
      <w:tr w14:paraId="60DF9B9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1628" w:type="dxa"/>
            <w:noWrap/>
            <w:vAlign w:val="center"/>
          </w:tcPr>
          <w:p w14:paraId="74B6933C">
            <w:pPr>
              <w:widowControl/>
              <w:jc w:val="center"/>
              <w:rPr>
                <w:rFonts w:ascii="Times New Roman" w:hAnsi="Times New Roman" w:cs="Times New Roman"/>
                <w:kern w:val="0"/>
                <w:sz w:val="21"/>
                <w:szCs w:val="21"/>
              </w:rPr>
            </w:pPr>
            <w:r>
              <w:rPr>
                <w:rFonts w:ascii="Times New Roman" w:hAnsi="Times New Roman" w:cs="Times New Roman"/>
                <w:kern w:val="0"/>
                <w:sz w:val="21"/>
                <w:szCs w:val="21"/>
              </w:rPr>
              <w:t>Ni</w:t>
            </w:r>
          </w:p>
        </w:tc>
        <w:tc>
          <w:tcPr>
            <w:tcW w:w="2240" w:type="dxa"/>
            <w:noWrap/>
            <w:vAlign w:val="center"/>
          </w:tcPr>
          <w:p w14:paraId="1B3B4B14">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4CBBEF7E">
            <w:pPr>
              <w:widowControl/>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2</w:t>
            </w:r>
            <w:r>
              <w:rPr>
                <w:rFonts w:ascii="Times New Roman" w:hAnsi="Times New Roman" w:cs="Times New Roman" w:eastAsiaTheme="minorEastAsia"/>
                <w:kern w:val="0"/>
                <w:sz w:val="21"/>
                <w:szCs w:val="21"/>
              </w:rPr>
              <w:t>.0</w:t>
            </w:r>
          </w:p>
        </w:tc>
      </w:tr>
      <w:tr w14:paraId="7E10328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jc w:val="center"/>
        </w:trPr>
        <w:tc>
          <w:tcPr>
            <w:tcW w:w="1628" w:type="dxa"/>
            <w:noWrap/>
            <w:vAlign w:val="center"/>
          </w:tcPr>
          <w:p w14:paraId="7D603855">
            <w:pPr>
              <w:widowControl/>
              <w:jc w:val="center"/>
              <w:rPr>
                <w:rFonts w:ascii="Times New Roman" w:hAnsi="Times New Roman" w:cs="Times New Roman"/>
                <w:kern w:val="0"/>
                <w:sz w:val="21"/>
                <w:szCs w:val="21"/>
              </w:rPr>
            </w:pPr>
            <w:r>
              <w:rPr>
                <w:rFonts w:ascii="Times New Roman" w:hAnsi="Times New Roman" w:cs="Times New Roman"/>
                <w:kern w:val="0"/>
                <w:sz w:val="21"/>
                <w:szCs w:val="21"/>
              </w:rPr>
              <w:t>Zn</w:t>
            </w:r>
          </w:p>
        </w:tc>
        <w:tc>
          <w:tcPr>
            <w:tcW w:w="2240" w:type="dxa"/>
            <w:noWrap/>
            <w:vAlign w:val="center"/>
          </w:tcPr>
          <w:p w14:paraId="6F5DFE3A">
            <w:pPr>
              <w:widowControl/>
              <w:jc w:val="center"/>
              <w:rPr>
                <w:rFonts w:ascii="Times New Roman" w:hAnsi="Times New Roman" w:cs="Times New Roman"/>
                <w:kern w:val="0"/>
                <w:sz w:val="21"/>
                <w:szCs w:val="21"/>
              </w:rPr>
            </w:pPr>
            <w:r>
              <w:rPr>
                <w:rFonts w:ascii="Times New Roman" w:hAnsi="Times New Roman" w:cs="Times New Roman"/>
                <w:kern w:val="0"/>
                <w:sz w:val="21"/>
                <w:szCs w:val="21"/>
              </w:rPr>
              <w:t>ICP-MS</w:t>
            </w:r>
          </w:p>
        </w:tc>
        <w:tc>
          <w:tcPr>
            <w:tcW w:w="1831" w:type="dxa"/>
            <w:noWrap/>
            <w:vAlign w:val="center"/>
          </w:tcPr>
          <w:p w14:paraId="03EEDFE6">
            <w:pPr>
              <w:widowControl/>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5</w:t>
            </w:r>
            <w:r>
              <w:rPr>
                <w:rFonts w:ascii="Times New Roman" w:hAnsi="Times New Roman" w:cs="Times New Roman" w:eastAsiaTheme="minorEastAsia"/>
                <w:kern w:val="0"/>
                <w:sz w:val="21"/>
                <w:szCs w:val="21"/>
              </w:rPr>
              <w:t>.0</w:t>
            </w:r>
          </w:p>
        </w:tc>
      </w:tr>
    </w:tbl>
    <w:p w14:paraId="5C7B6F05">
      <w:pPr>
        <w:rPr>
          <w:rFonts w:eastAsiaTheme="minorEastAsia"/>
        </w:rPr>
      </w:pPr>
    </w:p>
    <w:p w14:paraId="171F03BE">
      <w:pPr>
        <w:rPr>
          <w:rFonts w:eastAsiaTheme="minorEastAsia"/>
        </w:rPr>
      </w:pPr>
    </w:p>
    <w:p w14:paraId="122BCDD1">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 xml:space="preserve">Table S2 </w:t>
      </w:r>
      <w:r>
        <w:rPr>
          <w:rFonts w:ascii="Times New Roman" w:hAnsi="Times New Roman" w:cs="Times New Roman" w:eastAsiaTheme="minorEastAsia"/>
          <w:sz w:val="21"/>
          <w:szCs w:val="21"/>
        </w:rPr>
        <w:t>Statistical result of the geo-accumulation index.</w:t>
      </w:r>
    </w:p>
    <w:tbl>
      <w:tblPr>
        <w:tblStyle w:val="11"/>
        <w:tblW w:w="9845"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05"/>
        <w:gridCol w:w="960"/>
        <w:gridCol w:w="960"/>
        <w:gridCol w:w="960"/>
        <w:gridCol w:w="960"/>
        <w:gridCol w:w="960"/>
        <w:gridCol w:w="960"/>
        <w:gridCol w:w="960"/>
        <w:gridCol w:w="960"/>
        <w:gridCol w:w="960"/>
      </w:tblGrid>
      <w:tr w14:paraId="3F5B8E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vMerge w:val="restart"/>
            <w:tcBorders>
              <w:top w:val="single" w:color="auto" w:sz="12" w:space="0"/>
              <w:bottom w:val="single" w:color="auto" w:sz="4" w:space="0"/>
              <w:insideH w:val="single" w:sz="4" w:space="0"/>
            </w:tcBorders>
            <w:noWrap/>
            <w:vAlign w:val="center"/>
          </w:tcPr>
          <w:p w14:paraId="6B77EB55">
            <w:pPr>
              <w:widowControl/>
              <w:spacing w:line="240" w:lineRule="auto"/>
              <w:jc w:val="center"/>
              <w:rPr>
                <w:rFonts w:ascii="Times New Roman" w:hAnsi="Times New Roman" w:eastAsia="宋体" w:cs="Times New Roman"/>
                <w:b/>
                <w:bCs/>
                <w:kern w:val="0"/>
                <w:sz w:val="20"/>
                <w:szCs w:val="24"/>
              </w:rPr>
            </w:pPr>
            <w:bookmarkStart w:id="0" w:name="OLE_LINK10"/>
            <w:r>
              <w:rPr>
                <w:rFonts w:hint="eastAsia" w:ascii="Times New Roman" w:hAnsi="Times New Roman" w:eastAsia="宋体" w:cs="Times New Roman"/>
                <w:b/>
                <w:bCs/>
                <w:kern w:val="0"/>
                <w:sz w:val="20"/>
                <w:szCs w:val="24"/>
              </w:rPr>
              <w:t>P</w:t>
            </w:r>
            <w:r>
              <w:rPr>
                <w:rFonts w:ascii="Times New Roman" w:hAnsi="Times New Roman" w:eastAsia="宋体" w:cs="Times New Roman"/>
                <w:b/>
                <w:bCs/>
                <w:kern w:val="0"/>
                <w:sz w:val="20"/>
                <w:szCs w:val="24"/>
              </w:rPr>
              <w:t>arameters</w:t>
            </w:r>
            <w:bookmarkEnd w:id="0"/>
          </w:p>
        </w:tc>
        <w:tc>
          <w:tcPr>
            <w:tcW w:w="7680" w:type="dxa"/>
            <w:gridSpan w:val="8"/>
            <w:tcBorders>
              <w:top w:val="single" w:color="auto" w:sz="12" w:space="0"/>
              <w:bottom w:val="single" w:color="auto" w:sz="4" w:space="0"/>
              <w:insideH w:val="single" w:sz="4" w:space="0"/>
            </w:tcBorders>
            <w:noWrap/>
            <w:vAlign w:val="center"/>
          </w:tcPr>
          <w:p w14:paraId="5BD93F97">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Igeo</w:t>
            </w:r>
          </w:p>
        </w:tc>
        <w:tc>
          <w:tcPr>
            <w:tcW w:w="960" w:type="dxa"/>
            <w:vMerge w:val="restart"/>
            <w:tcBorders>
              <w:top w:val="single" w:color="auto" w:sz="12" w:space="0"/>
              <w:bottom w:val="single" w:color="auto" w:sz="4" w:space="0"/>
              <w:insideH w:val="single" w:sz="4" w:space="0"/>
            </w:tcBorders>
            <w:noWrap/>
            <w:vAlign w:val="center"/>
          </w:tcPr>
          <w:p w14:paraId="38696BDB">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INI</w:t>
            </w:r>
          </w:p>
        </w:tc>
      </w:tr>
      <w:tr w14:paraId="46BBB6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vMerge w:val="continue"/>
            <w:tcBorders>
              <w:bottom w:val="single" w:color="auto" w:sz="4" w:space="0"/>
            </w:tcBorders>
            <w:noWrap/>
            <w:vAlign w:val="center"/>
          </w:tcPr>
          <w:p w14:paraId="05C57623">
            <w:pPr>
              <w:widowControl/>
              <w:spacing w:line="240" w:lineRule="auto"/>
              <w:jc w:val="center"/>
              <w:rPr>
                <w:rFonts w:ascii="Times New Roman" w:hAnsi="Times New Roman" w:eastAsia="宋体" w:cs="Times New Roman"/>
                <w:b/>
                <w:bCs/>
                <w:kern w:val="0"/>
                <w:sz w:val="20"/>
                <w:szCs w:val="24"/>
              </w:rPr>
            </w:pPr>
          </w:p>
        </w:tc>
        <w:tc>
          <w:tcPr>
            <w:tcW w:w="960" w:type="dxa"/>
            <w:tcBorders>
              <w:bottom w:val="single" w:color="auto" w:sz="4" w:space="0"/>
            </w:tcBorders>
            <w:noWrap/>
            <w:vAlign w:val="center"/>
          </w:tcPr>
          <w:p w14:paraId="0351CD6C">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As</w:t>
            </w:r>
          </w:p>
        </w:tc>
        <w:tc>
          <w:tcPr>
            <w:tcW w:w="960" w:type="dxa"/>
            <w:tcBorders>
              <w:bottom w:val="single" w:color="auto" w:sz="4" w:space="0"/>
            </w:tcBorders>
            <w:noWrap/>
            <w:vAlign w:val="center"/>
          </w:tcPr>
          <w:p w14:paraId="74425E41">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Cd</w:t>
            </w:r>
          </w:p>
        </w:tc>
        <w:tc>
          <w:tcPr>
            <w:tcW w:w="960" w:type="dxa"/>
            <w:tcBorders>
              <w:bottom w:val="single" w:color="auto" w:sz="4" w:space="0"/>
            </w:tcBorders>
            <w:noWrap/>
            <w:vAlign w:val="center"/>
          </w:tcPr>
          <w:p w14:paraId="3126E265">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Cr</w:t>
            </w:r>
          </w:p>
        </w:tc>
        <w:tc>
          <w:tcPr>
            <w:tcW w:w="960" w:type="dxa"/>
            <w:tcBorders>
              <w:bottom w:val="single" w:color="auto" w:sz="4" w:space="0"/>
            </w:tcBorders>
            <w:noWrap/>
            <w:vAlign w:val="center"/>
          </w:tcPr>
          <w:p w14:paraId="3BC81422">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Hg</w:t>
            </w:r>
          </w:p>
        </w:tc>
        <w:tc>
          <w:tcPr>
            <w:tcW w:w="960" w:type="dxa"/>
            <w:tcBorders>
              <w:bottom w:val="single" w:color="auto" w:sz="4" w:space="0"/>
            </w:tcBorders>
            <w:noWrap/>
            <w:vAlign w:val="center"/>
          </w:tcPr>
          <w:p w14:paraId="05B9353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Pb</w:t>
            </w:r>
          </w:p>
        </w:tc>
        <w:tc>
          <w:tcPr>
            <w:tcW w:w="960" w:type="dxa"/>
            <w:tcBorders>
              <w:bottom w:val="single" w:color="auto" w:sz="4" w:space="0"/>
            </w:tcBorders>
            <w:noWrap/>
            <w:vAlign w:val="center"/>
          </w:tcPr>
          <w:p w14:paraId="2D3B692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Cu</w:t>
            </w:r>
          </w:p>
        </w:tc>
        <w:tc>
          <w:tcPr>
            <w:tcW w:w="960" w:type="dxa"/>
            <w:tcBorders>
              <w:bottom w:val="single" w:color="auto" w:sz="4" w:space="0"/>
            </w:tcBorders>
            <w:noWrap/>
            <w:vAlign w:val="center"/>
          </w:tcPr>
          <w:p w14:paraId="5B3DE5C4">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Ni</w:t>
            </w:r>
          </w:p>
        </w:tc>
        <w:tc>
          <w:tcPr>
            <w:tcW w:w="960" w:type="dxa"/>
            <w:tcBorders>
              <w:bottom w:val="single" w:color="auto" w:sz="4" w:space="0"/>
            </w:tcBorders>
            <w:noWrap/>
            <w:vAlign w:val="center"/>
          </w:tcPr>
          <w:p w14:paraId="70A47FEB">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Zn</w:t>
            </w:r>
          </w:p>
        </w:tc>
        <w:tc>
          <w:tcPr>
            <w:tcW w:w="960" w:type="dxa"/>
            <w:vMerge w:val="continue"/>
            <w:tcBorders>
              <w:bottom w:val="single" w:color="auto" w:sz="4" w:space="0"/>
            </w:tcBorders>
            <w:noWrap/>
            <w:vAlign w:val="center"/>
          </w:tcPr>
          <w:p w14:paraId="71CC53E7">
            <w:pPr>
              <w:widowControl/>
              <w:spacing w:line="240" w:lineRule="auto"/>
              <w:jc w:val="center"/>
              <w:rPr>
                <w:rFonts w:ascii="Times New Roman" w:hAnsi="Times New Roman" w:eastAsia="宋体" w:cs="Times New Roman"/>
                <w:b/>
                <w:bCs/>
                <w:kern w:val="0"/>
                <w:sz w:val="22"/>
                <w:szCs w:val="20"/>
              </w:rPr>
            </w:pPr>
          </w:p>
        </w:tc>
      </w:tr>
      <w:tr w14:paraId="4B757F0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tcBorders>
              <w:top w:val="single" w:color="auto" w:sz="4" w:space="0"/>
            </w:tcBorders>
            <w:noWrap/>
            <w:vAlign w:val="center"/>
          </w:tcPr>
          <w:p w14:paraId="3685B4F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mean</w:t>
            </w:r>
          </w:p>
        </w:tc>
        <w:tc>
          <w:tcPr>
            <w:tcW w:w="960" w:type="dxa"/>
            <w:tcBorders>
              <w:top w:val="single" w:color="auto" w:sz="4" w:space="0"/>
            </w:tcBorders>
            <w:noWrap/>
            <w:vAlign w:val="center"/>
          </w:tcPr>
          <w:p w14:paraId="427C566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-1.18</w:t>
            </w:r>
          </w:p>
        </w:tc>
        <w:tc>
          <w:tcPr>
            <w:tcW w:w="960" w:type="dxa"/>
            <w:tcBorders>
              <w:top w:val="single" w:color="auto" w:sz="4" w:space="0"/>
            </w:tcBorders>
            <w:noWrap/>
            <w:vAlign w:val="center"/>
          </w:tcPr>
          <w:p w14:paraId="370B6BC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0.90</w:t>
            </w:r>
          </w:p>
        </w:tc>
        <w:tc>
          <w:tcPr>
            <w:tcW w:w="960" w:type="dxa"/>
            <w:tcBorders>
              <w:top w:val="single" w:color="auto" w:sz="4" w:space="0"/>
            </w:tcBorders>
            <w:noWrap/>
            <w:vAlign w:val="center"/>
          </w:tcPr>
          <w:p w14:paraId="4C31D01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0.52</w:t>
            </w:r>
          </w:p>
        </w:tc>
        <w:tc>
          <w:tcPr>
            <w:tcW w:w="960" w:type="dxa"/>
            <w:tcBorders>
              <w:top w:val="single" w:color="auto" w:sz="4" w:space="0"/>
            </w:tcBorders>
            <w:noWrap/>
            <w:vAlign w:val="center"/>
          </w:tcPr>
          <w:p w14:paraId="2E09ABD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-0.76</w:t>
            </w:r>
          </w:p>
        </w:tc>
        <w:tc>
          <w:tcPr>
            <w:tcW w:w="960" w:type="dxa"/>
            <w:tcBorders>
              <w:top w:val="single" w:color="auto" w:sz="4" w:space="0"/>
            </w:tcBorders>
            <w:noWrap/>
            <w:vAlign w:val="center"/>
          </w:tcPr>
          <w:p w14:paraId="4411757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0.44</w:t>
            </w:r>
          </w:p>
        </w:tc>
        <w:tc>
          <w:tcPr>
            <w:tcW w:w="960" w:type="dxa"/>
            <w:tcBorders>
              <w:top w:val="single" w:color="auto" w:sz="4" w:space="0"/>
            </w:tcBorders>
            <w:noWrap/>
            <w:vAlign w:val="center"/>
          </w:tcPr>
          <w:p w14:paraId="6CD4892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0.94</w:t>
            </w:r>
          </w:p>
        </w:tc>
        <w:tc>
          <w:tcPr>
            <w:tcW w:w="960" w:type="dxa"/>
            <w:tcBorders>
              <w:top w:val="single" w:color="auto" w:sz="4" w:space="0"/>
            </w:tcBorders>
            <w:noWrap/>
            <w:vAlign w:val="center"/>
          </w:tcPr>
          <w:p w14:paraId="309EBA7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-0.02</w:t>
            </w:r>
          </w:p>
        </w:tc>
        <w:tc>
          <w:tcPr>
            <w:tcW w:w="960" w:type="dxa"/>
            <w:tcBorders>
              <w:top w:val="single" w:color="auto" w:sz="4" w:space="0"/>
            </w:tcBorders>
            <w:noWrap/>
            <w:vAlign w:val="center"/>
          </w:tcPr>
          <w:p w14:paraId="5463651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0.67</w:t>
            </w:r>
          </w:p>
        </w:tc>
        <w:tc>
          <w:tcPr>
            <w:tcW w:w="960" w:type="dxa"/>
            <w:tcBorders>
              <w:top w:val="single" w:color="auto" w:sz="4" w:space="0"/>
            </w:tcBorders>
            <w:noWrap/>
            <w:vAlign w:val="center"/>
          </w:tcPr>
          <w:p w14:paraId="04299CE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1.80</w:t>
            </w:r>
          </w:p>
        </w:tc>
      </w:tr>
      <w:tr w14:paraId="26A8D18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7596BDA0">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min</w:t>
            </w:r>
          </w:p>
        </w:tc>
        <w:tc>
          <w:tcPr>
            <w:tcW w:w="960" w:type="dxa"/>
            <w:noWrap/>
            <w:vAlign w:val="center"/>
          </w:tcPr>
          <w:p w14:paraId="32F5A90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-3.54</w:t>
            </w:r>
          </w:p>
        </w:tc>
        <w:tc>
          <w:tcPr>
            <w:tcW w:w="960" w:type="dxa"/>
            <w:noWrap/>
            <w:vAlign w:val="center"/>
          </w:tcPr>
          <w:p w14:paraId="1562157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-1.71</w:t>
            </w:r>
          </w:p>
        </w:tc>
        <w:tc>
          <w:tcPr>
            <w:tcW w:w="960" w:type="dxa"/>
            <w:noWrap/>
            <w:vAlign w:val="center"/>
          </w:tcPr>
          <w:p w14:paraId="6EDD1D6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-1.37</w:t>
            </w:r>
          </w:p>
        </w:tc>
        <w:tc>
          <w:tcPr>
            <w:tcW w:w="960" w:type="dxa"/>
            <w:noWrap/>
            <w:vAlign w:val="center"/>
          </w:tcPr>
          <w:p w14:paraId="33BD458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-3.44</w:t>
            </w:r>
          </w:p>
        </w:tc>
        <w:tc>
          <w:tcPr>
            <w:tcW w:w="960" w:type="dxa"/>
            <w:noWrap/>
            <w:vAlign w:val="center"/>
          </w:tcPr>
          <w:p w14:paraId="7F21B29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-2.33</w:t>
            </w:r>
          </w:p>
        </w:tc>
        <w:tc>
          <w:tcPr>
            <w:tcW w:w="960" w:type="dxa"/>
            <w:noWrap/>
            <w:vAlign w:val="center"/>
          </w:tcPr>
          <w:p w14:paraId="4ACD6DE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-1.90</w:t>
            </w:r>
          </w:p>
        </w:tc>
        <w:tc>
          <w:tcPr>
            <w:tcW w:w="960" w:type="dxa"/>
            <w:noWrap/>
            <w:vAlign w:val="center"/>
          </w:tcPr>
          <w:p w14:paraId="45FDF3F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-1.60</w:t>
            </w:r>
          </w:p>
        </w:tc>
        <w:tc>
          <w:tcPr>
            <w:tcW w:w="960" w:type="dxa"/>
            <w:noWrap/>
            <w:vAlign w:val="center"/>
          </w:tcPr>
          <w:p w14:paraId="3A85E5C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-1.73</w:t>
            </w:r>
          </w:p>
        </w:tc>
        <w:tc>
          <w:tcPr>
            <w:tcW w:w="960" w:type="dxa"/>
            <w:noWrap/>
            <w:vAlign w:val="center"/>
          </w:tcPr>
          <w:p w14:paraId="3DCE192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0.70</w:t>
            </w:r>
          </w:p>
        </w:tc>
      </w:tr>
      <w:tr w14:paraId="0B07BA2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357AFD63">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max</w:t>
            </w:r>
          </w:p>
        </w:tc>
        <w:tc>
          <w:tcPr>
            <w:tcW w:w="960" w:type="dxa"/>
            <w:noWrap/>
            <w:vAlign w:val="center"/>
          </w:tcPr>
          <w:p w14:paraId="4A57948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1.85</w:t>
            </w:r>
          </w:p>
        </w:tc>
        <w:tc>
          <w:tcPr>
            <w:tcW w:w="960" w:type="dxa"/>
            <w:noWrap/>
            <w:vAlign w:val="center"/>
          </w:tcPr>
          <w:p w14:paraId="1CEA0FE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4.21</w:t>
            </w:r>
          </w:p>
        </w:tc>
        <w:tc>
          <w:tcPr>
            <w:tcW w:w="960" w:type="dxa"/>
            <w:noWrap/>
            <w:vAlign w:val="center"/>
          </w:tcPr>
          <w:p w14:paraId="5A7008D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2.32</w:t>
            </w:r>
          </w:p>
        </w:tc>
        <w:tc>
          <w:tcPr>
            <w:tcW w:w="960" w:type="dxa"/>
            <w:noWrap/>
            <w:vAlign w:val="center"/>
          </w:tcPr>
          <w:p w14:paraId="17104C1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2.52</w:t>
            </w:r>
          </w:p>
        </w:tc>
        <w:tc>
          <w:tcPr>
            <w:tcW w:w="960" w:type="dxa"/>
            <w:noWrap/>
            <w:vAlign w:val="center"/>
          </w:tcPr>
          <w:p w14:paraId="6742FCD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4.83</w:t>
            </w:r>
          </w:p>
        </w:tc>
        <w:tc>
          <w:tcPr>
            <w:tcW w:w="960" w:type="dxa"/>
            <w:noWrap/>
            <w:vAlign w:val="center"/>
          </w:tcPr>
          <w:p w14:paraId="0FEACE0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2.26</w:t>
            </w:r>
          </w:p>
        </w:tc>
        <w:tc>
          <w:tcPr>
            <w:tcW w:w="960" w:type="dxa"/>
            <w:noWrap/>
            <w:vAlign w:val="center"/>
          </w:tcPr>
          <w:p w14:paraId="3DEF8B8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1.80</w:t>
            </w:r>
          </w:p>
        </w:tc>
        <w:tc>
          <w:tcPr>
            <w:tcW w:w="960" w:type="dxa"/>
            <w:noWrap/>
            <w:vAlign w:val="center"/>
          </w:tcPr>
          <w:p w14:paraId="29C9C7B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2.78</w:t>
            </w:r>
          </w:p>
        </w:tc>
        <w:tc>
          <w:tcPr>
            <w:tcW w:w="960" w:type="dxa"/>
            <w:noWrap/>
            <w:vAlign w:val="center"/>
          </w:tcPr>
          <w:p w14:paraId="3CFE838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3.76</w:t>
            </w:r>
          </w:p>
        </w:tc>
      </w:tr>
      <w:tr w14:paraId="16E971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427DAFFB">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&lt;0</w:t>
            </w:r>
          </w:p>
        </w:tc>
        <w:tc>
          <w:tcPr>
            <w:tcW w:w="960" w:type="dxa"/>
            <w:noWrap/>
            <w:vAlign w:val="center"/>
          </w:tcPr>
          <w:p w14:paraId="6AD4F80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71.79%</w:t>
            </w:r>
          </w:p>
        </w:tc>
        <w:tc>
          <w:tcPr>
            <w:tcW w:w="960" w:type="dxa"/>
            <w:noWrap/>
            <w:vAlign w:val="center"/>
          </w:tcPr>
          <w:p w14:paraId="073C78E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43.59%</w:t>
            </w:r>
          </w:p>
        </w:tc>
        <w:tc>
          <w:tcPr>
            <w:tcW w:w="960" w:type="dxa"/>
            <w:noWrap/>
            <w:vAlign w:val="center"/>
          </w:tcPr>
          <w:p w14:paraId="35F693F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17.95%</w:t>
            </w:r>
          </w:p>
        </w:tc>
        <w:tc>
          <w:tcPr>
            <w:tcW w:w="960" w:type="dxa"/>
            <w:noWrap/>
            <w:vAlign w:val="center"/>
          </w:tcPr>
          <w:p w14:paraId="4F97ACC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66.67%</w:t>
            </w:r>
          </w:p>
        </w:tc>
        <w:tc>
          <w:tcPr>
            <w:tcW w:w="960" w:type="dxa"/>
            <w:noWrap/>
            <w:vAlign w:val="center"/>
          </w:tcPr>
          <w:p w14:paraId="08CCD2D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58.97%</w:t>
            </w:r>
          </w:p>
        </w:tc>
        <w:tc>
          <w:tcPr>
            <w:tcW w:w="960" w:type="dxa"/>
            <w:noWrap/>
            <w:vAlign w:val="center"/>
          </w:tcPr>
          <w:p w14:paraId="34C08B6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12.82%</w:t>
            </w:r>
          </w:p>
        </w:tc>
        <w:tc>
          <w:tcPr>
            <w:tcW w:w="960" w:type="dxa"/>
            <w:noWrap/>
            <w:vAlign w:val="center"/>
          </w:tcPr>
          <w:p w14:paraId="59B16C8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41.03%</w:t>
            </w:r>
          </w:p>
        </w:tc>
        <w:tc>
          <w:tcPr>
            <w:tcW w:w="960" w:type="dxa"/>
            <w:noWrap/>
            <w:vAlign w:val="center"/>
          </w:tcPr>
          <w:p w14:paraId="069C422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17.95%</w:t>
            </w:r>
          </w:p>
        </w:tc>
        <w:tc>
          <w:tcPr>
            <w:tcW w:w="960" w:type="dxa"/>
            <w:noWrap/>
            <w:vAlign w:val="center"/>
          </w:tcPr>
          <w:p w14:paraId="33A3330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w:t>
            </w:r>
          </w:p>
        </w:tc>
      </w:tr>
      <w:tr w14:paraId="62CF2E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14AE736C">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0~0.5</w:t>
            </w:r>
          </w:p>
        </w:tc>
        <w:tc>
          <w:tcPr>
            <w:tcW w:w="7680" w:type="dxa"/>
            <w:gridSpan w:val="8"/>
            <w:vMerge w:val="restart"/>
            <w:noWrap/>
            <w:vAlign w:val="center"/>
          </w:tcPr>
          <w:p w14:paraId="72452298">
            <w:pPr>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w:t>
            </w:r>
          </w:p>
        </w:tc>
        <w:tc>
          <w:tcPr>
            <w:tcW w:w="960" w:type="dxa"/>
            <w:noWrap/>
            <w:vAlign w:val="center"/>
          </w:tcPr>
          <w:p w14:paraId="614D053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r w14:paraId="0231CEE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413BDFA7">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0.5~1</w:t>
            </w:r>
          </w:p>
        </w:tc>
        <w:tc>
          <w:tcPr>
            <w:tcW w:w="7680" w:type="dxa"/>
            <w:gridSpan w:val="8"/>
            <w:vMerge w:val="continue"/>
            <w:noWrap/>
            <w:vAlign w:val="center"/>
          </w:tcPr>
          <w:p w14:paraId="1890964D">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7DE2D5D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r>
      <w:tr w14:paraId="339CF8C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4BDC3AD4">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0~1</w:t>
            </w:r>
          </w:p>
        </w:tc>
        <w:tc>
          <w:tcPr>
            <w:tcW w:w="960" w:type="dxa"/>
            <w:noWrap/>
            <w:vAlign w:val="center"/>
          </w:tcPr>
          <w:p w14:paraId="5AC9C3F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7.69%</w:t>
            </w:r>
          </w:p>
        </w:tc>
        <w:tc>
          <w:tcPr>
            <w:tcW w:w="960" w:type="dxa"/>
            <w:noWrap/>
            <w:vAlign w:val="center"/>
          </w:tcPr>
          <w:p w14:paraId="096FA94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17.95%</w:t>
            </w:r>
          </w:p>
        </w:tc>
        <w:tc>
          <w:tcPr>
            <w:tcW w:w="960" w:type="dxa"/>
            <w:noWrap/>
            <w:vAlign w:val="center"/>
          </w:tcPr>
          <w:p w14:paraId="1BBD0A3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58.97%</w:t>
            </w:r>
          </w:p>
        </w:tc>
        <w:tc>
          <w:tcPr>
            <w:tcW w:w="960" w:type="dxa"/>
            <w:noWrap/>
            <w:vAlign w:val="center"/>
          </w:tcPr>
          <w:p w14:paraId="3E3EA80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25.64%</w:t>
            </w:r>
          </w:p>
        </w:tc>
        <w:tc>
          <w:tcPr>
            <w:tcW w:w="960" w:type="dxa"/>
            <w:noWrap/>
            <w:vAlign w:val="center"/>
          </w:tcPr>
          <w:p w14:paraId="04C083D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w:t>
            </w:r>
          </w:p>
        </w:tc>
        <w:tc>
          <w:tcPr>
            <w:tcW w:w="960" w:type="dxa"/>
            <w:noWrap/>
            <w:vAlign w:val="center"/>
          </w:tcPr>
          <w:p w14:paraId="688E6F2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23.08%</w:t>
            </w:r>
          </w:p>
        </w:tc>
        <w:tc>
          <w:tcPr>
            <w:tcW w:w="960" w:type="dxa"/>
            <w:noWrap/>
            <w:vAlign w:val="center"/>
          </w:tcPr>
          <w:p w14:paraId="3B4BE14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51.28%</w:t>
            </w:r>
          </w:p>
        </w:tc>
        <w:tc>
          <w:tcPr>
            <w:tcW w:w="960" w:type="dxa"/>
            <w:noWrap/>
            <w:vAlign w:val="center"/>
          </w:tcPr>
          <w:p w14:paraId="690EF32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48.72%</w:t>
            </w:r>
          </w:p>
        </w:tc>
        <w:tc>
          <w:tcPr>
            <w:tcW w:w="960" w:type="dxa"/>
            <w:noWrap/>
            <w:vAlign w:val="center"/>
          </w:tcPr>
          <w:p w14:paraId="7D940BF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r>
      <w:tr w14:paraId="40F17E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2800942E">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1~2</w:t>
            </w:r>
          </w:p>
        </w:tc>
        <w:tc>
          <w:tcPr>
            <w:tcW w:w="960" w:type="dxa"/>
            <w:noWrap/>
            <w:vAlign w:val="center"/>
          </w:tcPr>
          <w:p w14:paraId="394170C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c>
          <w:tcPr>
            <w:tcW w:w="960" w:type="dxa"/>
            <w:noWrap/>
            <w:vAlign w:val="center"/>
          </w:tcPr>
          <w:p w14:paraId="1E90EB8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10.26%</w:t>
            </w:r>
          </w:p>
        </w:tc>
        <w:tc>
          <w:tcPr>
            <w:tcW w:w="960" w:type="dxa"/>
            <w:noWrap/>
            <w:vAlign w:val="center"/>
          </w:tcPr>
          <w:p w14:paraId="38A91E7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17.95%</w:t>
            </w:r>
          </w:p>
        </w:tc>
        <w:tc>
          <w:tcPr>
            <w:tcW w:w="960" w:type="dxa"/>
            <w:noWrap/>
            <w:vAlign w:val="center"/>
          </w:tcPr>
          <w:p w14:paraId="4B03B04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5.13%</w:t>
            </w:r>
          </w:p>
        </w:tc>
        <w:tc>
          <w:tcPr>
            <w:tcW w:w="960" w:type="dxa"/>
            <w:noWrap/>
            <w:vAlign w:val="center"/>
          </w:tcPr>
          <w:p w14:paraId="678F3C5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5.13%</w:t>
            </w:r>
          </w:p>
        </w:tc>
        <w:tc>
          <w:tcPr>
            <w:tcW w:w="960" w:type="dxa"/>
            <w:noWrap/>
            <w:vAlign w:val="center"/>
          </w:tcPr>
          <w:p w14:paraId="7D0B6CB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58.97%</w:t>
            </w:r>
          </w:p>
        </w:tc>
        <w:tc>
          <w:tcPr>
            <w:tcW w:w="960" w:type="dxa"/>
            <w:noWrap/>
            <w:vAlign w:val="center"/>
          </w:tcPr>
          <w:p w14:paraId="3A56736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7.69%</w:t>
            </w:r>
          </w:p>
        </w:tc>
        <w:tc>
          <w:tcPr>
            <w:tcW w:w="960" w:type="dxa"/>
            <w:noWrap/>
            <w:vAlign w:val="center"/>
          </w:tcPr>
          <w:p w14:paraId="21964F3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12.82%</w:t>
            </w:r>
          </w:p>
        </w:tc>
        <w:tc>
          <w:tcPr>
            <w:tcW w:w="960" w:type="dxa"/>
            <w:noWrap/>
            <w:vAlign w:val="center"/>
          </w:tcPr>
          <w:p w14:paraId="1E69190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53.85%</w:t>
            </w:r>
          </w:p>
        </w:tc>
      </w:tr>
      <w:tr w14:paraId="165B4B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0B9C4737">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2~3</w:t>
            </w:r>
          </w:p>
        </w:tc>
        <w:tc>
          <w:tcPr>
            <w:tcW w:w="960" w:type="dxa"/>
            <w:noWrap/>
            <w:vAlign w:val="center"/>
          </w:tcPr>
          <w:p w14:paraId="0564D08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7A1038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10.26%</w:t>
            </w:r>
          </w:p>
        </w:tc>
        <w:tc>
          <w:tcPr>
            <w:tcW w:w="960" w:type="dxa"/>
            <w:noWrap/>
            <w:vAlign w:val="center"/>
          </w:tcPr>
          <w:p w14:paraId="4710C06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5.13%</w:t>
            </w:r>
          </w:p>
        </w:tc>
        <w:tc>
          <w:tcPr>
            <w:tcW w:w="960" w:type="dxa"/>
            <w:noWrap/>
            <w:vAlign w:val="center"/>
          </w:tcPr>
          <w:p w14:paraId="68B3483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w:t>
            </w:r>
          </w:p>
        </w:tc>
        <w:tc>
          <w:tcPr>
            <w:tcW w:w="960" w:type="dxa"/>
            <w:noWrap/>
            <w:vAlign w:val="center"/>
          </w:tcPr>
          <w:p w14:paraId="40E6B41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7.69%</w:t>
            </w:r>
          </w:p>
        </w:tc>
        <w:tc>
          <w:tcPr>
            <w:tcW w:w="960" w:type="dxa"/>
            <w:noWrap/>
            <w:vAlign w:val="center"/>
          </w:tcPr>
          <w:p w14:paraId="6D98643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5.13%</w:t>
            </w:r>
          </w:p>
        </w:tc>
        <w:tc>
          <w:tcPr>
            <w:tcW w:w="960" w:type="dxa"/>
            <w:noWrap/>
            <w:vAlign w:val="center"/>
          </w:tcPr>
          <w:p w14:paraId="0A4AA91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6D44C57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c>
          <w:tcPr>
            <w:tcW w:w="960" w:type="dxa"/>
            <w:noWrap/>
            <w:vAlign w:val="center"/>
          </w:tcPr>
          <w:p w14:paraId="025873B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5.13%</w:t>
            </w:r>
          </w:p>
        </w:tc>
      </w:tr>
      <w:tr w14:paraId="7B2B95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475D23AD">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3~4</w:t>
            </w:r>
          </w:p>
        </w:tc>
        <w:tc>
          <w:tcPr>
            <w:tcW w:w="960" w:type="dxa"/>
            <w:noWrap/>
            <w:vAlign w:val="center"/>
          </w:tcPr>
          <w:p w14:paraId="5B2E7EA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1BDF8E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15.38%</w:t>
            </w:r>
          </w:p>
        </w:tc>
        <w:tc>
          <w:tcPr>
            <w:tcW w:w="960" w:type="dxa"/>
            <w:noWrap/>
            <w:vAlign w:val="center"/>
          </w:tcPr>
          <w:p w14:paraId="10038CA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733742A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A05AB2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10.26%</w:t>
            </w:r>
          </w:p>
        </w:tc>
        <w:tc>
          <w:tcPr>
            <w:tcW w:w="960" w:type="dxa"/>
            <w:noWrap/>
            <w:vAlign w:val="center"/>
          </w:tcPr>
          <w:p w14:paraId="3684F6B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5FA107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55594D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F3BFB7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r>
      <w:tr w14:paraId="39D5F2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521E6D1A">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4~5</w:t>
            </w:r>
          </w:p>
        </w:tc>
        <w:tc>
          <w:tcPr>
            <w:tcW w:w="960" w:type="dxa"/>
            <w:noWrap/>
            <w:vAlign w:val="center"/>
          </w:tcPr>
          <w:p w14:paraId="744C6F0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34D92E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w:t>
            </w:r>
          </w:p>
        </w:tc>
        <w:tc>
          <w:tcPr>
            <w:tcW w:w="960" w:type="dxa"/>
            <w:noWrap/>
            <w:vAlign w:val="center"/>
          </w:tcPr>
          <w:p w14:paraId="4208821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5B73FA6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B5A554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15.38%</w:t>
            </w:r>
          </w:p>
        </w:tc>
        <w:tc>
          <w:tcPr>
            <w:tcW w:w="960" w:type="dxa"/>
            <w:noWrap/>
            <w:vAlign w:val="center"/>
          </w:tcPr>
          <w:p w14:paraId="2385608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4ED5D51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7C5BD0D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6967452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r w14:paraId="59A344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5FCF291C">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&gt;5</w:t>
            </w:r>
          </w:p>
        </w:tc>
        <w:tc>
          <w:tcPr>
            <w:tcW w:w="960" w:type="dxa"/>
            <w:noWrap/>
            <w:vAlign w:val="center"/>
          </w:tcPr>
          <w:p w14:paraId="2969043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CD2B0A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79CFE33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74D7C9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2B0A59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3DCE30D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A34291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E18CBF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855AB8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bl>
    <w:p w14:paraId="10EE2315">
      <w:pPr>
        <w:rPr>
          <w:rFonts w:eastAsiaTheme="minorEastAsia"/>
        </w:rPr>
      </w:pPr>
    </w:p>
    <w:p w14:paraId="5EE29A88">
      <w:pPr>
        <w:rPr>
          <w:rFonts w:eastAsiaTheme="minorEastAsia"/>
        </w:rPr>
      </w:pPr>
    </w:p>
    <w:p w14:paraId="05A1E1E7">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 xml:space="preserve">Table S3 </w:t>
      </w:r>
      <w:r>
        <w:rPr>
          <w:rFonts w:ascii="Times New Roman" w:hAnsi="Times New Roman" w:cs="Times New Roman" w:eastAsiaTheme="minorEastAsia"/>
          <w:sz w:val="21"/>
          <w:szCs w:val="21"/>
        </w:rPr>
        <w:t>Statistical result of the potential ecological risk index.</w:t>
      </w:r>
    </w:p>
    <w:tbl>
      <w:tblPr>
        <w:tblStyle w:val="11"/>
        <w:tblW w:w="10025"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05"/>
        <w:gridCol w:w="960"/>
        <w:gridCol w:w="960"/>
        <w:gridCol w:w="1005"/>
        <w:gridCol w:w="960"/>
        <w:gridCol w:w="960"/>
        <w:gridCol w:w="1005"/>
        <w:gridCol w:w="1005"/>
        <w:gridCol w:w="1005"/>
        <w:gridCol w:w="960"/>
      </w:tblGrid>
      <w:tr w14:paraId="7C79AC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vMerge w:val="restart"/>
            <w:tcBorders>
              <w:top w:val="single" w:color="auto" w:sz="12" w:space="0"/>
              <w:bottom w:val="single" w:color="auto" w:sz="4" w:space="0"/>
              <w:insideH w:val="single" w:sz="4" w:space="0"/>
            </w:tcBorders>
            <w:noWrap/>
            <w:vAlign w:val="center"/>
          </w:tcPr>
          <w:p w14:paraId="006DB97A">
            <w:pPr>
              <w:widowControl/>
              <w:spacing w:line="240" w:lineRule="auto"/>
              <w:jc w:val="center"/>
              <w:rPr>
                <w:rFonts w:ascii="Times New Roman" w:hAnsi="Times New Roman" w:eastAsia="宋体" w:cs="Times New Roman"/>
                <w:kern w:val="0"/>
                <w:sz w:val="20"/>
                <w:szCs w:val="24"/>
              </w:rPr>
            </w:pPr>
            <w:r>
              <w:rPr>
                <w:rFonts w:hint="eastAsia" w:ascii="Times New Roman" w:hAnsi="Times New Roman" w:eastAsia="宋体" w:cs="Times New Roman"/>
                <w:b/>
                <w:bCs/>
                <w:kern w:val="0"/>
                <w:sz w:val="20"/>
                <w:szCs w:val="24"/>
              </w:rPr>
              <w:t>P</w:t>
            </w:r>
            <w:r>
              <w:rPr>
                <w:rFonts w:ascii="Times New Roman" w:hAnsi="Times New Roman" w:eastAsia="宋体" w:cs="Times New Roman"/>
                <w:b/>
                <w:bCs/>
                <w:kern w:val="0"/>
                <w:sz w:val="20"/>
                <w:szCs w:val="24"/>
              </w:rPr>
              <w:t>arameters</w:t>
            </w:r>
          </w:p>
        </w:tc>
        <w:tc>
          <w:tcPr>
            <w:tcW w:w="7860" w:type="dxa"/>
            <w:gridSpan w:val="8"/>
            <w:tcBorders>
              <w:top w:val="single" w:color="auto" w:sz="12" w:space="0"/>
              <w:bottom w:val="single" w:color="auto" w:sz="4" w:space="0"/>
              <w:insideH w:val="single" w:sz="4" w:space="0"/>
            </w:tcBorders>
            <w:noWrap/>
            <w:vAlign w:val="center"/>
          </w:tcPr>
          <w:p w14:paraId="612DDC95">
            <w:pPr>
              <w:widowControl/>
              <w:spacing w:line="240" w:lineRule="auto"/>
              <w:jc w:val="center"/>
              <w:rPr>
                <w:rFonts w:ascii="Times New Roman" w:hAnsi="Times New Roman" w:eastAsia="宋体" w:cs="Times New Roman"/>
                <w:b/>
                <w:bCs/>
                <w:kern w:val="0"/>
                <w:sz w:val="22"/>
                <w:szCs w:val="20"/>
              </w:rPr>
            </w:pPr>
            <w:r>
              <w:rPr>
                <w:rFonts w:hint="eastAsia" w:ascii="Times New Roman" w:hAnsi="Times New Roman" w:eastAsia="宋体" w:cs="Times New Roman"/>
                <w:b/>
                <w:bCs/>
                <w:kern w:val="0"/>
                <w:sz w:val="22"/>
                <w:szCs w:val="20"/>
              </w:rPr>
              <w:t>E</w:t>
            </w:r>
            <w:r>
              <w:rPr>
                <w:rFonts w:ascii="Times New Roman" w:hAnsi="Times New Roman" w:eastAsia="宋体" w:cs="Times New Roman"/>
                <w:b/>
                <w:bCs/>
                <w:kern w:val="0"/>
                <w:sz w:val="22"/>
                <w:szCs w:val="20"/>
              </w:rPr>
              <w:t>r</w:t>
            </w:r>
          </w:p>
        </w:tc>
        <w:tc>
          <w:tcPr>
            <w:tcW w:w="960" w:type="dxa"/>
            <w:vMerge w:val="restart"/>
            <w:tcBorders>
              <w:top w:val="single" w:color="auto" w:sz="12" w:space="0"/>
              <w:bottom w:val="single" w:color="auto" w:sz="4" w:space="0"/>
              <w:insideH w:val="single" w:sz="4" w:space="0"/>
            </w:tcBorders>
            <w:noWrap/>
            <w:vAlign w:val="center"/>
          </w:tcPr>
          <w:p w14:paraId="37741C97">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PERI</w:t>
            </w:r>
          </w:p>
        </w:tc>
      </w:tr>
      <w:tr w14:paraId="616C2F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vMerge w:val="continue"/>
            <w:tcBorders>
              <w:bottom w:val="single" w:color="auto" w:sz="4" w:space="0"/>
            </w:tcBorders>
            <w:noWrap/>
            <w:vAlign w:val="center"/>
          </w:tcPr>
          <w:p w14:paraId="27318FA2">
            <w:pPr>
              <w:widowControl/>
              <w:spacing w:line="240" w:lineRule="auto"/>
              <w:jc w:val="center"/>
              <w:rPr>
                <w:rFonts w:ascii="Times New Roman" w:hAnsi="Times New Roman" w:eastAsia="宋体" w:cs="Times New Roman"/>
                <w:b/>
                <w:bCs/>
                <w:kern w:val="0"/>
                <w:sz w:val="20"/>
                <w:szCs w:val="24"/>
              </w:rPr>
            </w:pPr>
          </w:p>
        </w:tc>
        <w:tc>
          <w:tcPr>
            <w:tcW w:w="960" w:type="dxa"/>
            <w:tcBorders>
              <w:bottom w:val="single" w:color="auto" w:sz="4" w:space="0"/>
            </w:tcBorders>
            <w:noWrap/>
            <w:vAlign w:val="center"/>
          </w:tcPr>
          <w:p w14:paraId="3360125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As</w:t>
            </w:r>
          </w:p>
        </w:tc>
        <w:tc>
          <w:tcPr>
            <w:tcW w:w="960" w:type="dxa"/>
            <w:tcBorders>
              <w:bottom w:val="single" w:color="auto" w:sz="4" w:space="0"/>
            </w:tcBorders>
            <w:noWrap/>
            <w:vAlign w:val="center"/>
          </w:tcPr>
          <w:p w14:paraId="07AC814E">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Cd</w:t>
            </w:r>
          </w:p>
        </w:tc>
        <w:tc>
          <w:tcPr>
            <w:tcW w:w="1005" w:type="dxa"/>
            <w:tcBorders>
              <w:bottom w:val="single" w:color="auto" w:sz="4" w:space="0"/>
            </w:tcBorders>
            <w:noWrap/>
            <w:vAlign w:val="center"/>
          </w:tcPr>
          <w:p w14:paraId="7FE93DD0">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Cr</w:t>
            </w:r>
          </w:p>
        </w:tc>
        <w:tc>
          <w:tcPr>
            <w:tcW w:w="960" w:type="dxa"/>
            <w:tcBorders>
              <w:bottom w:val="single" w:color="auto" w:sz="4" w:space="0"/>
            </w:tcBorders>
            <w:noWrap/>
            <w:vAlign w:val="center"/>
          </w:tcPr>
          <w:p w14:paraId="31F54269">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Hg</w:t>
            </w:r>
          </w:p>
        </w:tc>
        <w:tc>
          <w:tcPr>
            <w:tcW w:w="960" w:type="dxa"/>
            <w:tcBorders>
              <w:bottom w:val="single" w:color="auto" w:sz="4" w:space="0"/>
            </w:tcBorders>
            <w:noWrap/>
            <w:vAlign w:val="center"/>
          </w:tcPr>
          <w:p w14:paraId="290174B6">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Pb</w:t>
            </w:r>
          </w:p>
        </w:tc>
        <w:tc>
          <w:tcPr>
            <w:tcW w:w="1005" w:type="dxa"/>
            <w:tcBorders>
              <w:bottom w:val="single" w:color="auto" w:sz="4" w:space="0"/>
            </w:tcBorders>
            <w:noWrap/>
            <w:vAlign w:val="center"/>
          </w:tcPr>
          <w:p w14:paraId="37E7374B">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Cu</w:t>
            </w:r>
          </w:p>
        </w:tc>
        <w:tc>
          <w:tcPr>
            <w:tcW w:w="1005" w:type="dxa"/>
            <w:tcBorders>
              <w:bottom w:val="single" w:color="auto" w:sz="4" w:space="0"/>
            </w:tcBorders>
            <w:noWrap/>
            <w:vAlign w:val="center"/>
          </w:tcPr>
          <w:p w14:paraId="3C41158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Ni</w:t>
            </w:r>
          </w:p>
        </w:tc>
        <w:tc>
          <w:tcPr>
            <w:tcW w:w="1005" w:type="dxa"/>
            <w:tcBorders>
              <w:bottom w:val="single" w:color="auto" w:sz="4" w:space="0"/>
            </w:tcBorders>
            <w:noWrap/>
            <w:vAlign w:val="center"/>
          </w:tcPr>
          <w:p w14:paraId="27E3E1B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Zn</w:t>
            </w:r>
          </w:p>
        </w:tc>
        <w:tc>
          <w:tcPr>
            <w:tcW w:w="960" w:type="dxa"/>
            <w:vMerge w:val="continue"/>
            <w:tcBorders>
              <w:bottom w:val="single" w:color="auto" w:sz="4" w:space="0"/>
            </w:tcBorders>
            <w:noWrap/>
            <w:vAlign w:val="center"/>
          </w:tcPr>
          <w:p w14:paraId="6C57051E">
            <w:pPr>
              <w:widowControl/>
              <w:spacing w:line="240" w:lineRule="auto"/>
              <w:jc w:val="center"/>
              <w:rPr>
                <w:rFonts w:ascii="Times New Roman" w:hAnsi="Times New Roman" w:eastAsia="宋体" w:cs="Times New Roman"/>
                <w:b/>
                <w:bCs/>
                <w:kern w:val="0"/>
                <w:sz w:val="22"/>
                <w:szCs w:val="20"/>
              </w:rPr>
            </w:pPr>
          </w:p>
        </w:tc>
      </w:tr>
      <w:tr w14:paraId="594F05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tcBorders>
              <w:top w:val="single" w:color="auto" w:sz="4" w:space="0"/>
            </w:tcBorders>
            <w:noWrap/>
            <w:vAlign w:val="center"/>
          </w:tcPr>
          <w:p w14:paraId="62D182C4">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mean</w:t>
            </w:r>
          </w:p>
        </w:tc>
        <w:tc>
          <w:tcPr>
            <w:tcW w:w="960" w:type="dxa"/>
            <w:tcBorders>
              <w:top w:val="single" w:color="auto" w:sz="4" w:space="0"/>
            </w:tcBorders>
            <w:noWrap/>
            <w:vAlign w:val="center"/>
          </w:tcPr>
          <w:p w14:paraId="1A92748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13.33</w:t>
            </w:r>
          </w:p>
        </w:tc>
        <w:tc>
          <w:tcPr>
            <w:tcW w:w="960" w:type="dxa"/>
            <w:tcBorders>
              <w:top w:val="single" w:color="auto" w:sz="4" w:space="0"/>
            </w:tcBorders>
            <w:noWrap/>
            <w:vAlign w:val="center"/>
          </w:tcPr>
          <w:p w14:paraId="7F8DBC1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169.23</w:t>
            </w:r>
          </w:p>
        </w:tc>
        <w:tc>
          <w:tcPr>
            <w:tcW w:w="1005" w:type="dxa"/>
            <w:tcBorders>
              <w:top w:val="single" w:color="auto" w:sz="4" w:space="0"/>
            </w:tcBorders>
            <w:noWrap/>
            <w:vAlign w:val="center"/>
          </w:tcPr>
          <w:p w14:paraId="7B75455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4.95</w:t>
            </w:r>
          </w:p>
        </w:tc>
        <w:tc>
          <w:tcPr>
            <w:tcW w:w="960" w:type="dxa"/>
            <w:tcBorders>
              <w:top w:val="single" w:color="auto" w:sz="4" w:space="0"/>
            </w:tcBorders>
            <w:noWrap/>
            <w:vAlign w:val="center"/>
          </w:tcPr>
          <w:p w14:paraId="5CF156F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55.19</w:t>
            </w:r>
          </w:p>
        </w:tc>
        <w:tc>
          <w:tcPr>
            <w:tcW w:w="960" w:type="dxa"/>
            <w:tcBorders>
              <w:top w:val="single" w:color="auto" w:sz="4" w:space="0"/>
            </w:tcBorders>
            <w:noWrap/>
            <w:vAlign w:val="center"/>
          </w:tcPr>
          <w:p w14:paraId="31A15B0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38.49</w:t>
            </w:r>
          </w:p>
        </w:tc>
        <w:tc>
          <w:tcPr>
            <w:tcW w:w="1005" w:type="dxa"/>
            <w:tcBorders>
              <w:top w:val="single" w:color="auto" w:sz="4" w:space="0"/>
            </w:tcBorders>
            <w:noWrap/>
            <w:vAlign w:val="center"/>
          </w:tcPr>
          <w:p w14:paraId="162D0E1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16.48</w:t>
            </w:r>
          </w:p>
        </w:tc>
        <w:tc>
          <w:tcPr>
            <w:tcW w:w="1005" w:type="dxa"/>
            <w:tcBorders>
              <w:top w:val="single" w:color="auto" w:sz="4" w:space="0"/>
            </w:tcBorders>
            <w:noWrap/>
            <w:vAlign w:val="center"/>
          </w:tcPr>
          <w:p w14:paraId="5981F18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8.66</w:t>
            </w:r>
          </w:p>
        </w:tc>
        <w:tc>
          <w:tcPr>
            <w:tcW w:w="1005" w:type="dxa"/>
            <w:tcBorders>
              <w:top w:val="single" w:color="auto" w:sz="4" w:space="0"/>
            </w:tcBorders>
            <w:noWrap/>
            <w:vAlign w:val="center"/>
          </w:tcPr>
          <w:p w14:paraId="691AAC5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3.20</w:t>
            </w:r>
          </w:p>
        </w:tc>
        <w:tc>
          <w:tcPr>
            <w:tcW w:w="960" w:type="dxa"/>
            <w:tcBorders>
              <w:top w:val="single" w:color="auto" w:sz="4" w:space="0"/>
            </w:tcBorders>
            <w:noWrap/>
            <w:vAlign w:val="center"/>
          </w:tcPr>
          <w:p w14:paraId="3F52749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309.54</w:t>
            </w:r>
          </w:p>
        </w:tc>
      </w:tr>
      <w:tr w14:paraId="7E6625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47974C8C">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min</w:t>
            </w:r>
          </w:p>
        </w:tc>
        <w:tc>
          <w:tcPr>
            <w:tcW w:w="960" w:type="dxa"/>
            <w:noWrap/>
            <w:vAlign w:val="center"/>
          </w:tcPr>
          <w:p w14:paraId="1260820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1.29</w:t>
            </w:r>
          </w:p>
        </w:tc>
        <w:tc>
          <w:tcPr>
            <w:tcW w:w="960" w:type="dxa"/>
            <w:noWrap/>
            <w:vAlign w:val="center"/>
          </w:tcPr>
          <w:p w14:paraId="1B6856D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13.76</w:t>
            </w:r>
          </w:p>
        </w:tc>
        <w:tc>
          <w:tcPr>
            <w:tcW w:w="1005" w:type="dxa"/>
            <w:noWrap/>
            <w:vAlign w:val="center"/>
          </w:tcPr>
          <w:p w14:paraId="0CD7BD2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1.16</w:t>
            </w:r>
          </w:p>
        </w:tc>
        <w:tc>
          <w:tcPr>
            <w:tcW w:w="960" w:type="dxa"/>
            <w:noWrap/>
            <w:vAlign w:val="center"/>
          </w:tcPr>
          <w:p w14:paraId="4B80A5E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5.52</w:t>
            </w:r>
          </w:p>
        </w:tc>
        <w:tc>
          <w:tcPr>
            <w:tcW w:w="960" w:type="dxa"/>
            <w:noWrap/>
            <w:vAlign w:val="center"/>
          </w:tcPr>
          <w:p w14:paraId="216AAC1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1.49</w:t>
            </w:r>
          </w:p>
        </w:tc>
        <w:tc>
          <w:tcPr>
            <w:tcW w:w="1005" w:type="dxa"/>
            <w:noWrap/>
            <w:vAlign w:val="center"/>
          </w:tcPr>
          <w:p w14:paraId="14581E1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2.01</w:t>
            </w:r>
          </w:p>
        </w:tc>
        <w:tc>
          <w:tcPr>
            <w:tcW w:w="1005" w:type="dxa"/>
            <w:noWrap/>
            <w:vAlign w:val="center"/>
          </w:tcPr>
          <w:p w14:paraId="1387DD6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2.48</w:t>
            </w:r>
          </w:p>
        </w:tc>
        <w:tc>
          <w:tcPr>
            <w:tcW w:w="1005" w:type="dxa"/>
            <w:noWrap/>
            <w:vAlign w:val="center"/>
          </w:tcPr>
          <w:p w14:paraId="5E45B25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0.45</w:t>
            </w:r>
          </w:p>
        </w:tc>
        <w:tc>
          <w:tcPr>
            <w:tcW w:w="960" w:type="dxa"/>
            <w:noWrap/>
            <w:vAlign w:val="center"/>
          </w:tcPr>
          <w:p w14:paraId="32D7084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31.69</w:t>
            </w:r>
          </w:p>
        </w:tc>
      </w:tr>
      <w:tr w14:paraId="7E370E3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2FC8BDAD">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max</w:t>
            </w:r>
          </w:p>
        </w:tc>
        <w:tc>
          <w:tcPr>
            <w:tcW w:w="960" w:type="dxa"/>
            <w:noWrap/>
            <w:vAlign w:val="center"/>
          </w:tcPr>
          <w:p w14:paraId="4321568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54.18</w:t>
            </w:r>
          </w:p>
        </w:tc>
        <w:tc>
          <w:tcPr>
            <w:tcW w:w="960" w:type="dxa"/>
            <w:noWrap/>
            <w:vAlign w:val="center"/>
          </w:tcPr>
          <w:p w14:paraId="7100B00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833.94</w:t>
            </w:r>
          </w:p>
        </w:tc>
        <w:tc>
          <w:tcPr>
            <w:tcW w:w="1005" w:type="dxa"/>
            <w:noWrap/>
            <w:vAlign w:val="center"/>
          </w:tcPr>
          <w:p w14:paraId="426F32C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14.94</w:t>
            </w:r>
          </w:p>
        </w:tc>
        <w:tc>
          <w:tcPr>
            <w:tcW w:w="960" w:type="dxa"/>
            <w:noWrap/>
            <w:vAlign w:val="center"/>
          </w:tcPr>
          <w:p w14:paraId="3EFCA5F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344.83</w:t>
            </w:r>
          </w:p>
        </w:tc>
        <w:tc>
          <w:tcPr>
            <w:tcW w:w="960" w:type="dxa"/>
            <w:noWrap/>
            <w:vAlign w:val="center"/>
          </w:tcPr>
          <w:p w14:paraId="7D78814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212.93</w:t>
            </w:r>
          </w:p>
        </w:tc>
        <w:tc>
          <w:tcPr>
            <w:tcW w:w="1005" w:type="dxa"/>
            <w:noWrap/>
            <w:vAlign w:val="center"/>
          </w:tcPr>
          <w:p w14:paraId="1304344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35.85</w:t>
            </w:r>
          </w:p>
        </w:tc>
        <w:tc>
          <w:tcPr>
            <w:tcW w:w="1005" w:type="dxa"/>
            <w:noWrap/>
            <w:vAlign w:val="center"/>
          </w:tcPr>
          <w:p w14:paraId="23560CD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26.12</w:t>
            </w:r>
          </w:p>
        </w:tc>
        <w:tc>
          <w:tcPr>
            <w:tcW w:w="1005" w:type="dxa"/>
            <w:noWrap/>
            <w:vAlign w:val="center"/>
          </w:tcPr>
          <w:p w14:paraId="373667E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10.32</w:t>
            </w:r>
          </w:p>
        </w:tc>
        <w:tc>
          <w:tcPr>
            <w:tcW w:w="960" w:type="dxa"/>
            <w:noWrap/>
            <w:vAlign w:val="center"/>
          </w:tcPr>
          <w:p w14:paraId="3D3D92D7">
            <w:pPr>
              <w:widowControl/>
              <w:spacing w:line="240" w:lineRule="auto"/>
              <w:jc w:val="center"/>
              <w:rPr>
                <w:rFonts w:ascii="Times New Roman" w:hAnsi="Times New Roman" w:eastAsia="等线" w:cs="Times New Roman"/>
                <w:color w:val="000000"/>
                <w:kern w:val="0"/>
                <w:sz w:val="22"/>
                <w:szCs w:val="20"/>
              </w:rPr>
            </w:pPr>
            <w:r>
              <w:rPr>
                <w:rFonts w:hint="eastAsia" w:ascii="Times New Roman" w:hAnsi="Times New Roman" w:eastAsia="等线" w:cs="Times New Roman"/>
                <w:color w:val="000000"/>
                <w:kern w:val="0"/>
                <w:sz w:val="22"/>
                <w:szCs w:val="20"/>
              </w:rPr>
              <w:t>1</w:t>
            </w:r>
            <w:r>
              <w:rPr>
                <w:rFonts w:ascii="Times New Roman" w:hAnsi="Times New Roman" w:eastAsia="等线" w:cs="Times New Roman"/>
                <w:color w:val="000000"/>
                <w:kern w:val="0"/>
                <w:sz w:val="22"/>
                <w:szCs w:val="20"/>
              </w:rPr>
              <w:t>214.30</w:t>
            </w:r>
          </w:p>
        </w:tc>
      </w:tr>
      <w:tr w14:paraId="7E829E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2129DC41">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&lt;40</w:t>
            </w:r>
          </w:p>
        </w:tc>
        <w:tc>
          <w:tcPr>
            <w:tcW w:w="960" w:type="dxa"/>
            <w:noWrap/>
            <w:vAlign w:val="center"/>
          </w:tcPr>
          <w:p w14:paraId="5DF375F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87.18%</w:t>
            </w:r>
          </w:p>
        </w:tc>
        <w:tc>
          <w:tcPr>
            <w:tcW w:w="960" w:type="dxa"/>
            <w:noWrap/>
            <w:vAlign w:val="center"/>
          </w:tcPr>
          <w:p w14:paraId="6001621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35.90%</w:t>
            </w:r>
          </w:p>
        </w:tc>
        <w:tc>
          <w:tcPr>
            <w:tcW w:w="1005" w:type="dxa"/>
            <w:noWrap/>
            <w:vAlign w:val="center"/>
          </w:tcPr>
          <w:p w14:paraId="301CF2A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100.00%</w:t>
            </w:r>
          </w:p>
        </w:tc>
        <w:tc>
          <w:tcPr>
            <w:tcW w:w="960" w:type="dxa"/>
            <w:noWrap/>
            <w:vAlign w:val="center"/>
          </w:tcPr>
          <w:p w14:paraId="6195085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43.59%</w:t>
            </w:r>
          </w:p>
        </w:tc>
        <w:tc>
          <w:tcPr>
            <w:tcW w:w="960" w:type="dxa"/>
            <w:noWrap/>
            <w:vAlign w:val="center"/>
          </w:tcPr>
          <w:p w14:paraId="2D6EDDF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71.79%</w:t>
            </w:r>
          </w:p>
        </w:tc>
        <w:tc>
          <w:tcPr>
            <w:tcW w:w="1005" w:type="dxa"/>
            <w:noWrap/>
            <w:vAlign w:val="center"/>
          </w:tcPr>
          <w:p w14:paraId="1146CC3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100.00%</w:t>
            </w:r>
          </w:p>
        </w:tc>
        <w:tc>
          <w:tcPr>
            <w:tcW w:w="1005" w:type="dxa"/>
            <w:noWrap/>
            <w:vAlign w:val="center"/>
          </w:tcPr>
          <w:p w14:paraId="641602C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100.00%</w:t>
            </w:r>
          </w:p>
        </w:tc>
        <w:tc>
          <w:tcPr>
            <w:tcW w:w="1005" w:type="dxa"/>
            <w:noWrap/>
            <w:vAlign w:val="center"/>
          </w:tcPr>
          <w:p w14:paraId="3B752BC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100.00%</w:t>
            </w:r>
          </w:p>
        </w:tc>
        <w:tc>
          <w:tcPr>
            <w:tcW w:w="960" w:type="dxa"/>
            <w:vMerge w:val="restart"/>
            <w:noWrap/>
            <w:vAlign w:val="center"/>
          </w:tcPr>
          <w:p w14:paraId="191CBCC5">
            <w:pPr>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w:t>
            </w:r>
          </w:p>
        </w:tc>
      </w:tr>
      <w:tr w14:paraId="1DA5C6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7410BC4E">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40~80</w:t>
            </w:r>
          </w:p>
        </w:tc>
        <w:tc>
          <w:tcPr>
            <w:tcW w:w="960" w:type="dxa"/>
            <w:noWrap/>
            <w:vAlign w:val="center"/>
          </w:tcPr>
          <w:p w14:paraId="4115021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12.82%</w:t>
            </w:r>
          </w:p>
        </w:tc>
        <w:tc>
          <w:tcPr>
            <w:tcW w:w="960" w:type="dxa"/>
            <w:noWrap/>
            <w:vAlign w:val="center"/>
          </w:tcPr>
          <w:p w14:paraId="5DFDC24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23.08%</w:t>
            </w:r>
          </w:p>
        </w:tc>
        <w:tc>
          <w:tcPr>
            <w:tcW w:w="1005" w:type="dxa"/>
            <w:noWrap/>
            <w:vAlign w:val="center"/>
          </w:tcPr>
          <w:p w14:paraId="6B14330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0F5933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33.33%</w:t>
            </w:r>
          </w:p>
        </w:tc>
        <w:tc>
          <w:tcPr>
            <w:tcW w:w="960" w:type="dxa"/>
            <w:noWrap/>
            <w:vAlign w:val="center"/>
          </w:tcPr>
          <w:p w14:paraId="681C92F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7.69%</w:t>
            </w:r>
          </w:p>
        </w:tc>
        <w:tc>
          <w:tcPr>
            <w:tcW w:w="1005" w:type="dxa"/>
            <w:noWrap/>
            <w:vAlign w:val="center"/>
          </w:tcPr>
          <w:p w14:paraId="2B3E271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0A6E156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3C38539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vMerge w:val="continue"/>
            <w:noWrap/>
            <w:vAlign w:val="center"/>
          </w:tcPr>
          <w:p w14:paraId="57EC41D1">
            <w:pPr>
              <w:spacing w:line="240" w:lineRule="auto"/>
              <w:jc w:val="center"/>
              <w:rPr>
                <w:rFonts w:ascii="Times New Roman" w:hAnsi="Times New Roman" w:eastAsia="等线" w:cs="Times New Roman"/>
                <w:color w:val="000000"/>
                <w:kern w:val="0"/>
                <w:sz w:val="22"/>
                <w:szCs w:val="20"/>
              </w:rPr>
            </w:pPr>
          </w:p>
        </w:tc>
      </w:tr>
      <w:tr w14:paraId="5AEEF8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7BCEDBFA">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80~160</w:t>
            </w:r>
          </w:p>
        </w:tc>
        <w:tc>
          <w:tcPr>
            <w:tcW w:w="960" w:type="dxa"/>
            <w:noWrap/>
            <w:vAlign w:val="center"/>
          </w:tcPr>
          <w:p w14:paraId="49D9F56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49A7C2A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10.26%</w:t>
            </w:r>
          </w:p>
        </w:tc>
        <w:tc>
          <w:tcPr>
            <w:tcW w:w="1005" w:type="dxa"/>
            <w:noWrap/>
            <w:vAlign w:val="center"/>
          </w:tcPr>
          <w:p w14:paraId="43E2C1B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6D2EE69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c>
          <w:tcPr>
            <w:tcW w:w="960" w:type="dxa"/>
            <w:noWrap/>
            <w:vAlign w:val="center"/>
          </w:tcPr>
          <w:p w14:paraId="3B512FE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17.95%</w:t>
            </w:r>
          </w:p>
        </w:tc>
        <w:tc>
          <w:tcPr>
            <w:tcW w:w="1005" w:type="dxa"/>
            <w:noWrap/>
            <w:vAlign w:val="center"/>
          </w:tcPr>
          <w:p w14:paraId="34A6C2D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7C8DDF3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69B824E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vMerge w:val="continue"/>
            <w:noWrap/>
            <w:vAlign w:val="center"/>
          </w:tcPr>
          <w:p w14:paraId="586CA47B">
            <w:pPr>
              <w:spacing w:line="240" w:lineRule="auto"/>
              <w:jc w:val="center"/>
              <w:rPr>
                <w:rFonts w:ascii="Times New Roman" w:hAnsi="Times New Roman" w:eastAsia="等线" w:cs="Times New Roman"/>
                <w:color w:val="000000"/>
                <w:kern w:val="0"/>
                <w:sz w:val="22"/>
                <w:szCs w:val="20"/>
              </w:rPr>
            </w:pPr>
          </w:p>
        </w:tc>
      </w:tr>
      <w:tr w14:paraId="789700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1CBF021E">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160~320</w:t>
            </w:r>
          </w:p>
        </w:tc>
        <w:tc>
          <w:tcPr>
            <w:tcW w:w="960" w:type="dxa"/>
            <w:noWrap/>
            <w:vAlign w:val="center"/>
          </w:tcPr>
          <w:p w14:paraId="66C0E94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11C315D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10.26%</w:t>
            </w:r>
          </w:p>
        </w:tc>
        <w:tc>
          <w:tcPr>
            <w:tcW w:w="1005" w:type="dxa"/>
            <w:noWrap/>
            <w:vAlign w:val="center"/>
          </w:tcPr>
          <w:p w14:paraId="042A0EB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5C84012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4F2D6AF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w:t>
            </w:r>
          </w:p>
        </w:tc>
        <w:tc>
          <w:tcPr>
            <w:tcW w:w="1005" w:type="dxa"/>
            <w:noWrap/>
            <w:vAlign w:val="center"/>
          </w:tcPr>
          <w:p w14:paraId="1C6C92B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0C45574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5B327F6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vMerge w:val="continue"/>
            <w:noWrap/>
            <w:vAlign w:val="center"/>
          </w:tcPr>
          <w:p w14:paraId="3B4F9F17">
            <w:pPr>
              <w:spacing w:line="240" w:lineRule="auto"/>
              <w:jc w:val="center"/>
              <w:rPr>
                <w:rFonts w:ascii="Times New Roman" w:hAnsi="Times New Roman" w:eastAsia="等线" w:cs="Times New Roman"/>
                <w:color w:val="000000"/>
                <w:kern w:val="0"/>
                <w:sz w:val="22"/>
                <w:szCs w:val="20"/>
              </w:rPr>
            </w:pPr>
          </w:p>
        </w:tc>
      </w:tr>
      <w:tr w14:paraId="14725F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55C7E41E">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&gt;320</w:t>
            </w:r>
          </w:p>
        </w:tc>
        <w:tc>
          <w:tcPr>
            <w:tcW w:w="960" w:type="dxa"/>
            <w:noWrap/>
            <w:vAlign w:val="center"/>
          </w:tcPr>
          <w:p w14:paraId="708736E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0E530EB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c>
          <w:tcPr>
            <w:tcW w:w="1005" w:type="dxa"/>
            <w:noWrap/>
            <w:vAlign w:val="center"/>
          </w:tcPr>
          <w:p w14:paraId="2369778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noWrap/>
            <w:vAlign w:val="center"/>
          </w:tcPr>
          <w:p w14:paraId="201C1E9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2.56%</w:t>
            </w:r>
          </w:p>
        </w:tc>
        <w:tc>
          <w:tcPr>
            <w:tcW w:w="960" w:type="dxa"/>
            <w:noWrap/>
            <w:vAlign w:val="center"/>
          </w:tcPr>
          <w:p w14:paraId="71CF1DF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31BD57A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47D8BA7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1005" w:type="dxa"/>
            <w:noWrap/>
            <w:vAlign w:val="center"/>
          </w:tcPr>
          <w:p w14:paraId="60758F4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c>
          <w:tcPr>
            <w:tcW w:w="960" w:type="dxa"/>
            <w:vMerge w:val="continue"/>
            <w:noWrap/>
            <w:vAlign w:val="center"/>
          </w:tcPr>
          <w:p w14:paraId="1905F41B">
            <w:pPr>
              <w:widowControl/>
              <w:spacing w:line="240" w:lineRule="auto"/>
              <w:jc w:val="center"/>
              <w:rPr>
                <w:rFonts w:ascii="Times New Roman" w:hAnsi="Times New Roman" w:eastAsia="等线" w:cs="Times New Roman"/>
                <w:color w:val="000000"/>
                <w:kern w:val="0"/>
                <w:sz w:val="22"/>
                <w:szCs w:val="20"/>
              </w:rPr>
            </w:pPr>
          </w:p>
        </w:tc>
      </w:tr>
      <w:tr w14:paraId="563931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14D27CC7">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&lt;</w:t>
            </w:r>
            <w:r>
              <w:rPr>
                <w:rFonts w:hint="eastAsia" w:ascii="Times New Roman" w:hAnsi="Times New Roman" w:eastAsia="宋体" w:cs="Times New Roman"/>
                <w:b/>
                <w:bCs/>
                <w:kern w:val="0"/>
                <w:sz w:val="22"/>
                <w:szCs w:val="20"/>
              </w:rPr>
              <w:t>1</w:t>
            </w:r>
            <w:r>
              <w:rPr>
                <w:rFonts w:ascii="Times New Roman" w:hAnsi="Times New Roman" w:eastAsia="宋体" w:cs="Times New Roman"/>
                <w:b/>
                <w:bCs/>
                <w:kern w:val="0"/>
                <w:sz w:val="22"/>
                <w:szCs w:val="20"/>
              </w:rPr>
              <w:t>50</w:t>
            </w:r>
          </w:p>
        </w:tc>
        <w:tc>
          <w:tcPr>
            <w:tcW w:w="7860" w:type="dxa"/>
            <w:gridSpan w:val="8"/>
            <w:vMerge w:val="restart"/>
            <w:noWrap/>
            <w:vAlign w:val="center"/>
          </w:tcPr>
          <w:p w14:paraId="4A3F827E">
            <w:pPr>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w:t>
            </w:r>
          </w:p>
        </w:tc>
        <w:tc>
          <w:tcPr>
            <w:tcW w:w="960" w:type="dxa"/>
            <w:noWrap/>
            <w:vAlign w:val="center"/>
          </w:tcPr>
          <w:p w14:paraId="017DE7FB">
            <w:pPr>
              <w:widowControl/>
              <w:spacing w:line="240" w:lineRule="auto"/>
              <w:jc w:val="center"/>
              <w:rPr>
                <w:rFonts w:ascii="Times New Roman" w:hAnsi="Times New Roman" w:eastAsia="等线" w:cs="Times New Roman"/>
                <w:color w:val="000000"/>
                <w:kern w:val="0"/>
                <w:sz w:val="22"/>
                <w:szCs w:val="20"/>
              </w:rPr>
            </w:pPr>
            <w:r>
              <w:rPr>
                <w:rFonts w:hint="eastAsia" w:ascii="Times New Roman" w:hAnsi="Times New Roman" w:eastAsia="等线" w:cs="Times New Roman"/>
                <w:color w:val="000000"/>
                <w:kern w:val="0"/>
                <w:sz w:val="22"/>
                <w:szCs w:val="20"/>
              </w:rPr>
              <w:t>5</w:t>
            </w:r>
            <w:r>
              <w:rPr>
                <w:rFonts w:ascii="Times New Roman" w:hAnsi="Times New Roman" w:eastAsia="等线" w:cs="Times New Roman"/>
                <w:color w:val="000000"/>
                <w:kern w:val="0"/>
                <w:sz w:val="22"/>
                <w:szCs w:val="20"/>
              </w:rPr>
              <w:t>1.28%</w:t>
            </w:r>
          </w:p>
        </w:tc>
      </w:tr>
      <w:tr w14:paraId="759CA9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089A9D84">
            <w:pPr>
              <w:widowControl/>
              <w:spacing w:line="240" w:lineRule="auto"/>
              <w:jc w:val="center"/>
              <w:rPr>
                <w:rFonts w:ascii="Times New Roman" w:hAnsi="Times New Roman" w:eastAsia="宋体" w:cs="Times New Roman"/>
                <w:b/>
                <w:bCs/>
                <w:kern w:val="0"/>
                <w:sz w:val="22"/>
                <w:szCs w:val="20"/>
              </w:rPr>
            </w:pPr>
            <w:r>
              <w:rPr>
                <w:rFonts w:hint="eastAsia" w:ascii="Times New Roman" w:hAnsi="Times New Roman" w:eastAsia="宋体" w:cs="Times New Roman"/>
                <w:b/>
                <w:bCs/>
                <w:kern w:val="0"/>
                <w:sz w:val="22"/>
                <w:szCs w:val="20"/>
              </w:rPr>
              <w:t>1</w:t>
            </w:r>
            <w:r>
              <w:rPr>
                <w:rFonts w:ascii="Times New Roman" w:hAnsi="Times New Roman" w:eastAsia="宋体" w:cs="Times New Roman"/>
                <w:b/>
                <w:bCs/>
                <w:kern w:val="0"/>
                <w:sz w:val="22"/>
                <w:szCs w:val="20"/>
              </w:rPr>
              <w:t>50~300</w:t>
            </w:r>
          </w:p>
        </w:tc>
        <w:tc>
          <w:tcPr>
            <w:tcW w:w="7860" w:type="dxa"/>
            <w:gridSpan w:val="8"/>
            <w:vMerge w:val="continue"/>
            <w:noWrap/>
            <w:vAlign w:val="center"/>
          </w:tcPr>
          <w:p w14:paraId="4CD98FDD">
            <w:pPr>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5170F610">
            <w:pPr>
              <w:widowControl/>
              <w:spacing w:line="240" w:lineRule="auto"/>
              <w:jc w:val="center"/>
              <w:rPr>
                <w:rFonts w:ascii="Times New Roman" w:hAnsi="Times New Roman" w:eastAsia="等线" w:cs="Times New Roman"/>
                <w:color w:val="000000"/>
                <w:kern w:val="0"/>
                <w:sz w:val="22"/>
                <w:szCs w:val="20"/>
              </w:rPr>
            </w:pPr>
            <w:r>
              <w:rPr>
                <w:rFonts w:hint="eastAsia" w:ascii="Times New Roman" w:hAnsi="Times New Roman" w:eastAsia="等线" w:cs="Times New Roman"/>
                <w:color w:val="000000"/>
                <w:kern w:val="0"/>
                <w:sz w:val="22"/>
                <w:szCs w:val="20"/>
              </w:rPr>
              <w:t>1</w:t>
            </w:r>
            <w:r>
              <w:rPr>
                <w:rFonts w:ascii="Times New Roman" w:hAnsi="Times New Roman" w:eastAsia="等线" w:cs="Times New Roman"/>
                <w:color w:val="000000"/>
                <w:kern w:val="0"/>
                <w:sz w:val="22"/>
                <w:szCs w:val="20"/>
              </w:rPr>
              <w:t>5.38%</w:t>
            </w:r>
          </w:p>
        </w:tc>
      </w:tr>
      <w:tr w14:paraId="577B8A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790BA188">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300~600</w:t>
            </w:r>
          </w:p>
        </w:tc>
        <w:tc>
          <w:tcPr>
            <w:tcW w:w="7860" w:type="dxa"/>
            <w:gridSpan w:val="8"/>
            <w:vMerge w:val="continue"/>
            <w:noWrap/>
            <w:vAlign w:val="center"/>
          </w:tcPr>
          <w:p w14:paraId="404AAAB5">
            <w:pPr>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0B83B9CC">
            <w:pPr>
              <w:widowControl/>
              <w:spacing w:line="240" w:lineRule="auto"/>
              <w:jc w:val="center"/>
              <w:rPr>
                <w:rFonts w:ascii="Times New Roman" w:hAnsi="Times New Roman" w:eastAsia="等线" w:cs="Times New Roman"/>
                <w:color w:val="000000"/>
                <w:kern w:val="0"/>
                <w:sz w:val="22"/>
                <w:szCs w:val="20"/>
              </w:rPr>
            </w:pPr>
            <w:r>
              <w:rPr>
                <w:rFonts w:hint="eastAsia" w:ascii="Times New Roman" w:hAnsi="Times New Roman" w:eastAsia="等线" w:cs="Times New Roman"/>
                <w:color w:val="000000"/>
                <w:kern w:val="0"/>
                <w:sz w:val="22"/>
                <w:szCs w:val="20"/>
              </w:rPr>
              <w:t>1</w:t>
            </w:r>
            <w:r>
              <w:rPr>
                <w:rFonts w:ascii="Times New Roman" w:hAnsi="Times New Roman" w:eastAsia="等线" w:cs="Times New Roman"/>
                <w:color w:val="000000"/>
                <w:kern w:val="0"/>
                <w:sz w:val="22"/>
                <w:szCs w:val="20"/>
              </w:rPr>
              <w:t>2.82%</w:t>
            </w:r>
          </w:p>
        </w:tc>
      </w:tr>
      <w:tr w14:paraId="6381B1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1205" w:type="dxa"/>
            <w:noWrap/>
            <w:vAlign w:val="center"/>
          </w:tcPr>
          <w:p w14:paraId="53EA1CF5">
            <w:pPr>
              <w:widowControl/>
              <w:spacing w:line="240" w:lineRule="auto"/>
              <w:jc w:val="center"/>
              <w:rPr>
                <w:rFonts w:ascii="Times New Roman" w:hAnsi="Times New Roman" w:eastAsia="宋体" w:cs="Times New Roman"/>
                <w:b/>
                <w:bCs/>
                <w:kern w:val="0"/>
                <w:sz w:val="22"/>
                <w:szCs w:val="20"/>
              </w:rPr>
            </w:pPr>
            <w:r>
              <w:rPr>
                <w:rFonts w:ascii="Times New Roman" w:hAnsi="Times New Roman" w:eastAsia="宋体" w:cs="Times New Roman"/>
                <w:b/>
                <w:bCs/>
                <w:kern w:val="0"/>
                <w:sz w:val="22"/>
                <w:szCs w:val="20"/>
              </w:rPr>
              <w:t>&gt;600</w:t>
            </w:r>
          </w:p>
        </w:tc>
        <w:tc>
          <w:tcPr>
            <w:tcW w:w="7860" w:type="dxa"/>
            <w:gridSpan w:val="8"/>
            <w:vMerge w:val="continue"/>
            <w:noWrap/>
            <w:vAlign w:val="center"/>
          </w:tcPr>
          <w:p w14:paraId="2ABDEF6D">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5397040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20.51%</w:t>
            </w:r>
          </w:p>
        </w:tc>
      </w:tr>
    </w:tbl>
    <w:p w14:paraId="4E4FB876">
      <w:pPr>
        <w:rPr>
          <w:rFonts w:eastAsiaTheme="minorEastAsia"/>
        </w:rPr>
      </w:pPr>
      <w:bookmarkStart w:id="1" w:name="OLE_LINK9"/>
    </w:p>
    <w:p w14:paraId="3E65A517">
      <w:pPr>
        <w:rPr>
          <w:rFonts w:eastAsiaTheme="minorEastAsia"/>
        </w:rPr>
      </w:pPr>
    </w:p>
    <w:p w14:paraId="7E4F1FB0">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 xml:space="preserve">Table S4 </w:t>
      </w:r>
      <w:r>
        <w:rPr>
          <w:rFonts w:ascii="Times New Roman" w:hAnsi="Times New Roman" w:cs="Times New Roman" w:eastAsiaTheme="minorEastAsia"/>
          <w:sz w:val="21"/>
          <w:szCs w:val="21"/>
        </w:rPr>
        <w:t>Statistical result of the environmental capacity index.</w:t>
      </w:r>
    </w:p>
    <w:bookmarkEnd w:id="1"/>
    <w:tbl>
      <w:tblPr>
        <w:tblStyle w:val="11"/>
        <w:tblW w:w="9845"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05"/>
        <w:gridCol w:w="960"/>
        <w:gridCol w:w="960"/>
        <w:gridCol w:w="960"/>
        <w:gridCol w:w="960"/>
        <w:gridCol w:w="960"/>
        <w:gridCol w:w="960"/>
        <w:gridCol w:w="960"/>
        <w:gridCol w:w="960"/>
        <w:gridCol w:w="960"/>
      </w:tblGrid>
      <w:tr w14:paraId="264AEB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vMerge w:val="restart"/>
            <w:tcBorders>
              <w:top w:val="single" w:color="auto" w:sz="12" w:space="0"/>
              <w:bottom w:val="single" w:color="auto" w:sz="4" w:space="0"/>
              <w:insideH w:val="single" w:sz="4" w:space="0"/>
            </w:tcBorders>
            <w:noWrap/>
            <w:vAlign w:val="center"/>
          </w:tcPr>
          <w:p w14:paraId="13AB7C44">
            <w:pPr>
              <w:widowControl/>
              <w:spacing w:line="240" w:lineRule="auto"/>
              <w:jc w:val="center"/>
              <w:rPr>
                <w:rFonts w:ascii="Times New Roman" w:hAnsi="Times New Roman" w:eastAsia="宋体" w:cs="Times New Roman"/>
                <w:b/>
                <w:bCs/>
                <w:kern w:val="0"/>
                <w:sz w:val="21"/>
                <w:szCs w:val="21"/>
              </w:rPr>
            </w:pPr>
            <w:r>
              <w:rPr>
                <w:rFonts w:hint="eastAsia" w:ascii="Times New Roman" w:hAnsi="Times New Roman" w:eastAsia="宋体" w:cs="Times New Roman"/>
                <w:b/>
                <w:bCs/>
                <w:kern w:val="0"/>
                <w:sz w:val="20"/>
                <w:szCs w:val="24"/>
              </w:rPr>
              <w:t>P</w:t>
            </w:r>
            <w:r>
              <w:rPr>
                <w:rFonts w:ascii="Times New Roman" w:hAnsi="Times New Roman" w:eastAsia="宋体" w:cs="Times New Roman"/>
                <w:b/>
                <w:bCs/>
                <w:kern w:val="0"/>
                <w:sz w:val="20"/>
                <w:szCs w:val="24"/>
              </w:rPr>
              <w:t>arameters</w:t>
            </w:r>
          </w:p>
        </w:tc>
        <w:tc>
          <w:tcPr>
            <w:tcW w:w="7680" w:type="dxa"/>
            <w:gridSpan w:val="8"/>
            <w:tcBorders>
              <w:top w:val="single" w:color="auto" w:sz="12" w:space="0"/>
              <w:bottom w:val="single" w:color="auto" w:sz="4" w:space="0"/>
              <w:insideH w:val="single" w:sz="4" w:space="0"/>
            </w:tcBorders>
            <w:noWrap/>
            <w:vAlign w:val="center"/>
          </w:tcPr>
          <w:p w14:paraId="43B4132E">
            <w:pPr>
              <w:widowControl/>
              <w:spacing w:line="240" w:lineRule="auto"/>
              <w:jc w:val="center"/>
              <w:rPr>
                <w:rFonts w:ascii="Times New Roman" w:hAnsi="Times New Roman" w:eastAsia="等线" w:cs="Times New Roman"/>
                <w:b/>
                <w:bCs/>
                <w:color w:val="000000"/>
                <w:kern w:val="0"/>
                <w:sz w:val="21"/>
                <w:szCs w:val="21"/>
              </w:rPr>
            </w:pPr>
            <w:r>
              <w:rPr>
                <w:rFonts w:hint="eastAsia" w:ascii="Times New Roman" w:hAnsi="Times New Roman" w:eastAsia="等线" w:cs="Times New Roman"/>
                <w:b/>
                <w:bCs/>
                <w:color w:val="000000"/>
                <w:kern w:val="0"/>
                <w:sz w:val="21"/>
                <w:szCs w:val="21"/>
              </w:rPr>
              <w:t>P</w:t>
            </w:r>
            <w:r>
              <w:rPr>
                <w:rFonts w:ascii="Times New Roman" w:hAnsi="Times New Roman" w:eastAsia="等线" w:cs="Times New Roman"/>
                <w:b/>
                <w:bCs/>
                <w:color w:val="000000"/>
                <w:kern w:val="0"/>
                <w:sz w:val="21"/>
                <w:szCs w:val="21"/>
              </w:rPr>
              <w:t>i</w:t>
            </w:r>
          </w:p>
        </w:tc>
        <w:tc>
          <w:tcPr>
            <w:tcW w:w="960" w:type="dxa"/>
            <w:vMerge w:val="restart"/>
            <w:tcBorders>
              <w:top w:val="single" w:color="auto" w:sz="12" w:space="0"/>
              <w:bottom w:val="single" w:color="auto" w:sz="4" w:space="0"/>
              <w:insideH w:val="single" w:sz="4" w:space="0"/>
            </w:tcBorders>
            <w:noWrap/>
            <w:vAlign w:val="center"/>
          </w:tcPr>
          <w:p w14:paraId="6E50A15A">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PI</w:t>
            </w:r>
          </w:p>
        </w:tc>
      </w:tr>
      <w:tr w14:paraId="1FA577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vMerge w:val="continue"/>
            <w:tcBorders>
              <w:bottom w:val="single" w:color="auto" w:sz="4" w:space="0"/>
            </w:tcBorders>
            <w:noWrap/>
            <w:vAlign w:val="center"/>
          </w:tcPr>
          <w:p w14:paraId="40C5C5E7">
            <w:pPr>
              <w:widowControl/>
              <w:spacing w:line="240" w:lineRule="auto"/>
              <w:jc w:val="center"/>
              <w:rPr>
                <w:rFonts w:ascii="Times New Roman" w:hAnsi="Times New Roman" w:eastAsia="宋体" w:cs="Times New Roman"/>
                <w:b/>
                <w:bCs/>
                <w:kern w:val="0"/>
                <w:sz w:val="20"/>
                <w:szCs w:val="24"/>
              </w:rPr>
            </w:pPr>
          </w:p>
        </w:tc>
        <w:tc>
          <w:tcPr>
            <w:tcW w:w="960" w:type="dxa"/>
            <w:tcBorders>
              <w:bottom w:val="single" w:color="auto" w:sz="4" w:space="0"/>
            </w:tcBorders>
            <w:noWrap/>
            <w:vAlign w:val="center"/>
          </w:tcPr>
          <w:p w14:paraId="7E4614BE">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As</w:t>
            </w:r>
          </w:p>
        </w:tc>
        <w:tc>
          <w:tcPr>
            <w:tcW w:w="960" w:type="dxa"/>
            <w:tcBorders>
              <w:bottom w:val="single" w:color="auto" w:sz="4" w:space="0"/>
            </w:tcBorders>
            <w:noWrap/>
            <w:vAlign w:val="center"/>
          </w:tcPr>
          <w:p w14:paraId="6196B774">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Cd</w:t>
            </w:r>
          </w:p>
        </w:tc>
        <w:tc>
          <w:tcPr>
            <w:tcW w:w="960" w:type="dxa"/>
            <w:tcBorders>
              <w:bottom w:val="single" w:color="auto" w:sz="4" w:space="0"/>
            </w:tcBorders>
            <w:noWrap/>
            <w:vAlign w:val="center"/>
          </w:tcPr>
          <w:p w14:paraId="6E08D5D9">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Cr</w:t>
            </w:r>
          </w:p>
        </w:tc>
        <w:tc>
          <w:tcPr>
            <w:tcW w:w="960" w:type="dxa"/>
            <w:tcBorders>
              <w:bottom w:val="single" w:color="auto" w:sz="4" w:space="0"/>
            </w:tcBorders>
            <w:noWrap/>
            <w:vAlign w:val="center"/>
          </w:tcPr>
          <w:p w14:paraId="6400D792">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Hg</w:t>
            </w:r>
          </w:p>
        </w:tc>
        <w:tc>
          <w:tcPr>
            <w:tcW w:w="960" w:type="dxa"/>
            <w:tcBorders>
              <w:bottom w:val="single" w:color="auto" w:sz="4" w:space="0"/>
            </w:tcBorders>
            <w:noWrap/>
            <w:vAlign w:val="center"/>
          </w:tcPr>
          <w:p w14:paraId="0F5AF20E">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Pb</w:t>
            </w:r>
          </w:p>
        </w:tc>
        <w:tc>
          <w:tcPr>
            <w:tcW w:w="960" w:type="dxa"/>
            <w:tcBorders>
              <w:bottom w:val="single" w:color="auto" w:sz="4" w:space="0"/>
            </w:tcBorders>
            <w:noWrap/>
            <w:vAlign w:val="center"/>
          </w:tcPr>
          <w:p w14:paraId="2F04B9C9">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Cu</w:t>
            </w:r>
          </w:p>
        </w:tc>
        <w:tc>
          <w:tcPr>
            <w:tcW w:w="960" w:type="dxa"/>
            <w:tcBorders>
              <w:bottom w:val="single" w:color="auto" w:sz="4" w:space="0"/>
            </w:tcBorders>
            <w:noWrap/>
            <w:vAlign w:val="center"/>
          </w:tcPr>
          <w:p w14:paraId="63581E6C">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Ni</w:t>
            </w:r>
          </w:p>
        </w:tc>
        <w:tc>
          <w:tcPr>
            <w:tcW w:w="960" w:type="dxa"/>
            <w:tcBorders>
              <w:bottom w:val="single" w:color="auto" w:sz="4" w:space="0"/>
            </w:tcBorders>
            <w:noWrap/>
            <w:vAlign w:val="center"/>
          </w:tcPr>
          <w:p w14:paraId="4693FD3C">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Zn</w:t>
            </w:r>
          </w:p>
        </w:tc>
        <w:tc>
          <w:tcPr>
            <w:tcW w:w="960" w:type="dxa"/>
            <w:vMerge w:val="continue"/>
            <w:tcBorders>
              <w:bottom w:val="single" w:color="auto" w:sz="4" w:space="0"/>
            </w:tcBorders>
            <w:noWrap/>
            <w:vAlign w:val="center"/>
          </w:tcPr>
          <w:p w14:paraId="3666C522">
            <w:pPr>
              <w:widowControl/>
              <w:spacing w:line="240" w:lineRule="auto"/>
              <w:jc w:val="center"/>
              <w:rPr>
                <w:rFonts w:ascii="Times New Roman" w:hAnsi="Times New Roman" w:eastAsia="等线" w:cs="Times New Roman"/>
                <w:b/>
                <w:bCs/>
                <w:color w:val="000000"/>
                <w:kern w:val="0"/>
                <w:sz w:val="21"/>
                <w:szCs w:val="21"/>
              </w:rPr>
            </w:pPr>
          </w:p>
        </w:tc>
      </w:tr>
      <w:tr w14:paraId="345230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trHeight w:val="276" w:hRule="atLeast"/>
          <w:jc w:val="center"/>
        </w:trPr>
        <w:tc>
          <w:tcPr>
            <w:tcW w:w="1205" w:type="dxa"/>
            <w:tcBorders>
              <w:top w:val="single" w:color="auto" w:sz="4" w:space="0"/>
            </w:tcBorders>
            <w:noWrap/>
            <w:vAlign w:val="center"/>
          </w:tcPr>
          <w:p w14:paraId="232B77DB">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Mean</w:t>
            </w:r>
          </w:p>
        </w:tc>
        <w:tc>
          <w:tcPr>
            <w:tcW w:w="960" w:type="dxa"/>
            <w:tcBorders>
              <w:top w:val="single" w:color="auto" w:sz="4" w:space="0"/>
              <w:left w:val="nil"/>
              <w:bottom w:val="nil"/>
              <w:right w:val="nil"/>
            </w:tcBorders>
            <w:shd w:val="clear" w:color="auto" w:fill="auto"/>
            <w:noWrap/>
            <w:vAlign w:val="center"/>
          </w:tcPr>
          <w:p w14:paraId="55A1D3B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0.30</w:t>
            </w:r>
          </w:p>
        </w:tc>
        <w:tc>
          <w:tcPr>
            <w:tcW w:w="960" w:type="dxa"/>
            <w:tcBorders>
              <w:top w:val="single" w:color="auto" w:sz="4" w:space="0"/>
              <w:left w:val="nil"/>
              <w:bottom w:val="nil"/>
              <w:right w:val="nil"/>
            </w:tcBorders>
            <w:shd w:val="clear" w:color="auto" w:fill="auto"/>
            <w:noWrap/>
            <w:vAlign w:val="center"/>
          </w:tcPr>
          <w:p w14:paraId="3C44E8E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-4.00</w:t>
            </w:r>
          </w:p>
        </w:tc>
        <w:tc>
          <w:tcPr>
            <w:tcW w:w="960" w:type="dxa"/>
            <w:tcBorders>
              <w:top w:val="single" w:color="auto" w:sz="4" w:space="0"/>
              <w:left w:val="nil"/>
              <w:bottom w:val="nil"/>
              <w:right w:val="nil"/>
            </w:tcBorders>
            <w:shd w:val="clear" w:color="auto" w:fill="auto"/>
            <w:noWrap/>
            <w:vAlign w:val="center"/>
          </w:tcPr>
          <w:p w14:paraId="3AA8C22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0.45</w:t>
            </w:r>
          </w:p>
        </w:tc>
        <w:tc>
          <w:tcPr>
            <w:tcW w:w="960" w:type="dxa"/>
            <w:tcBorders>
              <w:top w:val="single" w:color="auto" w:sz="4" w:space="0"/>
              <w:left w:val="nil"/>
              <w:bottom w:val="nil"/>
              <w:right w:val="nil"/>
            </w:tcBorders>
            <w:shd w:val="clear" w:color="auto" w:fill="auto"/>
            <w:noWrap/>
            <w:vAlign w:val="center"/>
          </w:tcPr>
          <w:p w14:paraId="772E691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0.99</w:t>
            </w:r>
          </w:p>
        </w:tc>
        <w:tc>
          <w:tcPr>
            <w:tcW w:w="960" w:type="dxa"/>
            <w:tcBorders>
              <w:top w:val="single" w:color="auto" w:sz="4" w:space="0"/>
              <w:left w:val="nil"/>
              <w:bottom w:val="nil"/>
              <w:right w:val="nil"/>
            </w:tcBorders>
            <w:shd w:val="clear" w:color="auto" w:fill="auto"/>
            <w:noWrap/>
            <w:vAlign w:val="center"/>
          </w:tcPr>
          <w:p w14:paraId="4A82F71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-1.47</w:t>
            </w:r>
          </w:p>
        </w:tc>
        <w:tc>
          <w:tcPr>
            <w:tcW w:w="960" w:type="dxa"/>
            <w:tcBorders>
              <w:top w:val="single" w:color="auto" w:sz="4" w:space="0"/>
              <w:left w:val="nil"/>
              <w:bottom w:val="nil"/>
              <w:right w:val="nil"/>
            </w:tcBorders>
            <w:shd w:val="clear" w:color="auto" w:fill="auto"/>
            <w:noWrap/>
            <w:vAlign w:val="center"/>
          </w:tcPr>
          <w:p w14:paraId="1D4E15E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-0.98</w:t>
            </w:r>
          </w:p>
        </w:tc>
        <w:tc>
          <w:tcPr>
            <w:tcW w:w="960" w:type="dxa"/>
            <w:tcBorders>
              <w:top w:val="single" w:color="auto" w:sz="4" w:space="0"/>
              <w:left w:val="nil"/>
              <w:bottom w:val="nil"/>
              <w:right w:val="nil"/>
            </w:tcBorders>
            <w:shd w:val="clear" w:color="auto" w:fill="auto"/>
            <w:noWrap/>
            <w:vAlign w:val="center"/>
          </w:tcPr>
          <w:p w14:paraId="57AA417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0.74</w:t>
            </w:r>
          </w:p>
        </w:tc>
        <w:tc>
          <w:tcPr>
            <w:tcW w:w="960" w:type="dxa"/>
            <w:tcBorders>
              <w:top w:val="single" w:color="auto" w:sz="4" w:space="0"/>
              <w:left w:val="nil"/>
              <w:bottom w:val="nil"/>
              <w:right w:val="nil"/>
            </w:tcBorders>
            <w:shd w:val="clear" w:color="auto" w:fill="auto"/>
            <w:noWrap/>
            <w:vAlign w:val="center"/>
          </w:tcPr>
          <w:p w14:paraId="399F2FB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-0.02</w:t>
            </w:r>
          </w:p>
        </w:tc>
        <w:tc>
          <w:tcPr>
            <w:tcW w:w="960" w:type="dxa"/>
            <w:tcBorders>
              <w:top w:val="single" w:color="auto" w:sz="4" w:space="0"/>
              <w:left w:val="nil"/>
              <w:bottom w:val="nil"/>
              <w:right w:val="nil"/>
            </w:tcBorders>
            <w:shd w:val="clear" w:color="auto" w:fill="auto"/>
            <w:noWrap/>
            <w:vAlign w:val="center"/>
          </w:tcPr>
          <w:p w14:paraId="2AF5D75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-0.50</w:t>
            </w:r>
          </w:p>
        </w:tc>
      </w:tr>
      <w:tr w14:paraId="78D110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50288FF5">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Min</w:t>
            </w:r>
          </w:p>
        </w:tc>
        <w:tc>
          <w:tcPr>
            <w:tcW w:w="960" w:type="dxa"/>
            <w:tcBorders>
              <w:top w:val="nil"/>
              <w:left w:val="nil"/>
              <w:bottom w:val="nil"/>
              <w:right w:val="nil"/>
            </w:tcBorders>
            <w:shd w:val="clear" w:color="auto" w:fill="auto"/>
            <w:noWrap/>
            <w:vAlign w:val="center"/>
          </w:tcPr>
          <w:p w14:paraId="3F277A6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-10.76</w:t>
            </w:r>
          </w:p>
        </w:tc>
        <w:tc>
          <w:tcPr>
            <w:tcW w:w="960" w:type="dxa"/>
            <w:tcBorders>
              <w:top w:val="nil"/>
              <w:left w:val="nil"/>
              <w:bottom w:val="nil"/>
              <w:right w:val="nil"/>
            </w:tcBorders>
            <w:shd w:val="clear" w:color="auto" w:fill="auto"/>
            <w:noWrap/>
            <w:vAlign w:val="center"/>
          </w:tcPr>
          <w:p w14:paraId="688F976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-44.15</w:t>
            </w:r>
          </w:p>
        </w:tc>
        <w:tc>
          <w:tcPr>
            <w:tcW w:w="960" w:type="dxa"/>
            <w:tcBorders>
              <w:top w:val="nil"/>
              <w:left w:val="nil"/>
              <w:bottom w:val="nil"/>
              <w:right w:val="nil"/>
            </w:tcBorders>
            <w:shd w:val="clear" w:color="auto" w:fill="auto"/>
            <w:noWrap/>
            <w:vAlign w:val="center"/>
          </w:tcPr>
          <w:p w14:paraId="67B16B3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-1.28</w:t>
            </w:r>
          </w:p>
        </w:tc>
        <w:tc>
          <w:tcPr>
            <w:tcW w:w="960" w:type="dxa"/>
            <w:tcBorders>
              <w:top w:val="nil"/>
              <w:left w:val="nil"/>
              <w:bottom w:val="nil"/>
              <w:right w:val="nil"/>
            </w:tcBorders>
            <w:shd w:val="clear" w:color="auto" w:fill="auto"/>
            <w:noWrap/>
            <w:vAlign w:val="center"/>
          </w:tcPr>
          <w:p w14:paraId="1C6C154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0.87</w:t>
            </w:r>
          </w:p>
        </w:tc>
        <w:tc>
          <w:tcPr>
            <w:tcW w:w="960" w:type="dxa"/>
            <w:tcBorders>
              <w:top w:val="nil"/>
              <w:left w:val="nil"/>
              <w:bottom w:val="nil"/>
              <w:right w:val="nil"/>
            </w:tcBorders>
            <w:shd w:val="clear" w:color="auto" w:fill="auto"/>
            <w:noWrap/>
            <w:vAlign w:val="center"/>
          </w:tcPr>
          <w:p w14:paraId="7978D98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-14.81</w:t>
            </w:r>
          </w:p>
        </w:tc>
        <w:tc>
          <w:tcPr>
            <w:tcW w:w="960" w:type="dxa"/>
            <w:tcBorders>
              <w:top w:val="nil"/>
              <w:left w:val="nil"/>
              <w:bottom w:val="nil"/>
              <w:right w:val="nil"/>
            </w:tcBorders>
            <w:shd w:val="clear" w:color="auto" w:fill="auto"/>
            <w:noWrap/>
            <w:vAlign w:val="center"/>
          </w:tcPr>
          <w:p w14:paraId="2C3EB5C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-4.32</w:t>
            </w:r>
          </w:p>
        </w:tc>
        <w:tc>
          <w:tcPr>
            <w:tcW w:w="960" w:type="dxa"/>
            <w:tcBorders>
              <w:top w:val="nil"/>
              <w:left w:val="nil"/>
              <w:bottom w:val="nil"/>
              <w:right w:val="nil"/>
            </w:tcBorders>
            <w:shd w:val="clear" w:color="auto" w:fill="auto"/>
            <w:noWrap/>
            <w:vAlign w:val="center"/>
          </w:tcPr>
          <w:p w14:paraId="7CCFD4E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-0.24</w:t>
            </w:r>
          </w:p>
        </w:tc>
        <w:tc>
          <w:tcPr>
            <w:tcW w:w="960" w:type="dxa"/>
            <w:tcBorders>
              <w:top w:val="nil"/>
              <w:left w:val="nil"/>
              <w:bottom w:val="nil"/>
              <w:right w:val="nil"/>
            </w:tcBorders>
            <w:shd w:val="clear" w:color="auto" w:fill="auto"/>
            <w:noWrap/>
            <w:vAlign w:val="center"/>
          </w:tcPr>
          <w:p w14:paraId="4C2689D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-4.22</w:t>
            </w:r>
          </w:p>
        </w:tc>
        <w:tc>
          <w:tcPr>
            <w:tcW w:w="960" w:type="dxa"/>
            <w:tcBorders>
              <w:top w:val="nil"/>
              <w:left w:val="nil"/>
              <w:bottom w:val="nil"/>
              <w:right w:val="nil"/>
            </w:tcBorders>
            <w:shd w:val="clear" w:color="auto" w:fill="auto"/>
            <w:noWrap/>
            <w:vAlign w:val="center"/>
          </w:tcPr>
          <w:p w14:paraId="7D81D4E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-7.15</w:t>
            </w:r>
          </w:p>
        </w:tc>
      </w:tr>
      <w:tr w14:paraId="431A55E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07856B97">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Max</w:t>
            </w:r>
          </w:p>
        </w:tc>
        <w:tc>
          <w:tcPr>
            <w:tcW w:w="960" w:type="dxa"/>
            <w:tcBorders>
              <w:top w:val="nil"/>
              <w:left w:val="nil"/>
              <w:bottom w:val="nil"/>
              <w:right w:val="nil"/>
            </w:tcBorders>
            <w:shd w:val="clear" w:color="auto" w:fill="auto"/>
            <w:noWrap/>
            <w:vAlign w:val="center"/>
          </w:tcPr>
          <w:p w14:paraId="247D43D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3.43</w:t>
            </w:r>
          </w:p>
        </w:tc>
        <w:tc>
          <w:tcPr>
            <w:tcW w:w="960" w:type="dxa"/>
            <w:tcBorders>
              <w:top w:val="nil"/>
              <w:left w:val="nil"/>
              <w:bottom w:val="nil"/>
              <w:right w:val="nil"/>
            </w:tcBorders>
            <w:shd w:val="clear" w:color="auto" w:fill="auto"/>
            <w:noWrap/>
            <w:vAlign w:val="center"/>
          </w:tcPr>
          <w:p w14:paraId="749F791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1.31</w:t>
            </w:r>
          </w:p>
        </w:tc>
        <w:tc>
          <w:tcPr>
            <w:tcW w:w="960" w:type="dxa"/>
            <w:tcBorders>
              <w:top w:val="nil"/>
              <w:left w:val="nil"/>
              <w:bottom w:val="nil"/>
              <w:right w:val="nil"/>
            </w:tcBorders>
            <w:shd w:val="clear" w:color="auto" w:fill="auto"/>
            <w:noWrap/>
            <w:vAlign w:val="center"/>
          </w:tcPr>
          <w:p w14:paraId="24F59B8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1.15</w:t>
            </w:r>
          </w:p>
        </w:tc>
        <w:tc>
          <w:tcPr>
            <w:tcW w:w="960" w:type="dxa"/>
            <w:tcBorders>
              <w:top w:val="nil"/>
              <w:left w:val="nil"/>
              <w:bottom w:val="nil"/>
              <w:right w:val="nil"/>
            </w:tcBorders>
            <w:shd w:val="clear" w:color="auto" w:fill="auto"/>
            <w:noWrap/>
            <w:vAlign w:val="center"/>
          </w:tcPr>
          <w:p w14:paraId="7D5D90F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1.01</w:t>
            </w:r>
          </w:p>
        </w:tc>
        <w:tc>
          <w:tcPr>
            <w:tcW w:w="960" w:type="dxa"/>
            <w:tcBorders>
              <w:top w:val="nil"/>
              <w:left w:val="nil"/>
              <w:bottom w:val="nil"/>
              <w:right w:val="nil"/>
            </w:tcBorders>
            <w:shd w:val="clear" w:color="auto" w:fill="auto"/>
            <w:noWrap/>
            <w:vAlign w:val="center"/>
          </w:tcPr>
          <w:p w14:paraId="098E5F2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1.22</w:t>
            </w:r>
          </w:p>
        </w:tc>
        <w:tc>
          <w:tcPr>
            <w:tcW w:w="960" w:type="dxa"/>
            <w:tcBorders>
              <w:top w:val="nil"/>
              <w:left w:val="nil"/>
              <w:bottom w:val="nil"/>
              <w:right w:val="nil"/>
            </w:tcBorders>
            <w:shd w:val="clear" w:color="auto" w:fill="auto"/>
            <w:noWrap/>
            <w:vAlign w:val="center"/>
          </w:tcPr>
          <w:p w14:paraId="35E4D00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1.52</w:t>
            </w:r>
          </w:p>
        </w:tc>
        <w:tc>
          <w:tcPr>
            <w:tcW w:w="960" w:type="dxa"/>
            <w:tcBorders>
              <w:top w:val="nil"/>
              <w:left w:val="nil"/>
              <w:bottom w:val="nil"/>
              <w:right w:val="nil"/>
            </w:tcBorders>
            <w:shd w:val="clear" w:color="auto" w:fill="auto"/>
            <w:noWrap/>
            <w:vAlign w:val="center"/>
          </w:tcPr>
          <w:p w14:paraId="260C8DB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1.15</w:t>
            </w:r>
          </w:p>
        </w:tc>
        <w:tc>
          <w:tcPr>
            <w:tcW w:w="960" w:type="dxa"/>
            <w:tcBorders>
              <w:top w:val="nil"/>
              <w:left w:val="nil"/>
              <w:bottom w:val="nil"/>
              <w:right w:val="nil"/>
            </w:tcBorders>
            <w:shd w:val="clear" w:color="auto" w:fill="auto"/>
            <w:noWrap/>
            <w:vAlign w:val="center"/>
          </w:tcPr>
          <w:p w14:paraId="4AA610D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1.23</w:t>
            </w:r>
          </w:p>
        </w:tc>
        <w:tc>
          <w:tcPr>
            <w:tcW w:w="960" w:type="dxa"/>
            <w:tcBorders>
              <w:top w:val="nil"/>
              <w:left w:val="nil"/>
              <w:bottom w:val="nil"/>
              <w:right w:val="nil"/>
            </w:tcBorders>
            <w:shd w:val="clear" w:color="auto" w:fill="auto"/>
            <w:noWrap/>
            <w:vAlign w:val="center"/>
          </w:tcPr>
          <w:p w14:paraId="5FE0834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1.44</w:t>
            </w:r>
          </w:p>
        </w:tc>
      </w:tr>
      <w:tr w14:paraId="613EC53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645F31F9">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&lt;0</w:t>
            </w:r>
          </w:p>
        </w:tc>
        <w:tc>
          <w:tcPr>
            <w:tcW w:w="960" w:type="dxa"/>
            <w:noWrap/>
            <w:vAlign w:val="center"/>
          </w:tcPr>
          <w:p w14:paraId="330D053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30.77%</w:t>
            </w:r>
          </w:p>
        </w:tc>
        <w:tc>
          <w:tcPr>
            <w:tcW w:w="960" w:type="dxa"/>
            <w:noWrap/>
            <w:vAlign w:val="center"/>
          </w:tcPr>
          <w:p w14:paraId="158E983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41.03%</w:t>
            </w:r>
          </w:p>
        </w:tc>
        <w:tc>
          <w:tcPr>
            <w:tcW w:w="960" w:type="dxa"/>
            <w:noWrap/>
            <w:vAlign w:val="center"/>
          </w:tcPr>
          <w:p w14:paraId="1A72C33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12.82%</w:t>
            </w:r>
          </w:p>
        </w:tc>
        <w:tc>
          <w:tcPr>
            <w:tcW w:w="960" w:type="dxa"/>
            <w:noWrap/>
            <w:vAlign w:val="center"/>
          </w:tcPr>
          <w:p w14:paraId="3FB7B5C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05C6426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38.46%</w:t>
            </w:r>
          </w:p>
        </w:tc>
        <w:tc>
          <w:tcPr>
            <w:tcW w:w="960" w:type="dxa"/>
            <w:noWrap/>
            <w:vAlign w:val="center"/>
          </w:tcPr>
          <w:p w14:paraId="21ED52F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79.49%</w:t>
            </w:r>
          </w:p>
        </w:tc>
        <w:tc>
          <w:tcPr>
            <w:tcW w:w="960" w:type="dxa"/>
            <w:noWrap/>
            <w:vAlign w:val="center"/>
          </w:tcPr>
          <w:p w14:paraId="28948B6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10.26%</w:t>
            </w:r>
          </w:p>
        </w:tc>
        <w:tc>
          <w:tcPr>
            <w:tcW w:w="960" w:type="dxa"/>
            <w:noWrap/>
            <w:vAlign w:val="center"/>
          </w:tcPr>
          <w:p w14:paraId="65B48E5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30.77%</w:t>
            </w:r>
          </w:p>
        </w:tc>
        <w:tc>
          <w:tcPr>
            <w:tcW w:w="960" w:type="dxa"/>
            <w:noWrap/>
            <w:vAlign w:val="center"/>
          </w:tcPr>
          <w:p w14:paraId="5AC5619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30.77%</w:t>
            </w:r>
          </w:p>
        </w:tc>
      </w:tr>
      <w:tr w14:paraId="10832BA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40208827">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0~0.3</w:t>
            </w:r>
          </w:p>
        </w:tc>
        <w:tc>
          <w:tcPr>
            <w:tcW w:w="960" w:type="dxa"/>
            <w:noWrap/>
            <w:vAlign w:val="center"/>
          </w:tcPr>
          <w:p w14:paraId="3B140A5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0ADDCB6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2.56%</w:t>
            </w:r>
          </w:p>
        </w:tc>
        <w:tc>
          <w:tcPr>
            <w:tcW w:w="960" w:type="dxa"/>
            <w:noWrap/>
            <w:vAlign w:val="center"/>
          </w:tcPr>
          <w:p w14:paraId="79D1FF4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17.95%</w:t>
            </w:r>
          </w:p>
        </w:tc>
        <w:tc>
          <w:tcPr>
            <w:tcW w:w="960" w:type="dxa"/>
            <w:noWrap/>
            <w:vAlign w:val="center"/>
          </w:tcPr>
          <w:p w14:paraId="083BD34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7A24844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65F3C14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5.13%</w:t>
            </w:r>
          </w:p>
        </w:tc>
        <w:tc>
          <w:tcPr>
            <w:tcW w:w="960" w:type="dxa"/>
            <w:noWrap/>
            <w:vAlign w:val="center"/>
          </w:tcPr>
          <w:p w14:paraId="534ABC3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7522D09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5.13%</w:t>
            </w:r>
          </w:p>
        </w:tc>
        <w:tc>
          <w:tcPr>
            <w:tcW w:w="960" w:type="dxa"/>
            <w:noWrap/>
            <w:vAlign w:val="center"/>
          </w:tcPr>
          <w:p w14:paraId="53A8DF1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10.26%</w:t>
            </w:r>
          </w:p>
        </w:tc>
      </w:tr>
      <w:tr w14:paraId="76E7CB3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132F8024">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0.3~0.7</w:t>
            </w:r>
          </w:p>
        </w:tc>
        <w:tc>
          <w:tcPr>
            <w:tcW w:w="960" w:type="dxa"/>
            <w:noWrap/>
            <w:vAlign w:val="center"/>
          </w:tcPr>
          <w:p w14:paraId="205394F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2.56%</w:t>
            </w:r>
          </w:p>
        </w:tc>
        <w:tc>
          <w:tcPr>
            <w:tcW w:w="960" w:type="dxa"/>
            <w:noWrap/>
            <w:vAlign w:val="center"/>
          </w:tcPr>
          <w:p w14:paraId="4186577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15.38%</w:t>
            </w:r>
          </w:p>
        </w:tc>
        <w:tc>
          <w:tcPr>
            <w:tcW w:w="960" w:type="dxa"/>
            <w:noWrap/>
            <w:vAlign w:val="center"/>
          </w:tcPr>
          <w:p w14:paraId="59D64F9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38.46%</w:t>
            </w:r>
          </w:p>
        </w:tc>
        <w:tc>
          <w:tcPr>
            <w:tcW w:w="960" w:type="dxa"/>
            <w:noWrap/>
            <w:vAlign w:val="center"/>
          </w:tcPr>
          <w:p w14:paraId="0DB91CA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118C9AE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w:t>
            </w:r>
          </w:p>
        </w:tc>
        <w:tc>
          <w:tcPr>
            <w:tcW w:w="960" w:type="dxa"/>
            <w:noWrap/>
            <w:vAlign w:val="center"/>
          </w:tcPr>
          <w:p w14:paraId="5A1FECF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2.56%</w:t>
            </w:r>
          </w:p>
        </w:tc>
        <w:tc>
          <w:tcPr>
            <w:tcW w:w="960" w:type="dxa"/>
            <w:noWrap/>
            <w:vAlign w:val="center"/>
          </w:tcPr>
          <w:p w14:paraId="15D246B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23.08%</w:t>
            </w:r>
          </w:p>
        </w:tc>
        <w:tc>
          <w:tcPr>
            <w:tcW w:w="960" w:type="dxa"/>
            <w:noWrap/>
            <w:vAlign w:val="center"/>
          </w:tcPr>
          <w:p w14:paraId="3EEF16B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28.21%</w:t>
            </w:r>
          </w:p>
        </w:tc>
        <w:tc>
          <w:tcPr>
            <w:tcW w:w="960" w:type="dxa"/>
            <w:noWrap/>
            <w:vAlign w:val="center"/>
          </w:tcPr>
          <w:p w14:paraId="75486F6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23.08%</w:t>
            </w:r>
          </w:p>
        </w:tc>
      </w:tr>
      <w:tr w14:paraId="6600AB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356AF6EF">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0.7~1.0</w:t>
            </w:r>
          </w:p>
        </w:tc>
        <w:tc>
          <w:tcPr>
            <w:tcW w:w="960" w:type="dxa"/>
            <w:noWrap/>
            <w:vAlign w:val="center"/>
          </w:tcPr>
          <w:p w14:paraId="63900A7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5.13%</w:t>
            </w:r>
          </w:p>
        </w:tc>
        <w:tc>
          <w:tcPr>
            <w:tcW w:w="960" w:type="dxa"/>
            <w:noWrap/>
            <w:vAlign w:val="center"/>
          </w:tcPr>
          <w:p w14:paraId="27EE305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28.21%</w:t>
            </w:r>
          </w:p>
        </w:tc>
        <w:tc>
          <w:tcPr>
            <w:tcW w:w="960" w:type="dxa"/>
            <w:noWrap/>
            <w:vAlign w:val="center"/>
          </w:tcPr>
          <w:p w14:paraId="77C0C9B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20.51%</w:t>
            </w:r>
          </w:p>
        </w:tc>
        <w:tc>
          <w:tcPr>
            <w:tcW w:w="960" w:type="dxa"/>
            <w:noWrap/>
            <w:vAlign w:val="center"/>
          </w:tcPr>
          <w:p w14:paraId="3A07BBC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56.41%</w:t>
            </w:r>
          </w:p>
        </w:tc>
        <w:tc>
          <w:tcPr>
            <w:tcW w:w="960" w:type="dxa"/>
            <w:noWrap/>
            <w:vAlign w:val="center"/>
          </w:tcPr>
          <w:p w14:paraId="55BBF85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5.13%</w:t>
            </w:r>
          </w:p>
        </w:tc>
        <w:tc>
          <w:tcPr>
            <w:tcW w:w="960" w:type="dxa"/>
            <w:noWrap/>
            <w:vAlign w:val="center"/>
          </w:tcPr>
          <w:p w14:paraId="2733182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7.69%</w:t>
            </w:r>
          </w:p>
        </w:tc>
        <w:tc>
          <w:tcPr>
            <w:tcW w:w="960" w:type="dxa"/>
            <w:noWrap/>
            <w:vAlign w:val="center"/>
          </w:tcPr>
          <w:p w14:paraId="6E32048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41.03%</w:t>
            </w:r>
          </w:p>
        </w:tc>
        <w:tc>
          <w:tcPr>
            <w:tcW w:w="960" w:type="dxa"/>
            <w:noWrap/>
            <w:vAlign w:val="center"/>
          </w:tcPr>
          <w:p w14:paraId="0FE58F8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28.21%</w:t>
            </w:r>
          </w:p>
        </w:tc>
        <w:tc>
          <w:tcPr>
            <w:tcW w:w="960" w:type="dxa"/>
            <w:noWrap/>
            <w:vAlign w:val="center"/>
          </w:tcPr>
          <w:p w14:paraId="74BF327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17.95%</w:t>
            </w:r>
          </w:p>
        </w:tc>
      </w:tr>
      <w:tr w14:paraId="73EC17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205" w:type="dxa"/>
            <w:noWrap/>
            <w:vAlign w:val="center"/>
          </w:tcPr>
          <w:p w14:paraId="42B08EDC">
            <w:pPr>
              <w:widowControl/>
              <w:spacing w:line="240" w:lineRule="auto"/>
              <w:jc w:val="center"/>
              <w:rPr>
                <w:rFonts w:ascii="Times New Roman" w:hAnsi="Times New Roman" w:eastAsia="等线" w:cs="Times New Roman"/>
                <w:b/>
                <w:bCs/>
                <w:color w:val="000000"/>
                <w:kern w:val="0"/>
                <w:sz w:val="21"/>
                <w:szCs w:val="21"/>
              </w:rPr>
            </w:pPr>
            <w:r>
              <w:rPr>
                <w:rFonts w:ascii="Times New Roman" w:hAnsi="Times New Roman" w:eastAsia="等线" w:cs="Times New Roman"/>
                <w:b/>
                <w:bCs/>
                <w:color w:val="000000"/>
                <w:kern w:val="0"/>
                <w:sz w:val="21"/>
                <w:szCs w:val="21"/>
              </w:rPr>
              <w:t>&gt;1</w:t>
            </w:r>
          </w:p>
        </w:tc>
        <w:tc>
          <w:tcPr>
            <w:tcW w:w="960" w:type="dxa"/>
            <w:noWrap/>
            <w:vAlign w:val="center"/>
          </w:tcPr>
          <w:p w14:paraId="0A65714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61.54%</w:t>
            </w:r>
          </w:p>
        </w:tc>
        <w:tc>
          <w:tcPr>
            <w:tcW w:w="960" w:type="dxa"/>
            <w:noWrap/>
            <w:vAlign w:val="center"/>
          </w:tcPr>
          <w:p w14:paraId="70B7851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12.82%</w:t>
            </w:r>
          </w:p>
        </w:tc>
        <w:tc>
          <w:tcPr>
            <w:tcW w:w="960" w:type="dxa"/>
            <w:noWrap/>
            <w:vAlign w:val="center"/>
          </w:tcPr>
          <w:p w14:paraId="4B79841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10.26%</w:t>
            </w:r>
          </w:p>
        </w:tc>
        <w:tc>
          <w:tcPr>
            <w:tcW w:w="960" w:type="dxa"/>
            <w:noWrap/>
            <w:vAlign w:val="center"/>
          </w:tcPr>
          <w:p w14:paraId="0FCD642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43.59%</w:t>
            </w:r>
          </w:p>
        </w:tc>
        <w:tc>
          <w:tcPr>
            <w:tcW w:w="960" w:type="dxa"/>
            <w:noWrap/>
            <w:vAlign w:val="center"/>
          </w:tcPr>
          <w:p w14:paraId="558851C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56.41%</w:t>
            </w:r>
          </w:p>
        </w:tc>
        <w:tc>
          <w:tcPr>
            <w:tcW w:w="960" w:type="dxa"/>
            <w:noWrap/>
            <w:vAlign w:val="center"/>
          </w:tcPr>
          <w:p w14:paraId="69B569A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5.13%</w:t>
            </w:r>
          </w:p>
        </w:tc>
        <w:tc>
          <w:tcPr>
            <w:tcW w:w="960" w:type="dxa"/>
            <w:noWrap/>
            <w:vAlign w:val="center"/>
          </w:tcPr>
          <w:p w14:paraId="6FA2EDE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25.64%</w:t>
            </w:r>
          </w:p>
        </w:tc>
        <w:tc>
          <w:tcPr>
            <w:tcW w:w="960" w:type="dxa"/>
            <w:noWrap/>
            <w:vAlign w:val="center"/>
          </w:tcPr>
          <w:p w14:paraId="588DA6A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7.69%</w:t>
            </w:r>
          </w:p>
        </w:tc>
        <w:tc>
          <w:tcPr>
            <w:tcW w:w="960" w:type="dxa"/>
            <w:noWrap/>
            <w:vAlign w:val="center"/>
          </w:tcPr>
          <w:p w14:paraId="4D3E8E7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17.95%</w:t>
            </w:r>
          </w:p>
        </w:tc>
      </w:tr>
    </w:tbl>
    <w:p w14:paraId="60064452">
      <w:pPr>
        <w:rPr>
          <w:rFonts w:eastAsiaTheme="minorEastAsia"/>
        </w:rPr>
      </w:pPr>
    </w:p>
    <w:p w14:paraId="2CC4A20F">
      <w:pPr>
        <w:rPr>
          <w:rFonts w:eastAsiaTheme="minorEastAsia"/>
        </w:rPr>
      </w:pPr>
    </w:p>
    <w:p w14:paraId="60CADB4C">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 xml:space="preserve">Table S5 </w:t>
      </w:r>
      <w:r>
        <w:rPr>
          <w:rFonts w:ascii="Times New Roman" w:hAnsi="Times New Roman" w:cs="Times New Roman" w:eastAsiaTheme="minorEastAsia"/>
          <w:sz w:val="21"/>
          <w:szCs w:val="21"/>
        </w:rPr>
        <w:t>Statistical results of contribution rate of different PTEs to the THI.</w:t>
      </w:r>
    </w:p>
    <w:tbl>
      <w:tblPr>
        <w:tblStyle w:val="11"/>
        <w:tblW w:w="9647"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7"/>
        <w:gridCol w:w="960"/>
        <w:gridCol w:w="960"/>
        <w:gridCol w:w="960"/>
        <w:gridCol w:w="960"/>
        <w:gridCol w:w="960"/>
        <w:gridCol w:w="960"/>
        <w:gridCol w:w="960"/>
        <w:gridCol w:w="960"/>
        <w:gridCol w:w="960"/>
      </w:tblGrid>
      <w:tr w14:paraId="4CBBAF2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967" w:type="dxa"/>
            <w:gridSpan w:val="2"/>
            <w:tcBorders>
              <w:bottom w:val="single" w:color="auto" w:sz="4" w:space="0"/>
              <w:insideH w:val="single" w:sz="4" w:space="0"/>
            </w:tcBorders>
            <w:noWrap/>
            <w:vAlign w:val="center"/>
          </w:tcPr>
          <w:p w14:paraId="4D3F48DE">
            <w:pPr>
              <w:widowControl/>
              <w:spacing w:line="240" w:lineRule="auto"/>
              <w:jc w:val="center"/>
              <w:rPr>
                <w:rFonts w:ascii="Times New Roman" w:hAnsi="Times New Roman" w:cs="Times New Roman" w:eastAsiaTheme="minorEastAsia"/>
                <w:kern w:val="0"/>
                <w:sz w:val="20"/>
                <w:szCs w:val="20"/>
              </w:rPr>
            </w:pPr>
            <w:r>
              <w:rPr>
                <w:rFonts w:ascii="Times New Roman" w:hAnsi="Times New Roman" w:cs="Times New Roman" w:eastAsiaTheme="minorEastAsia"/>
                <w:kern w:val="0"/>
                <w:sz w:val="20"/>
                <w:szCs w:val="20"/>
              </w:rPr>
              <w:t>Parameters</w:t>
            </w:r>
          </w:p>
        </w:tc>
        <w:tc>
          <w:tcPr>
            <w:tcW w:w="960" w:type="dxa"/>
            <w:tcBorders>
              <w:bottom w:val="single" w:color="auto" w:sz="4" w:space="0"/>
              <w:insideH w:val="single" w:sz="4" w:space="0"/>
            </w:tcBorders>
            <w:noWrap/>
            <w:vAlign w:val="center"/>
          </w:tcPr>
          <w:p w14:paraId="0FDB42B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As</w:t>
            </w:r>
          </w:p>
        </w:tc>
        <w:tc>
          <w:tcPr>
            <w:tcW w:w="960" w:type="dxa"/>
            <w:tcBorders>
              <w:bottom w:val="single" w:color="auto" w:sz="4" w:space="0"/>
              <w:insideH w:val="single" w:sz="4" w:space="0"/>
            </w:tcBorders>
            <w:noWrap/>
            <w:vAlign w:val="center"/>
          </w:tcPr>
          <w:p w14:paraId="699C418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Cd</w:t>
            </w:r>
          </w:p>
        </w:tc>
        <w:tc>
          <w:tcPr>
            <w:tcW w:w="960" w:type="dxa"/>
            <w:tcBorders>
              <w:bottom w:val="single" w:color="auto" w:sz="4" w:space="0"/>
              <w:insideH w:val="single" w:sz="4" w:space="0"/>
            </w:tcBorders>
            <w:noWrap/>
            <w:vAlign w:val="center"/>
          </w:tcPr>
          <w:p w14:paraId="2A8B7F7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Cr</w:t>
            </w:r>
          </w:p>
        </w:tc>
        <w:tc>
          <w:tcPr>
            <w:tcW w:w="960" w:type="dxa"/>
            <w:tcBorders>
              <w:bottom w:val="single" w:color="auto" w:sz="4" w:space="0"/>
              <w:insideH w:val="single" w:sz="4" w:space="0"/>
            </w:tcBorders>
            <w:noWrap/>
            <w:vAlign w:val="center"/>
          </w:tcPr>
          <w:p w14:paraId="44A699E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Hg</w:t>
            </w:r>
          </w:p>
        </w:tc>
        <w:tc>
          <w:tcPr>
            <w:tcW w:w="960" w:type="dxa"/>
            <w:tcBorders>
              <w:bottom w:val="single" w:color="auto" w:sz="4" w:space="0"/>
              <w:insideH w:val="single" w:sz="4" w:space="0"/>
            </w:tcBorders>
            <w:noWrap/>
            <w:vAlign w:val="center"/>
          </w:tcPr>
          <w:p w14:paraId="466B154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Pb</w:t>
            </w:r>
          </w:p>
        </w:tc>
        <w:tc>
          <w:tcPr>
            <w:tcW w:w="960" w:type="dxa"/>
            <w:tcBorders>
              <w:bottom w:val="single" w:color="auto" w:sz="4" w:space="0"/>
              <w:insideH w:val="single" w:sz="4" w:space="0"/>
            </w:tcBorders>
            <w:noWrap/>
            <w:vAlign w:val="center"/>
          </w:tcPr>
          <w:p w14:paraId="151CF16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Cu</w:t>
            </w:r>
          </w:p>
        </w:tc>
        <w:tc>
          <w:tcPr>
            <w:tcW w:w="960" w:type="dxa"/>
            <w:tcBorders>
              <w:bottom w:val="single" w:color="auto" w:sz="4" w:space="0"/>
              <w:insideH w:val="single" w:sz="4" w:space="0"/>
            </w:tcBorders>
            <w:noWrap/>
            <w:vAlign w:val="center"/>
          </w:tcPr>
          <w:p w14:paraId="1265F2B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Ni</w:t>
            </w:r>
          </w:p>
        </w:tc>
        <w:tc>
          <w:tcPr>
            <w:tcW w:w="960" w:type="dxa"/>
            <w:tcBorders>
              <w:bottom w:val="single" w:color="auto" w:sz="4" w:space="0"/>
              <w:insideH w:val="single" w:sz="4" w:space="0"/>
            </w:tcBorders>
            <w:noWrap/>
            <w:vAlign w:val="center"/>
          </w:tcPr>
          <w:p w14:paraId="6C1DC28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Zn</w:t>
            </w:r>
          </w:p>
        </w:tc>
      </w:tr>
      <w:tr w14:paraId="2BCC8A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restart"/>
            <w:noWrap/>
            <w:vAlign w:val="center"/>
          </w:tcPr>
          <w:p w14:paraId="573B080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Children</w:t>
            </w:r>
          </w:p>
        </w:tc>
        <w:tc>
          <w:tcPr>
            <w:tcW w:w="960" w:type="dxa"/>
            <w:noWrap/>
            <w:vAlign w:val="center"/>
          </w:tcPr>
          <w:p w14:paraId="0EAF58A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Min</w:t>
            </w:r>
          </w:p>
        </w:tc>
        <w:tc>
          <w:tcPr>
            <w:tcW w:w="960" w:type="dxa"/>
            <w:noWrap/>
            <w:vAlign w:val="center"/>
          </w:tcPr>
          <w:p w14:paraId="77E9827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23.20%</w:t>
            </w:r>
          </w:p>
        </w:tc>
        <w:tc>
          <w:tcPr>
            <w:tcW w:w="960" w:type="dxa"/>
            <w:noWrap/>
            <w:vAlign w:val="center"/>
          </w:tcPr>
          <w:p w14:paraId="543E1F9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0.20%</w:t>
            </w:r>
          </w:p>
        </w:tc>
        <w:tc>
          <w:tcPr>
            <w:tcW w:w="960" w:type="dxa"/>
            <w:noWrap/>
            <w:vAlign w:val="center"/>
          </w:tcPr>
          <w:p w14:paraId="6E4EA51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0.01%</w:t>
            </w:r>
          </w:p>
        </w:tc>
        <w:tc>
          <w:tcPr>
            <w:tcW w:w="960" w:type="dxa"/>
            <w:noWrap/>
            <w:vAlign w:val="center"/>
          </w:tcPr>
          <w:p w14:paraId="5A2151C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0.03%</w:t>
            </w:r>
          </w:p>
        </w:tc>
        <w:tc>
          <w:tcPr>
            <w:tcW w:w="960" w:type="dxa"/>
            <w:noWrap/>
            <w:vAlign w:val="center"/>
          </w:tcPr>
          <w:p w14:paraId="4B4A3BA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10.16%</w:t>
            </w:r>
          </w:p>
        </w:tc>
        <w:tc>
          <w:tcPr>
            <w:tcW w:w="960" w:type="dxa"/>
            <w:noWrap/>
            <w:vAlign w:val="center"/>
          </w:tcPr>
          <w:p w14:paraId="79DEFD4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0.15%</w:t>
            </w:r>
          </w:p>
        </w:tc>
        <w:tc>
          <w:tcPr>
            <w:tcW w:w="960" w:type="dxa"/>
            <w:noWrap/>
            <w:vAlign w:val="center"/>
          </w:tcPr>
          <w:p w14:paraId="7AA8ADC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0.23%</w:t>
            </w:r>
          </w:p>
        </w:tc>
        <w:tc>
          <w:tcPr>
            <w:tcW w:w="960" w:type="dxa"/>
            <w:noWrap/>
            <w:vAlign w:val="center"/>
          </w:tcPr>
          <w:p w14:paraId="341F31F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0.16%</w:t>
            </w:r>
          </w:p>
        </w:tc>
      </w:tr>
      <w:tr w14:paraId="1DCB3E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continue"/>
            <w:noWrap/>
            <w:vAlign w:val="center"/>
          </w:tcPr>
          <w:p w14:paraId="60EFEBCD">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6F360E1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Mean</w:t>
            </w:r>
          </w:p>
        </w:tc>
        <w:tc>
          <w:tcPr>
            <w:tcW w:w="960" w:type="dxa"/>
            <w:noWrap/>
            <w:vAlign w:val="center"/>
          </w:tcPr>
          <w:p w14:paraId="07C72A1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40.46%</w:t>
            </w:r>
          </w:p>
        </w:tc>
        <w:tc>
          <w:tcPr>
            <w:tcW w:w="960" w:type="dxa"/>
            <w:noWrap/>
            <w:vAlign w:val="center"/>
          </w:tcPr>
          <w:p w14:paraId="7EA5EAD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0.70%</w:t>
            </w:r>
          </w:p>
        </w:tc>
        <w:tc>
          <w:tcPr>
            <w:tcW w:w="960" w:type="dxa"/>
            <w:noWrap/>
            <w:vAlign w:val="center"/>
          </w:tcPr>
          <w:p w14:paraId="3E2F7FC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0.29%</w:t>
            </w:r>
          </w:p>
        </w:tc>
        <w:tc>
          <w:tcPr>
            <w:tcW w:w="960" w:type="dxa"/>
            <w:noWrap/>
            <w:vAlign w:val="center"/>
          </w:tcPr>
          <w:p w14:paraId="3F4562A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0.20%</w:t>
            </w:r>
          </w:p>
        </w:tc>
        <w:tc>
          <w:tcPr>
            <w:tcW w:w="960" w:type="dxa"/>
            <w:noWrap/>
            <w:vAlign w:val="center"/>
          </w:tcPr>
          <w:p w14:paraId="63E5D84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43.18%</w:t>
            </w:r>
          </w:p>
        </w:tc>
        <w:tc>
          <w:tcPr>
            <w:tcW w:w="960" w:type="dxa"/>
            <w:noWrap/>
            <w:vAlign w:val="center"/>
          </w:tcPr>
          <w:p w14:paraId="03A756E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3.91%</w:t>
            </w:r>
          </w:p>
        </w:tc>
        <w:tc>
          <w:tcPr>
            <w:tcW w:w="960" w:type="dxa"/>
            <w:noWrap/>
            <w:vAlign w:val="center"/>
          </w:tcPr>
          <w:p w14:paraId="45BD31A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10.70%</w:t>
            </w:r>
          </w:p>
        </w:tc>
        <w:tc>
          <w:tcPr>
            <w:tcW w:w="960" w:type="dxa"/>
            <w:noWrap/>
            <w:vAlign w:val="center"/>
          </w:tcPr>
          <w:p w14:paraId="0626E92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0.57%</w:t>
            </w:r>
          </w:p>
        </w:tc>
      </w:tr>
      <w:tr w14:paraId="7F9DB6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continue"/>
            <w:noWrap/>
            <w:vAlign w:val="center"/>
          </w:tcPr>
          <w:p w14:paraId="193B02EA">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07EB908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Max</w:t>
            </w:r>
          </w:p>
        </w:tc>
        <w:tc>
          <w:tcPr>
            <w:tcW w:w="960" w:type="dxa"/>
            <w:noWrap/>
            <w:vAlign w:val="center"/>
          </w:tcPr>
          <w:p w14:paraId="7314ED8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81.90%</w:t>
            </w:r>
          </w:p>
        </w:tc>
        <w:tc>
          <w:tcPr>
            <w:tcW w:w="960" w:type="dxa"/>
            <w:noWrap/>
            <w:vAlign w:val="center"/>
          </w:tcPr>
          <w:p w14:paraId="04EA17E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1.51%</w:t>
            </w:r>
          </w:p>
        </w:tc>
        <w:tc>
          <w:tcPr>
            <w:tcW w:w="960" w:type="dxa"/>
            <w:noWrap/>
            <w:vAlign w:val="center"/>
          </w:tcPr>
          <w:p w14:paraId="23A3150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1.08%</w:t>
            </w:r>
          </w:p>
        </w:tc>
        <w:tc>
          <w:tcPr>
            <w:tcW w:w="960" w:type="dxa"/>
            <w:noWrap/>
            <w:vAlign w:val="center"/>
          </w:tcPr>
          <w:p w14:paraId="426AF59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1.01%</w:t>
            </w:r>
          </w:p>
        </w:tc>
        <w:tc>
          <w:tcPr>
            <w:tcW w:w="960" w:type="dxa"/>
            <w:noWrap/>
            <w:vAlign w:val="center"/>
          </w:tcPr>
          <w:p w14:paraId="1C5CEE0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75.73%</w:t>
            </w:r>
          </w:p>
        </w:tc>
        <w:tc>
          <w:tcPr>
            <w:tcW w:w="960" w:type="dxa"/>
            <w:noWrap/>
            <w:vAlign w:val="center"/>
          </w:tcPr>
          <w:p w14:paraId="3424A7F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18.11%</w:t>
            </w:r>
          </w:p>
        </w:tc>
        <w:tc>
          <w:tcPr>
            <w:tcW w:w="960" w:type="dxa"/>
            <w:noWrap/>
            <w:vAlign w:val="center"/>
          </w:tcPr>
          <w:p w14:paraId="7D4D4AC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42.47%</w:t>
            </w:r>
          </w:p>
        </w:tc>
        <w:tc>
          <w:tcPr>
            <w:tcW w:w="960" w:type="dxa"/>
            <w:noWrap/>
            <w:vAlign w:val="center"/>
          </w:tcPr>
          <w:p w14:paraId="193ACB8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1.38%</w:t>
            </w:r>
          </w:p>
        </w:tc>
      </w:tr>
      <w:tr w14:paraId="12E4209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restart"/>
            <w:noWrap/>
            <w:vAlign w:val="center"/>
          </w:tcPr>
          <w:p w14:paraId="6065C3C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Adults</w:t>
            </w:r>
          </w:p>
        </w:tc>
        <w:tc>
          <w:tcPr>
            <w:tcW w:w="960" w:type="dxa"/>
            <w:noWrap/>
            <w:vAlign w:val="center"/>
          </w:tcPr>
          <w:p w14:paraId="3B13FC4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Min</w:t>
            </w:r>
          </w:p>
        </w:tc>
        <w:tc>
          <w:tcPr>
            <w:tcW w:w="960" w:type="dxa"/>
            <w:noWrap/>
            <w:vAlign w:val="center"/>
          </w:tcPr>
          <w:p w14:paraId="08C169D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37.90%</w:t>
            </w:r>
          </w:p>
        </w:tc>
        <w:tc>
          <w:tcPr>
            <w:tcW w:w="960" w:type="dxa"/>
            <w:noWrap/>
            <w:vAlign w:val="center"/>
          </w:tcPr>
          <w:p w14:paraId="7F05115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0.24%</w:t>
            </w:r>
          </w:p>
        </w:tc>
        <w:tc>
          <w:tcPr>
            <w:tcW w:w="960" w:type="dxa"/>
            <w:noWrap/>
            <w:vAlign w:val="center"/>
          </w:tcPr>
          <w:p w14:paraId="00786E4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0.01%</w:t>
            </w:r>
          </w:p>
        </w:tc>
        <w:tc>
          <w:tcPr>
            <w:tcW w:w="960" w:type="dxa"/>
            <w:noWrap/>
            <w:vAlign w:val="center"/>
          </w:tcPr>
          <w:p w14:paraId="272BBB4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0.03%</w:t>
            </w:r>
          </w:p>
        </w:tc>
        <w:tc>
          <w:tcPr>
            <w:tcW w:w="960" w:type="dxa"/>
            <w:noWrap/>
            <w:vAlign w:val="center"/>
          </w:tcPr>
          <w:p w14:paraId="53BBE3E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4.91%</w:t>
            </w:r>
          </w:p>
        </w:tc>
        <w:tc>
          <w:tcPr>
            <w:tcW w:w="960" w:type="dxa"/>
            <w:noWrap/>
            <w:vAlign w:val="center"/>
          </w:tcPr>
          <w:p w14:paraId="6A226C0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0.10%</w:t>
            </w:r>
          </w:p>
        </w:tc>
        <w:tc>
          <w:tcPr>
            <w:tcW w:w="960" w:type="dxa"/>
            <w:noWrap/>
            <w:vAlign w:val="center"/>
          </w:tcPr>
          <w:p w14:paraId="4597CBC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0.30%</w:t>
            </w:r>
          </w:p>
        </w:tc>
        <w:tc>
          <w:tcPr>
            <w:tcW w:w="960" w:type="dxa"/>
            <w:noWrap/>
            <w:vAlign w:val="center"/>
          </w:tcPr>
          <w:p w14:paraId="6B7216D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0.09%</w:t>
            </w:r>
          </w:p>
        </w:tc>
      </w:tr>
      <w:tr w14:paraId="10C2FFE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continue"/>
            <w:noWrap/>
            <w:vAlign w:val="center"/>
          </w:tcPr>
          <w:p w14:paraId="54C3D21E">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7760B3B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Mean</w:t>
            </w:r>
          </w:p>
        </w:tc>
        <w:tc>
          <w:tcPr>
            <w:tcW w:w="960" w:type="dxa"/>
            <w:noWrap/>
            <w:vAlign w:val="center"/>
          </w:tcPr>
          <w:p w14:paraId="53DC80F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55.74%</w:t>
            </w:r>
          </w:p>
        </w:tc>
        <w:tc>
          <w:tcPr>
            <w:tcW w:w="960" w:type="dxa"/>
            <w:noWrap/>
            <w:vAlign w:val="center"/>
          </w:tcPr>
          <w:p w14:paraId="4D4CC18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1.12%</w:t>
            </w:r>
          </w:p>
        </w:tc>
        <w:tc>
          <w:tcPr>
            <w:tcW w:w="960" w:type="dxa"/>
            <w:noWrap/>
            <w:vAlign w:val="center"/>
          </w:tcPr>
          <w:p w14:paraId="14A90F3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0.55%</w:t>
            </w:r>
          </w:p>
        </w:tc>
        <w:tc>
          <w:tcPr>
            <w:tcW w:w="960" w:type="dxa"/>
            <w:noWrap/>
            <w:vAlign w:val="center"/>
          </w:tcPr>
          <w:p w14:paraId="34B898A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0.20%</w:t>
            </w:r>
          </w:p>
        </w:tc>
        <w:tc>
          <w:tcPr>
            <w:tcW w:w="960" w:type="dxa"/>
            <w:noWrap/>
            <w:vAlign w:val="center"/>
          </w:tcPr>
          <w:p w14:paraId="28C50DF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28.67%</w:t>
            </w:r>
          </w:p>
        </w:tc>
        <w:tc>
          <w:tcPr>
            <w:tcW w:w="960" w:type="dxa"/>
            <w:noWrap/>
            <w:vAlign w:val="center"/>
          </w:tcPr>
          <w:p w14:paraId="2AB4B72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2.39%</w:t>
            </w:r>
          </w:p>
        </w:tc>
        <w:tc>
          <w:tcPr>
            <w:tcW w:w="960" w:type="dxa"/>
            <w:noWrap/>
            <w:vAlign w:val="center"/>
          </w:tcPr>
          <w:p w14:paraId="71E2725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10.98%</w:t>
            </w:r>
          </w:p>
        </w:tc>
        <w:tc>
          <w:tcPr>
            <w:tcW w:w="960" w:type="dxa"/>
            <w:noWrap/>
            <w:vAlign w:val="center"/>
          </w:tcPr>
          <w:p w14:paraId="174A198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0.35%</w:t>
            </w:r>
          </w:p>
        </w:tc>
      </w:tr>
      <w:tr w14:paraId="6509B9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1007" w:type="dxa"/>
            <w:vMerge w:val="continue"/>
            <w:noWrap/>
            <w:vAlign w:val="center"/>
          </w:tcPr>
          <w:p w14:paraId="23DF236C">
            <w:pPr>
              <w:widowControl/>
              <w:spacing w:line="240" w:lineRule="auto"/>
              <w:jc w:val="center"/>
              <w:rPr>
                <w:rFonts w:ascii="Times New Roman" w:hAnsi="Times New Roman" w:eastAsia="等线" w:cs="Times New Roman"/>
                <w:color w:val="000000"/>
                <w:kern w:val="0"/>
                <w:sz w:val="22"/>
                <w:szCs w:val="20"/>
              </w:rPr>
            </w:pPr>
          </w:p>
        </w:tc>
        <w:tc>
          <w:tcPr>
            <w:tcW w:w="960" w:type="dxa"/>
            <w:noWrap/>
            <w:vAlign w:val="center"/>
          </w:tcPr>
          <w:p w14:paraId="425EA10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Max</w:t>
            </w:r>
          </w:p>
        </w:tc>
        <w:tc>
          <w:tcPr>
            <w:tcW w:w="960" w:type="dxa"/>
            <w:noWrap/>
            <w:vAlign w:val="center"/>
          </w:tcPr>
          <w:p w14:paraId="4355601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88.85%</w:t>
            </w:r>
          </w:p>
        </w:tc>
        <w:tc>
          <w:tcPr>
            <w:tcW w:w="960" w:type="dxa"/>
            <w:noWrap/>
            <w:vAlign w:val="center"/>
          </w:tcPr>
          <w:p w14:paraId="3D55240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2.36%</w:t>
            </w:r>
          </w:p>
        </w:tc>
        <w:tc>
          <w:tcPr>
            <w:tcW w:w="960" w:type="dxa"/>
            <w:noWrap/>
            <w:vAlign w:val="center"/>
          </w:tcPr>
          <w:p w14:paraId="0655200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2.01%</w:t>
            </w:r>
          </w:p>
        </w:tc>
        <w:tc>
          <w:tcPr>
            <w:tcW w:w="960" w:type="dxa"/>
            <w:noWrap/>
            <w:vAlign w:val="center"/>
          </w:tcPr>
          <w:p w14:paraId="0ABA787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0.82%</w:t>
            </w:r>
          </w:p>
        </w:tc>
        <w:tc>
          <w:tcPr>
            <w:tcW w:w="960" w:type="dxa"/>
            <w:noWrap/>
            <w:vAlign w:val="center"/>
          </w:tcPr>
          <w:p w14:paraId="2EAB875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58.38%</w:t>
            </w:r>
          </w:p>
        </w:tc>
        <w:tc>
          <w:tcPr>
            <w:tcW w:w="960" w:type="dxa"/>
            <w:noWrap/>
            <w:vAlign w:val="center"/>
          </w:tcPr>
          <w:p w14:paraId="05737A2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11.74%</w:t>
            </w:r>
          </w:p>
        </w:tc>
        <w:tc>
          <w:tcPr>
            <w:tcW w:w="960" w:type="dxa"/>
            <w:noWrap/>
            <w:vAlign w:val="center"/>
          </w:tcPr>
          <w:p w14:paraId="3A2225C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42.85%</w:t>
            </w:r>
          </w:p>
        </w:tc>
        <w:tc>
          <w:tcPr>
            <w:tcW w:w="960" w:type="dxa"/>
            <w:noWrap/>
            <w:vAlign w:val="center"/>
          </w:tcPr>
          <w:p w14:paraId="4B10F81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0.85%</w:t>
            </w:r>
          </w:p>
        </w:tc>
      </w:tr>
    </w:tbl>
    <w:p w14:paraId="3744E30A">
      <w:pPr>
        <w:rPr>
          <w:rFonts w:eastAsiaTheme="minorEastAsia"/>
        </w:rPr>
      </w:pPr>
    </w:p>
    <w:p w14:paraId="2EB41E12">
      <w:pPr>
        <w:rPr>
          <w:rFonts w:eastAsiaTheme="minorEastAsia"/>
        </w:rPr>
      </w:pPr>
    </w:p>
    <w:p w14:paraId="427A4EAF">
      <w:pPr>
        <w:jc w:val="center"/>
        <w:rPr>
          <w:rFonts w:ascii="Times New Roman" w:hAnsi="Times New Roman" w:cs="Times New Roman" w:eastAsiaTheme="minorEastAsia"/>
          <w:b/>
          <w:sz w:val="21"/>
          <w:szCs w:val="21"/>
        </w:rPr>
      </w:pPr>
      <w:r>
        <w:rPr>
          <w:rFonts w:ascii="Times New Roman" w:hAnsi="Times New Roman" w:cs="Times New Roman" w:eastAsiaTheme="minorEastAsia"/>
          <w:b/>
          <w:sz w:val="21"/>
          <w:szCs w:val="21"/>
        </w:rPr>
        <w:t xml:space="preserve">Table S6 </w:t>
      </w:r>
      <w:r>
        <w:rPr>
          <w:rFonts w:ascii="Times New Roman" w:hAnsi="Times New Roman" w:cs="Times New Roman" w:eastAsiaTheme="minorEastAsia"/>
          <w:sz w:val="21"/>
          <w:szCs w:val="21"/>
        </w:rPr>
        <w:t>Statistical results of contribution rate of different routes to the health risks.</w:t>
      </w:r>
    </w:p>
    <w:tbl>
      <w:tblPr>
        <w:tblStyle w:val="11"/>
        <w:tblW w:w="9349"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7"/>
        <w:gridCol w:w="952"/>
        <w:gridCol w:w="1087"/>
        <w:gridCol w:w="1459"/>
        <w:gridCol w:w="1149"/>
        <w:gridCol w:w="1087"/>
        <w:gridCol w:w="1459"/>
        <w:gridCol w:w="1149"/>
      </w:tblGrid>
      <w:tr w14:paraId="0E4382C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959" w:type="dxa"/>
            <w:gridSpan w:val="2"/>
            <w:vMerge w:val="restart"/>
            <w:tcBorders>
              <w:top w:val="single" w:color="auto" w:sz="12" w:space="0"/>
              <w:bottom w:val="single" w:color="auto" w:sz="4" w:space="0"/>
              <w:insideH w:val="single" w:sz="4" w:space="0"/>
            </w:tcBorders>
            <w:noWrap/>
            <w:vAlign w:val="center"/>
          </w:tcPr>
          <w:p w14:paraId="302272B5">
            <w:pPr>
              <w:widowControl/>
              <w:spacing w:line="240" w:lineRule="auto"/>
              <w:jc w:val="center"/>
              <w:rPr>
                <w:rFonts w:ascii="Times New Roman" w:hAnsi="Times New Roman" w:cs="Times New Roman"/>
                <w:kern w:val="0"/>
                <w:sz w:val="20"/>
                <w:szCs w:val="20"/>
              </w:rPr>
            </w:pPr>
            <w:r>
              <w:rPr>
                <w:rFonts w:ascii="Times New Roman" w:hAnsi="Times New Roman" w:cs="Times New Roman" w:eastAsiaTheme="minorEastAsia"/>
                <w:kern w:val="0"/>
                <w:sz w:val="20"/>
                <w:szCs w:val="20"/>
              </w:rPr>
              <w:t>Parameters</w:t>
            </w:r>
          </w:p>
        </w:tc>
        <w:tc>
          <w:tcPr>
            <w:tcW w:w="3695" w:type="dxa"/>
            <w:gridSpan w:val="3"/>
            <w:tcBorders>
              <w:top w:val="single" w:color="auto" w:sz="12" w:space="0"/>
              <w:bottom w:val="single" w:color="auto" w:sz="4" w:space="0"/>
              <w:insideH w:val="single" w:sz="4" w:space="0"/>
            </w:tcBorders>
            <w:noWrap/>
            <w:vAlign w:val="center"/>
          </w:tcPr>
          <w:p w14:paraId="0EDB600D">
            <w:pPr>
              <w:widowControl/>
              <w:spacing w:line="240" w:lineRule="auto"/>
              <w:jc w:val="center"/>
              <w:rPr>
                <w:rFonts w:ascii="Times New Roman" w:hAnsi="Times New Roman" w:cs="Times New Roman"/>
                <w:kern w:val="0"/>
                <w:sz w:val="20"/>
                <w:szCs w:val="20"/>
              </w:rPr>
            </w:pPr>
            <w:r>
              <w:rPr>
                <w:rFonts w:ascii="Times New Roman" w:hAnsi="Times New Roman" w:eastAsia="等线" w:cs="Times New Roman"/>
                <w:color w:val="000000"/>
                <w:kern w:val="0"/>
                <w:sz w:val="22"/>
                <w:szCs w:val="20"/>
              </w:rPr>
              <w:t>THI</w:t>
            </w:r>
          </w:p>
        </w:tc>
        <w:tc>
          <w:tcPr>
            <w:tcW w:w="3695" w:type="dxa"/>
            <w:gridSpan w:val="3"/>
            <w:tcBorders>
              <w:top w:val="single" w:color="auto" w:sz="12" w:space="0"/>
              <w:bottom w:val="single" w:color="auto" w:sz="4" w:space="0"/>
              <w:insideH w:val="single" w:sz="4" w:space="0"/>
            </w:tcBorders>
            <w:noWrap/>
            <w:vAlign w:val="center"/>
          </w:tcPr>
          <w:p w14:paraId="102FA116">
            <w:pPr>
              <w:widowControl/>
              <w:spacing w:line="240" w:lineRule="auto"/>
              <w:jc w:val="center"/>
              <w:rPr>
                <w:rFonts w:ascii="Times New Roman" w:hAnsi="Times New Roman" w:cs="Times New Roman"/>
                <w:kern w:val="0"/>
                <w:sz w:val="20"/>
                <w:szCs w:val="20"/>
              </w:rPr>
            </w:pPr>
            <w:r>
              <w:rPr>
                <w:rFonts w:ascii="Times New Roman" w:hAnsi="Times New Roman" w:eastAsia="等线" w:cs="Times New Roman"/>
                <w:color w:val="000000"/>
                <w:kern w:val="0"/>
                <w:sz w:val="22"/>
                <w:szCs w:val="20"/>
              </w:rPr>
              <w:t>TCR</w:t>
            </w:r>
          </w:p>
        </w:tc>
      </w:tr>
      <w:tr w14:paraId="5486DD1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959" w:type="dxa"/>
            <w:gridSpan w:val="2"/>
            <w:vMerge w:val="continue"/>
            <w:tcBorders>
              <w:bottom w:val="single" w:color="auto" w:sz="4" w:space="0"/>
            </w:tcBorders>
            <w:noWrap/>
            <w:vAlign w:val="center"/>
          </w:tcPr>
          <w:p w14:paraId="40589DE9">
            <w:pPr>
              <w:widowControl/>
              <w:spacing w:line="240" w:lineRule="auto"/>
              <w:jc w:val="center"/>
              <w:rPr>
                <w:rFonts w:ascii="Times New Roman" w:hAnsi="Times New Roman" w:cs="Times New Roman"/>
                <w:kern w:val="0"/>
                <w:sz w:val="20"/>
                <w:szCs w:val="20"/>
              </w:rPr>
            </w:pPr>
          </w:p>
        </w:tc>
        <w:tc>
          <w:tcPr>
            <w:tcW w:w="1087" w:type="dxa"/>
            <w:tcBorders>
              <w:bottom w:val="single" w:color="auto" w:sz="4" w:space="0"/>
            </w:tcBorders>
            <w:noWrap/>
            <w:vAlign w:val="center"/>
          </w:tcPr>
          <w:p w14:paraId="22AEBAF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Ingestion</w:t>
            </w:r>
          </w:p>
        </w:tc>
        <w:tc>
          <w:tcPr>
            <w:tcW w:w="1459" w:type="dxa"/>
            <w:tcBorders>
              <w:bottom w:val="single" w:color="auto" w:sz="4" w:space="0"/>
            </w:tcBorders>
            <w:noWrap/>
            <w:vAlign w:val="center"/>
          </w:tcPr>
          <w:p w14:paraId="2447DFA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Dermal contact</w:t>
            </w:r>
          </w:p>
        </w:tc>
        <w:tc>
          <w:tcPr>
            <w:tcW w:w="1149" w:type="dxa"/>
            <w:tcBorders>
              <w:bottom w:val="single" w:color="auto" w:sz="4" w:space="0"/>
            </w:tcBorders>
            <w:noWrap/>
            <w:vAlign w:val="center"/>
          </w:tcPr>
          <w:p w14:paraId="745C443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Inhalation</w:t>
            </w:r>
          </w:p>
        </w:tc>
        <w:tc>
          <w:tcPr>
            <w:tcW w:w="1087" w:type="dxa"/>
            <w:tcBorders>
              <w:bottom w:val="single" w:color="auto" w:sz="4" w:space="0"/>
            </w:tcBorders>
            <w:noWrap/>
            <w:vAlign w:val="center"/>
          </w:tcPr>
          <w:p w14:paraId="12B2BCF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Ingestion</w:t>
            </w:r>
          </w:p>
        </w:tc>
        <w:tc>
          <w:tcPr>
            <w:tcW w:w="1459" w:type="dxa"/>
            <w:tcBorders>
              <w:bottom w:val="single" w:color="auto" w:sz="4" w:space="0"/>
            </w:tcBorders>
            <w:noWrap/>
            <w:vAlign w:val="center"/>
          </w:tcPr>
          <w:p w14:paraId="6E0728D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Dermal contact</w:t>
            </w:r>
          </w:p>
        </w:tc>
        <w:tc>
          <w:tcPr>
            <w:tcW w:w="1149" w:type="dxa"/>
            <w:tcBorders>
              <w:bottom w:val="single" w:color="auto" w:sz="4" w:space="0"/>
            </w:tcBorders>
            <w:noWrap/>
            <w:vAlign w:val="center"/>
          </w:tcPr>
          <w:p w14:paraId="23B792C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Inhalation</w:t>
            </w:r>
          </w:p>
        </w:tc>
      </w:tr>
      <w:tr w14:paraId="4576CA7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restart"/>
            <w:tcBorders>
              <w:top w:val="single" w:color="auto" w:sz="4" w:space="0"/>
            </w:tcBorders>
            <w:noWrap/>
            <w:vAlign w:val="center"/>
          </w:tcPr>
          <w:p w14:paraId="54DCC4C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Children</w:t>
            </w:r>
          </w:p>
        </w:tc>
        <w:tc>
          <w:tcPr>
            <w:tcW w:w="952" w:type="dxa"/>
            <w:tcBorders>
              <w:top w:val="single" w:color="auto" w:sz="4" w:space="0"/>
            </w:tcBorders>
            <w:noWrap/>
            <w:vAlign w:val="center"/>
          </w:tcPr>
          <w:p w14:paraId="3475BEB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Min</w:t>
            </w:r>
          </w:p>
        </w:tc>
        <w:tc>
          <w:tcPr>
            <w:tcW w:w="1087" w:type="dxa"/>
            <w:tcBorders>
              <w:top w:val="single" w:color="auto" w:sz="4" w:space="0"/>
            </w:tcBorders>
            <w:noWrap/>
            <w:vAlign w:val="center"/>
          </w:tcPr>
          <w:p w14:paraId="242243B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72.42%</w:t>
            </w:r>
          </w:p>
        </w:tc>
        <w:tc>
          <w:tcPr>
            <w:tcW w:w="1459" w:type="dxa"/>
            <w:tcBorders>
              <w:top w:val="single" w:color="auto" w:sz="4" w:space="0"/>
            </w:tcBorders>
            <w:noWrap/>
            <w:vAlign w:val="center"/>
          </w:tcPr>
          <w:p w14:paraId="518C265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8.68%</w:t>
            </w:r>
          </w:p>
        </w:tc>
        <w:tc>
          <w:tcPr>
            <w:tcW w:w="1149" w:type="dxa"/>
            <w:tcBorders>
              <w:top w:val="single" w:color="auto" w:sz="4" w:space="0"/>
            </w:tcBorders>
            <w:noWrap/>
            <w:vAlign w:val="center"/>
          </w:tcPr>
          <w:p w14:paraId="08A771D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0.08%</w:t>
            </w:r>
          </w:p>
        </w:tc>
        <w:tc>
          <w:tcPr>
            <w:tcW w:w="1087" w:type="dxa"/>
            <w:tcBorders>
              <w:top w:val="single" w:color="auto" w:sz="4" w:space="0"/>
            </w:tcBorders>
            <w:noWrap/>
            <w:vAlign w:val="center"/>
          </w:tcPr>
          <w:p w14:paraId="1AC6C1E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68.33%</w:t>
            </w:r>
          </w:p>
        </w:tc>
        <w:tc>
          <w:tcPr>
            <w:tcW w:w="1459" w:type="dxa"/>
            <w:tcBorders>
              <w:top w:val="single" w:color="auto" w:sz="4" w:space="0"/>
            </w:tcBorders>
            <w:noWrap/>
            <w:vAlign w:val="center"/>
          </w:tcPr>
          <w:p w14:paraId="5608DC3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31.67%</w:t>
            </w:r>
          </w:p>
        </w:tc>
        <w:tc>
          <w:tcPr>
            <w:tcW w:w="1149" w:type="dxa"/>
            <w:tcBorders>
              <w:top w:val="single" w:color="auto" w:sz="4" w:space="0"/>
            </w:tcBorders>
            <w:noWrap/>
            <w:vAlign w:val="center"/>
          </w:tcPr>
          <w:p w14:paraId="2CF4C6A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r w14:paraId="4EC95CD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continue"/>
            <w:noWrap/>
            <w:vAlign w:val="center"/>
          </w:tcPr>
          <w:p w14:paraId="79430FF9">
            <w:pPr>
              <w:widowControl/>
              <w:spacing w:line="240" w:lineRule="auto"/>
              <w:jc w:val="center"/>
              <w:rPr>
                <w:rFonts w:ascii="Times New Roman" w:hAnsi="Times New Roman" w:eastAsia="等线" w:cs="Times New Roman"/>
                <w:color w:val="000000"/>
                <w:kern w:val="0"/>
                <w:sz w:val="22"/>
                <w:szCs w:val="20"/>
              </w:rPr>
            </w:pPr>
          </w:p>
        </w:tc>
        <w:tc>
          <w:tcPr>
            <w:tcW w:w="952" w:type="dxa"/>
            <w:noWrap/>
            <w:vAlign w:val="center"/>
          </w:tcPr>
          <w:p w14:paraId="1CC8B93F">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Mean</w:t>
            </w:r>
          </w:p>
        </w:tc>
        <w:tc>
          <w:tcPr>
            <w:tcW w:w="1087" w:type="dxa"/>
            <w:noWrap/>
            <w:vAlign w:val="center"/>
          </w:tcPr>
          <w:p w14:paraId="5B776E0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84.00%</w:t>
            </w:r>
          </w:p>
        </w:tc>
        <w:tc>
          <w:tcPr>
            <w:tcW w:w="1459" w:type="dxa"/>
            <w:noWrap/>
            <w:vAlign w:val="center"/>
          </w:tcPr>
          <w:p w14:paraId="0FC572C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15.65%</w:t>
            </w:r>
          </w:p>
        </w:tc>
        <w:tc>
          <w:tcPr>
            <w:tcW w:w="1149" w:type="dxa"/>
            <w:noWrap/>
            <w:vAlign w:val="center"/>
          </w:tcPr>
          <w:p w14:paraId="24D089B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0.36%</w:t>
            </w:r>
          </w:p>
        </w:tc>
        <w:tc>
          <w:tcPr>
            <w:tcW w:w="1087" w:type="dxa"/>
            <w:noWrap/>
            <w:vAlign w:val="center"/>
          </w:tcPr>
          <w:p w14:paraId="6F401A6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68.33%</w:t>
            </w:r>
          </w:p>
        </w:tc>
        <w:tc>
          <w:tcPr>
            <w:tcW w:w="1459" w:type="dxa"/>
            <w:noWrap/>
            <w:vAlign w:val="center"/>
          </w:tcPr>
          <w:p w14:paraId="0940E07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31.67%</w:t>
            </w:r>
          </w:p>
        </w:tc>
        <w:tc>
          <w:tcPr>
            <w:tcW w:w="1149" w:type="dxa"/>
            <w:noWrap/>
            <w:vAlign w:val="center"/>
          </w:tcPr>
          <w:p w14:paraId="18F01E5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r w14:paraId="10442B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continue"/>
            <w:noWrap/>
            <w:vAlign w:val="center"/>
          </w:tcPr>
          <w:p w14:paraId="1DFB0DB4">
            <w:pPr>
              <w:widowControl/>
              <w:spacing w:line="240" w:lineRule="auto"/>
              <w:jc w:val="center"/>
              <w:rPr>
                <w:rFonts w:ascii="Times New Roman" w:hAnsi="Times New Roman" w:eastAsia="等线" w:cs="Times New Roman"/>
                <w:color w:val="000000"/>
                <w:kern w:val="0"/>
                <w:sz w:val="22"/>
                <w:szCs w:val="20"/>
              </w:rPr>
            </w:pPr>
          </w:p>
        </w:tc>
        <w:tc>
          <w:tcPr>
            <w:tcW w:w="952" w:type="dxa"/>
            <w:noWrap/>
            <w:vAlign w:val="center"/>
          </w:tcPr>
          <w:p w14:paraId="4349805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Max</w:t>
            </w:r>
          </w:p>
        </w:tc>
        <w:tc>
          <w:tcPr>
            <w:tcW w:w="1087" w:type="dxa"/>
            <w:noWrap/>
            <w:vAlign w:val="center"/>
          </w:tcPr>
          <w:p w14:paraId="75CC79A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91.24%</w:t>
            </w:r>
          </w:p>
        </w:tc>
        <w:tc>
          <w:tcPr>
            <w:tcW w:w="1459" w:type="dxa"/>
            <w:noWrap/>
            <w:vAlign w:val="center"/>
          </w:tcPr>
          <w:p w14:paraId="4064719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27.21%</w:t>
            </w:r>
          </w:p>
        </w:tc>
        <w:tc>
          <w:tcPr>
            <w:tcW w:w="1149" w:type="dxa"/>
            <w:noWrap/>
            <w:vAlign w:val="center"/>
          </w:tcPr>
          <w:p w14:paraId="686640A9">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0.98%</w:t>
            </w:r>
          </w:p>
        </w:tc>
        <w:tc>
          <w:tcPr>
            <w:tcW w:w="1087" w:type="dxa"/>
            <w:noWrap/>
            <w:vAlign w:val="center"/>
          </w:tcPr>
          <w:p w14:paraId="35CB83F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68.33%</w:t>
            </w:r>
          </w:p>
        </w:tc>
        <w:tc>
          <w:tcPr>
            <w:tcW w:w="1459" w:type="dxa"/>
            <w:noWrap/>
            <w:vAlign w:val="center"/>
          </w:tcPr>
          <w:p w14:paraId="5B91614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31.67%</w:t>
            </w:r>
          </w:p>
        </w:tc>
        <w:tc>
          <w:tcPr>
            <w:tcW w:w="1149" w:type="dxa"/>
            <w:noWrap/>
            <w:vAlign w:val="center"/>
          </w:tcPr>
          <w:p w14:paraId="734DF1D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0.00%</w:t>
            </w:r>
          </w:p>
        </w:tc>
      </w:tr>
      <w:tr w14:paraId="02CA4C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restart"/>
            <w:noWrap/>
            <w:vAlign w:val="center"/>
          </w:tcPr>
          <w:p w14:paraId="223A899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Adults</w:t>
            </w:r>
          </w:p>
        </w:tc>
        <w:tc>
          <w:tcPr>
            <w:tcW w:w="952" w:type="dxa"/>
            <w:noWrap/>
            <w:vAlign w:val="center"/>
          </w:tcPr>
          <w:p w14:paraId="3ABC361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Min</w:t>
            </w:r>
          </w:p>
        </w:tc>
        <w:tc>
          <w:tcPr>
            <w:tcW w:w="1087" w:type="dxa"/>
            <w:noWrap/>
            <w:vAlign w:val="center"/>
          </w:tcPr>
          <w:p w14:paraId="61734BC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32.79%</w:t>
            </w:r>
          </w:p>
        </w:tc>
        <w:tc>
          <w:tcPr>
            <w:tcW w:w="1459" w:type="dxa"/>
            <w:noWrap/>
            <w:vAlign w:val="center"/>
          </w:tcPr>
          <w:p w14:paraId="1F2FA33C">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33.65%</w:t>
            </w:r>
          </w:p>
        </w:tc>
        <w:tc>
          <w:tcPr>
            <w:tcW w:w="1149" w:type="dxa"/>
            <w:noWrap/>
            <w:vAlign w:val="center"/>
          </w:tcPr>
          <w:p w14:paraId="0195EB4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0.40%</w:t>
            </w:r>
          </w:p>
        </w:tc>
        <w:tc>
          <w:tcPr>
            <w:tcW w:w="1087" w:type="dxa"/>
            <w:noWrap/>
            <w:vAlign w:val="center"/>
          </w:tcPr>
          <w:p w14:paraId="6F6F91ED">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28.68%</w:t>
            </w:r>
          </w:p>
        </w:tc>
        <w:tc>
          <w:tcPr>
            <w:tcW w:w="1459" w:type="dxa"/>
            <w:noWrap/>
            <w:vAlign w:val="center"/>
          </w:tcPr>
          <w:p w14:paraId="263E2577">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71.31%</w:t>
            </w:r>
          </w:p>
        </w:tc>
        <w:tc>
          <w:tcPr>
            <w:tcW w:w="1149" w:type="dxa"/>
            <w:noWrap/>
            <w:vAlign w:val="center"/>
          </w:tcPr>
          <w:p w14:paraId="393008B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0.01%</w:t>
            </w:r>
          </w:p>
        </w:tc>
      </w:tr>
      <w:tr w14:paraId="3BCF7DB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continue"/>
            <w:noWrap/>
            <w:vAlign w:val="center"/>
          </w:tcPr>
          <w:p w14:paraId="25E7F71F">
            <w:pPr>
              <w:widowControl/>
              <w:spacing w:line="240" w:lineRule="auto"/>
              <w:jc w:val="center"/>
              <w:rPr>
                <w:rFonts w:ascii="Times New Roman" w:hAnsi="Times New Roman" w:eastAsia="等线" w:cs="Times New Roman"/>
                <w:color w:val="000000"/>
                <w:kern w:val="0"/>
                <w:sz w:val="22"/>
                <w:szCs w:val="20"/>
              </w:rPr>
            </w:pPr>
          </w:p>
        </w:tc>
        <w:tc>
          <w:tcPr>
            <w:tcW w:w="952" w:type="dxa"/>
            <w:noWrap/>
            <w:vAlign w:val="center"/>
          </w:tcPr>
          <w:p w14:paraId="4F002CB1">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Mean</w:t>
            </w:r>
          </w:p>
        </w:tc>
        <w:tc>
          <w:tcPr>
            <w:tcW w:w="1087" w:type="dxa"/>
            <w:noWrap/>
            <w:vAlign w:val="center"/>
          </w:tcPr>
          <w:p w14:paraId="54BF5745">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50.25%</w:t>
            </w:r>
          </w:p>
        </w:tc>
        <w:tc>
          <w:tcPr>
            <w:tcW w:w="1459" w:type="dxa"/>
            <w:noWrap/>
            <w:vAlign w:val="center"/>
          </w:tcPr>
          <w:p w14:paraId="4B83CB28">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48.39%</w:t>
            </w:r>
          </w:p>
        </w:tc>
        <w:tc>
          <w:tcPr>
            <w:tcW w:w="1149" w:type="dxa"/>
            <w:noWrap/>
            <w:vAlign w:val="center"/>
          </w:tcPr>
          <w:p w14:paraId="1A15964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1.36%</w:t>
            </w:r>
          </w:p>
        </w:tc>
        <w:tc>
          <w:tcPr>
            <w:tcW w:w="1087" w:type="dxa"/>
            <w:noWrap/>
            <w:vAlign w:val="center"/>
          </w:tcPr>
          <w:p w14:paraId="4931CB20">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28.68%</w:t>
            </w:r>
          </w:p>
        </w:tc>
        <w:tc>
          <w:tcPr>
            <w:tcW w:w="1459" w:type="dxa"/>
            <w:noWrap/>
            <w:vAlign w:val="center"/>
          </w:tcPr>
          <w:p w14:paraId="164A551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71.31%</w:t>
            </w:r>
          </w:p>
        </w:tc>
        <w:tc>
          <w:tcPr>
            <w:tcW w:w="1149" w:type="dxa"/>
            <w:noWrap/>
            <w:vAlign w:val="center"/>
          </w:tcPr>
          <w:p w14:paraId="3CAFB56A">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0.01%</w:t>
            </w:r>
          </w:p>
        </w:tc>
      </w:tr>
      <w:tr w14:paraId="7EB95F8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1007" w:type="dxa"/>
            <w:vMerge w:val="continue"/>
            <w:noWrap/>
            <w:vAlign w:val="center"/>
          </w:tcPr>
          <w:p w14:paraId="2216F05C">
            <w:pPr>
              <w:widowControl/>
              <w:spacing w:line="240" w:lineRule="auto"/>
              <w:jc w:val="center"/>
              <w:rPr>
                <w:rFonts w:ascii="Times New Roman" w:hAnsi="Times New Roman" w:eastAsia="等线" w:cs="Times New Roman"/>
                <w:color w:val="000000"/>
                <w:kern w:val="0"/>
                <w:sz w:val="22"/>
                <w:szCs w:val="20"/>
              </w:rPr>
            </w:pPr>
          </w:p>
        </w:tc>
        <w:tc>
          <w:tcPr>
            <w:tcW w:w="952" w:type="dxa"/>
            <w:noWrap/>
            <w:vAlign w:val="center"/>
          </w:tcPr>
          <w:p w14:paraId="650FBE3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Max</w:t>
            </w:r>
          </w:p>
        </w:tc>
        <w:tc>
          <w:tcPr>
            <w:tcW w:w="1087" w:type="dxa"/>
            <w:noWrap/>
            <w:vAlign w:val="center"/>
          </w:tcPr>
          <w:p w14:paraId="2800C75B">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65.96%</w:t>
            </w:r>
          </w:p>
        </w:tc>
        <w:tc>
          <w:tcPr>
            <w:tcW w:w="1459" w:type="dxa"/>
            <w:noWrap/>
            <w:vAlign w:val="center"/>
          </w:tcPr>
          <w:p w14:paraId="40ECA834">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66.10%</w:t>
            </w:r>
          </w:p>
        </w:tc>
        <w:tc>
          <w:tcPr>
            <w:tcW w:w="1149" w:type="dxa"/>
            <w:noWrap/>
            <w:vAlign w:val="center"/>
          </w:tcPr>
          <w:p w14:paraId="51FDAAEE">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3.63%</w:t>
            </w:r>
          </w:p>
        </w:tc>
        <w:tc>
          <w:tcPr>
            <w:tcW w:w="1087" w:type="dxa"/>
            <w:noWrap/>
            <w:vAlign w:val="center"/>
          </w:tcPr>
          <w:p w14:paraId="0B9356B6">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28.68%</w:t>
            </w:r>
          </w:p>
        </w:tc>
        <w:tc>
          <w:tcPr>
            <w:tcW w:w="1459" w:type="dxa"/>
            <w:noWrap/>
            <w:vAlign w:val="center"/>
          </w:tcPr>
          <w:p w14:paraId="2E724D53">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71.31%</w:t>
            </w:r>
          </w:p>
        </w:tc>
        <w:tc>
          <w:tcPr>
            <w:tcW w:w="1149" w:type="dxa"/>
            <w:noWrap/>
            <w:vAlign w:val="center"/>
          </w:tcPr>
          <w:p w14:paraId="720D2E62">
            <w:pPr>
              <w:widowControl/>
              <w:spacing w:line="240" w:lineRule="auto"/>
              <w:jc w:val="center"/>
              <w:rPr>
                <w:rFonts w:ascii="Times New Roman" w:hAnsi="Times New Roman" w:eastAsia="等线" w:cs="Times New Roman"/>
                <w:color w:val="000000"/>
                <w:kern w:val="0"/>
                <w:sz w:val="22"/>
                <w:szCs w:val="20"/>
              </w:rPr>
            </w:pPr>
            <w:r>
              <w:rPr>
                <w:rFonts w:ascii="Times New Roman" w:hAnsi="Times New Roman" w:eastAsia="等线" w:cs="Times New Roman"/>
                <w:color w:val="000000"/>
                <w:kern w:val="0"/>
                <w:sz w:val="22"/>
                <w:szCs w:val="20"/>
              </w:rPr>
              <w:t>0.01%</w:t>
            </w:r>
          </w:p>
        </w:tc>
      </w:tr>
    </w:tbl>
    <w:p w14:paraId="05B6AA07">
      <w:pPr>
        <w:rPr>
          <w:rFonts w:eastAsiaTheme="minorEastAsia"/>
        </w:rPr>
      </w:pPr>
    </w:p>
    <w:p w14:paraId="29D85034">
      <w:pPr>
        <w:rPr>
          <w:rFonts w:eastAsiaTheme="minorEastAsia"/>
        </w:rPr>
      </w:pPr>
    </w:p>
    <w:p w14:paraId="1F16F3F1">
      <w:pPr>
        <w:jc w:val="center"/>
        <w:rPr>
          <w:rFonts w:ascii="Times New Roman" w:hAnsi="Times New Roman" w:cs="Times New Roman" w:eastAsiaTheme="minorEastAsia"/>
          <w:sz w:val="21"/>
          <w:szCs w:val="21"/>
        </w:rPr>
      </w:pPr>
      <w:r>
        <w:rPr>
          <w:rFonts w:ascii="Times New Roman" w:hAnsi="Times New Roman" w:cs="Times New Roman" w:eastAsiaTheme="minorEastAsia"/>
          <w:b/>
          <w:sz w:val="21"/>
          <w:szCs w:val="21"/>
        </w:rPr>
        <w:t xml:space="preserve">Table S7 </w:t>
      </w:r>
      <w:r>
        <w:rPr>
          <w:rFonts w:ascii="Times New Roman" w:hAnsi="Times New Roman" w:cs="Times New Roman" w:eastAsiaTheme="minorEastAsia"/>
          <w:sz w:val="21"/>
          <w:szCs w:val="21"/>
        </w:rPr>
        <w:t>Reference values of exposure parameters in the health risk calculation.</w:t>
      </w:r>
    </w:p>
    <w:tbl>
      <w:tblPr>
        <w:tblStyle w:val="9"/>
        <w:tblW w:w="10180" w:type="dxa"/>
        <w:jc w:val="center"/>
        <w:tblLayout w:type="autofit"/>
        <w:tblCellMar>
          <w:top w:w="0" w:type="dxa"/>
          <w:left w:w="108" w:type="dxa"/>
          <w:bottom w:w="0" w:type="dxa"/>
          <w:right w:w="108" w:type="dxa"/>
        </w:tblCellMar>
      </w:tblPr>
      <w:tblGrid>
        <w:gridCol w:w="1068"/>
        <w:gridCol w:w="1645"/>
        <w:gridCol w:w="1185"/>
        <w:gridCol w:w="951"/>
        <w:gridCol w:w="963"/>
        <w:gridCol w:w="2130"/>
        <w:gridCol w:w="2506"/>
      </w:tblGrid>
      <w:tr w14:paraId="6B058161">
        <w:tblPrEx>
          <w:tblCellMar>
            <w:top w:w="0" w:type="dxa"/>
            <w:left w:w="108" w:type="dxa"/>
            <w:bottom w:w="0" w:type="dxa"/>
            <w:right w:w="108" w:type="dxa"/>
          </w:tblCellMar>
        </w:tblPrEx>
        <w:trPr>
          <w:trHeight w:val="300" w:hRule="atLeast"/>
          <w:jc w:val="center"/>
        </w:trPr>
        <w:tc>
          <w:tcPr>
            <w:tcW w:w="1068" w:type="dxa"/>
            <w:vMerge w:val="restart"/>
            <w:tcBorders>
              <w:top w:val="single" w:color="auto" w:sz="12" w:space="0"/>
              <w:left w:val="nil"/>
              <w:bottom w:val="single" w:color="000000" w:sz="8" w:space="0"/>
              <w:right w:val="nil"/>
            </w:tcBorders>
            <w:shd w:val="clear" w:color="auto" w:fill="auto"/>
            <w:noWrap/>
            <w:vAlign w:val="center"/>
          </w:tcPr>
          <w:p w14:paraId="7BAA372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Parameter</w:t>
            </w:r>
          </w:p>
        </w:tc>
        <w:tc>
          <w:tcPr>
            <w:tcW w:w="1645" w:type="dxa"/>
            <w:vMerge w:val="restart"/>
            <w:tcBorders>
              <w:top w:val="single" w:color="auto" w:sz="12" w:space="0"/>
              <w:left w:val="nil"/>
              <w:bottom w:val="single" w:color="000000" w:sz="8" w:space="0"/>
              <w:right w:val="nil"/>
            </w:tcBorders>
            <w:shd w:val="clear" w:color="auto" w:fill="auto"/>
            <w:noWrap/>
            <w:vAlign w:val="center"/>
          </w:tcPr>
          <w:p w14:paraId="4C11F4A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Description</w:t>
            </w:r>
          </w:p>
        </w:tc>
        <w:tc>
          <w:tcPr>
            <w:tcW w:w="1185" w:type="dxa"/>
            <w:vMerge w:val="restart"/>
            <w:tcBorders>
              <w:top w:val="single" w:color="auto" w:sz="12" w:space="0"/>
              <w:left w:val="nil"/>
              <w:bottom w:val="single" w:color="000000" w:sz="8" w:space="0"/>
              <w:right w:val="nil"/>
            </w:tcBorders>
            <w:shd w:val="clear" w:color="auto" w:fill="auto"/>
            <w:noWrap/>
            <w:vAlign w:val="center"/>
          </w:tcPr>
          <w:p w14:paraId="67E4B59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Unit</w:t>
            </w:r>
          </w:p>
        </w:tc>
        <w:tc>
          <w:tcPr>
            <w:tcW w:w="1914" w:type="dxa"/>
            <w:gridSpan w:val="2"/>
            <w:tcBorders>
              <w:top w:val="single" w:color="auto" w:sz="12" w:space="0"/>
              <w:left w:val="nil"/>
              <w:bottom w:val="single" w:color="auto" w:sz="8" w:space="0"/>
              <w:right w:val="nil"/>
            </w:tcBorders>
            <w:shd w:val="clear" w:color="auto" w:fill="auto"/>
            <w:noWrap/>
            <w:vAlign w:val="center"/>
          </w:tcPr>
          <w:p w14:paraId="4C18324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Values</w:t>
            </w:r>
          </w:p>
        </w:tc>
        <w:tc>
          <w:tcPr>
            <w:tcW w:w="1862" w:type="dxa"/>
            <w:vMerge w:val="restart"/>
            <w:tcBorders>
              <w:top w:val="single" w:color="auto" w:sz="12" w:space="0"/>
              <w:left w:val="nil"/>
              <w:bottom w:val="single" w:color="000000" w:sz="8" w:space="0"/>
              <w:right w:val="nil"/>
            </w:tcBorders>
            <w:shd w:val="clear" w:color="auto" w:fill="auto"/>
            <w:noWrap/>
            <w:vAlign w:val="center"/>
          </w:tcPr>
          <w:p w14:paraId="574DE3B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Probabilistic Distribution</w:t>
            </w:r>
          </w:p>
        </w:tc>
        <w:tc>
          <w:tcPr>
            <w:tcW w:w="2506" w:type="dxa"/>
            <w:vMerge w:val="restart"/>
            <w:tcBorders>
              <w:top w:val="single" w:color="auto" w:sz="12" w:space="0"/>
              <w:left w:val="nil"/>
              <w:bottom w:val="single" w:color="000000" w:sz="8" w:space="0"/>
              <w:right w:val="nil"/>
            </w:tcBorders>
            <w:shd w:val="clear" w:color="auto" w:fill="auto"/>
            <w:noWrap/>
            <w:vAlign w:val="center"/>
          </w:tcPr>
          <w:p w14:paraId="62261BC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Reference</w:t>
            </w:r>
          </w:p>
        </w:tc>
      </w:tr>
      <w:tr w14:paraId="7CD22983">
        <w:tblPrEx>
          <w:tblCellMar>
            <w:top w:w="0" w:type="dxa"/>
            <w:left w:w="108" w:type="dxa"/>
            <w:bottom w:w="0" w:type="dxa"/>
            <w:right w:w="108" w:type="dxa"/>
          </w:tblCellMar>
        </w:tblPrEx>
        <w:trPr>
          <w:trHeight w:val="288" w:hRule="atLeast"/>
          <w:jc w:val="center"/>
        </w:trPr>
        <w:tc>
          <w:tcPr>
            <w:tcW w:w="1068" w:type="dxa"/>
            <w:vMerge w:val="continue"/>
            <w:tcBorders>
              <w:top w:val="single" w:color="auto" w:sz="12" w:space="0"/>
              <w:left w:val="nil"/>
              <w:bottom w:val="single" w:color="000000" w:sz="8" w:space="0"/>
              <w:right w:val="nil"/>
            </w:tcBorders>
            <w:vAlign w:val="center"/>
          </w:tcPr>
          <w:p w14:paraId="4D415462">
            <w:pPr>
              <w:widowControl/>
              <w:spacing w:line="240" w:lineRule="auto"/>
              <w:jc w:val="left"/>
              <w:rPr>
                <w:rFonts w:ascii="Times New Roman" w:hAnsi="Times New Roman" w:eastAsia="等线" w:cs="Times New Roman"/>
                <w:color w:val="000000"/>
                <w:kern w:val="0"/>
                <w:sz w:val="21"/>
                <w:szCs w:val="21"/>
              </w:rPr>
            </w:pPr>
          </w:p>
        </w:tc>
        <w:tc>
          <w:tcPr>
            <w:tcW w:w="1645" w:type="dxa"/>
            <w:vMerge w:val="continue"/>
            <w:tcBorders>
              <w:top w:val="single" w:color="auto" w:sz="12" w:space="0"/>
              <w:left w:val="nil"/>
              <w:bottom w:val="single" w:color="000000" w:sz="8" w:space="0"/>
              <w:right w:val="nil"/>
            </w:tcBorders>
            <w:vAlign w:val="center"/>
          </w:tcPr>
          <w:p w14:paraId="5E4F0E0A">
            <w:pPr>
              <w:widowControl/>
              <w:spacing w:line="240" w:lineRule="auto"/>
              <w:jc w:val="left"/>
              <w:rPr>
                <w:rFonts w:ascii="Times New Roman" w:hAnsi="Times New Roman" w:eastAsia="等线" w:cs="Times New Roman"/>
                <w:color w:val="000000"/>
                <w:kern w:val="0"/>
                <w:sz w:val="21"/>
                <w:szCs w:val="21"/>
              </w:rPr>
            </w:pPr>
          </w:p>
        </w:tc>
        <w:tc>
          <w:tcPr>
            <w:tcW w:w="1185" w:type="dxa"/>
            <w:vMerge w:val="continue"/>
            <w:tcBorders>
              <w:top w:val="single" w:color="auto" w:sz="12" w:space="0"/>
              <w:left w:val="nil"/>
              <w:bottom w:val="single" w:color="000000" w:sz="8" w:space="0"/>
              <w:right w:val="nil"/>
            </w:tcBorders>
            <w:vAlign w:val="center"/>
          </w:tcPr>
          <w:p w14:paraId="19DA78B1">
            <w:pPr>
              <w:widowControl/>
              <w:spacing w:line="240" w:lineRule="auto"/>
              <w:jc w:val="left"/>
              <w:rPr>
                <w:rFonts w:ascii="Times New Roman" w:hAnsi="Times New Roman" w:eastAsia="等线" w:cs="Times New Roman"/>
                <w:color w:val="000000"/>
                <w:kern w:val="0"/>
                <w:sz w:val="21"/>
                <w:szCs w:val="21"/>
              </w:rPr>
            </w:pPr>
          </w:p>
        </w:tc>
        <w:tc>
          <w:tcPr>
            <w:tcW w:w="951" w:type="dxa"/>
            <w:tcBorders>
              <w:top w:val="nil"/>
              <w:left w:val="nil"/>
              <w:bottom w:val="single" w:color="auto" w:sz="8" w:space="0"/>
              <w:right w:val="nil"/>
            </w:tcBorders>
            <w:shd w:val="clear" w:color="auto" w:fill="auto"/>
            <w:noWrap/>
            <w:vAlign w:val="center"/>
          </w:tcPr>
          <w:p w14:paraId="6D54D6B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Children</w:t>
            </w:r>
          </w:p>
        </w:tc>
        <w:tc>
          <w:tcPr>
            <w:tcW w:w="963" w:type="dxa"/>
            <w:tcBorders>
              <w:top w:val="nil"/>
              <w:left w:val="nil"/>
              <w:bottom w:val="single" w:color="auto" w:sz="8" w:space="0"/>
              <w:right w:val="nil"/>
            </w:tcBorders>
            <w:shd w:val="clear" w:color="auto" w:fill="auto"/>
            <w:noWrap/>
            <w:vAlign w:val="center"/>
          </w:tcPr>
          <w:p w14:paraId="6ABE486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Adult</w:t>
            </w:r>
          </w:p>
        </w:tc>
        <w:tc>
          <w:tcPr>
            <w:tcW w:w="1862" w:type="dxa"/>
            <w:vMerge w:val="continue"/>
            <w:tcBorders>
              <w:top w:val="single" w:color="auto" w:sz="12" w:space="0"/>
              <w:left w:val="nil"/>
              <w:bottom w:val="single" w:color="000000" w:sz="8" w:space="0"/>
              <w:right w:val="nil"/>
            </w:tcBorders>
            <w:vAlign w:val="center"/>
          </w:tcPr>
          <w:p w14:paraId="20ED79E8">
            <w:pPr>
              <w:widowControl/>
              <w:spacing w:line="240" w:lineRule="auto"/>
              <w:jc w:val="left"/>
              <w:rPr>
                <w:rFonts w:ascii="Times New Roman" w:hAnsi="Times New Roman" w:eastAsia="等线" w:cs="Times New Roman"/>
                <w:color w:val="000000"/>
                <w:kern w:val="0"/>
                <w:sz w:val="21"/>
                <w:szCs w:val="21"/>
              </w:rPr>
            </w:pPr>
          </w:p>
        </w:tc>
        <w:tc>
          <w:tcPr>
            <w:tcW w:w="2506" w:type="dxa"/>
            <w:vMerge w:val="continue"/>
            <w:tcBorders>
              <w:top w:val="single" w:color="auto" w:sz="12" w:space="0"/>
              <w:left w:val="nil"/>
              <w:bottom w:val="single" w:color="000000" w:sz="8" w:space="0"/>
              <w:right w:val="nil"/>
            </w:tcBorders>
            <w:vAlign w:val="center"/>
          </w:tcPr>
          <w:p w14:paraId="516A79DE">
            <w:pPr>
              <w:widowControl/>
              <w:spacing w:line="240" w:lineRule="auto"/>
              <w:jc w:val="left"/>
              <w:rPr>
                <w:rFonts w:ascii="Times New Roman" w:hAnsi="Times New Roman" w:eastAsia="等线" w:cs="Times New Roman"/>
                <w:color w:val="000000"/>
                <w:kern w:val="0"/>
                <w:sz w:val="21"/>
                <w:szCs w:val="21"/>
              </w:rPr>
            </w:pPr>
          </w:p>
        </w:tc>
      </w:tr>
      <w:tr w14:paraId="12BF669A">
        <w:tblPrEx>
          <w:tblCellMar>
            <w:top w:w="0" w:type="dxa"/>
            <w:left w:w="108" w:type="dxa"/>
            <w:bottom w:w="0" w:type="dxa"/>
            <w:right w:w="108" w:type="dxa"/>
          </w:tblCellMar>
        </w:tblPrEx>
        <w:trPr>
          <w:trHeight w:val="936" w:hRule="atLeast"/>
          <w:jc w:val="center"/>
        </w:trPr>
        <w:tc>
          <w:tcPr>
            <w:tcW w:w="1068" w:type="dxa"/>
            <w:tcBorders>
              <w:top w:val="nil"/>
              <w:left w:val="nil"/>
              <w:bottom w:val="nil"/>
              <w:right w:val="nil"/>
            </w:tcBorders>
            <w:shd w:val="clear" w:color="auto" w:fill="auto"/>
            <w:noWrap/>
            <w:vAlign w:val="center"/>
          </w:tcPr>
          <w:p w14:paraId="258F8E1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IngR</w:t>
            </w:r>
          </w:p>
        </w:tc>
        <w:tc>
          <w:tcPr>
            <w:tcW w:w="1645" w:type="dxa"/>
            <w:tcBorders>
              <w:top w:val="nil"/>
              <w:left w:val="nil"/>
              <w:bottom w:val="nil"/>
              <w:right w:val="nil"/>
            </w:tcBorders>
            <w:shd w:val="clear" w:color="auto" w:fill="auto"/>
            <w:noWrap/>
            <w:vAlign w:val="center"/>
          </w:tcPr>
          <w:p w14:paraId="0F49BEE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Ingestion rate</w:t>
            </w:r>
          </w:p>
        </w:tc>
        <w:tc>
          <w:tcPr>
            <w:tcW w:w="1185" w:type="dxa"/>
            <w:tcBorders>
              <w:top w:val="nil"/>
              <w:left w:val="nil"/>
              <w:bottom w:val="nil"/>
              <w:right w:val="nil"/>
            </w:tcBorders>
            <w:shd w:val="clear" w:color="auto" w:fill="auto"/>
            <w:noWrap/>
            <w:vAlign w:val="center"/>
          </w:tcPr>
          <w:p w14:paraId="1B2C60A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mg/d</w:t>
            </w:r>
          </w:p>
        </w:tc>
        <w:tc>
          <w:tcPr>
            <w:tcW w:w="951" w:type="dxa"/>
            <w:tcBorders>
              <w:top w:val="nil"/>
              <w:left w:val="nil"/>
              <w:bottom w:val="nil"/>
              <w:right w:val="nil"/>
            </w:tcBorders>
            <w:shd w:val="clear" w:color="auto" w:fill="auto"/>
            <w:noWrap/>
            <w:vAlign w:val="center"/>
          </w:tcPr>
          <w:p w14:paraId="1084D93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103</w:t>
            </w:r>
          </w:p>
        </w:tc>
        <w:tc>
          <w:tcPr>
            <w:tcW w:w="963" w:type="dxa"/>
            <w:tcBorders>
              <w:top w:val="nil"/>
              <w:left w:val="nil"/>
              <w:bottom w:val="nil"/>
              <w:right w:val="nil"/>
            </w:tcBorders>
            <w:shd w:val="clear" w:color="auto" w:fill="auto"/>
            <w:noWrap/>
            <w:vAlign w:val="center"/>
          </w:tcPr>
          <w:p w14:paraId="538EA23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30</w:t>
            </w:r>
          </w:p>
        </w:tc>
        <w:tc>
          <w:tcPr>
            <w:tcW w:w="1862" w:type="dxa"/>
            <w:tcBorders>
              <w:top w:val="nil"/>
              <w:left w:val="nil"/>
              <w:right w:val="nil"/>
            </w:tcBorders>
            <w:shd w:val="clear" w:color="auto" w:fill="auto"/>
            <w:noWrap/>
            <w:vAlign w:val="center"/>
          </w:tcPr>
          <w:p w14:paraId="79C70E9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Triangular</w:t>
            </w:r>
          </w:p>
          <w:p w14:paraId="21F22CD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(66,103,161)/(4,30,52)</w:t>
            </w:r>
          </w:p>
        </w:tc>
        <w:tc>
          <w:tcPr>
            <w:tcW w:w="2506" w:type="dxa"/>
            <w:tcBorders>
              <w:top w:val="nil"/>
              <w:left w:val="nil"/>
              <w:bottom w:val="nil"/>
              <w:right w:val="nil"/>
            </w:tcBorders>
            <w:shd w:val="clear" w:color="auto" w:fill="auto"/>
            <w:noWrap/>
            <w:vAlign w:val="center"/>
          </w:tcPr>
          <w:p w14:paraId="62AFF10D">
            <w:pPr>
              <w:widowControl/>
              <w:spacing w:line="240" w:lineRule="auto"/>
              <w:jc w:val="center"/>
              <w:rPr>
                <w:rFonts w:ascii="Times New Roman" w:hAnsi="Times New Roman" w:eastAsia="等线" w:cs="Times New Roman"/>
                <w:color w:val="000000"/>
                <w:kern w:val="0"/>
                <w:sz w:val="21"/>
                <w:szCs w:val="21"/>
                <w:lang w:val="fr-FR"/>
              </w:rPr>
            </w:pPr>
            <w:r>
              <w:rPr>
                <w:rFonts w:ascii="Times New Roman" w:hAnsi="Times New Roman" w:eastAsia="等线" w:cs="Times New Roman"/>
                <w:color w:val="000000"/>
                <w:kern w:val="0"/>
                <w:sz w:val="21"/>
                <w:szCs w:val="21"/>
                <w:lang w:val="fr-FR"/>
              </w:rPr>
              <w:t>(</w:t>
            </w:r>
            <w:r>
              <w:rPr>
                <w:rFonts w:ascii="Times New Roman" w:hAnsi="Times New Roman" w:eastAsia="等线" w:cs="Times New Roman"/>
                <w:color w:val="4472C4"/>
                <w:kern w:val="0"/>
                <w:sz w:val="21"/>
                <w:szCs w:val="21"/>
                <w:lang w:val="fr-FR"/>
              </w:rPr>
              <w:t>Huang et al., 2021; Yang et al., 2024</w:t>
            </w:r>
            <w:r>
              <w:rPr>
                <w:rFonts w:ascii="Times New Roman" w:hAnsi="Times New Roman" w:eastAsia="等线" w:cs="Times New Roman"/>
                <w:color w:val="000000"/>
                <w:kern w:val="0"/>
                <w:sz w:val="21"/>
                <w:szCs w:val="21"/>
                <w:lang w:val="fr-FR"/>
              </w:rPr>
              <w:t>)</w:t>
            </w:r>
          </w:p>
        </w:tc>
      </w:tr>
      <w:tr w14:paraId="3DB48C91">
        <w:tblPrEx>
          <w:tblCellMar>
            <w:top w:w="0" w:type="dxa"/>
            <w:left w:w="108" w:type="dxa"/>
            <w:bottom w:w="0" w:type="dxa"/>
            <w:right w:w="108" w:type="dxa"/>
          </w:tblCellMar>
        </w:tblPrEx>
        <w:trPr>
          <w:trHeight w:val="936" w:hRule="atLeast"/>
          <w:jc w:val="center"/>
        </w:trPr>
        <w:tc>
          <w:tcPr>
            <w:tcW w:w="1068" w:type="dxa"/>
            <w:tcBorders>
              <w:top w:val="nil"/>
              <w:left w:val="nil"/>
              <w:bottom w:val="nil"/>
              <w:right w:val="nil"/>
            </w:tcBorders>
            <w:shd w:val="clear" w:color="auto" w:fill="auto"/>
            <w:noWrap/>
            <w:vAlign w:val="center"/>
          </w:tcPr>
          <w:p w14:paraId="5FEB79B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InhR</w:t>
            </w:r>
          </w:p>
        </w:tc>
        <w:tc>
          <w:tcPr>
            <w:tcW w:w="1645" w:type="dxa"/>
            <w:tcBorders>
              <w:top w:val="nil"/>
              <w:left w:val="nil"/>
              <w:bottom w:val="nil"/>
              <w:right w:val="nil"/>
            </w:tcBorders>
            <w:shd w:val="clear" w:color="auto" w:fill="auto"/>
            <w:noWrap/>
            <w:vAlign w:val="center"/>
          </w:tcPr>
          <w:p w14:paraId="67A9ED6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Inhalation rate</w:t>
            </w:r>
          </w:p>
        </w:tc>
        <w:tc>
          <w:tcPr>
            <w:tcW w:w="1185" w:type="dxa"/>
            <w:tcBorders>
              <w:top w:val="nil"/>
              <w:left w:val="nil"/>
              <w:bottom w:val="nil"/>
              <w:right w:val="nil"/>
            </w:tcBorders>
            <w:shd w:val="clear" w:color="auto" w:fill="auto"/>
            <w:noWrap/>
            <w:vAlign w:val="center"/>
          </w:tcPr>
          <w:p w14:paraId="7D06370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mg/d</w:t>
            </w:r>
          </w:p>
        </w:tc>
        <w:tc>
          <w:tcPr>
            <w:tcW w:w="951" w:type="dxa"/>
            <w:tcBorders>
              <w:top w:val="nil"/>
              <w:left w:val="nil"/>
              <w:bottom w:val="nil"/>
              <w:right w:val="nil"/>
            </w:tcBorders>
            <w:shd w:val="clear" w:color="auto" w:fill="auto"/>
            <w:noWrap/>
            <w:vAlign w:val="center"/>
          </w:tcPr>
          <w:p w14:paraId="727AE05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7.5</w:t>
            </w:r>
          </w:p>
        </w:tc>
        <w:tc>
          <w:tcPr>
            <w:tcW w:w="963" w:type="dxa"/>
            <w:tcBorders>
              <w:top w:val="nil"/>
              <w:left w:val="nil"/>
              <w:bottom w:val="nil"/>
              <w:right w:val="nil"/>
            </w:tcBorders>
            <w:shd w:val="clear" w:color="auto" w:fill="auto"/>
            <w:noWrap/>
            <w:vAlign w:val="center"/>
          </w:tcPr>
          <w:p w14:paraId="6EFE265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14.5</w:t>
            </w:r>
          </w:p>
        </w:tc>
        <w:tc>
          <w:tcPr>
            <w:tcW w:w="1862" w:type="dxa"/>
            <w:tcBorders>
              <w:top w:val="nil"/>
              <w:left w:val="nil"/>
              <w:right w:val="nil"/>
            </w:tcBorders>
            <w:shd w:val="clear" w:color="auto" w:fill="auto"/>
            <w:noWrap/>
            <w:vAlign w:val="center"/>
          </w:tcPr>
          <w:p w14:paraId="2D8F905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Normal</w:t>
            </w:r>
          </w:p>
          <w:p w14:paraId="2711369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(7.5,0.75)/(14.5,0.145)</w:t>
            </w:r>
          </w:p>
        </w:tc>
        <w:tc>
          <w:tcPr>
            <w:tcW w:w="2506" w:type="dxa"/>
            <w:tcBorders>
              <w:top w:val="nil"/>
              <w:left w:val="nil"/>
              <w:bottom w:val="nil"/>
              <w:right w:val="nil"/>
            </w:tcBorders>
            <w:shd w:val="clear" w:color="auto" w:fill="auto"/>
            <w:noWrap/>
            <w:vAlign w:val="center"/>
          </w:tcPr>
          <w:p w14:paraId="5A67084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USEPA 1996; MEPPRC, 2014</w:t>
            </w:r>
            <w:r>
              <w:rPr>
                <w:rFonts w:ascii="Times New Roman" w:hAnsi="Times New Roman" w:eastAsia="等线" w:cs="Times New Roman"/>
                <w:color w:val="000000"/>
                <w:kern w:val="0"/>
                <w:sz w:val="21"/>
                <w:szCs w:val="21"/>
              </w:rPr>
              <w:t>)</w:t>
            </w:r>
          </w:p>
        </w:tc>
      </w:tr>
      <w:tr w14:paraId="4B28D809">
        <w:tblPrEx>
          <w:tblCellMar>
            <w:top w:w="0" w:type="dxa"/>
            <w:left w:w="108" w:type="dxa"/>
            <w:bottom w:w="0" w:type="dxa"/>
            <w:right w:w="108" w:type="dxa"/>
          </w:tblCellMar>
        </w:tblPrEx>
        <w:trPr>
          <w:trHeight w:val="936" w:hRule="atLeast"/>
          <w:jc w:val="center"/>
        </w:trPr>
        <w:tc>
          <w:tcPr>
            <w:tcW w:w="1068" w:type="dxa"/>
            <w:tcBorders>
              <w:top w:val="nil"/>
              <w:left w:val="nil"/>
              <w:bottom w:val="nil"/>
              <w:right w:val="nil"/>
            </w:tcBorders>
            <w:shd w:val="clear" w:color="auto" w:fill="auto"/>
            <w:noWrap/>
            <w:vAlign w:val="center"/>
          </w:tcPr>
          <w:p w14:paraId="632A378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EF</w:t>
            </w:r>
          </w:p>
        </w:tc>
        <w:tc>
          <w:tcPr>
            <w:tcW w:w="1645" w:type="dxa"/>
            <w:tcBorders>
              <w:top w:val="nil"/>
              <w:left w:val="nil"/>
              <w:bottom w:val="nil"/>
              <w:right w:val="nil"/>
            </w:tcBorders>
            <w:shd w:val="clear" w:color="auto" w:fill="auto"/>
            <w:noWrap/>
            <w:vAlign w:val="center"/>
          </w:tcPr>
          <w:p w14:paraId="65A0857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Exposure frequency</w:t>
            </w:r>
          </w:p>
        </w:tc>
        <w:tc>
          <w:tcPr>
            <w:tcW w:w="1185" w:type="dxa"/>
            <w:tcBorders>
              <w:top w:val="nil"/>
              <w:left w:val="nil"/>
              <w:bottom w:val="nil"/>
              <w:right w:val="nil"/>
            </w:tcBorders>
            <w:shd w:val="clear" w:color="auto" w:fill="auto"/>
            <w:noWrap/>
            <w:vAlign w:val="center"/>
          </w:tcPr>
          <w:p w14:paraId="5A2DF1A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d/a</w:t>
            </w:r>
          </w:p>
        </w:tc>
        <w:tc>
          <w:tcPr>
            <w:tcW w:w="951" w:type="dxa"/>
            <w:tcBorders>
              <w:top w:val="nil"/>
              <w:left w:val="nil"/>
              <w:bottom w:val="nil"/>
              <w:right w:val="nil"/>
            </w:tcBorders>
            <w:shd w:val="clear" w:color="auto" w:fill="auto"/>
            <w:noWrap/>
            <w:vAlign w:val="center"/>
          </w:tcPr>
          <w:p w14:paraId="2F9BE34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345</w:t>
            </w:r>
          </w:p>
        </w:tc>
        <w:tc>
          <w:tcPr>
            <w:tcW w:w="963" w:type="dxa"/>
            <w:tcBorders>
              <w:top w:val="nil"/>
              <w:left w:val="nil"/>
              <w:bottom w:val="nil"/>
              <w:right w:val="nil"/>
            </w:tcBorders>
            <w:shd w:val="clear" w:color="auto" w:fill="auto"/>
            <w:noWrap/>
            <w:vAlign w:val="center"/>
          </w:tcPr>
          <w:p w14:paraId="0A6A748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345</w:t>
            </w:r>
          </w:p>
        </w:tc>
        <w:tc>
          <w:tcPr>
            <w:tcW w:w="1862" w:type="dxa"/>
            <w:tcBorders>
              <w:top w:val="nil"/>
              <w:left w:val="nil"/>
              <w:right w:val="nil"/>
            </w:tcBorders>
            <w:shd w:val="clear" w:color="auto" w:fill="auto"/>
            <w:noWrap/>
            <w:vAlign w:val="center"/>
          </w:tcPr>
          <w:p w14:paraId="6D529A6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Triangular</w:t>
            </w:r>
          </w:p>
          <w:p w14:paraId="310459AC">
            <w:pPr>
              <w:widowControl/>
              <w:spacing w:line="240" w:lineRule="auto"/>
              <w:jc w:val="center"/>
              <w:rPr>
                <w:rFonts w:ascii="Times New Roman" w:hAnsi="Times New Roman" w:eastAsia="等线" w:cs="Times New Roman"/>
                <w:color w:val="000000"/>
                <w:kern w:val="0"/>
                <w:sz w:val="21"/>
                <w:szCs w:val="21"/>
              </w:rPr>
            </w:pPr>
            <w:r>
              <w:rPr>
                <w:rFonts w:hint="eastAsia" w:ascii="Times New Roman" w:hAnsi="Times New Roman" w:eastAsia="等线" w:cs="Times New Roman"/>
                <w:color w:val="000000"/>
                <w:kern w:val="0"/>
                <w:sz w:val="21"/>
                <w:szCs w:val="21"/>
              </w:rPr>
              <w:t>(</w:t>
            </w:r>
            <w:r>
              <w:rPr>
                <w:rFonts w:ascii="Times New Roman" w:hAnsi="Times New Roman" w:eastAsia="等线" w:cs="Times New Roman"/>
                <w:color w:val="000000"/>
                <w:kern w:val="0"/>
                <w:sz w:val="21"/>
                <w:szCs w:val="21"/>
              </w:rPr>
              <w:t>180,315,365)</w:t>
            </w:r>
          </w:p>
        </w:tc>
        <w:tc>
          <w:tcPr>
            <w:tcW w:w="2506" w:type="dxa"/>
            <w:tcBorders>
              <w:top w:val="nil"/>
              <w:left w:val="nil"/>
              <w:bottom w:val="nil"/>
              <w:right w:val="nil"/>
            </w:tcBorders>
            <w:shd w:val="clear" w:color="auto" w:fill="auto"/>
            <w:noWrap/>
            <w:vAlign w:val="center"/>
          </w:tcPr>
          <w:p w14:paraId="0EF0E90A">
            <w:pPr>
              <w:widowControl/>
              <w:spacing w:line="240" w:lineRule="auto"/>
              <w:jc w:val="center"/>
              <w:rPr>
                <w:rFonts w:ascii="Times New Roman" w:hAnsi="Times New Roman" w:eastAsia="等线" w:cs="Times New Roman"/>
                <w:color w:val="000000"/>
                <w:kern w:val="0"/>
                <w:sz w:val="21"/>
                <w:szCs w:val="21"/>
                <w:lang w:val="fr-FR"/>
              </w:rPr>
            </w:pPr>
            <w:r>
              <w:rPr>
                <w:rFonts w:ascii="Times New Roman" w:hAnsi="Times New Roman" w:eastAsia="等线" w:cs="Times New Roman"/>
                <w:color w:val="000000"/>
                <w:kern w:val="0"/>
                <w:sz w:val="21"/>
                <w:szCs w:val="21"/>
                <w:lang w:val="fr-FR"/>
              </w:rPr>
              <w:t>(</w:t>
            </w:r>
            <w:r>
              <w:rPr>
                <w:rFonts w:ascii="Times New Roman" w:hAnsi="Times New Roman" w:eastAsia="等线" w:cs="Times New Roman"/>
                <w:color w:val="4472C4"/>
                <w:kern w:val="0"/>
                <w:sz w:val="21"/>
                <w:szCs w:val="21"/>
                <w:lang w:val="fr-FR"/>
              </w:rPr>
              <w:t>Shen et al., 2024; Yang et al., 2024</w:t>
            </w:r>
            <w:r>
              <w:rPr>
                <w:rFonts w:ascii="Times New Roman" w:hAnsi="Times New Roman" w:eastAsia="等线" w:cs="Times New Roman"/>
                <w:color w:val="000000"/>
                <w:kern w:val="0"/>
                <w:sz w:val="21"/>
                <w:szCs w:val="21"/>
                <w:lang w:val="fr-FR"/>
              </w:rPr>
              <w:t>)</w:t>
            </w:r>
          </w:p>
        </w:tc>
      </w:tr>
      <w:tr w14:paraId="677AEA2A">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17B8ADE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ED</w:t>
            </w:r>
          </w:p>
        </w:tc>
        <w:tc>
          <w:tcPr>
            <w:tcW w:w="1645" w:type="dxa"/>
            <w:tcBorders>
              <w:top w:val="nil"/>
              <w:left w:val="nil"/>
              <w:bottom w:val="nil"/>
              <w:right w:val="nil"/>
            </w:tcBorders>
            <w:shd w:val="clear" w:color="auto" w:fill="auto"/>
            <w:noWrap/>
            <w:vAlign w:val="center"/>
          </w:tcPr>
          <w:p w14:paraId="22F3295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Exposure duration</w:t>
            </w:r>
          </w:p>
        </w:tc>
        <w:tc>
          <w:tcPr>
            <w:tcW w:w="1185" w:type="dxa"/>
            <w:tcBorders>
              <w:top w:val="nil"/>
              <w:left w:val="nil"/>
              <w:bottom w:val="nil"/>
              <w:right w:val="nil"/>
            </w:tcBorders>
            <w:shd w:val="clear" w:color="auto" w:fill="auto"/>
            <w:noWrap/>
            <w:vAlign w:val="center"/>
          </w:tcPr>
          <w:p w14:paraId="6584D21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w:t>
            </w:r>
          </w:p>
        </w:tc>
        <w:tc>
          <w:tcPr>
            <w:tcW w:w="951" w:type="dxa"/>
            <w:tcBorders>
              <w:top w:val="nil"/>
              <w:left w:val="nil"/>
              <w:bottom w:val="nil"/>
              <w:right w:val="nil"/>
            </w:tcBorders>
            <w:shd w:val="clear" w:color="auto" w:fill="auto"/>
            <w:noWrap/>
            <w:vAlign w:val="center"/>
          </w:tcPr>
          <w:p w14:paraId="337C384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6</w:t>
            </w:r>
          </w:p>
        </w:tc>
        <w:tc>
          <w:tcPr>
            <w:tcW w:w="963" w:type="dxa"/>
            <w:tcBorders>
              <w:top w:val="nil"/>
              <w:left w:val="nil"/>
              <w:bottom w:val="nil"/>
              <w:right w:val="nil"/>
            </w:tcBorders>
            <w:shd w:val="clear" w:color="auto" w:fill="auto"/>
            <w:noWrap/>
            <w:vAlign w:val="center"/>
          </w:tcPr>
          <w:p w14:paraId="3F890FE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24</w:t>
            </w:r>
          </w:p>
        </w:tc>
        <w:tc>
          <w:tcPr>
            <w:tcW w:w="1862" w:type="dxa"/>
            <w:tcBorders>
              <w:top w:val="nil"/>
              <w:left w:val="nil"/>
              <w:bottom w:val="nil"/>
              <w:right w:val="nil"/>
            </w:tcBorders>
            <w:shd w:val="clear" w:color="auto" w:fill="auto"/>
            <w:noWrap/>
            <w:vAlign w:val="center"/>
          </w:tcPr>
          <w:p w14:paraId="08331B2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Uniform</w:t>
            </w:r>
          </w:p>
        </w:tc>
        <w:tc>
          <w:tcPr>
            <w:tcW w:w="2506" w:type="dxa"/>
            <w:tcBorders>
              <w:top w:val="nil"/>
              <w:left w:val="nil"/>
              <w:bottom w:val="nil"/>
              <w:right w:val="nil"/>
            </w:tcBorders>
            <w:shd w:val="clear" w:color="auto" w:fill="auto"/>
            <w:noWrap/>
            <w:vAlign w:val="center"/>
          </w:tcPr>
          <w:p w14:paraId="2BA4AC83">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USEPA, 2011</w:t>
            </w:r>
            <w:r>
              <w:rPr>
                <w:rFonts w:ascii="Times New Roman" w:hAnsi="Times New Roman" w:eastAsia="等线" w:cs="Times New Roman"/>
                <w:color w:val="000000"/>
                <w:kern w:val="0"/>
                <w:sz w:val="21"/>
                <w:szCs w:val="21"/>
              </w:rPr>
              <w:t>)</w:t>
            </w:r>
          </w:p>
        </w:tc>
      </w:tr>
      <w:tr w14:paraId="306EB848">
        <w:tblPrEx>
          <w:tblCellMar>
            <w:top w:w="0" w:type="dxa"/>
            <w:left w:w="108" w:type="dxa"/>
            <w:bottom w:w="0" w:type="dxa"/>
            <w:right w:w="108" w:type="dxa"/>
          </w:tblCellMar>
        </w:tblPrEx>
        <w:trPr>
          <w:trHeight w:val="936" w:hRule="atLeast"/>
          <w:jc w:val="center"/>
        </w:trPr>
        <w:tc>
          <w:tcPr>
            <w:tcW w:w="1068" w:type="dxa"/>
            <w:tcBorders>
              <w:top w:val="nil"/>
              <w:left w:val="nil"/>
              <w:bottom w:val="nil"/>
              <w:right w:val="nil"/>
            </w:tcBorders>
            <w:shd w:val="clear" w:color="auto" w:fill="auto"/>
            <w:noWrap/>
            <w:vAlign w:val="center"/>
          </w:tcPr>
          <w:p w14:paraId="71763F8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BW</w:t>
            </w:r>
          </w:p>
        </w:tc>
        <w:tc>
          <w:tcPr>
            <w:tcW w:w="1645" w:type="dxa"/>
            <w:tcBorders>
              <w:top w:val="nil"/>
              <w:left w:val="nil"/>
              <w:bottom w:val="nil"/>
              <w:right w:val="nil"/>
            </w:tcBorders>
            <w:shd w:val="clear" w:color="auto" w:fill="auto"/>
            <w:noWrap/>
            <w:vAlign w:val="center"/>
          </w:tcPr>
          <w:p w14:paraId="606FD19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Body weight</w:t>
            </w:r>
          </w:p>
        </w:tc>
        <w:tc>
          <w:tcPr>
            <w:tcW w:w="1185" w:type="dxa"/>
            <w:tcBorders>
              <w:top w:val="nil"/>
              <w:left w:val="nil"/>
              <w:bottom w:val="nil"/>
              <w:right w:val="nil"/>
            </w:tcBorders>
            <w:shd w:val="clear" w:color="auto" w:fill="auto"/>
            <w:noWrap/>
            <w:vAlign w:val="center"/>
          </w:tcPr>
          <w:p w14:paraId="3CC88CD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kg</w:t>
            </w:r>
          </w:p>
        </w:tc>
        <w:tc>
          <w:tcPr>
            <w:tcW w:w="951" w:type="dxa"/>
            <w:tcBorders>
              <w:top w:val="nil"/>
              <w:left w:val="nil"/>
              <w:bottom w:val="nil"/>
              <w:right w:val="nil"/>
            </w:tcBorders>
            <w:shd w:val="clear" w:color="auto" w:fill="auto"/>
            <w:noWrap/>
            <w:vAlign w:val="center"/>
          </w:tcPr>
          <w:p w14:paraId="74D0A93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19.2</w:t>
            </w:r>
          </w:p>
        </w:tc>
        <w:tc>
          <w:tcPr>
            <w:tcW w:w="963" w:type="dxa"/>
            <w:tcBorders>
              <w:top w:val="nil"/>
              <w:left w:val="nil"/>
              <w:bottom w:val="nil"/>
              <w:right w:val="nil"/>
            </w:tcBorders>
            <w:shd w:val="clear" w:color="auto" w:fill="auto"/>
            <w:noWrap/>
            <w:vAlign w:val="center"/>
          </w:tcPr>
          <w:p w14:paraId="03F78B6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61.8</w:t>
            </w:r>
          </w:p>
        </w:tc>
        <w:tc>
          <w:tcPr>
            <w:tcW w:w="1862" w:type="dxa"/>
            <w:tcBorders>
              <w:top w:val="nil"/>
              <w:left w:val="nil"/>
              <w:right w:val="nil"/>
            </w:tcBorders>
            <w:shd w:val="clear" w:color="auto" w:fill="auto"/>
            <w:noWrap/>
            <w:vAlign w:val="center"/>
          </w:tcPr>
          <w:p w14:paraId="32366E1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Log-normal</w:t>
            </w:r>
          </w:p>
          <w:p w14:paraId="4AABB6B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(19.2,0.19)/(61.8,0.62)</w:t>
            </w:r>
          </w:p>
        </w:tc>
        <w:tc>
          <w:tcPr>
            <w:tcW w:w="2506" w:type="dxa"/>
            <w:tcBorders>
              <w:top w:val="nil"/>
              <w:left w:val="nil"/>
              <w:bottom w:val="nil"/>
              <w:right w:val="nil"/>
            </w:tcBorders>
            <w:shd w:val="clear" w:color="auto" w:fill="auto"/>
            <w:noWrap/>
            <w:vAlign w:val="center"/>
          </w:tcPr>
          <w:p w14:paraId="388DBBE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MEPPRC, 2014</w:t>
            </w:r>
            <w:r>
              <w:rPr>
                <w:rFonts w:ascii="Times New Roman" w:hAnsi="Times New Roman" w:eastAsia="等线" w:cs="Times New Roman"/>
                <w:color w:val="000000"/>
                <w:kern w:val="0"/>
                <w:sz w:val="21"/>
                <w:szCs w:val="21"/>
              </w:rPr>
              <w:t>)</w:t>
            </w:r>
          </w:p>
        </w:tc>
      </w:tr>
      <w:tr w14:paraId="1E766988">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7504B6A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AT (nc)</w:t>
            </w:r>
          </w:p>
        </w:tc>
        <w:tc>
          <w:tcPr>
            <w:tcW w:w="1645" w:type="dxa"/>
            <w:vMerge w:val="restart"/>
            <w:tcBorders>
              <w:top w:val="nil"/>
              <w:left w:val="nil"/>
              <w:bottom w:val="nil"/>
              <w:right w:val="nil"/>
            </w:tcBorders>
            <w:shd w:val="clear" w:color="auto" w:fill="auto"/>
            <w:noWrap/>
            <w:vAlign w:val="center"/>
          </w:tcPr>
          <w:p w14:paraId="50DFDD1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Average exposure time</w:t>
            </w:r>
          </w:p>
        </w:tc>
        <w:tc>
          <w:tcPr>
            <w:tcW w:w="1185" w:type="dxa"/>
            <w:vMerge w:val="restart"/>
            <w:tcBorders>
              <w:top w:val="nil"/>
              <w:left w:val="nil"/>
              <w:bottom w:val="nil"/>
              <w:right w:val="nil"/>
            </w:tcBorders>
            <w:shd w:val="clear" w:color="auto" w:fill="auto"/>
            <w:noWrap/>
            <w:vAlign w:val="center"/>
          </w:tcPr>
          <w:p w14:paraId="37318CA7">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d</w:t>
            </w:r>
          </w:p>
        </w:tc>
        <w:tc>
          <w:tcPr>
            <w:tcW w:w="1914" w:type="dxa"/>
            <w:gridSpan w:val="2"/>
            <w:tcBorders>
              <w:top w:val="nil"/>
              <w:left w:val="nil"/>
              <w:bottom w:val="nil"/>
              <w:right w:val="nil"/>
            </w:tcBorders>
            <w:shd w:val="clear" w:color="auto" w:fill="auto"/>
            <w:noWrap/>
            <w:vAlign w:val="center"/>
          </w:tcPr>
          <w:p w14:paraId="02EDBF9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365*ED</w:t>
            </w:r>
          </w:p>
        </w:tc>
        <w:tc>
          <w:tcPr>
            <w:tcW w:w="1862" w:type="dxa"/>
            <w:vMerge w:val="restart"/>
            <w:tcBorders>
              <w:top w:val="nil"/>
              <w:left w:val="nil"/>
              <w:bottom w:val="nil"/>
              <w:right w:val="nil"/>
            </w:tcBorders>
            <w:shd w:val="clear" w:color="auto" w:fill="auto"/>
            <w:noWrap/>
            <w:vAlign w:val="center"/>
          </w:tcPr>
          <w:p w14:paraId="75DB739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Point</w:t>
            </w:r>
          </w:p>
        </w:tc>
        <w:tc>
          <w:tcPr>
            <w:tcW w:w="2506" w:type="dxa"/>
            <w:vMerge w:val="restart"/>
            <w:tcBorders>
              <w:top w:val="nil"/>
              <w:left w:val="nil"/>
              <w:bottom w:val="nil"/>
              <w:right w:val="nil"/>
            </w:tcBorders>
            <w:shd w:val="clear" w:color="auto" w:fill="auto"/>
            <w:noWrap/>
            <w:vAlign w:val="center"/>
          </w:tcPr>
          <w:p w14:paraId="7EEE7E7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MEPPRC, 2014</w:t>
            </w:r>
            <w:r>
              <w:rPr>
                <w:rFonts w:ascii="Times New Roman" w:hAnsi="Times New Roman" w:eastAsia="等线" w:cs="Times New Roman"/>
                <w:color w:val="000000"/>
                <w:kern w:val="0"/>
                <w:sz w:val="21"/>
                <w:szCs w:val="21"/>
              </w:rPr>
              <w:t>)</w:t>
            </w:r>
          </w:p>
        </w:tc>
      </w:tr>
      <w:tr w14:paraId="266F0FE1">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3FBB593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AT (ca)</w:t>
            </w:r>
          </w:p>
        </w:tc>
        <w:tc>
          <w:tcPr>
            <w:tcW w:w="1645" w:type="dxa"/>
            <w:vMerge w:val="continue"/>
            <w:tcBorders>
              <w:top w:val="nil"/>
              <w:left w:val="nil"/>
              <w:bottom w:val="nil"/>
              <w:right w:val="nil"/>
            </w:tcBorders>
            <w:vAlign w:val="center"/>
          </w:tcPr>
          <w:p w14:paraId="1159EEB8">
            <w:pPr>
              <w:widowControl/>
              <w:spacing w:line="240" w:lineRule="auto"/>
              <w:jc w:val="left"/>
              <w:rPr>
                <w:rFonts w:ascii="Times New Roman" w:hAnsi="Times New Roman" w:eastAsia="等线" w:cs="Times New Roman"/>
                <w:color w:val="000000"/>
                <w:kern w:val="0"/>
                <w:sz w:val="21"/>
                <w:szCs w:val="21"/>
              </w:rPr>
            </w:pPr>
          </w:p>
        </w:tc>
        <w:tc>
          <w:tcPr>
            <w:tcW w:w="1185" w:type="dxa"/>
            <w:vMerge w:val="continue"/>
            <w:tcBorders>
              <w:top w:val="nil"/>
              <w:left w:val="nil"/>
              <w:bottom w:val="nil"/>
              <w:right w:val="nil"/>
            </w:tcBorders>
            <w:vAlign w:val="center"/>
          </w:tcPr>
          <w:p w14:paraId="4227BF9E">
            <w:pPr>
              <w:widowControl/>
              <w:spacing w:line="240" w:lineRule="auto"/>
              <w:jc w:val="left"/>
              <w:rPr>
                <w:rFonts w:ascii="Times New Roman" w:hAnsi="Times New Roman" w:eastAsia="等线" w:cs="Times New Roman"/>
                <w:color w:val="000000"/>
                <w:kern w:val="0"/>
                <w:sz w:val="21"/>
                <w:szCs w:val="21"/>
              </w:rPr>
            </w:pPr>
          </w:p>
        </w:tc>
        <w:tc>
          <w:tcPr>
            <w:tcW w:w="1914" w:type="dxa"/>
            <w:gridSpan w:val="2"/>
            <w:tcBorders>
              <w:top w:val="nil"/>
              <w:left w:val="nil"/>
              <w:bottom w:val="nil"/>
              <w:right w:val="nil"/>
            </w:tcBorders>
            <w:shd w:val="clear" w:color="auto" w:fill="auto"/>
            <w:noWrap/>
            <w:vAlign w:val="center"/>
          </w:tcPr>
          <w:p w14:paraId="09EEE1C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365*70=25550</w:t>
            </w:r>
          </w:p>
        </w:tc>
        <w:tc>
          <w:tcPr>
            <w:tcW w:w="1862" w:type="dxa"/>
            <w:vMerge w:val="continue"/>
            <w:tcBorders>
              <w:top w:val="nil"/>
              <w:left w:val="nil"/>
              <w:bottom w:val="nil"/>
              <w:right w:val="nil"/>
            </w:tcBorders>
            <w:vAlign w:val="center"/>
          </w:tcPr>
          <w:p w14:paraId="2C582673">
            <w:pPr>
              <w:widowControl/>
              <w:spacing w:line="240" w:lineRule="auto"/>
              <w:jc w:val="left"/>
              <w:rPr>
                <w:rFonts w:ascii="Times New Roman" w:hAnsi="Times New Roman" w:eastAsia="等线" w:cs="Times New Roman"/>
                <w:color w:val="000000"/>
                <w:kern w:val="0"/>
                <w:sz w:val="21"/>
                <w:szCs w:val="21"/>
              </w:rPr>
            </w:pPr>
          </w:p>
        </w:tc>
        <w:tc>
          <w:tcPr>
            <w:tcW w:w="2506" w:type="dxa"/>
            <w:vMerge w:val="continue"/>
            <w:tcBorders>
              <w:top w:val="nil"/>
              <w:left w:val="nil"/>
              <w:bottom w:val="nil"/>
              <w:right w:val="nil"/>
            </w:tcBorders>
            <w:vAlign w:val="center"/>
          </w:tcPr>
          <w:p w14:paraId="4CC7C21F">
            <w:pPr>
              <w:widowControl/>
              <w:spacing w:line="240" w:lineRule="auto"/>
              <w:jc w:val="left"/>
              <w:rPr>
                <w:rFonts w:ascii="Times New Roman" w:hAnsi="Times New Roman" w:eastAsia="等线" w:cs="Times New Roman"/>
                <w:color w:val="000000"/>
                <w:kern w:val="0"/>
                <w:sz w:val="21"/>
                <w:szCs w:val="21"/>
              </w:rPr>
            </w:pPr>
          </w:p>
        </w:tc>
      </w:tr>
      <w:tr w14:paraId="6A5E4050">
        <w:tblPrEx>
          <w:tblCellMar>
            <w:top w:w="0" w:type="dxa"/>
            <w:left w:w="108" w:type="dxa"/>
            <w:bottom w:w="0" w:type="dxa"/>
            <w:right w:w="108" w:type="dxa"/>
          </w:tblCellMar>
        </w:tblPrEx>
        <w:trPr>
          <w:trHeight w:val="336" w:hRule="atLeast"/>
          <w:jc w:val="center"/>
        </w:trPr>
        <w:tc>
          <w:tcPr>
            <w:tcW w:w="1068" w:type="dxa"/>
            <w:tcBorders>
              <w:top w:val="nil"/>
              <w:left w:val="nil"/>
              <w:bottom w:val="nil"/>
              <w:right w:val="nil"/>
            </w:tcBorders>
            <w:shd w:val="clear" w:color="auto" w:fill="auto"/>
            <w:noWrap/>
            <w:vAlign w:val="center"/>
          </w:tcPr>
          <w:p w14:paraId="0DC104CE">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SA</w:t>
            </w:r>
          </w:p>
        </w:tc>
        <w:tc>
          <w:tcPr>
            <w:tcW w:w="1645" w:type="dxa"/>
            <w:tcBorders>
              <w:top w:val="nil"/>
              <w:left w:val="nil"/>
              <w:bottom w:val="nil"/>
              <w:right w:val="nil"/>
            </w:tcBorders>
            <w:shd w:val="clear" w:color="auto" w:fill="auto"/>
            <w:noWrap/>
            <w:vAlign w:val="center"/>
          </w:tcPr>
          <w:p w14:paraId="40E2130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Surface area of skin</w:t>
            </w:r>
          </w:p>
        </w:tc>
        <w:tc>
          <w:tcPr>
            <w:tcW w:w="1185" w:type="dxa"/>
            <w:tcBorders>
              <w:top w:val="nil"/>
              <w:left w:val="nil"/>
              <w:bottom w:val="nil"/>
              <w:right w:val="nil"/>
            </w:tcBorders>
            <w:shd w:val="clear" w:color="auto" w:fill="auto"/>
            <w:noWrap/>
            <w:vAlign w:val="center"/>
          </w:tcPr>
          <w:p w14:paraId="3C01A6C0">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cm</w:t>
            </w:r>
            <w:r>
              <w:rPr>
                <w:rFonts w:ascii="Times New Roman" w:hAnsi="Times New Roman" w:eastAsia="等线" w:cs="Times New Roman"/>
                <w:color w:val="000000"/>
                <w:kern w:val="0"/>
                <w:sz w:val="21"/>
                <w:szCs w:val="21"/>
                <w:vertAlign w:val="superscript"/>
              </w:rPr>
              <w:t>2</w:t>
            </w:r>
          </w:p>
        </w:tc>
        <w:tc>
          <w:tcPr>
            <w:tcW w:w="951" w:type="dxa"/>
            <w:tcBorders>
              <w:top w:val="nil"/>
              <w:left w:val="nil"/>
              <w:bottom w:val="nil"/>
              <w:right w:val="nil"/>
            </w:tcBorders>
            <w:shd w:val="clear" w:color="auto" w:fill="auto"/>
            <w:noWrap/>
            <w:vAlign w:val="center"/>
          </w:tcPr>
          <w:p w14:paraId="2666E31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2448</w:t>
            </w:r>
          </w:p>
        </w:tc>
        <w:tc>
          <w:tcPr>
            <w:tcW w:w="963" w:type="dxa"/>
            <w:tcBorders>
              <w:top w:val="nil"/>
              <w:left w:val="nil"/>
              <w:bottom w:val="nil"/>
              <w:right w:val="nil"/>
            </w:tcBorders>
            <w:shd w:val="clear" w:color="auto" w:fill="auto"/>
            <w:noWrap/>
            <w:vAlign w:val="center"/>
          </w:tcPr>
          <w:p w14:paraId="54231DA2">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5075</w:t>
            </w:r>
          </w:p>
        </w:tc>
        <w:tc>
          <w:tcPr>
            <w:tcW w:w="1862" w:type="dxa"/>
            <w:tcBorders>
              <w:top w:val="nil"/>
              <w:left w:val="nil"/>
              <w:bottom w:val="nil"/>
              <w:right w:val="nil"/>
            </w:tcBorders>
            <w:shd w:val="clear" w:color="auto" w:fill="auto"/>
            <w:noWrap/>
            <w:vAlign w:val="center"/>
          </w:tcPr>
          <w:p w14:paraId="6234AAB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Point</w:t>
            </w:r>
          </w:p>
        </w:tc>
        <w:tc>
          <w:tcPr>
            <w:tcW w:w="2506" w:type="dxa"/>
            <w:tcBorders>
              <w:top w:val="nil"/>
              <w:left w:val="nil"/>
              <w:bottom w:val="nil"/>
              <w:right w:val="nil"/>
            </w:tcBorders>
            <w:shd w:val="clear" w:color="auto" w:fill="auto"/>
            <w:noWrap/>
            <w:vAlign w:val="center"/>
          </w:tcPr>
          <w:p w14:paraId="1986FB2A">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MEPPRC, 2014</w:t>
            </w:r>
            <w:r>
              <w:rPr>
                <w:rFonts w:ascii="Times New Roman" w:hAnsi="Times New Roman" w:eastAsia="等线" w:cs="Times New Roman"/>
                <w:color w:val="000000"/>
                <w:kern w:val="0"/>
                <w:sz w:val="21"/>
                <w:szCs w:val="21"/>
              </w:rPr>
              <w:t>)</w:t>
            </w:r>
          </w:p>
        </w:tc>
      </w:tr>
      <w:tr w14:paraId="7F9EF175">
        <w:tblPrEx>
          <w:tblCellMar>
            <w:top w:w="0" w:type="dxa"/>
            <w:left w:w="108" w:type="dxa"/>
            <w:bottom w:w="0" w:type="dxa"/>
            <w:right w:w="108" w:type="dxa"/>
          </w:tblCellMar>
        </w:tblPrEx>
        <w:trPr>
          <w:trHeight w:val="936" w:hRule="atLeast"/>
          <w:jc w:val="center"/>
        </w:trPr>
        <w:tc>
          <w:tcPr>
            <w:tcW w:w="1068" w:type="dxa"/>
            <w:tcBorders>
              <w:top w:val="nil"/>
              <w:left w:val="nil"/>
              <w:bottom w:val="nil"/>
              <w:right w:val="nil"/>
            </w:tcBorders>
            <w:shd w:val="clear" w:color="auto" w:fill="auto"/>
            <w:noWrap/>
            <w:vAlign w:val="center"/>
          </w:tcPr>
          <w:p w14:paraId="3CD636E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SL</w:t>
            </w:r>
          </w:p>
        </w:tc>
        <w:tc>
          <w:tcPr>
            <w:tcW w:w="1645" w:type="dxa"/>
            <w:tcBorders>
              <w:top w:val="nil"/>
              <w:left w:val="nil"/>
              <w:bottom w:val="nil"/>
              <w:right w:val="nil"/>
            </w:tcBorders>
            <w:shd w:val="clear" w:color="auto" w:fill="auto"/>
            <w:noWrap/>
            <w:vAlign w:val="center"/>
          </w:tcPr>
          <w:p w14:paraId="0104D65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Skin adherence factor</w:t>
            </w:r>
          </w:p>
        </w:tc>
        <w:tc>
          <w:tcPr>
            <w:tcW w:w="1185" w:type="dxa"/>
            <w:tcBorders>
              <w:top w:val="nil"/>
              <w:left w:val="nil"/>
              <w:bottom w:val="nil"/>
              <w:right w:val="nil"/>
            </w:tcBorders>
            <w:shd w:val="clear" w:color="auto" w:fill="auto"/>
            <w:noWrap/>
            <w:vAlign w:val="center"/>
          </w:tcPr>
          <w:p w14:paraId="31A0B28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mg/(cm</w:t>
            </w:r>
            <w:r>
              <w:rPr>
                <w:rFonts w:ascii="Times New Roman" w:hAnsi="Times New Roman" w:eastAsia="等线" w:cs="Times New Roman"/>
                <w:color w:val="000000"/>
                <w:kern w:val="0"/>
                <w:sz w:val="21"/>
                <w:szCs w:val="21"/>
                <w:vertAlign w:val="superscript"/>
              </w:rPr>
              <w:t>2</w:t>
            </w:r>
            <w:r>
              <w:rPr>
                <w:rFonts w:ascii="Times New Roman" w:hAnsi="Times New Roman" w:eastAsia="等线" w:cs="Times New Roman"/>
                <w:color w:val="000000"/>
                <w:kern w:val="0"/>
                <w:sz w:val="21"/>
                <w:szCs w:val="21"/>
              </w:rPr>
              <w:t>·d)</w:t>
            </w:r>
          </w:p>
        </w:tc>
        <w:tc>
          <w:tcPr>
            <w:tcW w:w="951" w:type="dxa"/>
            <w:tcBorders>
              <w:top w:val="nil"/>
              <w:left w:val="nil"/>
              <w:bottom w:val="nil"/>
              <w:right w:val="nil"/>
            </w:tcBorders>
            <w:shd w:val="clear" w:color="auto" w:fill="auto"/>
            <w:noWrap/>
            <w:vAlign w:val="center"/>
          </w:tcPr>
          <w:p w14:paraId="7CEEECB1">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0.65</w:t>
            </w:r>
          </w:p>
        </w:tc>
        <w:tc>
          <w:tcPr>
            <w:tcW w:w="963" w:type="dxa"/>
            <w:tcBorders>
              <w:top w:val="nil"/>
              <w:left w:val="nil"/>
              <w:bottom w:val="nil"/>
              <w:right w:val="nil"/>
            </w:tcBorders>
            <w:shd w:val="clear" w:color="auto" w:fill="auto"/>
            <w:noWrap/>
            <w:vAlign w:val="center"/>
          </w:tcPr>
          <w:p w14:paraId="74FB385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0.49</w:t>
            </w:r>
          </w:p>
        </w:tc>
        <w:tc>
          <w:tcPr>
            <w:tcW w:w="1862" w:type="dxa"/>
            <w:tcBorders>
              <w:top w:val="nil"/>
              <w:left w:val="nil"/>
              <w:right w:val="nil"/>
            </w:tcBorders>
            <w:shd w:val="clear" w:color="auto" w:fill="auto"/>
            <w:noWrap/>
            <w:vAlign w:val="center"/>
          </w:tcPr>
          <w:p w14:paraId="6EB5ACEB">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Log-normal</w:t>
            </w:r>
          </w:p>
          <w:p w14:paraId="64ADA21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(0.65,1.2)/(0.49,0.54)</w:t>
            </w:r>
          </w:p>
        </w:tc>
        <w:tc>
          <w:tcPr>
            <w:tcW w:w="2506" w:type="dxa"/>
            <w:tcBorders>
              <w:top w:val="nil"/>
              <w:left w:val="nil"/>
              <w:bottom w:val="nil"/>
              <w:right w:val="nil"/>
            </w:tcBorders>
            <w:shd w:val="clear" w:color="auto" w:fill="auto"/>
            <w:noWrap/>
            <w:vAlign w:val="center"/>
          </w:tcPr>
          <w:p w14:paraId="743064FB">
            <w:pPr>
              <w:widowControl/>
              <w:spacing w:line="240" w:lineRule="auto"/>
              <w:jc w:val="center"/>
              <w:rPr>
                <w:rFonts w:ascii="Times New Roman" w:hAnsi="Times New Roman" w:eastAsia="等线" w:cs="Times New Roman"/>
                <w:color w:val="000000"/>
                <w:kern w:val="0"/>
                <w:sz w:val="21"/>
                <w:szCs w:val="21"/>
                <w:lang w:val="fr-FR"/>
              </w:rPr>
            </w:pPr>
            <w:r>
              <w:rPr>
                <w:rFonts w:ascii="Times New Roman" w:hAnsi="Times New Roman" w:eastAsia="等线" w:cs="Times New Roman"/>
                <w:color w:val="000000"/>
                <w:kern w:val="0"/>
                <w:sz w:val="21"/>
                <w:szCs w:val="21"/>
                <w:lang w:val="fr-FR"/>
              </w:rPr>
              <w:t>(</w:t>
            </w:r>
            <w:r>
              <w:rPr>
                <w:rFonts w:ascii="Times New Roman" w:hAnsi="Times New Roman" w:eastAsia="等线" w:cs="Times New Roman"/>
                <w:color w:val="4472C4"/>
                <w:kern w:val="0"/>
                <w:sz w:val="21"/>
                <w:szCs w:val="21"/>
                <w:lang w:val="fr-FR"/>
              </w:rPr>
              <w:t>Huang et al., 2021; Yang et al., 2024</w:t>
            </w:r>
            <w:r>
              <w:rPr>
                <w:rFonts w:ascii="Times New Roman" w:hAnsi="Times New Roman" w:eastAsia="等线" w:cs="Times New Roman"/>
                <w:color w:val="000000"/>
                <w:kern w:val="0"/>
                <w:sz w:val="21"/>
                <w:szCs w:val="21"/>
                <w:lang w:val="fr-FR"/>
              </w:rPr>
              <w:t>)</w:t>
            </w:r>
          </w:p>
        </w:tc>
      </w:tr>
      <w:tr w14:paraId="633E1DA2">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4179737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ABF (nc)</w:t>
            </w:r>
          </w:p>
        </w:tc>
        <w:tc>
          <w:tcPr>
            <w:tcW w:w="1645" w:type="dxa"/>
            <w:vMerge w:val="restart"/>
            <w:tcBorders>
              <w:top w:val="nil"/>
              <w:left w:val="nil"/>
              <w:bottom w:val="nil"/>
              <w:right w:val="nil"/>
            </w:tcBorders>
            <w:shd w:val="clear" w:color="auto" w:fill="auto"/>
            <w:noWrap/>
            <w:vAlign w:val="center"/>
          </w:tcPr>
          <w:p w14:paraId="6B50641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Dermal absorption factor</w:t>
            </w:r>
          </w:p>
        </w:tc>
        <w:tc>
          <w:tcPr>
            <w:tcW w:w="1185" w:type="dxa"/>
            <w:vMerge w:val="restart"/>
            <w:tcBorders>
              <w:top w:val="nil"/>
              <w:left w:val="nil"/>
              <w:bottom w:val="nil"/>
              <w:right w:val="nil"/>
            </w:tcBorders>
            <w:shd w:val="clear" w:color="auto" w:fill="auto"/>
            <w:noWrap/>
            <w:vAlign w:val="center"/>
          </w:tcPr>
          <w:p w14:paraId="061DA759">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unitless</w:t>
            </w:r>
          </w:p>
        </w:tc>
        <w:tc>
          <w:tcPr>
            <w:tcW w:w="1914" w:type="dxa"/>
            <w:gridSpan w:val="2"/>
            <w:tcBorders>
              <w:top w:val="nil"/>
              <w:left w:val="nil"/>
              <w:bottom w:val="nil"/>
              <w:right w:val="nil"/>
            </w:tcBorders>
            <w:shd w:val="clear" w:color="auto" w:fill="auto"/>
            <w:noWrap/>
            <w:vAlign w:val="center"/>
          </w:tcPr>
          <w:p w14:paraId="3AA9A9B8">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0.001</w:t>
            </w:r>
          </w:p>
        </w:tc>
        <w:tc>
          <w:tcPr>
            <w:tcW w:w="1862" w:type="dxa"/>
            <w:vMerge w:val="restart"/>
            <w:tcBorders>
              <w:top w:val="nil"/>
              <w:left w:val="nil"/>
              <w:bottom w:val="nil"/>
              <w:right w:val="nil"/>
            </w:tcBorders>
            <w:shd w:val="clear" w:color="auto" w:fill="auto"/>
            <w:noWrap/>
            <w:vAlign w:val="center"/>
          </w:tcPr>
          <w:p w14:paraId="19E0CE0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Point</w:t>
            </w:r>
          </w:p>
        </w:tc>
        <w:tc>
          <w:tcPr>
            <w:tcW w:w="2506" w:type="dxa"/>
            <w:vMerge w:val="restart"/>
            <w:tcBorders>
              <w:top w:val="nil"/>
              <w:left w:val="nil"/>
              <w:bottom w:val="nil"/>
              <w:right w:val="nil"/>
            </w:tcBorders>
            <w:shd w:val="clear" w:color="auto" w:fill="auto"/>
            <w:noWrap/>
            <w:vAlign w:val="center"/>
          </w:tcPr>
          <w:p w14:paraId="604C1E95">
            <w:pPr>
              <w:widowControl/>
              <w:spacing w:line="240" w:lineRule="auto"/>
              <w:jc w:val="center"/>
              <w:rPr>
                <w:rFonts w:ascii="Times New Roman" w:hAnsi="Times New Roman" w:eastAsia="等线" w:cs="Times New Roman"/>
                <w:color w:val="000000"/>
                <w:kern w:val="0"/>
                <w:sz w:val="21"/>
                <w:szCs w:val="21"/>
                <w:lang w:val="fr-FR"/>
              </w:rPr>
            </w:pPr>
            <w:r>
              <w:rPr>
                <w:rFonts w:ascii="Times New Roman" w:hAnsi="Times New Roman" w:eastAsia="等线" w:cs="Times New Roman"/>
                <w:color w:val="000000"/>
                <w:kern w:val="0"/>
                <w:sz w:val="21"/>
                <w:szCs w:val="21"/>
                <w:lang w:val="fr-FR"/>
              </w:rPr>
              <w:t>(</w:t>
            </w:r>
            <w:r>
              <w:rPr>
                <w:rFonts w:ascii="Times New Roman" w:hAnsi="Times New Roman" w:eastAsia="等线" w:cs="Times New Roman"/>
                <w:color w:val="4472C4"/>
                <w:kern w:val="0"/>
                <w:sz w:val="21"/>
                <w:szCs w:val="21"/>
                <w:lang w:val="fr-FR"/>
              </w:rPr>
              <w:t>Yang et al., 2024; Zuo et al., 2022</w:t>
            </w:r>
            <w:r>
              <w:rPr>
                <w:rFonts w:ascii="Times New Roman" w:hAnsi="Times New Roman" w:eastAsia="等线" w:cs="Times New Roman"/>
                <w:color w:val="000000"/>
                <w:kern w:val="0"/>
                <w:sz w:val="21"/>
                <w:szCs w:val="21"/>
                <w:lang w:val="fr-FR"/>
              </w:rPr>
              <w:t>)</w:t>
            </w:r>
          </w:p>
        </w:tc>
      </w:tr>
      <w:tr w14:paraId="2D177BD5">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6103B21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ABF (ca)</w:t>
            </w:r>
          </w:p>
        </w:tc>
        <w:tc>
          <w:tcPr>
            <w:tcW w:w="1645" w:type="dxa"/>
            <w:vMerge w:val="continue"/>
            <w:tcBorders>
              <w:top w:val="nil"/>
              <w:left w:val="nil"/>
              <w:bottom w:val="nil"/>
              <w:right w:val="nil"/>
            </w:tcBorders>
            <w:vAlign w:val="center"/>
          </w:tcPr>
          <w:p w14:paraId="65D3AE7C">
            <w:pPr>
              <w:widowControl/>
              <w:spacing w:line="240" w:lineRule="auto"/>
              <w:jc w:val="left"/>
              <w:rPr>
                <w:rFonts w:ascii="Times New Roman" w:hAnsi="Times New Roman" w:eastAsia="等线" w:cs="Times New Roman"/>
                <w:color w:val="000000"/>
                <w:kern w:val="0"/>
                <w:sz w:val="21"/>
                <w:szCs w:val="21"/>
              </w:rPr>
            </w:pPr>
          </w:p>
        </w:tc>
        <w:tc>
          <w:tcPr>
            <w:tcW w:w="1185" w:type="dxa"/>
            <w:vMerge w:val="continue"/>
            <w:tcBorders>
              <w:top w:val="nil"/>
              <w:left w:val="nil"/>
              <w:bottom w:val="nil"/>
              <w:right w:val="nil"/>
            </w:tcBorders>
            <w:vAlign w:val="center"/>
          </w:tcPr>
          <w:p w14:paraId="04D9C99B">
            <w:pPr>
              <w:widowControl/>
              <w:spacing w:line="240" w:lineRule="auto"/>
              <w:jc w:val="left"/>
              <w:rPr>
                <w:rFonts w:ascii="Times New Roman" w:hAnsi="Times New Roman" w:eastAsia="等线" w:cs="Times New Roman"/>
                <w:color w:val="000000"/>
                <w:kern w:val="0"/>
                <w:sz w:val="21"/>
                <w:szCs w:val="21"/>
              </w:rPr>
            </w:pPr>
          </w:p>
        </w:tc>
        <w:tc>
          <w:tcPr>
            <w:tcW w:w="1914" w:type="dxa"/>
            <w:gridSpan w:val="2"/>
            <w:tcBorders>
              <w:top w:val="nil"/>
              <w:left w:val="nil"/>
              <w:bottom w:val="nil"/>
              <w:right w:val="nil"/>
            </w:tcBorders>
            <w:shd w:val="clear" w:color="auto" w:fill="auto"/>
            <w:noWrap/>
            <w:vAlign w:val="center"/>
          </w:tcPr>
          <w:p w14:paraId="3217EAC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0.01</w:t>
            </w:r>
          </w:p>
        </w:tc>
        <w:tc>
          <w:tcPr>
            <w:tcW w:w="1862" w:type="dxa"/>
            <w:vMerge w:val="continue"/>
            <w:tcBorders>
              <w:top w:val="nil"/>
              <w:left w:val="nil"/>
              <w:bottom w:val="nil"/>
              <w:right w:val="nil"/>
            </w:tcBorders>
            <w:vAlign w:val="center"/>
          </w:tcPr>
          <w:p w14:paraId="5A964887">
            <w:pPr>
              <w:widowControl/>
              <w:spacing w:line="240" w:lineRule="auto"/>
              <w:jc w:val="left"/>
              <w:rPr>
                <w:rFonts w:ascii="Times New Roman" w:hAnsi="Times New Roman" w:eastAsia="等线" w:cs="Times New Roman"/>
                <w:color w:val="000000"/>
                <w:kern w:val="0"/>
                <w:sz w:val="21"/>
                <w:szCs w:val="21"/>
              </w:rPr>
            </w:pPr>
          </w:p>
        </w:tc>
        <w:tc>
          <w:tcPr>
            <w:tcW w:w="2506" w:type="dxa"/>
            <w:vMerge w:val="continue"/>
            <w:tcBorders>
              <w:top w:val="nil"/>
              <w:left w:val="nil"/>
              <w:bottom w:val="nil"/>
              <w:right w:val="nil"/>
            </w:tcBorders>
            <w:vAlign w:val="center"/>
          </w:tcPr>
          <w:p w14:paraId="52694F63">
            <w:pPr>
              <w:widowControl/>
              <w:spacing w:line="240" w:lineRule="auto"/>
              <w:jc w:val="left"/>
              <w:rPr>
                <w:rFonts w:ascii="Times New Roman" w:hAnsi="Times New Roman" w:eastAsia="等线" w:cs="Times New Roman"/>
                <w:color w:val="000000"/>
                <w:kern w:val="0"/>
                <w:sz w:val="21"/>
                <w:szCs w:val="21"/>
              </w:rPr>
            </w:pPr>
          </w:p>
        </w:tc>
      </w:tr>
      <w:tr w14:paraId="1E6D4DFE">
        <w:tblPrEx>
          <w:tblCellMar>
            <w:top w:w="0" w:type="dxa"/>
            <w:left w:w="108" w:type="dxa"/>
            <w:bottom w:w="0" w:type="dxa"/>
            <w:right w:w="108" w:type="dxa"/>
          </w:tblCellMar>
        </w:tblPrEx>
        <w:trPr>
          <w:trHeight w:val="276" w:hRule="atLeast"/>
          <w:jc w:val="center"/>
        </w:trPr>
        <w:tc>
          <w:tcPr>
            <w:tcW w:w="1068" w:type="dxa"/>
            <w:tcBorders>
              <w:top w:val="nil"/>
              <w:left w:val="nil"/>
              <w:bottom w:val="nil"/>
              <w:right w:val="nil"/>
            </w:tcBorders>
            <w:shd w:val="clear" w:color="auto" w:fill="auto"/>
            <w:noWrap/>
            <w:vAlign w:val="center"/>
          </w:tcPr>
          <w:p w14:paraId="78F65F4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ABF(As)</w:t>
            </w:r>
          </w:p>
        </w:tc>
        <w:tc>
          <w:tcPr>
            <w:tcW w:w="1645" w:type="dxa"/>
            <w:vMerge w:val="continue"/>
            <w:tcBorders>
              <w:top w:val="nil"/>
              <w:left w:val="nil"/>
              <w:bottom w:val="nil"/>
              <w:right w:val="nil"/>
            </w:tcBorders>
            <w:vAlign w:val="center"/>
          </w:tcPr>
          <w:p w14:paraId="1EB35E1A">
            <w:pPr>
              <w:widowControl/>
              <w:spacing w:line="240" w:lineRule="auto"/>
              <w:jc w:val="left"/>
              <w:rPr>
                <w:rFonts w:ascii="Times New Roman" w:hAnsi="Times New Roman" w:eastAsia="等线" w:cs="Times New Roman"/>
                <w:color w:val="000000"/>
                <w:kern w:val="0"/>
                <w:sz w:val="21"/>
                <w:szCs w:val="21"/>
              </w:rPr>
            </w:pPr>
          </w:p>
        </w:tc>
        <w:tc>
          <w:tcPr>
            <w:tcW w:w="1185" w:type="dxa"/>
            <w:vMerge w:val="continue"/>
            <w:tcBorders>
              <w:top w:val="nil"/>
              <w:left w:val="nil"/>
              <w:bottom w:val="nil"/>
              <w:right w:val="nil"/>
            </w:tcBorders>
            <w:vAlign w:val="center"/>
          </w:tcPr>
          <w:p w14:paraId="622DBD6C">
            <w:pPr>
              <w:widowControl/>
              <w:spacing w:line="240" w:lineRule="auto"/>
              <w:jc w:val="left"/>
              <w:rPr>
                <w:rFonts w:ascii="Times New Roman" w:hAnsi="Times New Roman" w:eastAsia="等线" w:cs="Times New Roman"/>
                <w:color w:val="000000"/>
                <w:kern w:val="0"/>
                <w:sz w:val="21"/>
                <w:szCs w:val="21"/>
              </w:rPr>
            </w:pPr>
          </w:p>
        </w:tc>
        <w:tc>
          <w:tcPr>
            <w:tcW w:w="1914" w:type="dxa"/>
            <w:gridSpan w:val="2"/>
            <w:tcBorders>
              <w:top w:val="nil"/>
              <w:left w:val="nil"/>
              <w:bottom w:val="nil"/>
              <w:right w:val="nil"/>
            </w:tcBorders>
            <w:shd w:val="clear" w:color="auto" w:fill="auto"/>
            <w:noWrap/>
            <w:vAlign w:val="center"/>
          </w:tcPr>
          <w:p w14:paraId="0FC8B7FF">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0.03</w:t>
            </w:r>
          </w:p>
        </w:tc>
        <w:tc>
          <w:tcPr>
            <w:tcW w:w="1862" w:type="dxa"/>
            <w:vMerge w:val="continue"/>
            <w:tcBorders>
              <w:top w:val="nil"/>
              <w:left w:val="nil"/>
              <w:bottom w:val="nil"/>
              <w:right w:val="nil"/>
            </w:tcBorders>
            <w:vAlign w:val="center"/>
          </w:tcPr>
          <w:p w14:paraId="22476A5C">
            <w:pPr>
              <w:widowControl/>
              <w:spacing w:line="240" w:lineRule="auto"/>
              <w:jc w:val="left"/>
              <w:rPr>
                <w:rFonts w:ascii="Times New Roman" w:hAnsi="Times New Roman" w:eastAsia="等线" w:cs="Times New Roman"/>
                <w:color w:val="000000"/>
                <w:kern w:val="0"/>
                <w:sz w:val="21"/>
                <w:szCs w:val="21"/>
              </w:rPr>
            </w:pPr>
          </w:p>
        </w:tc>
        <w:tc>
          <w:tcPr>
            <w:tcW w:w="2506" w:type="dxa"/>
            <w:vMerge w:val="continue"/>
            <w:tcBorders>
              <w:top w:val="nil"/>
              <w:left w:val="nil"/>
              <w:bottom w:val="nil"/>
              <w:right w:val="nil"/>
            </w:tcBorders>
            <w:vAlign w:val="center"/>
          </w:tcPr>
          <w:p w14:paraId="28C81228">
            <w:pPr>
              <w:widowControl/>
              <w:spacing w:line="240" w:lineRule="auto"/>
              <w:jc w:val="left"/>
              <w:rPr>
                <w:rFonts w:ascii="Times New Roman" w:hAnsi="Times New Roman" w:eastAsia="等线" w:cs="Times New Roman"/>
                <w:color w:val="000000"/>
                <w:kern w:val="0"/>
                <w:sz w:val="21"/>
                <w:szCs w:val="21"/>
              </w:rPr>
            </w:pPr>
          </w:p>
        </w:tc>
      </w:tr>
      <w:tr w14:paraId="401CD531">
        <w:tblPrEx>
          <w:tblCellMar>
            <w:top w:w="0" w:type="dxa"/>
            <w:left w:w="108" w:type="dxa"/>
            <w:bottom w:w="0" w:type="dxa"/>
            <w:right w:w="108" w:type="dxa"/>
          </w:tblCellMar>
        </w:tblPrEx>
        <w:trPr>
          <w:trHeight w:val="348" w:hRule="atLeast"/>
          <w:jc w:val="center"/>
        </w:trPr>
        <w:tc>
          <w:tcPr>
            <w:tcW w:w="1068" w:type="dxa"/>
            <w:tcBorders>
              <w:top w:val="nil"/>
              <w:left w:val="nil"/>
              <w:bottom w:val="single" w:color="auto" w:sz="12" w:space="0"/>
              <w:right w:val="nil"/>
            </w:tcBorders>
            <w:shd w:val="clear" w:color="auto" w:fill="auto"/>
            <w:noWrap/>
            <w:vAlign w:val="center"/>
          </w:tcPr>
          <w:p w14:paraId="6255CB5C">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PEF</w:t>
            </w:r>
          </w:p>
        </w:tc>
        <w:tc>
          <w:tcPr>
            <w:tcW w:w="1645" w:type="dxa"/>
            <w:tcBorders>
              <w:top w:val="nil"/>
              <w:left w:val="nil"/>
              <w:bottom w:val="single" w:color="auto" w:sz="12" w:space="0"/>
              <w:right w:val="nil"/>
            </w:tcBorders>
            <w:shd w:val="clear" w:color="auto" w:fill="auto"/>
            <w:noWrap/>
            <w:vAlign w:val="center"/>
          </w:tcPr>
          <w:p w14:paraId="10676A35">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Particle emission factor</w:t>
            </w:r>
          </w:p>
        </w:tc>
        <w:tc>
          <w:tcPr>
            <w:tcW w:w="1185" w:type="dxa"/>
            <w:tcBorders>
              <w:top w:val="nil"/>
              <w:left w:val="nil"/>
              <w:bottom w:val="single" w:color="auto" w:sz="12" w:space="0"/>
              <w:right w:val="nil"/>
            </w:tcBorders>
            <w:shd w:val="clear" w:color="auto" w:fill="auto"/>
            <w:noWrap/>
            <w:vAlign w:val="center"/>
          </w:tcPr>
          <w:p w14:paraId="6A62284D">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m</w:t>
            </w:r>
            <w:r>
              <w:rPr>
                <w:rFonts w:ascii="Times New Roman" w:hAnsi="Times New Roman" w:eastAsia="等线" w:cs="Times New Roman"/>
                <w:color w:val="000000"/>
                <w:kern w:val="0"/>
                <w:sz w:val="21"/>
                <w:szCs w:val="21"/>
                <w:vertAlign w:val="superscript"/>
              </w:rPr>
              <w:t>3</w:t>
            </w:r>
            <w:r>
              <w:rPr>
                <w:rFonts w:ascii="Times New Roman" w:hAnsi="Times New Roman" w:eastAsia="等线" w:cs="Times New Roman"/>
                <w:color w:val="000000"/>
                <w:kern w:val="0"/>
                <w:sz w:val="21"/>
                <w:szCs w:val="21"/>
              </w:rPr>
              <w:t>/kg</w:t>
            </w:r>
          </w:p>
        </w:tc>
        <w:tc>
          <w:tcPr>
            <w:tcW w:w="1914" w:type="dxa"/>
            <w:gridSpan w:val="2"/>
            <w:tcBorders>
              <w:top w:val="nil"/>
              <w:left w:val="nil"/>
              <w:bottom w:val="single" w:color="auto" w:sz="12" w:space="0"/>
              <w:right w:val="nil"/>
            </w:tcBorders>
            <w:shd w:val="clear" w:color="auto" w:fill="auto"/>
            <w:noWrap/>
            <w:vAlign w:val="center"/>
          </w:tcPr>
          <w:p w14:paraId="52B102E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1.36E+09</w:t>
            </w:r>
          </w:p>
        </w:tc>
        <w:tc>
          <w:tcPr>
            <w:tcW w:w="1862" w:type="dxa"/>
            <w:tcBorders>
              <w:top w:val="nil"/>
              <w:left w:val="nil"/>
              <w:bottom w:val="single" w:color="auto" w:sz="12" w:space="0"/>
              <w:right w:val="nil"/>
            </w:tcBorders>
            <w:shd w:val="clear" w:color="auto" w:fill="auto"/>
            <w:noWrap/>
            <w:vAlign w:val="center"/>
          </w:tcPr>
          <w:p w14:paraId="6BC8B466">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Point</w:t>
            </w:r>
          </w:p>
        </w:tc>
        <w:tc>
          <w:tcPr>
            <w:tcW w:w="2506" w:type="dxa"/>
            <w:tcBorders>
              <w:top w:val="nil"/>
              <w:left w:val="nil"/>
              <w:bottom w:val="single" w:color="auto" w:sz="12" w:space="0"/>
              <w:right w:val="nil"/>
            </w:tcBorders>
            <w:shd w:val="clear" w:color="auto" w:fill="auto"/>
            <w:noWrap/>
            <w:vAlign w:val="center"/>
          </w:tcPr>
          <w:p w14:paraId="0DBDA984">
            <w:pPr>
              <w:widowControl/>
              <w:spacing w:line="240" w:lineRule="auto"/>
              <w:jc w:val="center"/>
              <w:rPr>
                <w:rFonts w:ascii="Times New Roman" w:hAnsi="Times New Roman" w:eastAsia="等线" w:cs="Times New Roman"/>
                <w:color w:val="000000"/>
                <w:kern w:val="0"/>
                <w:sz w:val="21"/>
                <w:szCs w:val="21"/>
              </w:rPr>
            </w:pPr>
            <w:r>
              <w:rPr>
                <w:rFonts w:ascii="Times New Roman" w:hAnsi="Times New Roman" w:eastAsia="等线" w:cs="Times New Roman"/>
                <w:color w:val="000000"/>
                <w:kern w:val="0"/>
                <w:sz w:val="21"/>
                <w:szCs w:val="21"/>
              </w:rPr>
              <w:t>(</w:t>
            </w:r>
            <w:r>
              <w:rPr>
                <w:rFonts w:ascii="Times New Roman" w:hAnsi="Times New Roman" w:eastAsia="等线" w:cs="Times New Roman"/>
                <w:color w:val="4472C4"/>
                <w:kern w:val="0"/>
                <w:sz w:val="21"/>
                <w:szCs w:val="21"/>
              </w:rPr>
              <w:t>USEPA, 2011; MEEP, 2016</w:t>
            </w:r>
            <w:r>
              <w:rPr>
                <w:rFonts w:hint="eastAsia" w:ascii="宋体" w:hAnsi="宋体" w:eastAsia="宋体" w:cs="Times New Roman"/>
                <w:color w:val="000000"/>
                <w:kern w:val="0"/>
                <w:sz w:val="21"/>
                <w:szCs w:val="21"/>
              </w:rPr>
              <w:t>）</w:t>
            </w:r>
          </w:p>
        </w:tc>
      </w:tr>
    </w:tbl>
    <w:p w14:paraId="17B93DF0">
      <w:pPr>
        <w:rPr>
          <w:rFonts w:ascii="Times New Roman" w:hAnsi="Times New Roman" w:cs="Times New Roman" w:eastAsiaTheme="minorEastAsia"/>
          <w:sz w:val="21"/>
          <w:szCs w:val="21"/>
        </w:rPr>
      </w:pPr>
    </w:p>
    <w:p w14:paraId="52844C31">
      <w:pPr>
        <w:rPr>
          <w:rFonts w:ascii="Times New Roman" w:hAnsi="Times New Roman" w:cs="Times New Roman" w:eastAsiaTheme="minorEastAsia"/>
          <w:sz w:val="21"/>
          <w:szCs w:val="21"/>
        </w:rPr>
      </w:pPr>
    </w:p>
    <w:p w14:paraId="3889E9B1">
      <w:pPr>
        <w:jc w:val="center"/>
        <w:rPr>
          <w:rFonts w:ascii="Times New Roman" w:hAnsi="Times New Roman" w:cs="Times New Roman" w:eastAsiaTheme="minorEastAsia"/>
        </w:rPr>
      </w:pPr>
      <w:r>
        <w:rPr>
          <w:rFonts w:ascii="Times New Roman" w:hAnsi="Times New Roman" w:cs="Times New Roman" w:eastAsiaTheme="minorEastAsia"/>
          <w:b/>
          <w:bCs/>
          <w:sz w:val="21"/>
          <w:szCs w:val="21"/>
        </w:rPr>
        <w:t>Table S8</w:t>
      </w:r>
      <w:r>
        <w:rPr>
          <w:rFonts w:ascii="Times New Roman" w:hAnsi="Times New Roman" w:cs="Times New Roman" w:eastAsiaTheme="minorEastAsia"/>
          <w:sz w:val="21"/>
          <w:szCs w:val="21"/>
        </w:rPr>
        <w:t xml:space="preserve"> Carcinogenic slope factors and non-carcinogenic reference doses of PTEs</w:t>
      </w:r>
      <w:r>
        <w:rPr>
          <w:rFonts w:ascii="Times New Roman" w:hAnsi="Times New Roman" w:cs="Times New Roman" w:eastAsiaTheme="minorEastAsia"/>
          <w:sz w:val="21"/>
          <w:szCs w:val="21"/>
          <w:vertAlign w:val="superscript"/>
        </w:rPr>
        <w:t>*</w:t>
      </w:r>
      <w:r>
        <w:rPr>
          <w:rFonts w:ascii="Times New Roman" w:hAnsi="Times New Roman" w:cs="Times New Roman" w:eastAsiaTheme="minorEastAsia"/>
          <w:sz w:val="21"/>
          <w:szCs w:val="21"/>
        </w:rPr>
        <w:t xml:space="preserve"> (mg/(kg·d)).</w:t>
      </w:r>
    </w:p>
    <w:tbl>
      <w:tblPr>
        <w:tblStyle w:val="11"/>
        <w:tblW w:w="9209"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6"/>
        <w:gridCol w:w="1186"/>
        <w:gridCol w:w="1234"/>
        <w:gridCol w:w="1812"/>
        <w:gridCol w:w="1166"/>
        <w:gridCol w:w="1234"/>
        <w:gridCol w:w="1811"/>
      </w:tblGrid>
      <w:tr w14:paraId="13FAD8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766" w:type="dxa"/>
            <w:vMerge w:val="restart"/>
            <w:tcBorders>
              <w:top w:val="single" w:color="auto" w:sz="12" w:space="0"/>
              <w:bottom w:val="single" w:color="auto" w:sz="4" w:space="0"/>
              <w:insideH w:val="single" w:sz="4" w:space="0"/>
            </w:tcBorders>
            <w:vAlign w:val="center"/>
          </w:tcPr>
          <w:p w14:paraId="1DD70C69">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PTEs</w:t>
            </w:r>
          </w:p>
        </w:tc>
        <w:tc>
          <w:tcPr>
            <w:tcW w:w="4232" w:type="dxa"/>
            <w:gridSpan w:val="3"/>
            <w:tcBorders>
              <w:top w:val="single" w:color="auto" w:sz="12" w:space="0"/>
              <w:bottom w:val="single" w:color="auto" w:sz="4" w:space="0"/>
              <w:insideH w:val="single" w:sz="4" w:space="0"/>
            </w:tcBorders>
            <w:vAlign w:val="center"/>
          </w:tcPr>
          <w:p w14:paraId="5E03DB34">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SF</w:t>
            </w:r>
          </w:p>
        </w:tc>
        <w:tc>
          <w:tcPr>
            <w:tcW w:w="4211" w:type="dxa"/>
            <w:gridSpan w:val="3"/>
            <w:tcBorders>
              <w:top w:val="single" w:color="auto" w:sz="12" w:space="0"/>
              <w:bottom w:val="single" w:color="auto" w:sz="4" w:space="0"/>
              <w:insideH w:val="single" w:sz="4" w:space="0"/>
            </w:tcBorders>
            <w:vAlign w:val="center"/>
          </w:tcPr>
          <w:p w14:paraId="54FD4988">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RfD</w:t>
            </w:r>
          </w:p>
        </w:tc>
      </w:tr>
      <w:tr w14:paraId="596B6FC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Merge w:val="continue"/>
            <w:tcBorders>
              <w:bottom w:val="single" w:color="auto" w:sz="4" w:space="0"/>
            </w:tcBorders>
            <w:vAlign w:val="center"/>
          </w:tcPr>
          <w:p w14:paraId="196297E2">
            <w:pPr>
              <w:jc w:val="center"/>
              <w:rPr>
                <w:rFonts w:ascii="Times New Roman" w:hAnsi="Times New Roman" w:cs="Times New Roman" w:eastAsiaTheme="minorEastAsia"/>
                <w:kern w:val="0"/>
                <w:sz w:val="21"/>
                <w:szCs w:val="21"/>
              </w:rPr>
            </w:pPr>
          </w:p>
        </w:tc>
        <w:tc>
          <w:tcPr>
            <w:tcW w:w="1186" w:type="dxa"/>
            <w:tcBorders>
              <w:bottom w:val="single" w:color="auto" w:sz="4" w:space="0"/>
            </w:tcBorders>
            <w:vAlign w:val="center"/>
          </w:tcPr>
          <w:p w14:paraId="76698141">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Ingestion</w:t>
            </w:r>
          </w:p>
        </w:tc>
        <w:tc>
          <w:tcPr>
            <w:tcW w:w="1234" w:type="dxa"/>
            <w:tcBorders>
              <w:bottom w:val="single" w:color="auto" w:sz="4" w:space="0"/>
            </w:tcBorders>
            <w:vAlign w:val="center"/>
          </w:tcPr>
          <w:p w14:paraId="489097BE">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Inhalation</w:t>
            </w:r>
          </w:p>
        </w:tc>
        <w:tc>
          <w:tcPr>
            <w:tcW w:w="1812" w:type="dxa"/>
            <w:tcBorders>
              <w:bottom w:val="single" w:color="auto" w:sz="4" w:space="0"/>
            </w:tcBorders>
            <w:vAlign w:val="center"/>
          </w:tcPr>
          <w:p w14:paraId="6E1A3B0C">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Dermal contact</w:t>
            </w:r>
          </w:p>
        </w:tc>
        <w:tc>
          <w:tcPr>
            <w:tcW w:w="1166" w:type="dxa"/>
            <w:tcBorders>
              <w:bottom w:val="single" w:color="auto" w:sz="4" w:space="0"/>
            </w:tcBorders>
            <w:vAlign w:val="center"/>
          </w:tcPr>
          <w:p w14:paraId="7F583231">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Ingestion</w:t>
            </w:r>
          </w:p>
        </w:tc>
        <w:tc>
          <w:tcPr>
            <w:tcW w:w="1234" w:type="dxa"/>
            <w:tcBorders>
              <w:bottom w:val="single" w:color="auto" w:sz="4" w:space="0"/>
            </w:tcBorders>
            <w:vAlign w:val="center"/>
          </w:tcPr>
          <w:p w14:paraId="758A854C">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Inhalation</w:t>
            </w:r>
          </w:p>
        </w:tc>
        <w:tc>
          <w:tcPr>
            <w:tcW w:w="1811" w:type="dxa"/>
            <w:tcBorders>
              <w:bottom w:val="single" w:color="auto" w:sz="4" w:space="0"/>
            </w:tcBorders>
            <w:vAlign w:val="center"/>
          </w:tcPr>
          <w:p w14:paraId="5E28AC6B">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Dermal contact</w:t>
            </w:r>
          </w:p>
        </w:tc>
      </w:tr>
      <w:tr w14:paraId="5E10490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tcBorders>
              <w:top w:val="single" w:color="auto" w:sz="4" w:space="0"/>
            </w:tcBorders>
            <w:vAlign w:val="center"/>
          </w:tcPr>
          <w:p w14:paraId="09ACA04E">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As</w:t>
            </w:r>
          </w:p>
        </w:tc>
        <w:tc>
          <w:tcPr>
            <w:tcW w:w="1186" w:type="dxa"/>
            <w:tcBorders>
              <w:top w:val="single" w:color="auto" w:sz="4" w:space="0"/>
            </w:tcBorders>
            <w:vAlign w:val="center"/>
          </w:tcPr>
          <w:p w14:paraId="3E8E96D8">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1</w:t>
            </w:r>
            <w:r>
              <w:rPr>
                <w:rFonts w:ascii="Times New Roman" w:hAnsi="Times New Roman" w:cs="Times New Roman" w:eastAsiaTheme="minorEastAsia"/>
                <w:kern w:val="0"/>
                <w:sz w:val="21"/>
                <w:szCs w:val="21"/>
              </w:rPr>
              <w:t>.50</w:t>
            </w:r>
          </w:p>
        </w:tc>
        <w:tc>
          <w:tcPr>
            <w:tcW w:w="1234" w:type="dxa"/>
            <w:tcBorders>
              <w:top w:val="single" w:color="auto" w:sz="4" w:space="0"/>
            </w:tcBorders>
            <w:vAlign w:val="center"/>
          </w:tcPr>
          <w:p w14:paraId="7F3DB362">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1.50</w:t>
            </w:r>
          </w:p>
        </w:tc>
        <w:tc>
          <w:tcPr>
            <w:tcW w:w="1812" w:type="dxa"/>
            <w:tcBorders>
              <w:top w:val="single" w:color="auto" w:sz="4" w:space="0"/>
            </w:tcBorders>
            <w:vAlign w:val="center"/>
          </w:tcPr>
          <w:p w14:paraId="7D17AB69">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1</w:t>
            </w:r>
            <w:r>
              <w:rPr>
                <w:rFonts w:ascii="Times New Roman" w:hAnsi="Times New Roman" w:cs="Times New Roman" w:eastAsiaTheme="minorEastAsia"/>
                <w:kern w:val="0"/>
                <w:sz w:val="21"/>
                <w:szCs w:val="21"/>
              </w:rPr>
              <w:t>.50</w:t>
            </w:r>
          </w:p>
        </w:tc>
        <w:tc>
          <w:tcPr>
            <w:tcW w:w="1166" w:type="dxa"/>
            <w:tcBorders>
              <w:top w:val="single" w:color="auto" w:sz="4" w:space="0"/>
            </w:tcBorders>
            <w:vAlign w:val="center"/>
          </w:tcPr>
          <w:p w14:paraId="1017E23E">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.00E-4</w:t>
            </w:r>
          </w:p>
        </w:tc>
        <w:tc>
          <w:tcPr>
            <w:tcW w:w="1234" w:type="dxa"/>
            <w:tcBorders>
              <w:top w:val="single" w:color="auto" w:sz="4" w:space="0"/>
            </w:tcBorders>
            <w:vAlign w:val="center"/>
          </w:tcPr>
          <w:p w14:paraId="7F4F2B2D">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.52E-6</w:t>
            </w:r>
          </w:p>
        </w:tc>
        <w:tc>
          <w:tcPr>
            <w:tcW w:w="1811" w:type="dxa"/>
            <w:tcBorders>
              <w:top w:val="single" w:color="auto" w:sz="4" w:space="0"/>
            </w:tcBorders>
            <w:vAlign w:val="center"/>
          </w:tcPr>
          <w:p w14:paraId="1B386891">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.00E-4</w:t>
            </w:r>
          </w:p>
        </w:tc>
      </w:tr>
      <w:tr w14:paraId="287BC3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31CEA740">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Cd</w:t>
            </w:r>
          </w:p>
        </w:tc>
        <w:tc>
          <w:tcPr>
            <w:tcW w:w="1186" w:type="dxa"/>
            <w:vAlign w:val="center"/>
          </w:tcPr>
          <w:p w14:paraId="5FF318F1">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0C10B576">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780E3685">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544E9788">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1.00E-3</w:t>
            </w:r>
          </w:p>
        </w:tc>
        <w:tc>
          <w:tcPr>
            <w:tcW w:w="1234" w:type="dxa"/>
            <w:vAlign w:val="center"/>
          </w:tcPr>
          <w:p w14:paraId="66182920">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2.35E-06</w:t>
            </w:r>
          </w:p>
        </w:tc>
        <w:tc>
          <w:tcPr>
            <w:tcW w:w="1811" w:type="dxa"/>
            <w:vAlign w:val="center"/>
          </w:tcPr>
          <w:p w14:paraId="47EE9FF8">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2.5E-05</w:t>
            </w:r>
          </w:p>
        </w:tc>
      </w:tr>
      <w:tr w14:paraId="6DCA64A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2F12D5EE">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Cr</w:t>
            </w:r>
          </w:p>
        </w:tc>
        <w:tc>
          <w:tcPr>
            <w:tcW w:w="1186" w:type="dxa"/>
            <w:vAlign w:val="center"/>
          </w:tcPr>
          <w:p w14:paraId="00A5D21F">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747AADC0">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21688B53">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42B5B5CF">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1</w:t>
            </w:r>
            <w:r>
              <w:rPr>
                <w:rFonts w:ascii="Times New Roman" w:hAnsi="Times New Roman" w:cs="Times New Roman" w:eastAsiaTheme="minorEastAsia"/>
                <w:kern w:val="0"/>
                <w:sz w:val="21"/>
                <w:szCs w:val="21"/>
              </w:rPr>
              <w:t>.50</w:t>
            </w:r>
          </w:p>
        </w:tc>
        <w:tc>
          <w:tcPr>
            <w:tcW w:w="1234" w:type="dxa"/>
            <w:vAlign w:val="center"/>
          </w:tcPr>
          <w:p w14:paraId="500CAB0D">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1" w:type="dxa"/>
            <w:vAlign w:val="center"/>
          </w:tcPr>
          <w:p w14:paraId="110AFE4C">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1.95E-2</w:t>
            </w:r>
          </w:p>
        </w:tc>
      </w:tr>
      <w:tr w14:paraId="573B48F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0884399B">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Hg</w:t>
            </w:r>
          </w:p>
        </w:tc>
        <w:tc>
          <w:tcPr>
            <w:tcW w:w="1186" w:type="dxa"/>
            <w:vAlign w:val="center"/>
          </w:tcPr>
          <w:p w14:paraId="53A2A82E">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221AC162">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777989D1">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0CA90021">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.00E-4</w:t>
            </w:r>
          </w:p>
        </w:tc>
        <w:tc>
          <w:tcPr>
            <w:tcW w:w="1234" w:type="dxa"/>
            <w:vAlign w:val="center"/>
          </w:tcPr>
          <w:p w14:paraId="4A76A65D">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7.04E-5</w:t>
            </w:r>
          </w:p>
        </w:tc>
        <w:tc>
          <w:tcPr>
            <w:tcW w:w="1811" w:type="dxa"/>
            <w:vAlign w:val="center"/>
          </w:tcPr>
          <w:p w14:paraId="44D9165A">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2.10E-5</w:t>
            </w:r>
          </w:p>
        </w:tc>
      </w:tr>
      <w:tr w14:paraId="1482931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186C315C">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Pb</w:t>
            </w:r>
          </w:p>
        </w:tc>
        <w:tc>
          <w:tcPr>
            <w:tcW w:w="1186" w:type="dxa"/>
            <w:vAlign w:val="center"/>
          </w:tcPr>
          <w:p w14:paraId="09AE5E48">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0163AB0E">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67A5E2B8">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61F7943F">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1.40E-3</w:t>
            </w:r>
          </w:p>
        </w:tc>
        <w:tc>
          <w:tcPr>
            <w:tcW w:w="1234" w:type="dxa"/>
            <w:vAlign w:val="center"/>
          </w:tcPr>
          <w:p w14:paraId="71FF0D4D">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1" w:type="dxa"/>
            <w:vAlign w:val="center"/>
          </w:tcPr>
          <w:p w14:paraId="60AE29B3">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1.40E-3</w:t>
            </w:r>
          </w:p>
        </w:tc>
      </w:tr>
      <w:tr w14:paraId="659E70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7050C140">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Cu</w:t>
            </w:r>
          </w:p>
        </w:tc>
        <w:tc>
          <w:tcPr>
            <w:tcW w:w="1186" w:type="dxa"/>
            <w:vAlign w:val="center"/>
          </w:tcPr>
          <w:p w14:paraId="6512986D">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156E8842">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4C6E0CB7">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34EA9FEC">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4.00E-2</w:t>
            </w:r>
          </w:p>
        </w:tc>
        <w:tc>
          <w:tcPr>
            <w:tcW w:w="1234" w:type="dxa"/>
            <w:vAlign w:val="center"/>
          </w:tcPr>
          <w:p w14:paraId="2805F99A">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1" w:type="dxa"/>
            <w:vAlign w:val="center"/>
          </w:tcPr>
          <w:p w14:paraId="08454CC2">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4.00E-2</w:t>
            </w:r>
          </w:p>
        </w:tc>
      </w:tr>
      <w:tr w14:paraId="56126D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0A56E5D7">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Ni</w:t>
            </w:r>
          </w:p>
        </w:tc>
        <w:tc>
          <w:tcPr>
            <w:tcW w:w="1186" w:type="dxa"/>
            <w:vAlign w:val="center"/>
          </w:tcPr>
          <w:p w14:paraId="42BC15EA">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44A17D50">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02512E99">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7F755076">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2.00E-2</w:t>
            </w:r>
          </w:p>
        </w:tc>
        <w:tc>
          <w:tcPr>
            <w:tcW w:w="1234" w:type="dxa"/>
            <w:vAlign w:val="center"/>
          </w:tcPr>
          <w:p w14:paraId="529CB781">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2.11E-5</w:t>
            </w:r>
          </w:p>
        </w:tc>
        <w:tc>
          <w:tcPr>
            <w:tcW w:w="1811" w:type="dxa"/>
            <w:vAlign w:val="center"/>
          </w:tcPr>
          <w:p w14:paraId="6138AB59">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8.00E-4</w:t>
            </w:r>
          </w:p>
        </w:tc>
      </w:tr>
      <w:tr w14:paraId="062BA4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766" w:type="dxa"/>
            <w:vAlign w:val="center"/>
          </w:tcPr>
          <w:p w14:paraId="1BF4C8CD">
            <w:pPr>
              <w:jc w:val="center"/>
              <w:rPr>
                <w:rFonts w:ascii="Times New Roman" w:hAnsi="Times New Roman" w:cs="Times New Roman" w:eastAsiaTheme="minorEastAsia"/>
                <w:kern w:val="0"/>
                <w:sz w:val="21"/>
                <w:szCs w:val="21"/>
              </w:rPr>
            </w:pPr>
            <w:r>
              <w:rPr>
                <w:rFonts w:ascii="Times New Roman" w:hAnsi="Times New Roman" w:cs="Times New Roman" w:eastAsiaTheme="minorEastAsia"/>
                <w:kern w:val="0"/>
                <w:sz w:val="21"/>
                <w:szCs w:val="21"/>
              </w:rPr>
              <w:t>Zn</w:t>
            </w:r>
          </w:p>
        </w:tc>
        <w:tc>
          <w:tcPr>
            <w:tcW w:w="1186" w:type="dxa"/>
            <w:vAlign w:val="center"/>
          </w:tcPr>
          <w:p w14:paraId="18C81094">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234" w:type="dxa"/>
            <w:vAlign w:val="center"/>
          </w:tcPr>
          <w:p w14:paraId="4E30C8C5">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2" w:type="dxa"/>
            <w:vAlign w:val="center"/>
          </w:tcPr>
          <w:p w14:paraId="40930096">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166" w:type="dxa"/>
            <w:vAlign w:val="center"/>
          </w:tcPr>
          <w:p w14:paraId="628A5E38">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.00E-1</w:t>
            </w:r>
          </w:p>
        </w:tc>
        <w:tc>
          <w:tcPr>
            <w:tcW w:w="1234" w:type="dxa"/>
            <w:vAlign w:val="center"/>
          </w:tcPr>
          <w:p w14:paraId="714D817A">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w:t>
            </w:r>
          </w:p>
        </w:tc>
        <w:tc>
          <w:tcPr>
            <w:tcW w:w="1811" w:type="dxa"/>
            <w:vAlign w:val="center"/>
          </w:tcPr>
          <w:p w14:paraId="456D1E2E">
            <w:pPr>
              <w:jc w:val="center"/>
              <w:rPr>
                <w:rFonts w:ascii="Times New Roman" w:hAnsi="Times New Roman" w:cs="Times New Roman" w:eastAsiaTheme="minorEastAsia"/>
                <w:kern w:val="0"/>
                <w:sz w:val="21"/>
                <w:szCs w:val="21"/>
              </w:rPr>
            </w:pPr>
            <w:r>
              <w:rPr>
                <w:rFonts w:hint="eastAsia" w:ascii="Times New Roman" w:hAnsi="Times New Roman" w:cs="Times New Roman" w:eastAsiaTheme="minorEastAsia"/>
                <w:kern w:val="0"/>
                <w:sz w:val="21"/>
                <w:szCs w:val="21"/>
              </w:rPr>
              <w:t>3</w:t>
            </w:r>
            <w:r>
              <w:rPr>
                <w:rFonts w:ascii="Times New Roman" w:hAnsi="Times New Roman" w:cs="Times New Roman" w:eastAsiaTheme="minorEastAsia"/>
                <w:kern w:val="0"/>
                <w:sz w:val="21"/>
                <w:szCs w:val="21"/>
              </w:rPr>
              <w:t>.00E-1</w:t>
            </w:r>
          </w:p>
        </w:tc>
      </w:tr>
    </w:tbl>
    <w:p w14:paraId="534347AB">
      <w:pPr>
        <w:ind w:right="240" w:rightChars="100"/>
        <w:rPr>
          <w:rFonts w:ascii="Times New Roman" w:hAnsi="Times New Roman" w:eastAsiaTheme="minorEastAsia"/>
          <w:sz w:val="18"/>
          <w:szCs w:val="20"/>
        </w:rPr>
      </w:pPr>
      <w:r>
        <w:rPr>
          <w:rFonts w:ascii="Times New Roman" w:hAnsi="Times New Roman" w:eastAsiaTheme="minorEastAsia"/>
          <w:sz w:val="18"/>
          <w:szCs w:val="20"/>
        </w:rPr>
        <w:t>*The reference values are from the Technical guidelines for risk assessment of soil contamination of land for construction (</w:t>
      </w:r>
      <w:r>
        <w:rPr>
          <w:rFonts w:ascii="Times New Roman" w:hAnsi="Times New Roman" w:eastAsiaTheme="minorEastAsia"/>
          <w:color w:val="4472C4" w:themeColor="accent1"/>
          <w:sz w:val="18"/>
          <w:szCs w:val="20"/>
          <w14:textFill>
            <w14:solidFill>
              <w14:schemeClr w14:val="accent1"/>
            </w14:solidFill>
          </w14:textFill>
        </w:rPr>
        <w:t>HJ 25.3-2019</w:t>
      </w:r>
      <w:r>
        <w:rPr>
          <w:rFonts w:ascii="Times New Roman" w:hAnsi="Times New Roman" w:eastAsiaTheme="minorEastAsia"/>
          <w:sz w:val="18"/>
          <w:szCs w:val="20"/>
        </w:rPr>
        <w:t>)</w:t>
      </w:r>
    </w:p>
    <w:p w14:paraId="59DD56DE">
      <w:pPr>
        <w:rPr>
          <w:rFonts w:eastAsiaTheme="minorEastAsia"/>
        </w:rPr>
      </w:pPr>
    </w:p>
    <w:p w14:paraId="774014EE">
      <w:pPr>
        <w:rPr>
          <w:rFonts w:eastAsiaTheme="minorEastAsia"/>
        </w:rPr>
      </w:pPr>
    </w:p>
    <w:p w14:paraId="710BF736">
      <w:pPr>
        <w:spacing w:line="240" w:lineRule="auto"/>
        <w:rPr>
          <w:rFonts w:ascii="Times New Roman" w:hAnsi="Times New Roman" w:cs="Times New Roman" w:eastAsiaTheme="minorEastAsia"/>
          <w:b/>
          <w:sz w:val="32"/>
          <w:szCs w:val="32"/>
        </w:rPr>
      </w:pPr>
      <w:r>
        <w:rPr>
          <w:rFonts w:hint="eastAsia" w:ascii="Times New Roman" w:hAnsi="Times New Roman" w:cs="Times New Roman" w:eastAsiaTheme="minorEastAsia"/>
          <w:b/>
          <w:sz w:val="32"/>
          <w:szCs w:val="32"/>
        </w:rPr>
        <w:t>R</w:t>
      </w:r>
      <w:r>
        <w:rPr>
          <w:rFonts w:ascii="Times New Roman" w:hAnsi="Times New Roman" w:cs="Times New Roman" w:eastAsiaTheme="minorEastAsia"/>
          <w:b/>
          <w:sz w:val="32"/>
          <w:szCs w:val="32"/>
        </w:rPr>
        <w:t>eference</w:t>
      </w:r>
    </w:p>
    <w:p w14:paraId="7317B79E">
      <w:pPr>
        <w:spacing w:line="240" w:lineRule="auto"/>
        <w:ind w:left="735" w:hanging="735" w:hangingChars="350"/>
        <w:rPr>
          <w:rFonts w:ascii="Times New Roman" w:hAnsi="Times New Roman" w:cs="Times New Roman" w:eastAsiaTheme="minorEastAsia"/>
          <w:bCs/>
          <w:sz w:val="21"/>
          <w:szCs w:val="21"/>
        </w:rPr>
      </w:pPr>
      <w:r>
        <w:rPr>
          <w:rFonts w:ascii="Times New Roman" w:hAnsi="Times New Roman" w:cs="Times New Roman" w:eastAsiaTheme="minorEastAsia"/>
          <w:bCs/>
          <w:sz w:val="21"/>
          <w:szCs w:val="21"/>
        </w:rPr>
        <w:t>MEEPRC, Technical guidelines for risk assessment of soil contamination of land for construction (HJ 25.3-2019). Ministry of Ecology and Environment of the People’s Republic of China.</w:t>
      </w:r>
    </w:p>
    <w:p w14:paraId="6FEC22E7">
      <w:pPr>
        <w:spacing w:line="240" w:lineRule="auto"/>
        <w:ind w:left="735" w:hanging="735" w:hangingChars="350"/>
        <w:rPr>
          <w:rFonts w:ascii="Times New Roman" w:hAnsi="Times New Roman" w:cs="Times New Roman" w:eastAsiaTheme="minorEastAsia"/>
          <w:sz w:val="21"/>
          <w:szCs w:val="20"/>
        </w:rPr>
      </w:pPr>
      <w:r>
        <w:rPr>
          <w:rFonts w:ascii="Times New Roman" w:hAnsi="Times New Roman" w:cs="Times New Roman" w:eastAsiaTheme="minorEastAsia"/>
          <w:sz w:val="21"/>
          <w:szCs w:val="20"/>
        </w:rPr>
        <w:t>MEPPRC, Technical Guidelines for Risk Assessment of Contaminated Sites, HJ 25.3-2014, 2014, Ministry of Environmental Protection of the People's Republic of China; Beijing, (in Chinese).</w:t>
      </w:r>
    </w:p>
    <w:p w14:paraId="5103F785">
      <w:pPr>
        <w:spacing w:line="240" w:lineRule="auto"/>
        <w:ind w:left="735" w:hanging="735" w:hangingChars="350"/>
        <w:rPr>
          <w:rFonts w:ascii="Times New Roman" w:hAnsi="Times New Roman" w:cs="Times New Roman" w:eastAsiaTheme="minorEastAsia"/>
          <w:sz w:val="21"/>
          <w:szCs w:val="20"/>
        </w:rPr>
      </w:pPr>
      <w:r>
        <w:rPr>
          <w:rFonts w:ascii="Times New Roman" w:hAnsi="Times New Roman" w:cs="Times New Roman" w:eastAsiaTheme="minorEastAsia"/>
          <w:sz w:val="21"/>
          <w:szCs w:val="20"/>
        </w:rPr>
        <w:t>US EPA (1996). Soil Screening Guidance: Technical Background Document, 1996, Superfund US EPA.</w:t>
      </w:r>
    </w:p>
    <w:p w14:paraId="203B900C">
      <w:pPr>
        <w:spacing w:line="240" w:lineRule="auto"/>
        <w:ind w:left="735" w:hanging="735" w:hangingChars="350"/>
        <w:rPr>
          <w:rFonts w:ascii="Times New Roman" w:hAnsi="Times New Roman" w:cs="Times New Roman" w:eastAsiaTheme="minorEastAsia"/>
          <w:sz w:val="21"/>
          <w:szCs w:val="20"/>
        </w:rPr>
      </w:pPr>
      <w:r>
        <w:rPr>
          <w:rFonts w:ascii="Times New Roman" w:hAnsi="Times New Roman" w:cs="Times New Roman" w:eastAsiaTheme="minorEastAsia"/>
          <w:sz w:val="21"/>
          <w:szCs w:val="20"/>
        </w:rPr>
        <w:t>US EPA (2001). Supplemental Guidance for Developing Soil Screening Levels for Superfund Sites. OSWER 9355.4-24 Office of Solid Waste and Emergency Response</w:t>
      </w:r>
    </w:p>
    <w:p w14:paraId="2811D0F6">
      <w:pPr>
        <w:spacing w:line="240" w:lineRule="auto"/>
        <w:ind w:left="735" w:hanging="735" w:hangingChars="350"/>
        <w:rPr>
          <w:rFonts w:ascii="Times New Roman" w:hAnsi="Times New Roman" w:cs="Times New Roman" w:eastAsiaTheme="minorEastAsia"/>
          <w:sz w:val="21"/>
          <w:szCs w:val="20"/>
        </w:rPr>
      </w:pPr>
      <w:r>
        <w:rPr>
          <w:rFonts w:ascii="Times New Roman" w:hAnsi="Times New Roman" w:cs="Times New Roman" w:eastAsiaTheme="minorEastAsia"/>
          <w:sz w:val="21"/>
          <w:szCs w:val="20"/>
        </w:rPr>
        <w:t>US EPA, Exposure Factors Handbook: 2011 Edition (2011), National Center for Environmental Assessment Office of Research and Development U.S. Environmental Protection Agency; Washington, 20460, (EPA/600/R-09/052F).</w:t>
      </w:r>
    </w:p>
    <w:p w14:paraId="4E8A3479">
      <w:pPr>
        <w:spacing w:line="240" w:lineRule="auto"/>
        <w:ind w:left="735" w:hanging="735" w:hangingChars="350"/>
        <w:rPr>
          <w:rFonts w:ascii="Times New Roman" w:hAnsi="Times New Roman" w:cs="Times New Roman"/>
          <w:bCs/>
          <w:sz w:val="21"/>
          <w:szCs w:val="21"/>
        </w:rPr>
      </w:pPr>
      <w:r>
        <w:rPr>
          <w:rFonts w:ascii="Times New Roman" w:hAnsi="Times New Roman" w:cs="Times New Roman"/>
          <w:bCs/>
          <w:sz w:val="21"/>
          <w:szCs w:val="21"/>
          <w:lang w:val="fr-FR"/>
        </w:rPr>
        <w:t xml:space="preserve">Huang J, Wu Y, Sun J, Li X, Geng X, Zhao M, Sun T, Fan Z (2021). </w:t>
      </w:r>
      <w:r>
        <w:rPr>
          <w:rFonts w:ascii="Times New Roman" w:hAnsi="Times New Roman" w:cs="Times New Roman"/>
          <w:bCs/>
          <w:sz w:val="21"/>
          <w:szCs w:val="21"/>
        </w:rPr>
        <w:t xml:space="preserve">Health risk assessment of heavy metal(loid)s in park soils of the largest megacity in China by using monte carlo simulation coupled with positive matrix factorization model. </w:t>
      </w:r>
      <w:r>
        <w:rPr>
          <w:rFonts w:ascii="Times New Roman" w:hAnsi="Times New Roman" w:cs="Times New Roman"/>
          <w:bCs/>
          <w:i/>
          <w:iCs/>
          <w:sz w:val="21"/>
          <w:szCs w:val="21"/>
        </w:rPr>
        <w:t>Journal of Hazardous Materials</w:t>
      </w:r>
      <w:r>
        <w:rPr>
          <w:rFonts w:ascii="Times New Roman" w:hAnsi="Times New Roman" w:cs="Times New Roman"/>
          <w:bCs/>
          <w:sz w:val="21"/>
          <w:szCs w:val="21"/>
        </w:rPr>
        <w:t xml:space="preserve">, </w:t>
      </w:r>
      <w:r>
        <w:rPr>
          <w:rFonts w:ascii="Times New Roman" w:hAnsi="Times New Roman" w:cs="Times New Roman"/>
          <w:bCs/>
          <w:i/>
          <w:iCs/>
          <w:sz w:val="21"/>
          <w:szCs w:val="21"/>
        </w:rPr>
        <w:t>415</w:t>
      </w:r>
      <w:r>
        <w:rPr>
          <w:rFonts w:ascii="Times New Roman" w:hAnsi="Times New Roman" w:cs="Times New Roman"/>
          <w:bCs/>
          <w:sz w:val="21"/>
          <w:szCs w:val="21"/>
        </w:rPr>
        <w:t>, 125629.</w:t>
      </w:r>
    </w:p>
    <w:p w14:paraId="270BEE42">
      <w:pPr>
        <w:spacing w:line="240" w:lineRule="auto"/>
        <w:ind w:left="735" w:hanging="735" w:hangingChars="350"/>
        <w:rPr>
          <w:rFonts w:ascii="Times New Roman" w:hAnsi="Times New Roman" w:cs="Times New Roman"/>
          <w:bCs/>
          <w:sz w:val="21"/>
          <w:szCs w:val="21"/>
        </w:rPr>
      </w:pPr>
      <w:r>
        <w:rPr>
          <w:rFonts w:ascii="Times New Roman" w:hAnsi="Times New Roman" w:cs="Times New Roman"/>
          <w:bCs/>
          <w:sz w:val="21"/>
          <w:szCs w:val="21"/>
        </w:rPr>
        <w:t xml:space="preserve">Shen C, Huang S, Wang M, Wu J, Su J, Lin K, Chen X, He T, Li Y, Sha C, Liu M (2024). Source-oriented health risk assessment and priority control factor analysis of heavy metals in urban soil of shanghai. </w:t>
      </w:r>
      <w:r>
        <w:rPr>
          <w:rFonts w:ascii="Times New Roman" w:hAnsi="Times New Roman" w:cs="Times New Roman"/>
          <w:bCs/>
          <w:i/>
          <w:iCs/>
          <w:sz w:val="21"/>
          <w:szCs w:val="21"/>
        </w:rPr>
        <w:t>Journal of Hazardous Materials</w:t>
      </w:r>
      <w:r>
        <w:rPr>
          <w:rFonts w:ascii="Times New Roman" w:hAnsi="Times New Roman" w:cs="Times New Roman"/>
          <w:bCs/>
          <w:sz w:val="21"/>
          <w:szCs w:val="21"/>
        </w:rPr>
        <w:t xml:space="preserve">, </w:t>
      </w:r>
      <w:r>
        <w:rPr>
          <w:rFonts w:ascii="Times New Roman" w:hAnsi="Times New Roman" w:cs="Times New Roman"/>
          <w:bCs/>
          <w:i/>
          <w:iCs/>
          <w:sz w:val="21"/>
          <w:szCs w:val="21"/>
        </w:rPr>
        <w:t>480</w:t>
      </w:r>
      <w:r>
        <w:rPr>
          <w:rFonts w:ascii="Times New Roman" w:hAnsi="Times New Roman" w:cs="Times New Roman"/>
          <w:bCs/>
          <w:sz w:val="21"/>
          <w:szCs w:val="21"/>
        </w:rPr>
        <w:t>, 135859.</w:t>
      </w:r>
    </w:p>
    <w:p w14:paraId="0FC02DD3">
      <w:pPr>
        <w:spacing w:line="240" w:lineRule="auto"/>
        <w:ind w:left="735" w:hanging="735" w:hangingChars="350"/>
        <w:rPr>
          <w:rFonts w:ascii="Times New Roman" w:hAnsi="Times New Roman" w:cs="Times New Roman"/>
          <w:bCs/>
          <w:sz w:val="21"/>
          <w:szCs w:val="21"/>
        </w:rPr>
      </w:pPr>
      <w:r>
        <w:rPr>
          <w:rFonts w:ascii="Times New Roman" w:hAnsi="Times New Roman" w:cs="Times New Roman"/>
          <w:bCs/>
          <w:sz w:val="21"/>
          <w:szCs w:val="21"/>
        </w:rPr>
        <w:t xml:space="preserve">Yang Y, Lu X, Yu B, Wang Z, Wang L, Lei K, Zuo L, Fan P, Liang T (2024). Exploring the environmental risks and seasonal variations of potentially toxic elements (PTEs) in fine road dust in resource-based cities based on monte carlo simulation, geo-detector and random forest model. </w:t>
      </w:r>
      <w:r>
        <w:rPr>
          <w:rFonts w:ascii="Times New Roman" w:hAnsi="Times New Roman" w:cs="Times New Roman"/>
          <w:bCs/>
          <w:i/>
          <w:iCs/>
          <w:sz w:val="21"/>
          <w:szCs w:val="21"/>
        </w:rPr>
        <w:t>Journal of Hazardous Materials</w:t>
      </w:r>
      <w:r>
        <w:rPr>
          <w:rFonts w:ascii="Times New Roman" w:hAnsi="Times New Roman" w:cs="Times New Roman"/>
          <w:bCs/>
          <w:sz w:val="21"/>
          <w:szCs w:val="21"/>
        </w:rPr>
        <w:t xml:space="preserve">, </w:t>
      </w:r>
      <w:r>
        <w:rPr>
          <w:rFonts w:ascii="Times New Roman" w:hAnsi="Times New Roman" w:cs="Times New Roman"/>
          <w:bCs/>
          <w:i/>
          <w:iCs/>
          <w:sz w:val="21"/>
          <w:szCs w:val="21"/>
        </w:rPr>
        <w:t>473</w:t>
      </w:r>
      <w:r>
        <w:rPr>
          <w:rFonts w:ascii="Times New Roman" w:hAnsi="Times New Roman" w:cs="Times New Roman"/>
          <w:bCs/>
          <w:sz w:val="21"/>
          <w:szCs w:val="21"/>
        </w:rPr>
        <w:t>, 134708.</w:t>
      </w:r>
    </w:p>
    <w:p w14:paraId="5AAAB4F1">
      <w:pPr>
        <w:spacing w:line="240" w:lineRule="auto"/>
        <w:ind w:left="735" w:hanging="735" w:hangingChars="350"/>
        <w:rPr>
          <w:rFonts w:ascii="Times New Roman" w:hAnsi="Times New Roman" w:cs="Times New Roman"/>
          <w:bCs/>
          <w:sz w:val="21"/>
          <w:szCs w:val="21"/>
        </w:rPr>
      </w:pPr>
      <w:r>
        <w:rPr>
          <w:rFonts w:ascii="Times New Roman" w:hAnsi="Times New Roman" w:cs="Times New Roman"/>
          <w:bCs/>
          <w:sz w:val="21"/>
          <w:szCs w:val="21"/>
        </w:rPr>
        <w:t xml:space="preserve">Zuo L, Lu X, Fan P, Wang L, Yu B, Lei K, Yang Y, Chen Y (2022). Concentrations, sources and ecological–health risks of potentially toxic elements in finer road dust from a megacity in north China. </w:t>
      </w:r>
      <w:r>
        <w:rPr>
          <w:rFonts w:ascii="Times New Roman" w:hAnsi="Times New Roman" w:cs="Times New Roman"/>
          <w:bCs/>
          <w:i/>
          <w:iCs/>
          <w:sz w:val="21"/>
          <w:szCs w:val="21"/>
        </w:rPr>
        <w:t>Journal of Cleaner Production</w:t>
      </w:r>
      <w:r>
        <w:rPr>
          <w:rFonts w:ascii="Times New Roman" w:hAnsi="Times New Roman" w:cs="Times New Roman"/>
          <w:bCs/>
          <w:sz w:val="21"/>
          <w:szCs w:val="21"/>
        </w:rPr>
        <w:t xml:space="preserve">, </w:t>
      </w:r>
      <w:r>
        <w:rPr>
          <w:rFonts w:ascii="Times New Roman" w:hAnsi="Times New Roman" w:cs="Times New Roman"/>
          <w:bCs/>
          <w:i/>
          <w:iCs/>
          <w:sz w:val="21"/>
          <w:szCs w:val="21"/>
        </w:rPr>
        <w:t>358</w:t>
      </w:r>
      <w:r>
        <w:rPr>
          <w:rFonts w:ascii="Times New Roman" w:hAnsi="Times New Roman" w:cs="Times New Roman"/>
          <w:bCs/>
          <w:sz w:val="21"/>
          <w:szCs w:val="21"/>
        </w:rPr>
        <w:t>, 132036.</w:t>
      </w:r>
    </w:p>
    <w:p w14:paraId="0D01F11A">
      <w:pPr>
        <w:rPr>
          <w:rFonts w:eastAsiaTheme="minor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406438"/>
    <w:multiLevelType w:val="multilevel"/>
    <w:tmpl w:val="19406438"/>
    <w:lvl w:ilvl="0" w:tentative="0">
      <w:start w:val="1"/>
      <w:numFmt w:val="decimal"/>
      <w:pStyle w:val="3"/>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781"/>
    <w:rsid w:val="000425E8"/>
    <w:rsid w:val="00114FE6"/>
    <w:rsid w:val="001B46AD"/>
    <w:rsid w:val="001D5781"/>
    <w:rsid w:val="0023306A"/>
    <w:rsid w:val="00276337"/>
    <w:rsid w:val="002966AF"/>
    <w:rsid w:val="002F2ADD"/>
    <w:rsid w:val="003047D2"/>
    <w:rsid w:val="0035593E"/>
    <w:rsid w:val="0040631B"/>
    <w:rsid w:val="00437AA2"/>
    <w:rsid w:val="004B04C1"/>
    <w:rsid w:val="004B681E"/>
    <w:rsid w:val="004D7C7F"/>
    <w:rsid w:val="00514E38"/>
    <w:rsid w:val="00533F93"/>
    <w:rsid w:val="00552DB9"/>
    <w:rsid w:val="00733B00"/>
    <w:rsid w:val="007C2CC1"/>
    <w:rsid w:val="007F7F7B"/>
    <w:rsid w:val="008603E0"/>
    <w:rsid w:val="00866EF8"/>
    <w:rsid w:val="008773DF"/>
    <w:rsid w:val="00881615"/>
    <w:rsid w:val="00916272"/>
    <w:rsid w:val="00AB5B52"/>
    <w:rsid w:val="00AC63C0"/>
    <w:rsid w:val="00AD08E2"/>
    <w:rsid w:val="00AF70B0"/>
    <w:rsid w:val="00B85E5B"/>
    <w:rsid w:val="00BC651D"/>
    <w:rsid w:val="00CD443A"/>
    <w:rsid w:val="00D42E15"/>
    <w:rsid w:val="00DB58BC"/>
    <w:rsid w:val="00E21882"/>
    <w:rsid w:val="00E63526"/>
    <w:rsid w:val="00E70582"/>
    <w:rsid w:val="00E855C9"/>
    <w:rsid w:val="00E955AE"/>
    <w:rsid w:val="00F6132F"/>
    <w:rsid w:val="43266FB8"/>
    <w:rsid w:val="6BB95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Times New Roman" w:asciiTheme="minorHAnsi" w:hAnsiTheme="minorHAnsi" w:cstheme="minorBidi"/>
      <w:kern w:val="2"/>
      <w:sz w:val="24"/>
      <w:szCs w:val="22"/>
      <w:lang w:val="en-US" w:eastAsia="zh-CN" w:bidi="ar-SA"/>
    </w:rPr>
  </w:style>
  <w:style w:type="paragraph" w:styleId="2">
    <w:name w:val="heading 1"/>
    <w:basedOn w:val="1"/>
    <w:next w:val="1"/>
    <w:link w:val="12"/>
    <w:qFormat/>
    <w:uiPriority w:val="9"/>
    <w:pPr>
      <w:keepNext/>
      <w:keepLines/>
      <w:spacing w:before="340" w:after="330"/>
      <w:outlineLvl w:val="0"/>
    </w:pPr>
    <w:rPr>
      <w:b/>
      <w:bCs/>
      <w:kern w:val="44"/>
      <w:sz w:val="32"/>
      <w:szCs w:val="44"/>
    </w:rPr>
  </w:style>
  <w:style w:type="paragraph" w:styleId="3">
    <w:name w:val="heading 2"/>
    <w:basedOn w:val="1"/>
    <w:next w:val="4"/>
    <w:link w:val="13"/>
    <w:autoRedefine/>
    <w:unhideWhenUsed/>
    <w:qFormat/>
    <w:uiPriority w:val="9"/>
    <w:pPr>
      <w:keepNext/>
      <w:keepLines/>
      <w:numPr>
        <w:ilvl w:val="0"/>
        <w:numId w:val="1"/>
      </w:numPr>
      <w:spacing w:before="240" w:after="240" w:line="416" w:lineRule="auto"/>
      <w:ind w:left="420" w:hanging="420"/>
      <w:outlineLvl w:val="1"/>
    </w:pPr>
    <w:rPr>
      <w:rFonts w:ascii="Times New Roman" w:hAnsi="Times New Roman" w:eastAsiaTheme="minorEastAsia" w:cstheme="majorBidi"/>
      <w:b/>
      <w:bCs/>
      <w:sz w:val="28"/>
      <w:szCs w:val="32"/>
    </w:rPr>
  </w:style>
  <w:style w:type="paragraph" w:styleId="5">
    <w:name w:val="heading 3"/>
    <w:basedOn w:val="1"/>
    <w:next w:val="1"/>
    <w:link w:val="14"/>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15"/>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8"/>
    <w:semiHidden/>
    <w:unhideWhenUsed/>
    <w:qFormat/>
    <w:uiPriority w:val="99"/>
    <w:pPr>
      <w:spacing w:after="120"/>
      <w:ind w:left="420" w:leftChars="200"/>
    </w:pPr>
  </w:style>
  <w:style w:type="paragraph" w:styleId="7">
    <w:name w:val="footer"/>
    <w:basedOn w:val="1"/>
    <w:link w:val="23"/>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table" w:customStyle="1" w:styleId="11">
    <w:name w:val="三线表"/>
    <w:basedOn w:val="9"/>
    <w:qFormat/>
    <w:uiPriority w:val="99"/>
    <w:rPr>
      <w:rFonts w:ascii="Times New Roman" w:hAnsi="Times New Roman" w:eastAsia="宋体" w:cs="Times New Roman"/>
      <w:kern w:val="0"/>
      <w:sz w:val="20"/>
      <w:szCs w:val="20"/>
    </w:rPr>
    <w:tblPr>
      <w:tblBorders>
        <w:top w:val="single" w:color="auto" w:sz="12" w:space="0"/>
        <w:bottom w:val="single" w:color="auto" w:sz="12" w:space="0"/>
      </w:tblBorders>
    </w:tblPr>
    <w:tblStylePr w:type="firstRow">
      <w:tcPr>
        <w:tcBorders>
          <w:bottom w:val="single" w:color="auto" w:sz="4" w:space="0"/>
        </w:tcBorders>
      </w:tcPr>
    </w:tblStylePr>
  </w:style>
  <w:style w:type="character" w:customStyle="1" w:styleId="12">
    <w:name w:val="标题 1 字符"/>
    <w:basedOn w:val="10"/>
    <w:link w:val="2"/>
    <w:qFormat/>
    <w:uiPriority w:val="9"/>
    <w:rPr>
      <w:rFonts w:eastAsia="Times New Roman"/>
      <w:b/>
      <w:bCs/>
      <w:kern w:val="44"/>
      <w:sz w:val="32"/>
      <w:szCs w:val="44"/>
    </w:rPr>
  </w:style>
  <w:style w:type="character" w:customStyle="1" w:styleId="13">
    <w:name w:val="标题 2 字符"/>
    <w:basedOn w:val="10"/>
    <w:link w:val="3"/>
    <w:qFormat/>
    <w:uiPriority w:val="9"/>
    <w:rPr>
      <w:rFonts w:ascii="Times New Roman" w:hAnsi="Times New Roman" w:cstheme="majorBidi"/>
      <w:b/>
      <w:bCs/>
      <w:sz w:val="28"/>
      <w:szCs w:val="32"/>
    </w:rPr>
  </w:style>
  <w:style w:type="character" w:customStyle="1" w:styleId="14">
    <w:name w:val="标题 3 字符"/>
    <w:basedOn w:val="10"/>
    <w:link w:val="5"/>
    <w:qFormat/>
    <w:uiPriority w:val="9"/>
    <w:rPr>
      <w:rFonts w:eastAsia="宋体"/>
      <w:b/>
      <w:bCs/>
      <w:sz w:val="32"/>
      <w:szCs w:val="32"/>
    </w:rPr>
  </w:style>
  <w:style w:type="character" w:customStyle="1" w:styleId="15">
    <w:name w:val="标题 4 字符"/>
    <w:basedOn w:val="10"/>
    <w:link w:val="6"/>
    <w:qFormat/>
    <w:uiPriority w:val="9"/>
    <w:rPr>
      <w:rFonts w:eastAsia="宋体" w:asciiTheme="majorHAnsi" w:hAnsiTheme="majorHAnsi" w:cstheme="majorBidi"/>
      <w:b/>
      <w:bCs/>
      <w:sz w:val="28"/>
      <w:szCs w:val="28"/>
    </w:rPr>
  </w:style>
  <w:style w:type="paragraph" w:customStyle="1" w:styleId="16">
    <w:name w:val="标题1"/>
    <w:basedOn w:val="1"/>
    <w:next w:val="4"/>
    <w:link w:val="17"/>
    <w:autoRedefine/>
    <w:qFormat/>
    <w:uiPriority w:val="0"/>
    <w:pPr>
      <w:tabs>
        <w:tab w:val="left" w:pos="720"/>
      </w:tabs>
      <w:jc w:val="center"/>
    </w:pPr>
    <w:rPr>
      <w:rFonts w:ascii="Times New Roman" w:hAnsi="Times New Roman" w:eastAsiaTheme="minorEastAsia"/>
      <w:b/>
      <w:sz w:val="32"/>
    </w:rPr>
  </w:style>
  <w:style w:type="character" w:customStyle="1" w:styleId="17">
    <w:name w:val="标题1 字符"/>
    <w:basedOn w:val="10"/>
    <w:link w:val="16"/>
    <w:qFormat/>
    <w:uiPriority w:val="0"/>
    <w:rPr>
      <w:rFonts w:ascii="Times New Roman" w:hAnsi="Times New Roman"/>
      <w:b/>
      <w:sz w:val="32"/>
    </w:rPr>
  </w:style>
  <w:style w:type="character" w:customStyle="1" w:styleId="18">
    <w:name w:val="正文文本缩进 字符"/>
    <w:basedOn w:val="10"/>
    <w:link w:val="4"/>
    <w:semiHidden/>
    <w:qFormat/>
    <w:uiPriority w:val="99"/>
    <w:rPr>
      <w:rFonts w:eastAsia="Times New Roman"/>
      <w:sz w:val="24"/>
    </w:rPr>
  </w:style>
  <w:style w:type="table" w:customStyle="1" w:styleId="19">
    <w:name w:val="样式1"/>
    <w:basedOn w:val="9"/>
    <w:qFormat/>
    <w:uiPriority w:val="99"/>
  </w:style>
  <w:style w:type="paragraph" w:customStyle="1" w:styleId="20">
    <w:name w:val="一级标题（自定义）"/>
    <w:basedOn w:val="1"/>
    <w:link w:val="21"/>
    <w:qFormat/>
    <w:uiPriority w:val="0"/>
    <w:pPr>
      <w:spacing w:before="50" w:beforeLines="50" w:after="50" w:afterLines="50" w:line="240" w:lineRule="auto"/>
    </w:pPr>
    <w:rPr>
      <w:rFonts w:ascii="Times New Roman" w:hAnsi="Times New Roman" w:eastAsia="宋体" w:cs="Times New Roman"/>
      <w:b/>
      <w:sz w:val="28"/>
    </w:rPr>
  </w:style>
  <w:style w:type="character" w:customStyle="1" w:styleId="21">
    <w:name w:val="一级标题（自定义） 字符"/>
    <w:basedOn w:val="10"/>
    <w:link w:val="20"/>
    <w:qFormat/>
    <w:uiPriority w:val="0"/>
    <w:rPr>
      <w:rFonts w:ascii="Times New Roman" w:hAnsi="Times New Roman" w:eastAsia="宋体" w:cs="Times New Roman"/>
      <w:b/>
      <w:sz w:val="28"/>
    </w:rPr>
  </w:style>
  <w:style w:type="character" w:customStyle="1" w:styleId="22">
    <w:name w:val="页眉 字符"/>
    <w:basedOn w:val="10"/>
    <w:link w:val="8"/>
    <w:qFormat/>
    <w:uiPriority w:val="99"/>
    <w:rPr>
      <w:rFonts w:eastAsia="Times New Roman"/>
      <w:sz w:val="18"/>
      <w:szCs w:val="18"/>
    </w:rPr>
  </w:style>
  <w:style w:type="character" w:customStyle="1" w:styleId="23">
    <w:name w:val="页脚 字符"/>
    <w:basedOn w:val="10"/>
    <w:link w:val="7"/>
    <w:qFormat/>
    <w:uiPriority w:val="99"/>
    <w:rPr>
      <w:rFonts w:eastAsia="Times New Roman"/>
      <w:sz w:val="18"/>
      <w:szCs w:val="18"/>
    </w:rPr>
  </w:style>
  <w:style w:type="paragraph" w:customStyle="1" w:styleId="24">
    <w:name w:val="htitle"/>
    <w:basedOn w:val="25"/>
    <w:qFormat/>
    <w:uiPriority w:val="0"/>
    <w:pPr>
      <w:jc w:val="center"/>
    </w:pPr>
    <w:rPr>
      <w:szCs w:val="20"/>
    </w:rPr>
  </w:style>
  <w:style w:type="paragraph" w:customStyle="1" w:styleId="25">
    <w:name w:val="Base_Heading"/>
    <w:qFormat/>
    <w:uiPriority w:val="0"/>
    <w:pPr>
      <w:keepNext/>
      <w:spacing w:before="240"/>
      <w:outlineLvl w:val="0"/>
    </w:pPr>
    <w:rPr>
      <w:rFonts w:ascii="Times New Roman" w:hAnsi="Times New Roman" w:cs="Times New Roman" w:eastAsiaTheme="minorEastAsia"/>
      <w:kern w:val="28"/>
      <w:sz w:val="36"/>
      <w:szCs w:val="28"/>
      <w:lang w:val="en-US" w:eastAsia="en-US" w:bidi="ar-SA"/>
    </w:rPr>
  </w:style>
  <w:style w:type="paragraph" w:customStyle="1" w:styleId="26">
    <w:name w:val="hauthors"/>
    <w:basedOn w:val="27"/>
    <w:qFormat/>
    <w:uiPriority w:val="0"/>
    <w:pPr>
      <w:jc w:val="center"/>
    </w:pPr>
    <w:rPr>
      <w:sz w:val="21"/>
      <w:szCs w:val="20"/>
    </w:rPr>
  </w:style>
  <w:style w:type="paragraph" w:customStyle="1" w:styleId="27">
    <w:name w:val="Base_Text"/>
    <w:qFormat/>
    <w:uiPriority w:val="0"/>
    <w:pPr>
      <w:spacing w:before="120"/>
    </w:pPr>
    <w:rPr>
      <w:rFonts w:ascii="Times New Roman" w:hAnsi="Times New Roman" w:cs="Times New Roman" w:eastAsiaTheme="minorEastAsia"/>
      <w:kern w:val="0"/>
      <w:sz w:val="24"/>
      <w:szCs w:val="24"/>
      <w:lang w:val="en-US" w:eastAsia="en-US" w:bidi="ar-SA"/>
    </w:rPr>
  </w:style>
  <w:style w:type="paragraph" w:customStyle="1" w:styleId="28">
    <w:name w:val="haffiliations"/>
    <w:basedOn w:val="27"/>
    <w:qFormat/>
    <w:uiPriority w:val="0"/>
    <w:pPr>
      <w:jc w:val="center"/>
    </w:pPr>
    <w:rPr>
      <w:sz w:val="21"/>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224</Words>
  <Characters>1391</Characters>
  <Lines>58</Lines>
  <Paragraphs>16</Paragraphs>
  <TotalTime>0</TotalTime>
  <ScaleCrop>false</ScaleCrop>
  <LinksUpToDate>false</LinksUpToDate>
  <CharactersWithSpaces>1565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2025-07-15T08:40:00Z</dcterms:created>
  <dc:creator>dh</dc:creator>
  <cp:lastModifiedBy>FESCI</cp:lastModifiedBy>
  <cp:lastPrinted>2026-01-06T12:43:00Z</cp:lastPrinted>
  <dcterms:modified xsi:type="dcterms:W3CDTF">2026-06-11T07:48:20Z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E90F0D44A2EC4886901652E262B0E4CE_13</vt:lpwstr>
  </property>
  <property fmtid="{D5CDD505-2E9C-101B-9397-08002B2CF9AE}" pid="4" name="KSOTemplateDocerSaveRecord">
    <vt:lpwstr>eyJoZGlkIjoiMTIxMGYzNWJmOWMzYThlM2Y3MTgzYjQzY2M2NWY1ZTgiLCJ1c2VySWQiOiIxNTk4NjMxNTI0In0=</vt:lpwstr>
  </property>
</Properties>
</file>