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E7557" w14:textId="707176C9" w:rsidR="008325C7" w:rsidRPr="00DA5F73" w:rsidRDefault="003560FA">
      <w:pPr>
        <w:spacing w:line="300" w:lineRule="auto"/>
        <w:jc w:val="center"/>
        <w:rPr>
          <w:rFonts w:ascii="Times New Roman" w:hAnsi="Times New Roman" w:cs="Times New Roman" w:hint="eastAsia"/>
          <w:b/>
          <w:bCs/>
          <w:sz w:val="36"/>
          <w:szCs w:val="36"/>
        </w:rPr>
      </w:pPr>
      <w:r w:rsidRPr="00DA5F73">
        <w:rPr>
          <w:rFonts w:ascii="Times New Roman" w:hAnsi="Times New Roman" w:cs="Times New Roman" w:hint="eastAsia"/>
          <w:b/>
          <w:bCs/>
          <w:sz w:val="36"/>
          <w:szCs w:val="36"/>
        </w:rPr>
        <w:t>Electronic Supplementary Material</w:t>
      </w:r>
    </w:p>
    <w:p w14:paraId="0E7449D4" w14:textId="77777777" w:rsidR="003560FA" w:rsidRPr="00DA5F73" w:rsidRDefault="003560FA">
      <w:pPr>
        <w:spacing w:line="300" w:lineRule="auto"/>
        <w:jc w:val="center"/>
        <w:rPr>
          <w:rFonts w:ascii="Times New Roman" w:hAnsi="Times New Roman" w:cs="Times New Roman"/>
          <w:b/>
          <w:bCs/>
          <w:sz w:val="24"/>
        </w:rPr>
      </w:pPr>
    </w:p>
    <w:p w14:paraId="588B3EBD" w14:textId="77777777" w:rsidR="003560FA" w:rsidRPr="00DA5F73" w:rsidRDefault="003560FA" w:rsidP="003560FA">
      <w:pPr>
        <w:spacing w:line="360" w:lineRule="auto"/>
        <w:jc w:val="center"/>
        <w:rPr>
          <w:rFonts w:ascii="Times New Roman" w:hAnsi="Times New Roman" w:cs="Times New Roman"/>
          <w:sz w:val="28"/>
          <w:szCs w:val="28"/>
        </w:rPr>
      </w:pPr>
      <w:r w:rsidRPr="00DA5F73">
        <w:rPr>
          <w:rFonts w:ascii="Times New Roman" w:hAnsi="Times New Roman" w:cs="Times New Roman"/>
          <w:b/>
          <w:bCs/>
          <w:sz w:val="28"/>
          <w:szCs w:val="28"/>
        </w:rPr>
        <w:t>NiCo</w:t>
      </w:r>
      <w:r w:rsidRPr="00DA5F73">
        <w:rPr>
          <w:rFonts w:ascii="Times New Roman" w:hAnsi="Times New Roman" w:cs="Times New Roman" w:hint="eastAsia"/>
          <w:b/>
          <w:bCs/>
          <w:sz w:val="28"/>
          <w:szCs w:val="28"/>
          <w:vertAlign w:val="subscript"/>
        </w:rPr>
        <w:t>2</w:t>
      </w:r>
      <w:r w:rsidRPr="00DA5F73">
        <w:rPr>
          <w:rFonts w:ascii="Times New Roman" w:hAnsi="Times New Roman" w:cs="Times New Roman"/>
          <w:b/>
          <w:bCs/>
          <w:sz w:val="28"/>
          <w:szCs w:val="28"/>
        </w:rPr>
        <w:t>O</w:t>
      </w:r>
      <w:r w:rsidRPr="00DA5F73">
        <w:rPr>
          <w:rFonts w:ascii="Times New Roman" w:hAnsi="Times New Roman" w:cs="Times New Roman" w:hint="eastAsia"/>
          <w:b/>
          <w:bCs/>
          <w:sz w:val="28"/>
          <w:szCs w:val="28"/>
          <w:vertAlign w:val="subscript"/>
        </w:rPr>
        <w:t>4</w:t>
      </w:r>
      <w:r w:rsidRPr="00DA5F73">
        <w:rPr>
          <w:rFonts w:ascii="Times New Roman" w:hAnsi="Times New Roman" w:cs="Times New Roman"/>
          <w:b/>
          <w:bCs/>
          <w:sz w:val="28"/>
          <w:szCs w:val="28"/>
        </w:rPr>
        <w:t xml:space="preserve">/NF nanoneedle array enables </w:t>
      </w:r>
      <w:bookmarkStart w:id="0" w:name="OLE_LINK2"/>
      <w:r w:rsidRPr="00DA5F73">
        <w:rPr>
          <w:rFonts w:ascii="Times New Roman" w:hAnsi="Times New Roman" w:cs="Times New Roman"/>
          <w:b/>
          <w:bCs/>
          <w:sz w:val="28"/>
          <w:szCs w:val="28"/>
        </w:rPr>
        <w:t>low-potential ethylene glycol</w:t>
      </w:r>
      <w:bookmarkEnd w:id="0"/>
      <w:r w:rsidRPr="00DA5F73">
        <w:rPr>
          <w:rFonts w:ascii="Times New Roman" w:hAnsi="Times New Roman" w:cs="Times New Roman"/>
          <w:b/>
          <w:bCs/>
          <w:sz w:val="28"/>
          <w:szCs w:val="28"/>
        </w:rPr>
        <w:t xml:space="preserve"> oxidation and upcycles waste polyethylene terephthalate into commodity chemicals</w:t>
      </w:r>
    </w:p>
    <w:p w14:paraId="70F2BABD" w14:textId="77777777" w:rsidR="003560FA" w:rsidRPr="00DA5F73" w:rsidRDefault="003560FA" w:rsidP="003560FA">
      <w:pPr>
        <w:widowControl/>
        <w:spacing w:line="360" w:lineRule="auto"/>
        <w:rPr>
          <w:rFonts w:ascii="Times New Roman" w:eastAsia="Arial" w:hAnsi="Times New Roman" w:cs="Times New Roman"/>
          <w:sz w:val="24"/>
        </w:rPr>
      </w:pPr>
      <w:bookmarkStart w:id="1" w:name="_Hlk231243408"/>
      <w:r w:rsidRPr="00DA5F73">
        <w:rPr>
          <w:rFonts w:ascii="Times New Roman" w:hAnsi="Times New Roman" w:cs="Times New Roman"/>
          <w:sz w:val="24"/>
        </w:rPr>
        <w:t>Bowen Zheng</w:t>
      </w:r>
      <w:bookmarkEnd w:id="1"/>
      <w:r w:rsidRPr="00DA5F73">
        <w:rPr>
          <w:rFonts w:ascii="Times New Roman" w:hAnsi="Times New Roman" w:cs="Times New Roman"/>
          <w:sz w:val="24"/>
        </w:rPr>
        <w:t xml:space="preserve">, </w:t>
      </w:r>
      <w:r w:rsidRPr="00DA5F73">
        <w:rPr>
          <w:rFonts w:ascii="Times New Roman" w:eastAsia="宋体" w:hAnsi="Times New Roman" w:cs="Times New Roman" w:hint="eastAsia"/>
          <w:sz w:val="24"/>
          <w:szCs w:val="28"/>
        </w:rPr>
        <w:t xml:space="preserve">Yin Wang, Chenkun Zheng, Yihui Song, </w:t>
      </w:r>
      <w:r w:rsidRPr="00DA5F73">
        <w:rPr>
          <w:rFonts w:ascii="Times New Roman" w:hAnsi="Times New Roman" w:cs="Times New Roman" w:hint="eastAsia"/>
          <w:sz w:val="24"/>
        </w:rPr>
        <w:t xml:space="preserve">Guangzhe Li, </w:t>
      </w:r>
      <w:r w:rsidRPr="00DA5F73">
        <w:rPr>
          <w:rFonts w:ascii="Times New Roman" w:hAnsi="Times New Roman" w:cs="Times New Roman"/>
          <w:sz w:val="24"/>
        </w:rPr>
        <w:t>Chong</w:t>
      </w:r>
      <w:r w:rsidRPr="00DA5F73">
        <w:rPr>
          <w:rFonts w:ascii="Times New Roman" w:hAnsi="Times New Roman" w:cs="Times New Roman" w:hint="eastAsia"/>
          <w:sz w:val="24"/>
        </w:rPr>
        <w:t xml:space="preserve"> </w:t>
      </w:r>
      <w:r w:rsidRPr="00DA5F73">
        <w:rPr>
          <w:rFonts w:ascii="Times New Roman" w:hAnsi="Times New Roman" w:cs="Times New Roman"/>
          <w:sz w:val="24"/>
        </w:rPr>
        <w:t>Peng</w:t>
      </w:r>
      <w:r w:rsidRPr="00DA5F73">
        <w:rPr>
          <w:rFonts w:ascii="Times New Roman" w:eastAsia="等线" w:hAnsi="Times New Roman" w:cs="Times New Roman"/>
          <w:sz w:val="24"/>
        </w:rPr>
        <w:t xml:space="preserve"> </w:t>
      </w:r>
      <w:r w:rsidRPr="00DA5F73">
        <w:rPr>
          <w:rFonts w:ascii="Times New Roman" w:eastAsia="等线" w:hAnsi="Times New Roman" w:cs="Times New Roman"/>
          <w:bCs/>
          <w:sz w:val="24"/>
        </w:rPr>
        <w:t>(</w:t>
      </w:r>
      <w:r w:rsidRPr="00DA5F73">
        <w:rPr>
          <w:rFonts w:ascii="Times New Roman" w:eastAsia="等线" w:hAnsi="Times New Roman" w:cs="Times New Roman"/>
          <w:bCs/>
          <w:sz w:val="24"/>
        </w:rPr>
        <w:sym w:font="Wingdings" w:char="F02A"/>
      </w:r>
      <w:r w:rsidRPr="00DA5F73">
        <w:rPr>
          <w:rFonts w:ascii="Times New Roman" w:eastAsia="等线" w:hAnsi="Times New Roman" w:cs="Times New Roman"/>
          <w:bCs/>
          <w:sz w:val="24"/>
        </w:rPr>
        <w:t>)</w:t>
      </w:r>
    </w:p>
    <w:p w14:paraId="2AF2DBF3" w14:textId="77777777" w:rsidR="003560FA" w:rsidRPr="00DA5F73" w:rsidRDefault="003560FA" w:rsidP="003560FA">
      <w:pPr>
        <w:spacing w:line="360" w:lineRule="auto"/>
        <w:rPr>
          <w:rFonts w:ascii="Times New Roman" w:eastAsia="宋体" w:hAnsi="Times New Roman" w:cs="Times New Roman"/>
          <w:sz w:val="24"/>
        </w:rPr>
      </w:pPr>
      <w:r w:rsidRPr="00DA5F73">
        <w:rPr>
          <w:rFonts w:ascii="Times New Roman" w:eastAsia="Arial" w:hAnsi="Times New Roman" w:cs="Times New Roman"/>
          <w:sz w:val="24"/>
        </w:rPr>
        <w:t>State Key Laboratory of Fine Chemicals, School of Chemical Engineering, Dalian University of Technology, Dalian 116024, China</w:t>
      </w:r>
    </w:p>
    <w:p w14:paraId="1811F537" w14:textId="77777777" w:rsidR="003560FA" w:rsidRPr="00DA5F73" w:rsidRDefault="003560FA" w:rsidP="003560FA">
      <w:pPr>
        <w:spacing w:line="360" w:lineRule="auto"/>
      </w:pPr>
      <w:r w:rsidRPr="00DA5F73">
        <w:rPr>
          <w:rFonts w:ascii="Times New Roman" w:hAnsi="Times New Roman" w:cs="Times New Roman"/>
          <w:sz w:val="24"/>
        </w:rPr>
        <w:t xml:space="preserve">E-mail: </w:t>
      </w:r>
      <w:hyperlink r:id="rId7" w:history="1">
        <w:r w:rsidRPr="00DA5F73">
          <w:rPr>
            <w:rStyle w:val="a9"/>
            <w:rFonts w:ascii="Times New Roman" w:hAnsi="Times New Roman" w:cs="Times New Roman"/>
            <w:color w:val="auto"/>
            <w:sz w:val="24"/>
          </w:rPr>
          <w:t>pengchong@dlut.edu.cn</w:t>
        </w:r>
      </w:hyperlink>
    </w:p>
    <w:p w14:paraId="1678020A" w14:textId="77777777" w:rsidR="003560FA" w:rsidRPr="00DA5F73" w:rsidRDefault="003560FA" w:rsidP="003560FA">
      <w:pPr>
        <w:spacing w:line="360" w:lineRule="auto"/>
      </w:pPr>
    </w:p>
    <w:p w14:paraId="274DBC29" w14:textId="77777777" w:rsidR="008325C7" w:rsidRPr="00DA5F73" w:rsidRDefault="00F32507">
      <w:pPr>
        <w:rPr>
          <w:rFonts w:ascii="Times New Roman" w:hAnsi="Times New Roman" w:cs="Times New Roman"/>
        </w:rPr>
      </w:pPr>
      <w:r w:rsidRPr="00DA5F73">
        <w:rPr>
          <w:rFonts w:ascii="Times New Roman" w:hAnsi="Times New Roman" w:cs="Times New Roman"/>
        </w:rPr>
        <w:t>Table S1. The price of feedstocks and products.</w:t>
      </w: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DA5F73" w:rsidRPr="00DA5F73" w14:paraId="1F5D6E24" w14:textId="77777777">
        <w:trPr>
          <w:trHeight w:hRule="exact" w:val="454"/>
          <w:jc w:val="center"/>
        </w:trPr>
        <w:tc>
          <w:tcPr>
            <w:tcW w:w="2765" w:type="dxa"/>
            <w:tcBorders>
              <w:top w:val="single" w:sz="12" w:space="0" w:color="auto"/>
              <w:bottom w:val="single" w:sz="8" w:space="0" w:color="auto"/>
            </w:tcBorders>
            <w:shd w:val="clear" w:color="auto" w:fill="FFFFFF" w:themeFill="background1"/>
            <w:vAlign w:val="center"/>
          </w:tcPr>
          <w:p w14:paraId="6C383DD8" w14:textId="77777777" w:rsidR="008325C7" w:rsidRPr="00DA5F73" w:rsidRDefault="00F32507">
            <w:pPr>
              <w:pStyle w:val="TCTableBody"/>
              <w:jc w:val="center"/>
              <w:rPr>
                <w:rFonts w:ascii="Times New Roman" w:eastAsia="宋体" w:hAnsi="Times New Roman"/>
                <w:b/>
                <w:bCs/>
              </w:rPr>
            </w:pPr>
            <w:r w:rsidRPr="00DA5F73">
              <w:rPr>
                <w:rFonts w:ascii="Times New Roman" w:eastAsia="宋体" w:hAnsi="Times New Roman"/>
                <w:b/>
                <w:bCs/>
              </w:rPr>
              <w:t>Chemicals</w:t>
            </w:r>
          </w:p>
        </w:tc>
        <w:tc>
          <w:tcPr>
            <w:tcW w:w="2765" w:type="dxa"/>
            <w:tcBorders>
              <w:top w:val="single" w:sz="12" w:space="0" w:color="auto"/>
              <w:bottom w:val="single" w:sz="8" w:space="0" w:color="auto"/>
            </w:tcBorders>
            <w:shd w:val="clear" w:color="auto" w:fill="FFFFFF" w:themeFill="background1"/>
            <w:vAlign w:val="center"/>
          </w:tcPr>
          <w:p w14:paraId="44A97636" w14:textId="77777777" w:rsidR="008325C7" w:rsidRPr="00DA5F73" w:rsidRDefault="00F32507">
            <w:pPr>
              <w:pStyle w:val="TCTableBody"/>
              <w:jc w:val="center"/>
              <w:rPr>
                <w:rFonts w:ascii="Times New Roman" w:eastAsia="宋体" w:hAnsi="Times New Roman"/>
                <w:b/>
                <w:bCs/>
              </w:rPr>
            </w:pPr>
            <w:r w:rsidRPr="00DA5F73">
              <w:rPr>
                <w:rFonts w:ascii="Times New Roman" w:eastAsia="宋体" w:hAnsi="Times New Roman"/>
                <w:b/>
                <w:bCs/>
              </w:rPr>
              <w:t>Price ($/ton)</w:t>
            </w:r>
          </w:p>
        </w:tc>
        <w:tc>
          <w:tcPr>
            <w:tcW w:w="2766" w:type="dxa"/>
            <w:tcBorders>
              <w:top w:val="single" w:sz="12" w:space="0" w:color="auto"/>
              <w:bottom w:val="single" w:sz="8" w:space="0" w:color="auto"/>
            </w:tcBorders>
            <w:shd w:val="clear" w:color="auto" w:fill="FFFFFF" w:themeFill="background1"/>
            <w:vAlign w:val="center"/>
          </w:tcPr>
          <w:p w14:paraId="3428E171" w14:textId="77777777" w:rsidR="008325C7" w:rsidRPr="00DA5F73" w:rsidRDefault="00F32507">
            <w:pPr>
              <w:pStyle w:val="TCTableBody"/>
              <w:jc w:val="center"/>
              <w:rPr>
                <w:rFonts w:ascii="Times New Roman" w:eastAsia="宋体" w:hAnsi="Times New Roman"/>
                <w:b/>
                <w:bCs/>
              </w:rPr>
            </w:pPr>
            <w:r w:rsidRPr="00DA5F73">
              <w:rPr>
                <w:rFonts w:ascii="Times New Roman" w:eastAsia="宋体" w:hAnsi="Times New Roman"/>
                <w:b/>
                <w:bCs/>
              </w:rPr>
              <w:t>Reference</w:t>
            </w:r>
          </w:p>
        </w:tc>
      </w:tr>
      <w:tr w:rsidR="00DA5F73" w:rsidRPr="00DA5F73" w14:paraId="4E06E18C" w14:textId="77777777">
        <w:trPr>
          <w:trHeight w:hRule="exact" w:val="454"/>
          <w:jc w:val="center"/>
        </w:trPr>
        <w:tc>
          <w:tcPr>
            <w:tcW w:w="8296" w:type="dxa"/>
            <w:gridSpan w:val="3"/>
            <w:tcBorders>
              <w:top w:val="single" w:sz="8" w:space="0" w:color="auto"/>
              <w:bottom w:val="single" w:sz="8" w:space="0" w:color="auto"/>
            </w:tcBorders>
            <w:shd w:val="clear" w:color="auto" w:fill="FFFFFF" w:themeFill="background1"/>
            <w:vAlign w:val="center"/>
          </w:tcPr>
          <w:p w14:paraId="5E57167F" w14:textId="77777777" w:rsidR="008325C7" w:rsidRPr="00DA5F73" w:rsidRDefault="00F32507">
            <w:pPr>
              <w:pStyle w:val="TCTableBody"/>
              <w:jc w:val="center"/>
              <w:rPr>
                <w:rFonts w:ascii="Times New Roman" w:eastAsia="宋体" w:hAnsi="Times New Roman"/>
                <w:b/>
                <w:bCs/>
              </w:rPr>
            </w:pPr>
            <w:r w:rsidRPr="00DA5F73">
              <w:rPr>
                <w:rFonts w:ascii="Times New Roman" w:eastAsia="宋体" w:hAnsi="Times New Roman"/>
                <w:b/>
                <w:bCs/>
              </w:rPr>
              <w:t>Feedstocks</w:t>
            </w:r>
          </w:p>
        </w:tc>
      </w:tr>
      <w:tr w:rsidR="00DA5F73" w:rsidRPr="00DA5F73" w14:paraId="0F862A4B" w14:textId="77777777">
        <w:trPr>
          <w:trHeight w:hRule="exact" w:val="454"/>
          <w:jc w:val="center"/>
        </w:trPr>
        <w:tc>
          <w:tcPr>
            <w:tcW w:w="2765" w:type="dxa"/>
            <w:tcBorders>
              <w:top w:val="single" w:sz="8" w:space="0" w:color="auto"/>
            </w:tcBorders>
            <w:shd w:val="clear" w:color="auto" w:fill="FFFFFF" w:themeFill="background1"/>
            <w:vAlign w:val="center"/>
          </w:tcPr>
          <w:p w14:paraId="7907A8C6"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Waste PET</w:t>
            </w:r>
          </w:p>
        </w:tc>
        <w:tc>
          <w:tcPr>
            <w:tcW w:w="2765" w:type="dxa"/>
            <w:tcBorders>
              <w:top w:val="single" w:sz="8" w:space="0" w:color="auto"/>
            </w:tcBorders>
            <w:shd w:val="clear" w:color="auto" w:fill="FFFFFF" w:themeFill="background1"/>
            <w:vAlign w:val="center"/>
          </w:tcPr>
          <w:p w14:paraId="35E2A9DE"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500</w:t>
            </w:r>
          </w:p>
        </w:tc>
        <w:tc>
          <w:tcPr>
            <w:tcW w:w="2766" w:type="dxa"/>
            <w:tcBorders>
              <w:top w:val="single" w:sz="8" w:space="0" w:color="auto"/>
            </w:tcBorders>
            <w:shd w:val="clear" w:color="auto" w:fill="FFFFFF" w:themeFill="background1"/>
            <w:vAlign w:val="center"/>
          </w:tcPr>
          <w:p w14:paraId="539B7FE4"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_Ref12669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[1]</w:t>
            </w:r>
            <w:r w:rsidRPr="00DA5F73">
              <w:rPr>
                <w:rFonts w:ascii="Times New Roman" w:eastAsia="宋体" w:hAnsi="Times New Roman"/>
                <w:lang w:eastAsia="zh-CN"/>
              </w:rPr>
              <w:fldChar w:fldCharType="end"/>
            </w:r>
          </w:p>
        </w:tc>
      </w:tr>
      <w:tr w:rsidR="00DA5F73" w:rsidRPr="00DA5F73" w14:paraId="01ADF039" w14:textId="77777777">
        <w:trPr>
          <w:trHeight w:hRule="exact" w:val="454"/>
          <w:jc w:val="center"/>
        </w:trPr>
        <w:tc>
          <w:tcPr>
            <w:tcW w:w="2765" w:type="dxa"/>
            <w:shd w:val="clear" w:color="auto" w:fill="FFFFFF" w:themeFill="background1"/>
            <w:vAlign w:val="center"/>
          </w:tcPr>
          <w:p w14:paraId="29113845"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KOH</w:t>
            </w:r>
          </w:p>
        </w:tc>
        <w:tc>
          <w:tcPr>
            <w:tcW w:w="2765" w:type="dxa"/>
            <w:shd w:val="clear" w:color="auto" w:fill="FFFFFF" w:themeFill="background1"/>
            <w:vAlign w:val="center"/>
          </w:tcPr>
          <w:p w14:paraId="14A86B50"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850</w:t>
            </w:r>
          </w:p>
        </w:tc>
        <w:tc>
          <w:tcPr>
            <w:tcW w:w="2766" w:type="dxa"/>
            <w:shd w:val="clear" w:color="auto" w:fill="FFFFFF" w:themeFill="background1"/>
            <w:vAlign w:val="center"/>
          </w:tcPr>
          <w:p w14:paraId="1C29910A"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_Ref12692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[2]</w:t>
            </w:r>
            <w:r w:rsidRPr="00DA5F73">
              <w:rPr>
                <w:rFonts w:ascii="Times New Roman" w:eastAsia="宋体" w:hAnsi="Times New Roman"/>
                <w:lang w:eastAsia="zh-CN"/>
              </w:rPr>
              <w:fldChar w:fldCharType="end"/>
            </w:r>
          </w:p>
        </w:tc>
      </w:tr>
      <w:tr w:rsidR="00DA5F73" w:rsidRPr="00DA5F73" w14:paraId="3A7A862D" w14:textId="77777777">
        <w:trPr>
          <w:trHeight w:hRule="exact" w:val="454"/>
          <w:jc w:val="center"/>
        </w:trPr>
        <w:tc>
          <w:tcPr>
            <w:tcW w:w="2765" w:type="dxa"/>
            <w:shd w:val="clear" w:color="auto" w:fill="FFFFFF" w:themeFill="background1"/>
            <w:vAlign w:val="center"/>
          </w:tcPr>
          <w:p w14:paraId="08E5680B"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rPr>
              <w:t>H</w:t>
            </w:r>
            <w:r w:rsidRPr="00DA5F73">
              <w:rPr>
                <w:rFonts w:ascii="Times New Roman" w:eastAsia="宋体" w:hAnsi="Times New Roman"/>
                <w:vertAlign w:val="subscript"/>
              </w:rPr>
              <w:t>2</w:t>
            </w:r>
            <w:r w:rsidRPr="00DA5F73">
              <w:rPr>
                <w:rFonts w:ascii="Times New Roman" w:eastAsia="宋体" w:hAnsi="Times New Roman"/>
              </w:rPr>
              <w:t>O</w:t>
            </w:r>
          </w:p>
        </w:tc>
        <w:tc>
          <w:tcPr>
            <w:tcW w:w="2765" w:type="dxa"/>
            <w:shd w:val="clear" w:color="auto" w:fill="FFFFFF" w:themeFill="background1"/>
            <w:vAlign w:val="center"/>
          </w:tcPr>
          <w:p w14:paraId="63D51D5A"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rPr>
              <w:t>0.22</w:t>
            </w:r>
          </w:p>
        </w:tc>
        <w:tc>
          <w:tcPr>
            <w:tcW w:w="2766" w:type="dxa"/>
            <w:shd w:val="clear" w:color="auto" w:fill="FFFFFF" w:themeFill="background1"/>
            <w:vAlign w:val="center"/>
          </w:tcPr>
          <w:p w14:paraId="01D3EEBD"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_Ref12705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[3]</w:t>
            </w:r>
            <w:r w:rsidRPr="00DA5F73">
              <w:rPr>
                <w:rFonts w:ascii="Times New Roman" w:eastAsia="宋体" w:hAnsi="Times New Roman"/>
                <w:lang w:eastAsia="zh-CN"/>
              </w:rPr>
              <w:fldChar w:fldCharType="end"/>
            </w:r>
          </w:p>
        </w:tc>
      </w:tr>
      <w:tr w:rsidR="00DA5F73" w:rsidRPr="00DA5F73" w14:paraId="3AC77427" w14:textId="77777777">
        <w:trPr>
          <w:trHeight w:hRule="exact" w:val="454"/>
          <w:jc w:val="center"/>
        </w:trPr>
        <w:tc>
          <w:tcPr>
            <w:tcW w:w="2765" w:type="dxa"/>
            <w:tcBorders>
              <w:bottom w:val="single" w:sz="8" w:space="0" w:color="auto"/>
            </w:tcBorders>
            <w:shd w:val="clear" w:color="auto" w:fill="FFFFFF" w:themeFill="background1"/>
            <w:vAlign w:val="center"/>
          </w:tcPr>
          <w:p w14:paraId="097A4B10"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lang w:eastAsia="zh-CN"/>
              </w:rPr>
              <w:t>FA</w:t>
            </w:r>
          </w:p>
        </w:tc>
        <w:tc>
          <w:tcPr>
            <w:tcW w:w="2765" w:type="dxa"/>
            <w:tcBorders>
              <w:bottom w:val="single" w:sz="8" w:space="0" w:color="auto"/>
            </w:tcBorders>
            <w:shd w:val="clear" w:color="auto" w:fill="FFFFFF" w:themeFill="background1"/>
            <w:vAlign w:val="center"/>
          </w:tcPr>
          <w:p w14:paraId="339E5FB5"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lang w:eastAsia="zh-CN"/>
              </w:rPr>
              <w:t>400</w:t>
            </w:r>
          </w:p>
        </w:tc>
        <w:tc>
          <w:tcPr>
            <w:tcW w:w="2766" w:type="dxa"/>
            <w:tcBorders>
              <w:bottom w:val="single" w:sz="8" w:space="0" w:color="auto"/>
            </w:tcBorders>
            <w:shd w:val="clear" w:color="auto" w:fill="FFFFFF" w:themeFill="background1"/>
            <w:vAlign w:val="center"/>
          </w:tcPr>
          <w:p w14:paraId="5DCA73C0"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_Ref12718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[4]</w:t>
            </w:r>
            <w:r w:rsidRPr="00DA5F73">
              <w:rPr>
                <w:rFonts w:ascii="Times New Roman" w:eastAsia="宋体" w:hAnsi="Times New Roman"/>
                <w:lang w:eastAsia="zh-CN"/>
              </w:rPr>
              <w:fldChar w:fldCharType="end"/>
            </w:r>
          </w:p>
        </w:tc>
      </w:tr>
      <w:tr w:rsidR="00DA5F73" w:rsidRPr="00DA5F73" w14:paraId="289372A5" w14:textId="77777777">
        <w:trPr>
          <w:trHeight w:hRule="exact" w:val="454"/>
          <w:jc w:val="center"/>
        </w:trPr>
        <w:tc>
          <w:tcPr>
            <w:tcW w:w="8296" w:type="dxa"/>
            <w:gridSpan w:val="3"/>
            <w:tcBorders>
              <w:top w:val="single" w:sz="8" w:space="0" w:color="auto"/>
              <w:bottom w:val="single" w:sz="8" w:space="0" w:color="auto"/>
            </w:tcBorders>
            <w:shd w:val="clear" w:color="auto" w:fill="FFFFFF" w:themeFill="background1"/>
            <w:vAlign w:val="center"/>
          </w:tcPr>
          <w:p w14:paraId="10BFC91F" w14:textId="77777777" w:rsidR="008325C7" w:rsidRPr="00DA5F73" w:rsidRDefault="00F32507">
            <w:pPr>
              <w:pStyle w:val="TCTableBody"/>
              <w:jc w:val="center"/>
              <w:rPr>
                <w:rFonts w:ascii="Times New Roman" w:eastAsia="宋体" w:hAnsi="Times New Roman"/>
                <w:b/>
                <w:bCs/>
              </w:rPr>
            </w:pPr>
            <w:r w:rsidRPr="00DA5F73">
              <w:rPr>
                <w:rFonts w:ascii="Times New Roman" w:eastAsia="宋体" w:hAnsi="Times New Roman"/>
                <w:b/>
                <w:bCs/>
              </w:rPr>
              <w:t>Products</w:t>
            </w:r>
          </w:p>
        </w:tc>
      </w:tr>
      <w:tr w:rsidR="00DA5F73" w:rsidRPr="00DA5F73" w14:paraId="12C598F4" w14:textId="77777777">
        <w:trPr>
          <w:trHeight w:hRule="exact" w:val="454"/>
          <w:jc w:val="center"/>
        </w:trPr>
        <w:tc>
          <w:tcPr>
            <w:tcW w:w="2765" w:type="dxa"/>
            <w:tcBorders>
              <w:top w:val="single" w:sz="8" w:space="0" w:color="auto"/>
            </w:tcBorders>
            <w:shd w:val="clear" w:color="auto" w:fill="FFFFFF" w:themeFill="background1"/>
            <w:vAlign w:val="center"/>
          </w:tcPr>
          <w:p w14:paraId="3BA1E940"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TPA</w:t>
            </w:r>
          </w:p>
        </w:tc>
        <w:tc>
          <w:tcPr>
            <w:tcW w:w="2765" w:type="dxa"/>
            <w:tcBorders>
              <w:top w:val="single" w:sz="8" w:space="0" w:color="auto"/>
            </w:tcBorders>
            <w:shd w:val="clear" w:color="auto" w:fill="FFFFFF" w:themeFill="background1"/>
            <w:vAlign w:val="center"/>
          </w:tcPr>
          <w:p w14:paraId="4D7E16C3"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1260</w:t>
            </w:r>
          </w:p>
        </w:tc>
        <w:tc>
          <w:tcPr>
            <w:tcW w:w="2766" w:type="dxa"/>
            <w:tcBorders>
              <w:top w:val="single" w:sz="8" w:space="0" w:color="auto"/>
            </w:tcBorders>
            <w:shd w:val="clear" w:color="auto" w:fill="FFFFFF" w:themeFill="background1"/>
            <w:vAlign w:val="center"/>
          </w:tcPr>
          <w:p w14:paraId="793C20DC"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_Ref12732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[5]</w:t>
            </w:r>
            <w:r w:rsidRPr="00DA5F73">
              <w:rPr>
                <w:rFonts w:ascii="Times New Roman" w:eastAsia="宋体" w:hAnsi="Times New Roman"/>
                <w:lang w:eastAsia="zh-CN"/>
              </w:rPr>
              <w:fldChar w:fldCharType="end"/>
            </w:r>
          </w:p>
        </w:tc>
      </w:tr>
      <w:tr w:rsidR="00DA5F73" w:rsidRPr="00DA5F73" w14:paraId="575C4249" w14:textId="77777777">
        <w:trPr>
          <w:trHeight w:hRule="exact" w:val="454"/>
          <w:jc w:val="center"/>
        </w:trPr>
        <w:tc>
          <w:tcPr>
            <w:tcW w:w="2765" w:type="dxa"/>
            <w:shd w:val="clear" w:color="auto" w:fill="FFFFFF" w:themeFill="background1"/>
            <w:vAlign w:val="center"/>
          </w:tcPr>
          <w:p w14:paraId="41897406"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t>KDF</w:t>
            </w:r>
          </w:p>
        </w:tc>
        <w:tc>
          <w:tcPr>
            <w:tcW w:w="2765" w:type="dxa"/>
            <w:shd w:val="clear" w:color="auto" w:fill="FFFFFF" w:themeFill="background1"/>
            <w:vAlign w:val="center"/>
          </w:tcPr>
          <w:p w14:paraId="5134EA89"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t>1590</w:t>
            </w:r>
          </w:p>
        </w:tc>
        <w:tc>
          <w:tcPr>
            <w:tcW w:w="2766" w:type="dxa"/>
            <w:shd w:val="clear" w:color="auto" w:fill="FFFFFF" w:themeFill="background1"/>
            <w:vAlign w:val="center"/>
          </w:tcPr>
          <w:p w14:paraId="76167A3C"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_Ref12705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[3]</w:t>
            </w:r>
            <w:r w:rsidRPr="00DA5F73">
              <w:rPr>
                <w:rFonts w:ascii="Times New Roman" w:eastAsia="宋体" w:hAnsi="Times New Roman"/>
                <w:lang w:eastAsia="zh-CN"/>
              </w:rPr>
              <w:fldChar w:fldCharType="end"/>
            </w:r>
          </w:p>
        </w:tc>
      </w:tr>
      <w:tr w:rsidR="00DA5F73" w:rsidRPr="00DA5F73" w14:paraId="59E7AA3F" w14:textId="77777777">
        <w:trPr>
          <w:trHeight w:hRule="exact" w:val="454"/>
          <w:jc w:val="center"/>
        </w:trPr>
        <w:tc>
          <w:tcPr>
            <w:tcW w:w="2765" w:type="dxa"/>
            <w:tcBorders>
              <w:bottom w:val="single" w:sz="8" w:space="0" w:color="auto"/>
            </w:tcBorders>
            <w:shd w:val="clear" w:color="auto" w:fill="FFFFFF" w:themeFill="background1"/>
            <w:vAlign w:val="center"/>
          </w:tcPr>
          <w:p w14:paraId="0967D958"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H</w:t>
            </w:r>
            <w:r w:rsidRPr="00DA5F73">
              <w:rPr>
                <w:rFonts w:ascii="Times New Roman" w:eastAsia="宋体" w:hAnsi="Times New Roman"/>
                <w:vertAlign w:val="subscript"/>
              </w:rPr>
              <w:t>2</w:t>
            </w:r>
          </w:p>
        </w:tc>
        <w:tc>
          <w:tcPr>
            <w:tcW w:w="2765" w:type="dxa"/>
            <w:tcBorders>
              <w:bottom w:val="single" w:sz="8" w:space="0" w:color="auto"/>
            </w:tcBorders>
            <w:shd w:val="clear" w:color="auto" w:fill="FFFFFF" w:themeFill="background1"/>
            <w:vAlign w:val="center"/>
          </w:tcPr>
          <w:p w14:paraId="7009AAE1" w14:textId="77777777" w:rsidR="008325C7" w:rsidRPr="00DA5F73" w:rsidRDefault="00F32507">
            <w:pPr>
              <w:pStyle w:val="TCTableBody"/>
              <w:jc w:val="center"/>
              <w:rPr>
                <w:rFonts w:ascii="Times New Roman" w:eastAsia="宋体" w:hAnsi="Times New Roman"/>
              </w:rPr>
            </w:pPr>
            <w:r w:rsidRPr="00DA5F73">
              <w:rPr>
                <w:rFonts w:ascii="Times New Roman" w:eastAsia="宋体" w:hAnsi="Times New Roman"/>
              </w:rPr>
              <w:t>1900</w:t>
            </w:r>
          </w:p>
        </w:tc>
        <w:tc>
          <w:tcPr>
            <w:tcW w:w="2766" w:type="dxa"/>
            <w:tcBorders>
              <w:bottom w:val="single" w:sz="8" w:space="0" w:color="auto"/>
            </w:tcBorders>
            <w:shd w:val="clear" w:color="auto" w:fill="FFFFFF" w:themeFill="background1"/>
            <w:vAlign w:val="center"/>
          </w:tcPr>
          <w:p w14:paraId="3DED767F" w14:textId="77777777" w:rsidR="008325C7" w:rsidRPr="00DA5F73" w:rsidRDefault="00F32507">
            <w:pPr>
              <w:pStyle w:val="TCTableBody"/>
              <w:jc w:val="center"/>
              <w:rPr>
                <w:rFonts w:ascii="Times New Roman" w:eastAsia="宋体" w:hAnsi="Times New Roman"/>
                <w:lang w:eastAsia="zh-CN"/>
              </w:rPr>
            </w:pPr>
            <w:r w:rsidRPr="00DA5F73">
              <w:rPr>
                <w:rFonts w:ascii="Times New Roman" w:eastAsia="宋体" w:hAnsi="Times New Roman"/>
                <w:lang w:eastAsia="zh-CN"/>
              </w:rPr>
              <w:fldChar w:fldCharType="begin"/>
            </w:r>
            <w:r w:rsidRPr="00DA5F73">
              <w:rPr>
                <w:rFonts w:ascii="Times New Roman" w:eastAsia="宋体" w:hAnsi="Times New Roman"/>
                <w:lang w:eastAsia="zh-CN"/>
              </w:rPr>
              <w:instrText xml:space="preserve"> REF _Ref12758 \r \h </w:instrText>
            </w:r>
            <w:r w:rsidRPr="00DA5F73">
              <w:rPr>
                <w:rFonts w:ascii="Times New Roman" w:eastAsia="宋体" w:hAnsi="Times New Roman"/>
                <w:lang w:eastAsia="zh-CN"/>
              </w:rPr>
            </w:r>
            <w:r w:rsidRPr="00DA5F73">
              <w:rPr>
                <w:rFonts w:ascii="Times New Roman" w:eastAsia="宋体" w:hAnsi="Times New Roman"/>
                <w:lang w:eastAsia="zh-CN"/>
              </w:rPr>
              <w:fldChar w:fldCharType="separate"/>
            </w:r>
            <w:r w:rsidRPr="00DA5F73">
              <w:rPr>
                <w:rFonts w:ascii="Times New Roman" w:eastAsia="宋体" w:hAnsi="Times New Roman"/>
                <w:lang w:eastAsia="zh-CN"/>
              </w:rPr>
              <w:t>[6]</w:t>
            </w:r>
            <w:r w:rsidRPr="00DA5F73">
              <w:rPr>
                <w:rFonts w:ascii="Times New Roman" w:eastAsia="宋体" w:hAnsi="Times New Roman"/>
                <w:lang w:eastAsia="zh-CN"/>
              </w:rPr>
              <w:fldChar w:fldCharType="end"/>
            </w:r>
          </w:p>
        </w:tc>
      </w:tr>
    </w:tbl>
    <w:p w14:paraId="277B1100" w14:textId="77777777" w:rsidR="008325C7" w:rsidRPr="00DA5F73" w:rsidRDefault="00F32507">
      <w:pPr>
        <w:spacing w:line="360" w:lineRule="auto"/>
        <w:rPr>
          <w:rFonts w:ascii="Times New Roman" w:hAnsi="Times New Roman" w:cs="Times New Roman"/>
          <w:b/>
          <w:bCs/>
          <w:sz w:val="24"/>
          <w:szCs w:val="28"/>
        </w:rPr>
      </w:pPr>
      <w:r w:rsidRPr="00DA5F73">
        <w:rPr>
          <w:rFonts w:ascii="Times New Roman" w:hAnsi="Times New Roman" w:cs="Times New Roman"/>
          <w:b/>
          <w:bCs/>
          <w:sz w:val="24"/>
          <w:szCs w:val="28"/>
        </w:rPr>
        <w:tab/>
      </w:r>
    </w:p>
    <w:p w14:paraId="3747E5DF" w14:textId="77777777" w:rsidR="008325C7" w:rsidRPr="00DA5F73" w:rsidRDefault="00F32507">
      <w:pPr>
        <w:spacing w:line="360" w:lineRule="auto"/>
        <w:rPr>
          <w:rFonts w:ascii="Times New Roman" w:hAnsi="Times New Roman" w:cs="Times New Roman"/>
          <w:b/>
          <w:bCs/>
          <w:sz w:val="24"/>
          <w:szCs w:val="28"/>
        </w:rPr>
      </w:pPr>
      <w:r w:rsidRPr="00DA5F73">
        <w:rPr>
          <w:rFonts w:ascii="Times New Roman" w:hAnsi="Times New Roman" w:cs="Times New Roman"/>
          <w:b/>
          <w:bCs/>
          <w:sz w:val="24"/>
          <w:szCs w:val="28"/>
        </w:rPr>
        <w:t>The calculation of product yield:</w:t>
      </w:r>
      <w:r w:rsidRPr="00DA5F73">
        <w:rPr>
          <w:rFonts w:ascii="Times New Roman" w:hAnsi="Times New Roman" w:cs="Times New Roman" w:hint="eastAsia"/>
          <w:b/>
          <w:bCs/>
          <w:sz w:val="24"/>
          <w:szCs w:val="28"/>
        </w:rPr>
        <w:t xml:space="preserve"> </w:t>
      </w:r>
      <w:r w:rsidRPr="00DA5F73">
        <w:rPr>
          <w:rFonts w:ascii="Times New Roman" w:hAnsi="Times New Roman" w:cs="Times New Roman"/>
          <w:sz w:val="24"/>
          <w:szCs w:val="28"/>
        </w:rPr>
        <w:t>The yields of TPA and KDF were calculated based on the isolated products obtained after product separation and drying.</w:t>
      </w:r>
    </w:p>
    <w:p w14:paraId="5C4A70AE"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The TPA yield is calculated using the following formula:</w:t>
      </w:r>
    </w:p>
    <w:p w14:paraId="2ED1A6CB" w14:textId="77777777" w:rsidR="008325C7" w:rsidRPr="00DA5F73" w:rsidRDefault="00F32507">
      <w:pPr>
        <w:spacing w:line="360" w:lineRule="auto"/>
        <w:rPr>
          <w:rFonts w:ascii="Times New Roman" w:hAnsi="Times New Roman" w:cs="Times New Roman"/>
          <w:sz w:val="24"/>
          <w:szCs w:val="28"/>
        </w:rPr>
      </w:pPr>
      <m:oMathPara>
        <m:oMath>
          <m:r>
            <m:rPr>
              <m:nor/>
            </m:rPr>
            <w:rPr>
              <w:rFonts w:ascii="Times New Roman" w:hAnsi="Times New Roman" w:cs="Times New Roman"/>
              <w:sz w:val="24"/>
              <w:szCs w:val="28"/>
            </w:rPr>
            <m:t xml:space="preserve">TPA yield = </m:t>
          </m:r>
          <m:f>
            <m:fPr>
              <m:ctrlPr>
                <w:rPr>
                  <w:rFonts w:ascii="Cambria Math" w:hAnsi="Cambria Math" w:cs="Times New Roman"/>
                  <w:i/>
                  <w:sz w:val="24"/>
                  <w:szCs w:val="28"/>
                </w:rPr>
              </m:ctrlPr>
            </m:fPr>
            <m:num>
              <m:r>
                <m:rPr>
                  <m:nor/>
                </m:rPr>
                <w:rPr>
                  <w:rFonts w:ascii="Times New Roman" w:hAnsi="Times New Roman" w:cs="Times New Roman"/>
                  <w:sz w:val="24"/>
                  <w:szCs w:val="28"/>
                </w:rPr>
                <m:t>Actual output</m:t>
              </m:r>
            </m:num>
            <m:den>
              <m:r>
                <m:rPr>
                  <m:nor/>
                </m:rPr>
                <w:rPr>
                  <w:rFonts w:ascii="Times New Roman" w:hAnsi="Times New Roman" w:cs="Times New Roman"/>
                  <w:sz w:val="24"/>
                  <w:szCs w:val="28"/>
                </w:rPr>
                <m:t>Theoretical output</m:t>
              </m:r>
            </m:den>
          </m:f>
          <m:r>
            <m:rPr>
              <m:nor/>
            </m:rPr>
            <w:rPr>
              <w:rFonts w:ascii="Times New Roman" w:hAnsi="Times New Roman" w:cs="Times New Roman"/>
              <w:sz w:val="24"/>
              <w:szCs w:val="28"/>
            </w:rPr>
            <m:t xml:space="preserve"> × 100% = </m:t>
          </m:r>
          <m:f>
            <m:fPr>
              <m:ctrlPr>
                <w:rPr>
                  <w:rFonts w:ascii="Cambria Math" w:hAnsi="Cambria Math" w:cs="Times New Roman"/>
                  <w:i/>
                  <w:sz w:val="24"/>
                  <w:szCs w:val="28"/>
                </w:rPr>
              </m:ctrlPr>
            </m:fPr>
            <m:num>
              <m:r>
                <m:rPr>
                  <m:nor/>
                </m:rPr>
                <w:rPr>
                  <w:rFonts w:ascii="Times New Roman" w:hAnsi="Times New Roman" w:cs="Times New Roman"/>
                  <w:sz w:val="24"/>
                  <w:szCs w:val="28"/>
                </w:rPr>
                <m:t>3.88</m:t>
              </m:r>
            </m:num>
            <m:den>
              <m:r>
                <m:rPr>
                  <m:nor/>
                </m:rPr>
                <w:rPr>
                  <w:rFonts w:ascii="Times New Roman" w:hAnsi="Times New Roman" w:cs="Times New Roman"/>
                  <w:sz w:val="24"/>
                  <w:szCs w:val="28"/>
                </w:rPr>
                <m:t>4.15</m:t>
              </m:r>
            </m:den>
          </m:f>
          <m:r>
            <m:rPr>
              <m:nor/>
            </m:rPr>
            <w:rPr>
              <w:rFonts w:ascii="Times New Roman" w:hAnsi="Times New Roman" w:cs="Times New Roman"/>
              <w:sz w:val="24"/>
              <w:szCs w:val="28"/>
            </w:rPr>
            <m:t xml:space="preserve"> = 93.5%</m:t>
          </m:r>
        </m:oMath>
      </m:oMathPara>
    </w:p>
    <w:p w14:paraId="3BF87C95"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The KDF yield is calculated using the following formula:</w:t>
      </w:r>
    </w:p>
    <w:p w14:paraId="46D03ADE" w14:textId="77777777" w:rsidR="008325C7" w:rsidRPr="00DA5F73" w:rsidRDefault="00F32507">
      <w:pPr>
        <w:spacing w:line="360" w:lineRule="auto"/>
        <w:rPr>
          <w:rFonts w:ascii="Times New Roman" w:hAnsi="Times New Roman" w:cs="Times New Roman"/>
          <w:sz w:val="24"/>
          <w:szCs w:val="28"/>
        </w:rPr>
      </w:pPr>
      <m:oMathPara>
        <m:oMath>
          <m:r>
            <m:rPr>
              <m:nor/>
            </m:rPr>
            <w:rPr>
              <w:rFonts w:ascii="Times New Roman" w:hAnsi="Times New Roman" w:cs="Times New Roman"/>
              <w:sz w:val="24"/>
              <w:szCs w:val="28"/>
            </w:rPr>
            <w:lastRenderedPageBreak/>
            <m:t xml:space="preserve">KDF yield = </m:t>
          </m:r>
          <m:f>
            <m:fPr>
              <m:ctrlPr>
                <w:rPr>
                  <w:rFonts w:ascii="Cambria Math" w:hAnsi="Cambria Math" w:cs="Times New Roman"/>
                  <w:i/>
                  <w:sz w:val="24"/>
                  <w:szCs w:val="28"/>
                </w:rPr>
              </m:ctrlPr>
            </m:fPr>
            <m:num>
              <m:r>
                <m:rPr>
                  <m:nor/>
                </m:rPr>
                <w:rPr>
                  <w:rFonts w:ascii="Times New Roman" w:hAnsi="Times New Roman" w:cs="Times New Roman"/>
                  <w:sz w:val="24"/>
                  <w:szCs w:val="28"/>
                </w:rPr>
                <m:t>Actual output</m:t>
              </m:r>
            </m:num>
            <m:den>
              <m:r>
                <m:rPr>
                  <m:nor/>
                </m:rPr>
                <w:rPr>
                  <w:rFonts w:ascii="Times New Roman" w:hAnsi="Times New Roman" w:cs="Times New Roman"/>
                  <w:sz w:val="24"/>
                  <w:szCs w:val="28"/>
                </w:rPr>
                <m:t>Theoretical output</m:t>
              </m:r>
            </m:den>
          </m:f>
          <m:r>
            <m:rPr>
              <m:nor/>
            </m:rPr>
            <w:rPr>
              <w:rFonts w:ascii="Times New Roman" w:hAnsi="Times New Roman" w:cs="Times New Roman"/>
              <w:sz w:val="24"/>
              <w:szCs w:val="28"/>
            </w:rPr>
            <m:t xml:space="preserve"> × 100% = </m:t>
          </m:r>
          <m:f>
            <m:fPr>
              <m:ctrlPr>
                <w:rPr>
                  <w:rFonts w:ascii="Cambria Math" w:hAnsi="Cambria Math" w:cs="Times New Roman"/>
                  <w:i/>
                  <w:sz w:val="24"/>
                  <w:szCs w:val="28"/>
                </w:rPr>
              </m:ctrlPr>
            </m:fPr>
            <m:num>
              <m:r>
                <m:rPr>
                  <m:nor/>
                </m:rPr>
                <w:rPr>
                  <w:rFonts w:ascii="Times New Roman" w:hAnsi="Times New Roman" w:cs="Times New Roman"/>
                  <w:sz w:val="24"/>
                  <w:szCs w:val="28"/>
                </w:rPr>
                <m:t>9.08</m:t>
              </m:r>
            </m:num>
            <m:den>
              <m:r>
                <m:rPr>
                  <m:nor/>
                </m:rPr>
                <w:rPr>
                  <w:rFonts w:ascii="Times New Roman" w:hAnsi="Times New Roman" w:cs="Times New Roman"/>
                  <w:sz w:val="24"/>
                  <w:szCs w:val="28"/>
                </w:rPr>
                <m:t>13.01</m:t>
              </m:r>
            </m:den>
          </m:f>
          <m:r>
            <m:rPr>
              <m:nor/>
            </m:rPr>
            <w:rPr>
              <w:rFonts w:ascii="Times New Roman" w:hAnsi="Times New Roman" w:cs="Times New Roman"/>
              <w:sz w:val="24"/>
              <w:szCs w:val="28"/>
            </w:rPr>
            <m:t xml:space="preserve"> = 69.8%</m:t>
          </m:r>
        </m:oMath>
      </m:oMathPara>
    </w:p>
    <w:p w14:paraId="3D6F2F37" w14:textId="77777777" w:rsidR="008325C7" w:rsidRPr="00DA5F73" w:rsidRDefault="00F32507">
      <w:pPr>
        <w:spacing w:line="360" w:lineRule="auto"/>
        <w:rPr>
          <w:rFonts w:ascii="Times New Roman" w:hAnsi="Times New Roman" w:cs="Times New Roman"/>
          <w:b/>
          <w:bCs/>
          <w:sz w:val="24"/>
          <w:szCs w:val="28"/>
        </w:rPr>
      </w:pPr>
      <w:r w:rsidRPr="00DA5F73">
        <w:rPr>
          <w:rFonts w:ascii="Times New Roman" w:hAnsi="Times New Roman" w:cs="Times New Roman"/>
          <w:b/>
          <w:bCs/>
          <w:sz w:val="24"/>
          <w:szCs w:val="28"/>
        </w:rPr>
        <w:t>An estimation of the realistic value flow during this electrochemical process:</w:t>
      </w:r>
      <w:r w:rsidRPr="00DA5F73">
        <w:rPr>
          <w:rFonts w:ascii="Times New Roman" w:hAnsi="Times New Roman" w:cs="Times New Roman" w:hint="eastAsia"/>
          <w:b/>
          <w:bCs/>
          <w:sz w:val="24"/>
          <w:szCs w:val="28"/>
        </w:rPr>
        <w:t xml:space="preserve"> </w:t>
      </w:r>
      <w:r w:rsidRPr="00DA5F73">
        <w:rPr>
          <w:rFonts w:ascii="Times New Roman" w:hAnsi="Times New Roman" w:cs="Times New Roman"/>
          <w:sz w:val="24"/>
          <w:szCs w:val="28"/>
        </w:rPr>
        <w:t>All calculations were normalized to the processing of 1 ton of PET, and the prices of the feedstocks and products used in this calculation are summarized in Table S1.</w:t>
      </w:r>
    </w:p>
    <w:p w14:paraId="6D731F47"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b/>
          <w:bCs/>
          <w:sz w:val="24"/>
          <w:szCs w:val="28"/>
        </w:rPr>
        <w:t>Input chemicals costs:</w:t>
      </w:r>
      <w:r w:rsidRPr="00DA5F73">
        <w:rPr>
          <w:rFonts w:ascii="Times New Roman" w:hAnsi="Times New Roman" w:cs="Times New Roman" w:hint="eastAsia"/>
          <w:b/>
          <w:bCs/>
          <w:sz w:val="24"/>
          <w:szCs w:val="28"/>
        </w:rPr>
        <w:t xml:space="preserve"> </w:t>
      </w:r>
      <w:r w:rsidRPr="00DA5F73">
        <w:rPr>
          <w:rFonts w:ascii="Times New Roman" w:hAnsi="Times New Roman" w:cs="Times New Roman" w:hint="eastAsia"/>
          <w:sz w:val="24"/>
          <w:szCs w:val="28"/>
        </w:rPr>
        <w:t>The input chemicals considered in this calculation include 1 ton of PET, 1.17 tons of KOH, 10.42 tons of water, and 2.97 tons of formic acid.</w:t>
      </w:r>
      <w:r w:rsidRPr="00DA5F73">
        <w:rPr>
          <w:rFonts w:ascii="Times New Roman" w:hAnsi="Times New Roman" w:cs="Times New Roman"/>
          <w:sz w:val="24"/>
          <w:szCs w:val="28"/>
        </w:rPr>
        <w:t xml:space="preserve"> </w:t>
      </w:r>
      <w:r w:rsidRPr="00DA5F73">
        <w:rPr>
          <w:rFonts w:ascii="Times New Roman" w:hAnsi="Times New Roman" w:cs="Times New Roman"/>
          <w:sz w:val="24"/>
          <w:szCs w:val="28"/>
        </w:rPr>
        <w:t>PET was used as the plastic feedstock, KOH was used for alkaline PET hydrolysis and electrolysis, water was used as the solvent, and formic acid was used for pH adjustment during product recovery.</w:t>
      </w:r>
      <w:r w:rsidRPr="00DA5F73">
        <w:rPr>
          <w:rFonts w:ascii="Times New Roman" w:hAnsi="Times New Roman" w:cs="Times New Roman" w:hint="eastAsia"/>
          <w:sz w:val="24"/>
          <w:szCs w:val="28"/>
        </w:rPr>
        <w:t xml:space="preserve"> </w:t>
      </w:r>
      <w:r w:rsidRPr="00DA5F73">
        <w:rPr>
          <w:rFonts w:ascii="Times New Roman" w:hAnsi="Times New Roman" w:cs="Times New Roman"/>
          <w:sz w:val="24"/>
          <w:szCs w:val="28"/>
        </w:rPr>
        <w:t xml:space="preserve">The cost of chemicals employed is approximately calculated: </w:t>
      </w:r>
    </w:p>
    <w:p w14:paraId="7483DFE0" w14:textId="77777777" w:rsidR="008325C7" w:rsidRPr="00DA5F73" w:rsidRDefault="00F32507">
      <w:pPr>
        <w:spacing w:line="360" w:lineRule="auto"/>
        <w:ind w:firstLine="420"/>
        <w:rPr>
          <w:rFonts w:ascii="Times New Roman" w:hAnsi="Times New Roman" w:cs="Times New Roman"/>
          <w:b/>
          <w:bCs/>
          <w:sz w:val="24"/>
          <w:szCs w:val="28"/>
        </w:rPr>
      </w:pPr>
      <m:oMathPara>
        <m:oMath>
          <m:m>
            <m:mPr>
              <m:mcs>
                <m:mc>
                  <m:mcPr>
                    <m:count m:val="1"/>
                    <m:mcJc m:val="left"/>
                  </m:mcPr>
                </m:mc>
              </m:mcs>
              <m:ctrlPr>
                <w:rPr>
                  <w:rFonts w:ascii="Cambria Math" w:hAnsi="Cambria Math" w:cs="Times New Roman"/>
                  <w:iCs/>
                  <w:sz w:val="24"/>
                  <w:szCs w:val="28"/>
                </w:rPr>
              </m:ctrlPr>
            </m:mPr>
            <m:mr>
              <m:e>
                <m:r>
                  <m:rPr>
                    <m:nor/>
                  </m:rPr>
                  <w:rPr>
                    <w:rFonts w:ascii="Times New Roman" w:hAnsi="Times New Roman" w:cs="Times New Roman"/>
                    <w:iCs/>
                    <w:sz w:val="24"/>
                    <w:szCs w:val="28"/>
                  </w:rPr>
                  <m:t xml:space="preserve">Product value </m:t>
                </m:r>
                <m:r>
                  <m:rPr>
                    <m:nor/>
                  </m:rPr>
                  <w:rPr>
                    <w:rFonts w:ascii="Times New Roman" w:hAnsi="Times New Roman" w:cs="Times New Roman"/>
                    <w:sz w:val="24"/>
                    <w:szCs w:val="28"/>
                  </w:rPr>
                  <m:t xml:space="preserve">= price of PET (500 $ </m:t>
                </m:r>
                <m:sSup>
                  <m:sSupPr>
                    <m:ctrlPr>
                      <w:rPr>
                        <w:rFonts w:ascii="Times New Roman" w:hAnsi="Times New Roman" w:cs="Times New Roman"/>
                        <w:sz w:val="24"/>
                        <w:szCs w:val="28"/>
                      </w:rPr>
                    </m:ctrlPr>
                  </m:sSupPr>
                  <m:e>
                    <m:r>
                      <m:rPr>
                        <m:nor/>
                      </m:rPr>
                      <w:rPr>
                        <w:rFonts w:ascii="Times New Roman" w:hAnsi="Times New Roman" w:cs="Times New Roman"/>
                        <w:sz w:val="24"/>
                        <w:szCs w:val="28"/>
                      </w:rPr>
                      <m:t>ton</m:t>
                    </m:r>
                  </m:e>
                  <m:sup>
                    <m:r>
                      <m:rPr>
                        <m:nor/>
                      </m:rPr>
                      <w:rPr>
                        <w:rFonts w:ascii="Times New Roman" w:hAnsi="Times New Roman" w:cs="Times New Roman"/>
                        <w:sz w:val="24"/>
                        <w:szCs w:val="28"/>
                      </w:rPr>
                      <m:t>-1</m:t>
                    </m:r>
                  </m:sup>
                </m:sSup>
                <m:r>
                  <m:rPr>
                    <m:nor/>
                  </m:rPr>
                  <w:rPr>
                    <w:rFonts w:ascii="Times New Roman" w:hAnsi="Times New Roman" w:cs="Times New Roman"/>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r>
                      <m:rPr>
                        <m:nor/>
                      </m:rPr>
                      <w:rPr>
                        <w:rFonts w:ascii="Times New Roman" w:hAnsi="Times New Roman" w:cs="Times New Roman"/>
                        <w:sz w:val="24"/>
                        <w:szCs w:val="28"/>
                      </w:rPr>
                      <m:t>PET</m:t>
                    </m:r>
                  </m:sub>
                </m:sSub>
              </m:e>
            </m:mr>
            <m:mr>
              <m:e>
                <m:r>
                  <m:rPr>
                    <m:nor/>
                  </m:rPr>
                  <w:rPr>
                    <w:rFonts w:ascii="Times New Roman" w:hAnsi="Times New Roman" w:cs="Times New Roman"/>
                    <w:sz w:val="24"/>
                    <w:szCs w:val="28"/>
                  </w:rPr>
                  <m:t>+ price of KOH(850</m:t>
                </m:r>
                <m:r>
                  <m:rPr>
                    <m:nor/>
                  </m:rPr>
                  <w:rPr>
                    <w:rFonts w:ascii="Times New Roman" w:hAnsi="Times New Roman" w:cs="Times New Roman"/>
                    <w:iCs/>
                    <w:sz w:val="24"/>
                    <w:szCs w:val="28"/>
                  </w:rPr>
                  <m:t xml:space="preserve">$ </m:t>
                </m:r>
                <m:sSup>
                  <m:sSupPr>
                    <m:ctrlPr>
                      <w:rPr>
                        <w:rFonts w:ascii="Times New Roman" w:hAnsi="Times New Roman" w:cs="Times New Roman"/>
                        <w:iCs/>
                        <w:sz w:val="24"/>
                        <w:szCs w:val="28"/>
                      </w:rPr>
                    </m:ctrlPr>
                  </m:sSupPr>
                  <m:e>
                    <m:r>
                      <m:rPr>
                        <m:nor/>
                      </m:rPr>
                      <w:rPr>
                        <w:rFonts w:ascii="Times New Roman" w:hAnsi="Times New Roman" w:cs="Times New Roman"/>
                        <w:iCs/>
                        <w:sz w:val="24"/>
                        <w:szCs w:val="28"/>
                      </w:rPr>
                      <m:t>ton</m:t>
                    </m:r>
                  </m:e>
                  <m:sup>
                    <m:r>
                      <m:rPr>
                        <m:nor/>
                      </m:rPr>
                      <w:rPr>
                        <w:rFonts w:ascii="Times New Roman" w:hAnsi="Times New Roman" w:cs="Times New Roman"/>
                        <w:iCs/>
                        <w:sz w:val="24"/>
                        <w:szCs w:val="28"/>
                      </w:rPr>
                      <m:t>-1</m:t>
                    </m:r>
                  </m:sup>
                </m:sSup>
                <m:r>
                  <m:rPr>
                    <m:nor/>
                  </m:rPr>
                  <w:rPr>
                    <w:rFonts w:ascii="Times New Roman" w:hAnsi="Times New Roman" w:cs="Times New Roman"/>
                    <w:iCs/>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r>
                      <m:rPr>
                        <m:nor/>
                      </m:rPr>
                      <w:rPr>
                        <w:rFonts w:ascii="Times New Roman" w:hAnsi="Times New Roman" w:cs="Times New Roman"/>
                        <w:sz w:val="24"/>
                        <w:szCs w:val="28"/>
                      </w:rPr>
                      <m:t>KOH</m:t>
                    </m:r>
                  </m:sub>
                </m:sSub>
              </m:e>
            </m:mr>
            <m:mr>
              <m:e>
                <m:r>
                  <m:rPr>
                    <m:nor/>
                  </m:rPr>
                  <w:rPr>
                    <w:rFonts w:ascii="Times New Roman" w:hAnsi="Times New Roman" w:cs="Times New Roman"/>
                    <w:sz w:val="24"/>
                    <w:szCs w:val="28"/>
                  </w:rPr>
                  <m:t xml:space="preserve">+ price of </m:t>
                </m:r>
                <m:sSub>
                  <m:sSubPr>
                    <m:ctrlPr>
                      <w:rPr>
                        <w:rFonts w:ascii="Cambria Math" w:hAnsi="Cambria Math" w:cs="Times New Roman"/>
                        <w:sz w:val="24"/>
                        <w:szCs w:val="28"/>
                      </w:rPr>
                    </m:ctrlPr>
                  </m:sSubPr>
                  <m:e>
                    <m:r>
                      <m:rPr>
                        <m:nor/>
                      </m:rPr>
                      <w:rPr>
                        <w:rFonts w:ascii="Times New Roman" w:hAnsi="Times New Roman" w:cs="Times New Roman"/>
                        <w:sz w:val="24"/>
                        <w:szCs w:val="28"/>
                      </w:rPr>
                      <m:t>H</m:t>
                    </m:r>
                  </m:e>
                  <m:sub>
                    <m:r>
                      <m:rPr>
                        <m:nor/>
                      </m:rPr>
                      <w:rPr>
                        <w:rFonts w:ascii="Times New Roman" w:hAnsi="Times New Roman" w:cs="Times New Roman"/>
                        <w:sz w:val="24"/>
                        <w:szCs w:val="28"/>
                      </w:rPr>
                      <m:t>2</m:t>
                    </m:r>
                  </m:sub>
                </m:sSub>
                <m:r>
                  <m:rPr>
                    <m:nor/>
                  </m:rPr>
                  <w:rPr>
                    <w:rFonts w:ascii="Times New Roman" w:hAnsi="Times New Roman" w:cs="Times New Roman"/>
                    <w:sz w:val="24"/>
                    <w:szCs w:val="28"/>
                  </w:rPr>
                  <m:t xml:space="preserve">O (0.22 $ </m:t>
                </m:r>
                <m:sSup>
                  <m:sSupPr>
                    <m:ctrlPr>
                      <w:rPr>
                        <w:rFonts w:ascii="Times New Roman" w:hAnsi="Times New Roman" w:cs="Times New Roman"/>
                        <w:sz w:val="24"/>
                        <w:szCs w:val="28"/>
                      </w:rPr>
                    </m:ctrlPr>
                  </m:sSupPr>
                  <m:e>
                    <m:r>
                      <m:rPr>
                        <m:nor/>
                      </m:rPr>
                      <w:rPr>
                        <w:rFonts w:ascii="Times New Roman" w:hAnsi="Times New Roman" w:cs="Times New Roman"/>
                        <w:sz w:val="24"/>
                        <w:szCs w:val="28"/>
                      </w:rPr>
                      <m:t>ton</m:t>
                    </m:r>
                  </m:e>
                  <m:sup>
                    <m:r>
                      <m:rPr>
                        <m:nor/>
                      </m:rPr>
                      <w:rPr>
                        <w:rFonts w:ascii="Times New Roman" w:hAnsi="Times New Roman" w:cs="Times New Roman"/>
                        <w:sz w:val="24"/>
                        <w:szCs w:val="28"/>
                      </w:rPr>
                      <m:t>-1</m:t>
                    </m:r>
                  </m:sup>
                </m:sSup>
                <m:r>
                  <m:rPr>
                    <m:nor/>
                  </m:rPr>
                  <w:rPr>
                    <w:rFonts w:ascii="Times New Roman" w:hAnsi="Times New Roman" w:cs="Times New Roman"/>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sSub>
                      <m:sSubPr>
                        <m:ctrlPr>
                          <w:rPr>
                            <w:rFonts w:ascii="Cambria Math" w:hAnsi="Cambria Math" w:cs="Times New Roman"/>
                            <w:sz w:val="24"/>
                            <w:szCs w:val="28"/>
                          </w:rPr>
                        </m:ctrlPr>
                      </m:sSubPr>
                      <m:e>
                        <m:r>
                          <m:rPr>
                            <m:nor/>
                          </m:rPr>
                          <w:rPr>
                            <w:rFonts w:ascii="Times New Roman" w:hAnsi="Times New Roman" w:cs="Times New Roman"/>
                            <w:sz w:val="24"/>
                            <w:szCs w:val="28"/>
                          </w:rPr>
                          <m:t>H</m:t>
                        </m:r>
                      </m:e>
                      <m:sub>
                        <m:r>
                          <m:rPr>
                            <m:nor/>
                          </m:rPr>
                          <w:rPr>
                            <w:rFonts w:ascii="Times New Roman" w:hAnsi="Times New Roman" w:cs="Times New Roman"/>
                            <w:sz w:val="24"/>
                            <w:szCs w:val="28"/>
                          </w:rPr>
                          <m:t>2</m:t>
                        </m:r>
                      </m:sub>
                    </m:sSub>
                    <m:r>
                      <m:rPr>
                        <m:nor/>
                      </m:rPr>
                      <w:rPr>
                        <w:rFonts w:ascii="Times New Roman" w:hAnsi="Times New Roman" w:cs="Times New Roman"/>
                        <w:sz w:val="24"/>
                        <w:szCs w:val="28"/>
                      </w:rPr>
                      <m:t>O</m:t>
                    </m:r>
                  </m:sub>
                </m:sSub>
              </m:e>
            </m:mr>
            <m:mr>
              <m:e>
                <m:r>
                  <m:rPr>
                    <m:nor/>
                  </m:rPr>
                  <w:rPr>
                    <w:rFonts w:ascii="Times New Roman" w:hAnsi="Times New Roman" w:cs="Times New Roman"/>
                    <w:sz w:val="24"/>
                    <w:szCs w:val="28"/>
                  </w:rPr>
                  <m:t xml:space="preserve">+ price of FA (400 $ </m:t>
                </m:r>
                <m:sSup>
                  <m:sSupPr>
                    <m:ctrlPr>
                      <w:rPr>
                        <w:rFonts w:ascii="Times New Roman" w:hAnsi="Times New Roman" w:cs="Times New Roman"/>
                        <w:sz w:val="24"/>
                        <w:szCs w:val="28"/>
                      </w:rPr>
                    </m:ctrlPr>
                  </m:sSupPr>
                  <m:e>
                    <m:r>
                      <m:rPr>
                        <m:nor/>
                      </m:rPr>
                      <w:rPr>
                        <w:rFonts w:ascii="Times New Roman" w:hAnsi="Times New Roman" w:cs="Times New Roman"/>
                        <w:sz w:val="24"/>
                        <w:szCs w:val="28"/>
                      </w:rPr>
                      <m:t>ton</m:t>
                    </m:r>
                  </m:e>
                  <m:sup>
                    <m:r>
                      <m:rPr>
                        <m:nor/>
                      </m:rPr>
                      <w:rPr>
                        <w:rFonts w:ascii="Times New Roman" w:hAnsi="Times New Roman" w:cs="Times New Roman"/>
                        <w:sz w:val="24"/>
                        <w:szCs w:val="28"/>
                      </w:rPr>
                      <m:t>-1</m:t>
                    </m:r>
                  </m:sup>
                </m:sSup>
                <m:r>
                  <m:rPr>
                    <m:nor/>
                  </m:rPr>
                  <w:rPr>
                    <w:rFonts w:ascii="Times New Roman" w:hAnsi="Times New Roman" w:cs="Times New Roman"/>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r>
                      <m:rPr>
                        <m:nor/>
                      </m:rPr>
                      <w:rPr>
                        <w:rFonts w:ascii="Times New Roman" w:hAnsi="Times New Roman" w:cs="Times New Roman"/>
                        <w:sz w:val="24"/>
                        <w:szCs w:val="28"/>
                      </w:rPr>
                      <m:t>FA</m:t>
                    </m:r>
                  </m:sub>
                </m:sSub>
              </m:e>
            </m:mr>
            <m:mr>
              <m:e>
                <m:r>
                  <m:rPr>
                    <m:nor/>
                  </m:rPr>
                  <w:rPr>
                    <w:rFonts w:ascii="Times New Roman" w:hAnsi="Times New Roman" w:cs="Times New Roman"/>
                    <w:iCs/>
                    <w:sz w:val="24"/>
                    <w:szCs w:val="28"/>
                  </w:rPr>
                  <m:t xml:space="preserve">= 1 × 500 + 1.17 × 850 + 10.42 × 0.22 + 2.97 × 400 = 2684.79 </m:t>
                </m:r>
                <m:r>
                  <m:rPr>
                    <m:nor/>
                  </m:rPr>
                  <w:rPr>
                    <w:rFonts w:ascii="Times New Roman" w:hAnsi="Times New Roman" w:cs="Times New Roman"/>
                    <w:sz w:val="24"/>
                    <w:szCs w:val="28"/>
                  </w:rPr>
                  <m:t>$</m:t>
                </m:r>
              </m:e>
            </m:mr>
          </m:m>
        </m:oMath>
      </m:oMathPara>
    </w:p>
    <w:p w14:paraId="02308299"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b/>
          <w:bCs/>
          <w:sz w:val="24"/>
          <w:szCs w:val="28"/>
        </w:rPr>
        <w:t xml:space="preserve">Electricity costs: </w:t>
      </w:r>
      <w:r w:rsidRPr="00DA5F73">
        <w:rPr>
          <w:rFonts w:ascii="Times New Roman" w:hAnsi="Times New Roman" w:cs="Times New Roman"/>
          <w:sz w:val="24"/>
          <w:szCs w:val="28"/>
        </w:rPr>
        <w:t>The total cost per ton of PET electrolysis can be calculated as follows:</w:t>
      </w:r>
    </w:p>
    <w:p w14:paraId="1A0EE28E" w14:textId="77777777" w:rsidR="008325C7" w:rsidRPr="00DA5F73" w:rsidRDefault="00F32507">
      <w:pPr>
        <w:spacing w:line="360" w:lineRule="auto"/>
        <w:rPr>
          <w:rFonts w:ascii="Times New Roman" w:hAnsi="Times New Roman" w:cs="Times New Roman"/>
          <w:sz w:val="24"/>
          <w:szCs w:val="28"/>
        </w:rPr>
      </w:pPr>
      <m:oMathPara>
        <m:oMath>
          <m:r>
            <m:rPr>
              <m:nor/>
            </m:rPr>
            <w:rPr>
              <w:rFonts w:ascii="Times New Roman" w:hAnsi="Times New Roman" w:cs="Times New Roman"/>
              <w:i/>
              <w:iCs/>
              <w:sz w:val="24"/>
              <w:szCs w:val="28"/>
            </w:rPr>
            <m:t>Q</m:t>
          </m:r>
          <m:r>
            <m:rPr>
              <m:nor/>
            </m:rPr>
            <w:rPr>
              <w:rFonts w:ascii="Times New Roman" w:hAnsi="Times New Roman" w:cs="Times New Roman"/>
              <w:iCs/>
              <w:sz w:val="24"/>
              <w:szCs w:val="28"/>
            </w:rPr>
            <m:t xml:space="preserve"> </m:t>
          </m:r>
          <m:r>
            <m:rPr>
              <m:nor/>
            </m:rPr>
            <w:rPr>
              <w:rFonts w:ascii="Times New Roman" w:hAnsi="Times New Roman" w:cs="Times New Roman"/>
              <w:sz w:val="24"/>
              <w:szCs w:val="28"/>
            </w:rPr>
            <m:t xml:space="preserve">= </m:t>
          </m:r>
          <m:f>
            <m:fPr>
              <m:ctrlPr>
                <w:rPr>
                  <w:rFonts w:ascii="Cambria Math" w:hAnsi="Cambria Math" w:cs="Times New Roman"/>
                  <w:sz w:val="24"/>
                  <w:szCs w:val="28"/>
                </w:rPr>
              </m:ctrlPr>
            </m:fPr>
            <m:num>
              <m:r>
                <m:rPr>
                  <m:nor/>
                </m:rPr>
                <w:rPr>
                  <w:rFonts w:ascii="Times New Roman" w:hAnsi="Times New Roman" w:cs="Times New Roman"/>
                  <w:i/>
                  <w:iCs/>
                  <w:sz w:val="24"/>
                  <w:szCs w:val="28"/>
                </w:rPr>
                <m:t>m</m:t>
              </m:r>
              <m:r>
                <m:rPr>
                  <m:nor/>
                </m:rPr>
                <w:rPr>
                  <w:rFonts w:ascii="Times New Roman" w:hAnsi="Times New Roman" w:cs="Times New Roman"/>
                  <w:iCs/>
                  <w:sz w:val="24"/>
                  <w:szCs w:val="28"/>
                </w:rPr>
                <m:t xml:space="preserve"> </m:t>
              </m:r>
              <m:r>
                <m:rPr>
                  <m:nor/>
                </m:rPr>
                <w:rPr>
                  <w:rFonts w:ascii="Times New Roman" w:hAnsi="Times New Roman" w:cs="Times New Roman"/>
                  <w:sz w:val="24"/>
                  <w:szCs w:val="28"/>
                </w:rPr>
                <m:t>× F × N</m:t>
              </m:r>
            </m:num>
            <m:den>
              <m:r>
                <m:rPr>
                  <m:nor/>
                </m:rPr>
                <w:rPr>
                  <w:rFonts w:ascii="Times New Roman" w:hAnsi="Times New Roman" w:cs="Times New Roman"/>
                  <w:sz w:val="24"/>
                  <w:szCs w:val="28"/>
                </w:rPr>
                <m:t xml:space="preserve">M × </m:t>
              </m:r>
              <m:r>
                <m:rPr>
                  <m:nor/>
                </m:rPr>
                <w:rPr>
                  <w:rFonts w:ascii="Times New Roman" w:hAnsi="Times New Roman" w:cs="Times New Roman"/>
                  <w:i/>
                  <w:iCs/>
                  <w:sz w:val="24"/>
                  <w:szCs w:val="28"/>
                </w:rPr>
                <m:t>FE</m:t>
              </m:r>
            </m:den>
          </m:f>
          <m:r>
            <m:rPr>
              <m:nor/>
            </m:rPr>
            <w:rPr>
              <w:rFonts w:ascii="Times New Roman" w:hAnsi="Times New Roman" w:cs="Times New Roman"/>
              <w:sz w:val="24"/>
              <w:szCs w:val="28"/>
            </w:rPr>
            <m:t xml:space="preserve"> = </m:t>
          </m:r>
          <m:f>
            <m:fPr>
              <m:ctrlPr>
                <w:rPr>
                  <w:rFonts w:ascii="Cambria Math" w:hAnsi="Cambria Math" w:cs="Times New Roman"/>
                  <w:sz w:val="24"/>
                  <w:szCs w:val="28"/>
                </w:rPr>
              </m:ctrlPr>
            </m:fPr>
            <m:num>
              <m:r>
                <m:rPr>
                  <m:nor/>
                </m:rPr>
                <w:rPr>
                  <w:rFonts w:ascii="Times New Roman" w:hAnsi="Times New Roman" w:cs="Times New Roman"/>
                  <w:sz w:val="24"/>
                  <w:szCs w:val="28"/>
                </w:rPr>
                <m:t>1000000×96485×6</m:t>
              </m:r>
            </m:num>
            <m:den>
              <m:r>
                <m:rPr>
                  <m:nor/>
                </m:rPr>
                <w:rPr>
                  <w:rFonts w:ascii="Times New Roman" w:hAnsi="Times New Roman" w:cs="Times New Roman"/>
                  <w:sz w:val="24"/>
                  <w:szCs w:val="28"/>
                </w:rPr>
                <m:t>192×91%</m:t>
              </m:r>
            </m:den>
          </m:f>
          <m:r>
            <m:rPr>
              <m:nor/>
            </m:rPr>
            <w:rPr>
              <w:rFonts w:ascii="Times New Roman" w:hAnsi="Times New Roman" w:cs="Times New Roman"/>
              <w:sz w:val="24"/>
              <w:szCs w:val="28"/>
            </w:rPr>
            <m:t xml:space="preserve"> = 3313358516 C</m:t>
          </m:r>
        </m:oMath>
      </m:oMathPara>
    </w:p>
    <w:p w14:paraId="48161331"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 xml:space="preserve">where </w:t>
      </w:r>
      <w:r w:rsidRPr="00DA5F73">
        <w:rPr>
          <w:rFonts w:ascii="Times New Roman" w:hAnsi="Times New Roman" w:cs="Times New Roman"/>
          <w:i/>
          <w:iCs/>
          <w:sz w:val="24"/>
          <w:szCs w:val="28"/>
        </w:rPr>
        <w:t>Q</w:t>
      </w:r>
      <w:r w:rsidRPr="00DA5F73">
        <w:rPr>
          <w:rFonts w:ascii="Times New Roman" w:hAnsi="Times New Roman" w:cs="Times New Roman"/>
          <w:sz w:val="24"/>
          <w:szCs w:val="28"/>
        </w:rPr>
        <w:t xml:space="preserve"> is the total charge (C), m is the mass of PET (g), F is the Faradaic constant taken as 96485 C/mol, N takes the value 6 since ethylene glycol oxidation to formic acid is a six-electron transfer process</w:t>
      </w:r>
      <w:r w:rsidRPr="00DA5F73">
        <w:rPr>
          <w:rFonts w:ascii="Times New Roman" w:hAnsi="Times New Roman" w:cs="Times New Roman" w:hint="eastAsia"/>
          <w:sz w:val="24"/>
          <w:szCs w:val="28"/>
        </w:rPr>
        <w:t>,</w:t>
      </w:r>
      <w:r w:rsidRPr="00DA5F73">
        <w:rPr>
          <w:rFonts w:ascii="Times New Roman" w:hAnsi="Times New Roman" w:cs="Times New Roman"/>
          <w:sz w:val="24"/>
          <w:szCs w:val="28"/>
        </w:rPr>
        <w:t xml:space="preserve"> M is the molar mass of PET taken as 192 g/mol, FE is the Faradaic efficiency of formate in PET electrolysis taken as 91% (the obtained lowest value during the electrolysis process).</w:t>
      </w:r>
    </w:p>
    <w:p w14:paraId="11EB12B9"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The current with a capacity factor can be calculated as follows:</w:t>
      </w:r>
    </w:p>
    <w:p w14:paraId="023A0779" w14:textId="77777777" w:rsidR="008325C7" w:rsidRPr="00DA5F73" w:rsidRDefault="00F32507">
      <w:pPr>
        <w:spacing w:line="360" w:lineRule="auto"/>
        <w:rPr>
          <w:rFonts w:ascii="Times New Roman" w:hAnsi="Times New Roman" w:cs="Times New Roman"/>
          <w:sz w:val="24"/>
          <w:szCs w:val="28"/>
        </w:rPr>
      </w:pPr>
      <m:oMathPara>
        <m:oMath>
          <m:r>
            <m:rPr>
              <m:nor/>
            </m:rPr>
            <w:rPr>
              <w:rFonts w:ascii="Times New Roman" w:hAnsi="Times New Roman" w:cs="Times New Roman"/>
              <w:sz w:val="24"/>
              <w:szCs w:val="28"/>
            </w:rPr>
            <m:t xml:space="preserve">I = </m:t>
          </m:r>
          <m:f>
            <m:fPr>
              <m:ctrlPr>
                <w:rPr>
                  <w:rFonts w:ascii="Cambria Math" w:hAnsi="Cambria Math" w:cs="Times New Roman"/>
                  <w:sz w:val="24"/>
                  <w:szCs w:val="28"/>
                </w:rPr>
              </m:ctrlPr>
            </m:fPr>
            <m:num>
              <m:r>
                <m:rPr>
                  <m:nor/>
                </m:rPr>
                <w:rPr>
                  <w:rFonts w:ascii="Times New Roman" w:hAnsi="Times New Roman" w:cs="Times New Roman"/>
                  <w:sz w:val="24"/>
                  <w:szCs w:val="28"/>
                </w:rPr>
                <m:t>Q</m:t>
              </m:r>
            </m:num>
            <m:den>
              <m:r>
                <m:rPr>
                  <m:nor/>
                </m:rPr>
                <w:rPr>
                  <w:rFonts w:ascii="Times New Roman" w:hAnsi="Times New Roman" w:cs="Times New Roman"/>
                  <w:sz w:val="24"/>
                  <w:szCs w:val="28"/>
                </w:rPr>
                <m:t>T × CF</m:t>
              </m:r>
            </m:den>
          </m:f>
          <m:r>
            <m:rPr>
              <m:nor/>
            </m:rPr>
            <w:rPr>
              <w:rFonts w:ascii="Times New Roman" w:hAnsi="Times New Roman" w:cs="Times New Roman"/>
              <w:sz w:val="24"/>
              <w:szCs w:val="28"/>
            </w:rPr>
            <m:t xml:space="preserve"> = </m:t>
          </m:r>
          <m:f>
            <m:fPr>
              <m:ctrlPr>
                <w:rPr>
                  <w:rFonts w:ascii="Cambria Math" w:hAnsi="Cambria Math" w:cs="Times New Roman"/>
                  <w:sz w:val="24"/>
                  <w:szCs w:val="28"/>
                </w:rPr>
              </m:ctrlPr>
            </m:fPr>
            <m:num>
              <m:r>
                <m:rPr>
                  <m:nor/>
                </m:rPr>
                <w:rPr>
                  <w:rFonts w:ascii="Times New Roman" w:hAnsi="Times New Roman" w:cs="Times New Roman"/>
                  <w:sz w:val="24"/>
                  <w:szCs w:val="28"/>
                </w:rPr>
                <m:t>3313358516</m:t>
              </m:r>
            </m:num>
            <m:den>
              <m:r>
                <m:rPr>
                  <m:nor/>
                </m:rPr>
                <w:rPr>
                  <w:rFonts w:ascii="Times New Roman" w:hAnsi="Times New Roman" w:cs="Times New Roman"/>
                  <w:sz w:val="24"/>
                  <w:szCs w:val="28"/>
                </w:rPr>
                <m:t>24×3600×0.8</m:t>
              </m:r>
            </m:den>
          </m:f>
          <m:r>
            <m:rPr>
              <m:nor/>
            </m:rPr>
            <w:rPr>
              <w:rFonts w:ascii="Times New Roman" w:hAnsi="Times New Roman" w:cs="Times New Roman"/>
              <w:sz w:val="24"/>
              <w:szCs w:val="28"/>
            </w:rPr>
            <m:t xml:space="preserve"> = 47936.32 A</m:t>
          </m:r>
        </m:oMath>
      </m:oMathPara>
    </w:p>
    <w:p w14:paraId="073D4C48"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 xml:space="preserve">where </w:t>
      </w:r>
      <w:r w:rsidRPr="00DA5F73">
        <w:rPr>
          <w:rFonts w:ascii="Times New Roman" w:hAnsi="Times New Roman" w:cs="Times New Roman"/>
          <w:i/>
          <w:iCs/>
          <w:sz w:val="24"/>
          <w:szCs w:val="28"/>
        </w:rPr>
        <w:t>I</w:t>
      </w:r>
      <w:r w:rsidRPr="00DA5F73">
        <w:rPr>
          <w:rFonts w:ascii="Times New Roman" w:hAnsi="Times New Roman" w:cs="Times New Roman"/>
          <w:sz w:val="24"/>
          <w:szCs w:val="28"/>
        </w:rPr>
        <w:t xml:space="preserve"> is the current (A), T is the time of one day taken as 24 h, CF is the capacity factor representing the effective operation time in one day taken as 0.8.</w:t>
      </w:r>
    </w:p>
    <w:p w14:paraId="55A416C9"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 xml:space="preserve">Assuming </w:t>
      </w:r>
      <w:r w:rsidRPr="00DA5F73">
        <w:rPr>
          <w:rFonts w:ascii="Times New Roman" w:hAnsi="Times New Roman" w:cs="Times New Roman"/>
          <w:sz w:val="24"/>
          <w:szCs w:val="28"/>
        </w:rPr>
        <w:t>an electrolysis voltage of</w:t>
      </w:r>
      <w:r w:rsidRPr="00DA5F73">
        <w:rPr>
          <w:rFonts w:ascii="Times New Roman" w:hAnsi="Times New Roman" w:cs="Times New Roman"/>
          <w:sz w:val="24"/>
          <w:szCs w:val="28"/>
        </w:rPr>
        <w:t xml:space="preserve"> 1.4 V</w:t>
      </w:r>
      <w:r w:rsidRPr="00DA5F73">
        <w:rPr>
          <w:rFonts w:ascii="Times New Roman" w:hAnsi="Times New Roman" w:cs="Times New Roman" w:hint="eastAsia"/>
          <w:sz w:val="24"/>
          <w:szCs w:val="28"/>
        </w:rPr>
        <w:t xml:space="preserve"> </w:t>
      </w:r>
      <w:r w:rsidRPr="00DA5F73">
        <w:rPr>
          <w:rFonts w:ascii="Times New Roman" w:hAnsi="Times New Roman" w:cs="Times New Roman"/>
          <w:sz w:val="24"/>
          <w:szCs w:val="28"/>
        </w:rPr>
        <w:t>(corresponding to the average voltage obtained during galvanostatic electrolysis), the power required to maintain the electrolysis process can be calculated as follows:</w:t>
      </w:r>
    </w:p>
    <w:p w14:paraId="130B096F" w14:textId="77777777" w:rsidR="008325C7" w:rsidRPr="00DA5F73" w:rsidRDefault="00F32507">
      <w:pPr>
        <w:spacing w:line="360" w:lineRule="auto"/>
        <w:rPr>
          <w:rFonts w:ascii="Times New Roman" w:hAnsi="Times New Roman" w:cs="Times New Roman"/>
          <w:sz w:val="24"/>
          <w:szCs w:val="28"/>
        </w:rPr>
      </w:pPr>
      <m:oMathPara>
        <m:oMath>
          <m:r>
            <m:rPr>
              <m:nor/>
            </m:rPr>
            <w:rPr>
              <w:rFonts w:ascii="Times New Roman" w:hAnsi="Times New Roman" w:cs="Times New Roman"/>
              <w:i/>
              <w:iCs/>
              <w:sz w:val="24"/>
              <w:szCs w:val="28"/>
            </w:rPr>
            <w:lastRenderedPageBreak/>
            <m:t>P</m:t>
          </m:r>
          <m:r>
            <m:rPr>
              <m:nor/>
            </m:rPr>
            <w:rPr>
              <w:rFonts w:ascii="Times New Roman" w:hAnsi="Times New Roman" w:cs="Times New Roman"/>
              <w:iCs/>
              <w:sz w:val="24"/>
              <w:szCs w:val="28"/>
            </w:rPr>
            <m:t xml:space="preserve"> </m:t>
          </m:r>
          <m:r>
            <m:rPr>
              <m:nor/>
            </m:rPr>
            <w:rPr>
              <w:rFonts w:ascii="Times New Roman" w:hAnsi="Times New Roman" w:cs="Times New Roman"/>
              <w:sz w:val="24"/>
              <w:szCs w:val="28"/>
            </w:rPr>
            <m:t xml:space="preserve">= </m:t>
          </m:r>
          <m:f>
            <m:fPr>
              <m:ctrlPr>
                <w:rPr>
                  <w:rFonts w:ascii="Cambria Math" w:hAnsi="Cambria Math" w:cs="Times New Roman"/>
                  <w:sz w:val="24"/>
                  <w:szCs w:val="28"/>
                </w:rPr>
              </m:ctrlPr>
            </m:fPr>
            <m:num>
              <m:r>
                <m:rPr>
                  <m:nor/>
                </m:rPr>
                <w:rPr>
                  <w:rFonts w:ascii="Times New Roman" w:hAnsi="Times New Roman" w:cs="Times New Roman"/>
                  <w:i/>
                  <w:iCs/>
                  <w:sz w:val="24"/>
                  <w:szCs w:val="28"/>
                </w:rPr>
                <m:t>U</m:t>
              </m:r>
              <m:r>
                <m:rPr>
                  <m:nor/>
                </m:rPr>
                <w:rPr>
                  <w:rFonts w:ascii="Times New Roman" w:hAnsi="Times New Roman" w:cs="Times New Roman"/>
                  <w:iCs/>
                  <w:sz w:val="24"/>
                  <w:szCs w:val="28"/>
                </w:rPr>
                <m:t xml:space="preserve"> </m:t>
              </m:r>
              <m:r>
                <m:rPr>
                  <m:nor/>
                </m:rPr>
                <w:rPr>
                  <w:rFonts w:ascii="Times New Roman" w:hAnsi="Times New Roman" w:cs="Times New Roman"/>
                  <w:sz w:val="24"/>
                  <w:szCs w:val="28"/>
                </w:rPr>
                <m:t>×</m:t>
              </m:r>
              <m:r>
                <m:rPr>
                  <m:nor/>
                </m:rPr>
                <w:rPr>
                  <w:rFonts w:ascii="Times New Roman" w:hAnsi="Times New Roman" w:cs="Times New Roman"/>
                  <w:iCs/>
                  <w:sz w:val="24"/>
                  <w:szCs w:val="28"/>
                </w:rPr>
                <m:t xml:space="preserve"> </m:t>
              </m:r>
              <m:r>
                <m:rPr>
                  <m:nor/>
                </m:rPr>
                <w:rPr>
                  <w:rFonts w:ascii="Times New Roman" w:hAnsi="Times New Roman" w:cs="Times New Roman"/>
                  <w:i/>
                  <w:iCs/>
                  <w:sz w:val="24"/>
                  <w:szCs w:val="28"/>
                </w:rPr>
                <m:t>I</m:t>
              </m:r>
            </m:num>
            <m:den>
              <m:r>
                <m:rPr>
                  <m:nor/>
                </m:rPr>
                <w:rPr>
                  <w:rFonts w:ascii="Times New Roman" w:hAnsi="Times New Roman" w:cs="Times New Roman"/>
                  <w:sz w:val="24"/>
                  <w:szCs w:val="28"/>
                </w:rPr>
                <m:t>1000</m:t>
              </m:r>
            </m:den>
          </m:f>
          <m:r>
            <m:rPr>
              <m:nor/>
            </m:rPr>
            <w:rPr>
              <w:rFonts w:ascii="Times New Roman" w:hAnsi="Times New Roman" w:cs="Times New Roman"/>
              <w:sz w:val="24"/>
              <w:szCs w:val="28"/>
            </w:rPr>
            <m:t xml:space="preserve"> = </m:t>
          </m:r>
          <m:f>
            <m:fPr>
              <m:ctrlPr>
                <w:rPr>
                  <w:rFonts w:ascii="Cambria Math" w:hAnsi="Cambria Math" w:cs="Times New Roman"/>
                  <w:sz w:val="24"/>
                  <w:szCs w:val="28"/>
                </w:rPr>
              </m:ctrlPr>
            </m:fPr>
            <m:num>
              <m:r>
                <m:rPr>
                  <m:nor/>
                </m:rPr>
                <w:rPr>
                  <w:rFonts w:ascii="Times New Roman" w:hAnsi="Times New Roman" w:cs="Times New Roman"/>
                  <w:sz w:val="24"/>
                  <w:szCs w:val="28"/>
                </w:rPr>
                <m:t>1.4×47936.32</m:t>
              </m:r>
            </m:num>
            <m:den>
              <m:r>
                <m:rPr>
                  <m:nor/>
                </m:rPr>
                <w:rPr>
                  <w:rFonts w:ascii="Times New Roman" w:hAnsi="Times New Roman" w:cs="Times New Roman"/>
                  <w:sz w:val="24"/>
                  <w:szCs w:val="28"/>
                </w:rPr>
                <m:t>1000</m:t>
              </m:r>
            </m:den>
          </m:f>
          <m:r>
            <m:rPr>
              <m:nor/>
            </m:rPr>
            <w:rPr>
              <w:rFonts w:ascii="Times New Roman" w:hAnsi="Times New Roman" w:cs="Times New Roman"/>
              <w:sz w:val="24"/>
              <w:szCs w:val="28"/>
            </w:rPr>
            <m:t xml:space="preserve"> = 67.11 kW</m:t>
          </m:r>
        </m:oMath>
      </m:oMathPara>
    </w:p>
    <w:p w14:paraId="2975AB83"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Thus, the electricity cost for electrolysis can be calculated by multiplying effective working time during one day and the commercial electricity price.</w:t>
      </w:r>
    </w:p>
    <w:p w14:paraId="22417F4F" w14:textId="77777777" w:rsidR="008325C7" w:rsidRPr="00DA5F73" w:rsidRDefault="00F32507">
      <w:pPr>
        <w:spacing w:line="360" w:lineRule="auto"/>
        <w:ind w:firstLine="420"/>
        <w:rPr>
          <w:rFonts w:ascii="Times New Roman" w:hAnsi="Times New Roman" w:cs="Times New Roman"/>
          <w:sz w:val="24"/>
          <w:szCs w:val="28"/>
        </w:rPr>
      </w:pPr>
      <m:oMathPara>
        <m:oMath>
          <m:r>
            <m:rPr>
              <m:nor/>
            </m:rPr>
            <w:rPr>
              <w:rFonts w:ascii="Times New Roman" w:hAnsi="Times New Roman" w:cs="Times New Roman"/>
              <w:sz w:val="24"/>
              <w:szCs w:val="28"/>
            </w:rPr>
            <m:t>Electricity Cost = P × T × Ct = 67.11 × 24 × 0.098 = 157.84 $</m:t>
          </m:r>
        </m:oMath>
      </m:oMathPara>
    </w:p>
    <w:p w14:paraId="45BDAE73" w14:textId="77777777" w:rsidR="008325C7" w:rsidRPr="00DA5F73" w:rsidRDefault="00F32507">
      <w:pPr>
        <w:spacing w:line="360" w:lineRule="auto"/>
        <w:ind w:firstLine="420"/>
        <w:rPr>
          <w:rFonts w:ascii="Times New Roman" w:hAnsi="Times New Roman" w:cs="Times New Roman"/>
          <w:sz w:val="24"/>
          <w:szCs w:val="28"/>
        </w:rPr>
      </w:pPr>
      <w:r w:rsidRPr="00DA5F73">
        <w:rPr>
          <w:rFonts w:ascii="Times New Roman" w:hAnsi="Times New Roman" w:cs="Times New Roman"/>
          <w:sz w:val="24"/>
          <w:szCs w:val="28"/>
        </w:rPr>
        <w:t xml:space="preserve">where </w:t>
      </w:r>
      <w:r w:rsidRPr="00DA5F73">
        <w:rPr>
          <w:rFonts w:ascii="Times New Roman" w:hAnsi="Times New Roman" w:cs="Times New Roman"/>
          <w:i/>
          <w:iCs/>
          <w:sz w:val="24"/>
          <w:szCs w:val="28"/>
        </w:rPr>
        <w:t xml:space="preserve">P </w:t>
      </w:r>
      <w:r w:rsidRPr="00DA5F73">
        <w:rPr>
          <w:rFonts w:ascii="Times New Roman" w:hAnsi="Times New Roman" w:cs="Times New Roman"/>
          <w:sz w:val="24"/>
          <w:szCs w:val="28"/>
        </w:rPr>
        <w:t xml:space="preserve">is the power consumption (kW), T is the time of one day taken as 24 h, CF is the capacity factor representing the effective operation time in one day taken as 0.8, and </w:t>
      </w:r>
      <w:r w:rsidRPr="00DA5F73">
        <w:rPr>
          <w:rFonts w:ascii="Times New Roman" w:hAnsi="Times New Roman" w:cs="Times New Roman"/>
          <w:i/>
          <w:iCs/>
          <w:sz w:val="24"/>
          <w:szCs w:val="28"/>
        </w:rPr>
        <w:t>Ct</w:t>
      </w:r>
      <w:r w:rsidRPr="00DA5F73">
        <w:rPr>
          <w:rFonts w:ascii="Times New Roman" w:hAnsi="Times New Roman" w:cs="Times New Roman"/>
          <w:sz w:val="24"/>
          <w:szCs w:val="28"/>
        </w:rPr>
        <w:t xml:space="preserve"> represents the commercial electricity price taken as 0.098 $ per kilowatt-hour in Liaoning Province, China.</w:t>
      </w:r>
    </w:p>
    <w:p w14:paraId="18DA46D3" w14:textId="77777777" w:rsidR="008325C7" w:rsidRPr="00DA5F73" w:rsidRDefault="00F32507">
      <w:pPr>
        <w:spacing w:line="360" w:lineRule="auto"/>
        <w:ind w:firstLineChars="200" w:firstLine="482"/>
        <w:rPr>
          <w:rFonts w:ascii="Times New Roman" w:hAnsi="Times New Roman" w:cs="Times New Roman"/>
          <w:sz w:val="24"/>
          <w:szCs w:val="28"/>
        </w:rPr>
      </w:pPr>
      <w:r w:rsidRPr="00DA5F73">
        <w:rPr>
          <w:rFonts w:ascii="Times New Roman" w:hAnsi="Times New Roman" w:cs="Times New Roman"/>
          <w:b/>
          <w:bCs/>
          <w:sz w:val="24"/>
          <w:szCs w:val="28"/>
        </w:rPr>
        <w:t>Miscellaneous costs:</w:t>
      </w:r>
      <w:r w:rsidRPr="00DA5F73">
        <w:rPr>
          <w:rFonts w:ascii="Times New Roman" w:hAnsi="Times New Roman" w:cs="Times New Roman" w:hint="eastAsia"/>
          <w:b/>
          <w:bCs/>
          <w:sz w:val="24"/>
          <w:szCs w:val="28"/>
        </w:rPr>
        <w:t xml:space="preserve"> </w:t>
      </w:r>
      <w:r w:rsidRPr="00DA5F73">
        <w:rPr>
          <w:rFonts w:ascii="Times New Roman" w:hAnsi="Times New Roman" w:cs="Times New Roman"/>
          <w:sz w:val="24"/>
          <w:szCs w:val="28"/>
        </w:rPr>
        <w:t>Miscellaneous costs, including capital costs, maintenance costs, installation costs, catalyst depreciation</w:t>
      </w:r>
      <w:r w:rsidRPr="00DA5F73">
        <w:rPr>
          <w:rFonts w:ascii="Times New Roman" w:hAnsi="Times New Roman" w:cs="Times New Roman" w:hint="eastAsia"/>
          <w:sz w:val="24"/>
          <w:szCs w:val="28"/>
        </w:rPr>
        <w:t xml:space="preserve">, </w:t>
      </w:r>
      <w:r w:rsidRPr="00DA5F73">
        <w:rPr>
          <w:rFonts w:ascii="Times New Roman" w:hAnsi="Times New Roman" w:cs="Times New Roman"/>
          <w:sz w:val="24"/>
          <w:szCs w:val="28"/>
        </w:rPr>
        <w:t>and operating costs, are estimated at 15% of the total costs incurred thus far:</w:t>
      </w:r>
    </w:p>
    <w:p w14:paraId="08DBC65A" w14:textId="77777777" w:rsidR="008325C7" w:rsidRPr="00DA5F73" w:rsidRDefault="00F32507">
      <w:pPr>
        <w:spacing w:line="360" w:lineRule="auto"/>
        <w:ind w:firstLineChars="200" w:firstLine="480"/>
        <w:rPr>
          <w:rFonts w:ascii="Times New Roman" w:hAnsi="Times New Roman" w:cs="Times New Roman"/>
          <w:iCs/>
          <w:sz w:val="24"/>
          <w:szCs w:val="28"/>
        </w:rPr>
      </w:pPr>
      <m:oMath>
        <m:r>
          <m:rPr>
            <m:nor/>
          </m:rPr>
          <w:rPr>
            <w:rFonts w:ascii="Times New Roman" w:hAnsi="Times New Roman" w:cs="Times New Roman"/>
            <w:sz w:val="24"/>
            <w:szCs w:val="28"/>
          </w:rPr>
          <m:t xml:space="preserve">Miscellaneous costs = (2684.79 </m:t>
        </m:r>
        <m:r>
          <m:rPr>
            <m:nor/>
          </m:rPr>
          <w:rPr>
            <w:rFonts w:ascii="Times New Roman" w:hAnsi="Times New Roman" w:cs="Times New Roman"/>
            <w:iCs/>
            <w:sz w:val="24"/>
            <w:szCs w:val="28"/>
          </w:rPr>
          <m:t>+ 157.84 ) × 15% = 426.39 $</m:t>
        </m:r>
      </m:oMath>
      <w:r w:rsidRPr="00DA5F73">
        <w:rPr>
          <w:rFonts w:ascii="Times New Roman" w:hAnsi="Times New Roman" w:cs="Times New Roman"/>
          <w:iCs/>
          <w:sz w:val="24"/>
          <w:szCs w:val="28"/>
        </w:rPr>
        <w:t xml:space="preserve"> </w:t>
      </w:r>
    </w:p>
    <w:p w14:paraId="725518EC" w14:textId="77777777" w:rsidR="008325C7" w:rsidRPr="00DA5F73" w:rsidRDefault="00F32507">
      <w:pPr>
        <w:spacing w:line="360" w:lineRule="auto"/>
        <w:ind w:firstLineChars="200" w:firstLine="482"/>
        <w:rPr>
          <w:rFonts w:ascii="Times New Roman" w:hAnsi="Times New Roman" w:cs="Times New Roman"/>
          <w:b/>
          <w:bCs/>
          <w:iCs/>
          <w:sz w:val="24"/>
          <w:szCs w:val="28"/>
        </w:rPr>
      </w:pPr>
      <m:oMathPara>
        <m:oMath>
          <m:r>
            <m:rPr>
              <m:nor/>
            </m:rPr>
            <w:rPr>
              <w:rFonts w:ascii="Times New Roman" w:hAnsi="Times New Roman" w:cs="Times New Roman"/>
              <w:b/>
              <w:sz w:val="24"/>
              <w:szCs w:val="28"/>
            </w:rPr>
            <m:t>Total cost of PET upcycling</m:t>
          </m:r>
          <m:r>
            <m:rPr>
              <m:nor/>
            </m:rPr>
            <w:rPr>
              <w:rFonts w:ascii="Times New Roman" w:hAnsi="Times New Roman" w:cs="Times New Roman"/>
              <w:b/>
              <w:sz w:val="24"/>
              <w:szCs w:val="28"/>
            </w:rPr>
            <m:t>：</m:t>
          </m:r>
        </m:oMath>
      </m:oMathPara>
    </w:p>
    <w:p w14:paraId="45AA18B6" w14:textId="77777777" w:rsidR="008325C7" w:rsidRPr="00DA5F73" w:rsidRDefault="00F32507">
      <w:pPr>
        <w:spacing w:line="360" w:lineRule="auto"/>
        <w:ind w:firstLineChars="200" w:firstLine="480"/>
        <w:rPr>
          <w:rFonts w:ascii="Times New Roman" w:hAnsi="Times New Roman" w:cs="Times New Roman"/>
          <w:sz w:val="24"/>
          <w:szCs w:val="28"/>
          <w:oMath/>
        </w:rPr>
      </w:pPr>
      <m:oMath>
        <m:r>
          <m:rPr>
            <m:nor/>
          </m:rPr>
          <w:rPr>
            <w:rFonts w:ascii="Times New Roman" w:hAnsi="Times New Roman" w:cs="Times New Roman"/>
            <w:sz w:val="24"/>
            <w:szCs w:val="28"/>
          </w:rPr>
          <m:t>Total cost = 2684.79 + 157.84 + 426.39 = 3269.02$</m:t>
        </m:r>
      </m:oMath>
      <w:r w:rsidRPr="00DA5F73">
        <w:rPr>
          <w:rFonts w:ascii="Times New Roman" w:hAnsi="Times New Roman" w:cs="Times New Roman"/>
          <w:iCs/>
          <w:sz w:val="24"/>
          <w:szCs w:val="28"/>
        </w:rPr>
        <w:t xml:space="preserve"> </w:t>
      </w:r>
    </w:p>
    <w:p w14:paraId="2982C513" w14:textId="77777777" w:rsidR="008325C7" w:rsidRPr="00DA5F73" w:rsidRDefault="00F32507">
      <w:pPr>
        <w:spacing w:line="360" w:lineRule="auto"/>
        <w:ind w:left="480"/>
        <w:rPr>
          <w:rFonts w:ascii="Times New Roman" w:hAnsi="Times New Roman" w:cs="Times New Roman"/>
          <w:b/>
          <w:bCs/>
          <w:sz w:val="24"/>
          <w:szCs w:val="28"/>
        </w:rPr>
      </w:pPr>
      <w:r w:rsidRPr="00DA5F73">
        <w:rPr>
          <w:rFonts w:ascii="Times New Roman" w:hAnsi="Times New Roman" w:cs="Times New Roman"/>
          <w:b/>
          <w:bCs/>
          <w:sz w:val="24"/>
          <w:szCs w:val="28"/>
        </w:rPr>
        <w:t>Output product income:</w:t>
      </w:r>
    </w:p>
    <w:p w14:paraId="18CF4445" w14:textId="77777777" w:rsidR="008325C7" w:rsidRPr="00DA5F73" w:rsidRDefault="00F32507">
      <w:pPr>
        <w:spacing w:line="360" w:lineRule="auto"/>
        <w:ind w:firstLineChars="200" w:firstLine="480"/>
        <w:rPr>
          <w:rFonts w:ascii="Times New Roman" w:hAnsi="Times New Roman" w:cs="Times New Roman"/>
          <w:sz w:val="24"/>
          <w:szCs w:val="28"/>
        </w:rPr>
      </w:pPr>
      <w:r w:rsidRPr="00DA5F73">
        <w:rPr>
          <w:rFonts w:ascii="Times New Roman" w:hAnsi="Times New Roman" w:cs="Times New Roman"/>
          <w:sz w:val="24"/>
          <w:szCs w:val="28"/>
        </w:rPr>
        <w:t>During the calculation, at an electrolysis condition of 1.4 V vs. RHE, the Faradaic efficiency of H</w:t>
      </w:r>
      <w:r w:rsidRPr="00DA5F73">
        <w:rPr>
          <w:rFonts w:ascii="Times New Roman" w:hAnsi="Times New Roman" w:cs="Times New Roman"/>
          <w:sz w:val="24"/>
          <w:szCs w:val="28"/>
          <w:vertAlign w:val="subscript"/>
        </w:rPr>
        <w:t>2</w:t>
      </w:r>
      <w:r w:rsidRPr="00DA5F73">
        <w:rPr>
          <w:rFonts w:ascii="Times New Roman" w:hAnsi="Times New Roman" w:cs="Times New Roman"/>
          <w:sz w:val="24"/>
          <w:szCs w:val="28"/>
        </w:rPr>
        <w:t xml:space="preserve"> was assumed to be 100%, while the yields of KDF and TPA were 69.8% and 93.5%, respectively. After electrolysis, 1 ton of PET could produce 0.81 ton of TPA, 1.89 tons of KDF, and 0.012 ton of H₂. Therefore, the profit of the products can be calculated according to the following equation:</w:t>
      </w:r>
    </w:p>
    <w:p w14:paraId="627AC0CA" w14:textId="77777777" w:rsidR="008325C7" w:rsidRPr="00DA5F73" w:rsidRDefault="00F32507">
      <w:pPr>
        <w:spacing w:line="360" w:lineRule="auto"/>
        <w:rPr>
          <w:rFonts w:ascii="Times New Roman" w:hAnsi="Times New Roman" w:cs="Times New Roman"/>
          <w:iCs/>
          <w:sz w:val="24"/>
          <w:szCs w:val="28"/>
        </w:rPr>
      </w:pPr>
      <m:oMathPara>
        <m:oMath>
          <m:m>
            <m:mPr>
              <m:mcs>
                <m:mc>
                  <m:mcPr>
                    <m:count m:val="1"/>
                    <m:mcJc m:val="left"/>
                  </m:mcPr>
                </m:mc>
              </m:mcs>
              <m:ctrlPr>
                <w:rPr>
                  <w:rFonts w:ascii="Cambria Math" w:hAnsi="Cambria Math" w:cs="Times New Roman"/>
                  <w:iCs/>
                  <w:sz w:val="24"/>
                  <w:szCs w:val="28"/>
                </w:rPr>
              </m:ctrlPr>
            </m:mPr>
            <m:mr>
              <m:e>
                <m:r>
                  <m:rPr>
                    <m:nor/>
                  </m:rPr>
                  <w:rPr>
                    <w:rFonts w:ascii="Times New Roman" w:hAnsi="Times New Roman" w:cs="Times New Roman"/>
                    <w:iCs/>
                    <w:sz w:val="24"/>
                    <w:szCs w:val="28"/>
                  </w:rPr>
                  <m:t xml:space="preserve">Product value </m:t>
                </m:r>
                <m:r>
                  <m:rPr>
                    <m:nor/>
                  </m:rPr>
                  <w:rPr>
                    <w:rFonts w:ascii="Times New Roman" w:hAnsi="Times New Roman" w:cs="Times New Roman"/>
                    <w:sz w:val="24"/>
                    <w:szCs w:val="28"/>
                  </w:rPr>
                  <m:t xml:space="preserve">= price of TPA (1260 $ </m:t>
                </m:r>
                <m:sSup>
                  <m:sSupPr>
                    <m:ctrlPr>
                      <w:rPr>
                        <w:rFonts w:ascii="Times New Roman" w:hAnsi="Times New Roman" w:cs="Times New Roman"/>
                        <w:sz w:val="24"/>
                        <w:szCs w:val="28"/>
                      </w:rPr>
                    </m:ctrlPr>
                  </m:sSupPr>
                  <m:e>
                    <m:r>
                      <m:rPr>
                        <m:nor/>
                      </m:rPr>
                      <w:rPr>
                        <w:rFonts w:ascii="Times New Roman" w:hAnsi="Times New Roman" w:cs="Times New Roman"/>
                        <w:sz w:val="24"/>
                        <w:szCs w:val="28"/>
                      </w:rPr>
                      <m:t>ton</m:t>
                    </m:r>
                  </m:e>
                  <m:sup>
                    <m:r>
                      <m:rPr>
                        <m:nor/>
                      </m:rPr>
                      <w:rPr>
                        <w:rFonts w:ascii="Times New Roman" w:hAnsi="Times New Roman" w:cs="Times New Roman"/>
                        <w:sz w:val="24"/>
                        <w:szCs w:val="28"/>
                      </w:rPr>
                      <m:t>-1</m:t>
                    </m:r>
                  </m:sup>
                </m:sSup>
                <m:r>
                  <m:rPr>
                    <m:nor/>
                  </m:rPr>
                  <w:rPr>
                    <w:rFonts w:ascii="Times New Roman" w:hAnsi="Times New Roman" w:cs="Times New Roman"/>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r>
                      <m:rPr>
                        <m:nor/>
                      </m:rPr>
                      <w:rPr>
                        <w:rFonts w:ascii="Times New Roman" w:hAnsi="Times New Roman" w:cs="Times New Roman"/>
                        <w:sz w:val="24"/>
                        <w:szCs w:val="28"/>
                      </w:rPr>
                      <m:t>TPA</m:t>
                    </m:r>
                  </m:sub>
                </m:sSub>
              </m:e>
            </m:mr>
            <m:mr>
              <m:e>
                <m:r>
                  <m:rPr>
                    <m:nor/>
                  </m:rPr>
                  <w:rPr>
                    <w:rFonts w:ascii="Times New Roman" w:hAnsi="Times New Roman" w:cs="Times New Roman"/>
                    <w:sz w:val="24"/>
                    <w:szCs w:val="28"/>
                  </w:rPr>
                  <m:t>+ price of KDF(1590</m:t>
                </m:r>
                <m:r>
                  <m:rPr>
                    <m:nor/>
                  </m:rPr>
                  <w:rPr>
                    <w:rFonts w:ascii="Times New Roman" w:hAnsi="Times New Roman" w:cs="Times New Roman"/>
                    <w:iCs/>
                    <w:sz w:val="24"/>
                    <w:szCs w:val="28"/>
                  </w:rPr>
                  <m:t xml:space="preserve">$ </m:t>
                </m:r>
                <m:sSup>
                  <m:sSupPr>
                    <m:ctrlPr>
                      <w:rPr>
                        <w:rFonts w:ascii="Times New Roman" w:hAnsi="Times New Roman" w:cs="Times New Roman"/>
                        <w:iCs/>
                        <w:sz w:val="24"/>
                        <w:szCs w:val="28"/>
                      </w:rPr>
                    </m:ctrlPr>
                  </m:sSupPr>
                  <m:e>
                    <m:r>
                      <m:rPr>
                        <m:nor/>
                      </m:rPr>
                      <w:rPr>
                        <w:rFonts w:ascii="Times New Roman" w:hAnsi="Times New Roman" w:cs="Times New Roman"/>
                        <w:iCs/>
                        <w:sz w:val="24"/>
                        <w:szCs w:val="28"/>
                      </w:rPr>
                      <m:t>ton</m:t>
                    </m:r>
                  </m:e>
                  <m:sup>
                    <m:r>
                      <m:rPr>
                        <m:nor/>
                      </m:rPr>
                      <w:rPr>
                        <w:rFonts w:ascii="Times New Roman" w:hAnsi="Times New Roman" w:cs="Times New Roman"/>
                        <w:iCs/>
                        <w:sz w:val="24"/>
                        <w:szCs w:val="28"/>
                      </w:rPr>
                      <m:t>-1</m:t>
                    </m:r>
                  </m:sup>
                </m:sSup>
                <m:r>
                  <m:rPr>
                    <m:nor/>
                  </m:rPr>
                  <w:rPr>
                    <w:rFonts w:ascii="Times New Roman" w:hAnsi="Times New Roman" w:cs="Times New Roman"/>
                    <w:iCs/>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r>
                      <m:rPr>
                        <m:nor/>
                      </m:rPr>
                      <w:rPr>
                        <w:rFonts w:ascii="Times New Roman" w:hAnsi="Times New Roman" w:cs="Times New Roman"/>
                        <w:sz w:val="24"/>
                        <w:szCs w:val="28"/>
                      </w:rPr>
                      <m:t>KDF</m:t>
                    </m:r>
                  </m:sub>
                </m:sSub>
              </m:e>
            </m:mr>
            <m:mr>
              <m:e>
                <m:r>
                  <m:rPr>
                    <m:nor/>
                  </m:rPr>
                  <w:rPr>
                    <w:rFonts w:ascii="Times New Roman" w:hAnsi="Times New Roman" w:cs="Times New Roman"/>
                    <w:sz w:val="24"/>
                    <w:szCs w:val="28"/>
                  </w:rPr>
                  <m:t xml:space="preserve">+ price of </m:t>
                </m:r>
                <m:sSub>
                  <m:sSubPr>
                    <m:ctrlPr>
                      <w:rPr>
                        <w:rFonts w:ascii="Cambria Math" w:hAnsi="Cambria Math" w:cs="Times New Roman"/>
                        <w:iCs/>
                        <w:sz w:val="24"/>
                        <w:szCs w:val="28"/>
                      </w:rPr>
                    </m:ctrlPr>
                  </m:sSubPr>
                  <m:e>
                    <m:r>
                      <m:rPr>
                        <m:nor/>
                      </m:rPr>
                      <w:rPr>
                        <w:rFonts w:ascii="Times New Roman" w:hAnsi="Times New Roman" w:cs="Times New Roman"/>
                        <w:sz w:val="24"/>
                        <w:szCs w:val="28"/>
                      </w:rPr>
                      <m:t>H</m:t>
                    </m:r>
                  </m:e>
                  <m:sub>
                    <m:r>
                      <m:rPr>
                        <m:nor/>
                      </m:rPr>
                      <w:rPr>
                        <w:rFonts w:ascii="Times New Roman" w:hAnsi="Times New Roman" w:cs="Times New Roman"/>
                        <w:iCs/>
                        <w:sz w:val="24"/>
                        <w:szCs w:val="28"/>
                      </w:rPr>
                      <m:t>2</m:t>
                    </m:r>
                  </m:sub>
                </m:sSub>
                <m:r>
                  <m:rPr>
                    <m:nor/>
                  </m:rPr>
                  <w:rPr>
                    <w:rFonts w:ascii="Times New Roman" w:hAnsi="Times New Roman" w:cs="Times New Roman"/>
                    <w:sz w:val="24"/>
                    <w:szCs w:val="28"/>
                  </w:rPr>
                  <m:t xml:space="preserve"> (1900 $ </m:t>
                </m:r>
                <m:sSup>
                  <m:sSupPr>
                    <m:ctrlPr>
                      <w:rPr>
                        <w:rFonts w:ascii="Times New Roman" w:hAnsi="Times New Roman" w:cs="Times New Roman"/>
                        <w:sz w:val="24"/>
                        <w:szCs w:val="28"/>
                      </w:rPr>
                    </m:ctrlPr>
                  </m:sSupPr>
                  <m:e>
                    <m:r>
                      <m:rPr>
                        <m:nor/>
                      </m:rPr>
                      <w:rPr>
                        <w:rFonts w:ascii="Times New Roman" w:hAnsi="Times New Roman" w:cs="Times New Roman"/>
                        <w:sz w:val="24"/>
                        <w:szCs w:val="28"/>
                      </w:rPr>
                      <m:t>ton</m:t>
                    </m:r>
                  </m:e>
                  <m:sup>
                    <m:r>
                      <m:rPr>
                        <m:nor/>
                      </m:rPr>
                      <w:rPr>
                        <w:rFonts w:ascii="Times New Roman" w:hAnsi="Times New Roman" w:cs="Times New Roman"/>
                        <w:sz w:val="24"/>
                        <w:szCs w:val="28"/>
                      </w:rPr>
                      <m:t>-1</m:t>
                    </m:r>
                  </m:sup>
                </m:sSup>
                <m:r>
                  <m:rPr>
                    <m:nor/>
                  </m:rPr>
                  <w:rPr>
                    <w:rFonts w:ascii="Times New Roman" w:hAnsi="Times New Roman" w:cs="Times New Roman"/>
                    <w:sz w:val="24"/>
                    <w:szCs w:val="28"/>
                  </w:rPr>
                  <m:t xml:space="preserve">) × </m:t>
                </m:r>
                <m:sSub>
                  <m:sSubPr>
                    <m:ctrlPr>
                      <w:rPr>
                        <w:rFonts w:ascii="Cambria Math" w:hAnsi="Cambria Math" w:cs="Times New Roman"/>
                        <w:iCs/>
                        <w:sz w:val="24"/>
                        <w:szCs w:val="28"/>
                      </w:rPr>
                    </m:ctrlPr>
                  </m:sSubPr>
                  <m:e>
                    <m:r>
                      <m:rPr>
                        <m:nor/>
                      </m:rPr>
                      <w:rPr>
                        <w:rFonts w:ascii="Times New Roman" w:hAnsi="Times New Roman" w:cs="Times New Roman"/>
                        <w:sz w:val="24"/>
                        <w:szCs w:val="28"/>
                      </w:rPr>
                      <m:t>m</m:t>
                    </m:r>
                  </m:e>
                  <m:sub>
                    <m:sSub>
                      <m:sSubPr>
                        <m:ctrlPr>
                          <w:rPr>
                            <w:rFonts w:ascii="Cambria Math" w:hAnsi="Cambria Math" w:cs="Times New Roman"/>
                            <w:iCs/>
                            <w:sz w:val="24"/>
                            <w:szCs w:val="28"/>
                          </w:rPr>
                        </m:ctrlPr>
                      </m:sSubPr>
                      <m:e>
                        <m:r>
                          <m:rPr>
                            <m:nor/>
                          </m:rPr>
                          <w:rPr>
                            <w:rFonts w:ascii="Times New Roman" w:hAnsi="Times New Roman" w:cs="Times New Roman"/>
                            <w:sz w:val="24"/>
                            <w:szCs w:val="28"/>
                          </w:rPr>
                          <m:t>H</m:t>
                        </m:r>
                      </m:e>
                      <m:sub>
                        <m:r>
                          <m:rPr>
                            <m:nor/>
                          </m:rPr>
                          <w:rPr>
                            <w:rFonts w:ascii="Times New Roman" w:hAnsi="Times New Roman" w:cs="Times New Roman"/>
                            <w:sz w:val="24"/>
                            <w:szCs w:val="28"/>
                          </w:rPr>
                          <m:t>2</m:t>
                        </m:r>
                      </m:sub>
                    </m:sSub>
                  </m:sub>
                </m:sSub>
              </m:e>
            </m:mr>
            <m:mr>
              <m:e>
                <m:r>
                  <m:rPr>
                    <m:nor/>
                  </m:rPr>
                  <w:rPr>
                    <w:rFonts w:ascii="Times New Roman" w:hAnsi="Times New Roman" w:cs="Times New Roman"/>
                    <w:iCs/>
                    <w:sz w:val="24"/>
                    <w:szCs w:val="28"/>
                  </w:rPr>
                  <m:t>= 0.81 × 1260 + 1.89 × 1590 + 0.012 × 1900 = 4048.50</m:t>
                </m:r>
                <m:r>
                  <m:rPr>
                    <m:nor/>
                  </m:rPr>
                  <w:rPr>
                    <w:rFonts w:ascii="Times New Roman" w:hAnsi="Times New Roman" w:cs="Times New Roman"/>
                    <w:sz w:val="24"/>
                    <w:szCs w:val="28"/>
                  </w:rPr>
                  <m:t>$</m:t>
                </m:r>
              </m:e>
            </m:mr>
          </m:m>
        </m:oMath>
      </m:oMathPara>
    </w:p>
    <w:p w14:paraId="1A42E84A" w14:textId="77777777" w:rsidR="008325C7" w:rsidRPr="00DA5F73" w:rsidRDefault="00F32507">
      <w:pPr>
        <w:spacing w:line="360" w:lineRule="auto"/>
        <w:ind w:firstLineChars="200" w:firstLine="480"/>
        <w:rPr>
          <w:rFonts w:ascii="Times New Roman" w:hAnsi="Times New Roman" w:cs="Times New Roman"/>
          <w:sz w:val="24"/>
          <w:szCs w:val="28"/>
        </w:rPr>
      </w:pPr>
      <w:r w:rsidRPr="00DA5F73">
        <w:rPr>
          <w:rFonts w:ascii="Times New Roman" w:hAnsi="Times New Roman" w:cs="Times New Roman"/>
          <w:sz w:val="24"/>
          <w:szCs w:val="28"/>
        </w:rPr>
        <w:t xml:space="preserve">Therefore, the net profit per ton of PET processed by this electrochemical upcycling strategy can be calculated as follows: </w:t>
      </w:r>
    </w:p>
    <w:p w14:paraId="13D62FBC" w14:textId="77777777" w:rsidR="008325C7" w:rsidRPr="00DA5F73" w:rsidRDefault="00F32507">
      <w:pPr>
        <w:spacing w:line="360" w:lineRule="auto"/>
        <w:ind w:firstLineChars="200" w:firstLine="480"/>
        <w:rPr>
          <w:rFonts w:ascii="Times New Roman" w:hAnsi="Times New Roman" w:cs="Times New Roman"/>
          <w:iCs/>
          <w:sz w:val="24"/>
        </w:rPr>
      </w:pPr>
      <m:oMathPara>
        <m:oMath>
          <m:m>
            <m:mPr>
              <m:mcs>
                <m:mc>
                  <m:mcPr>
                    <m:count m:val="1"/>
                    <m:mcJc m:val="left"/>
                  </m:mcPr>
                </m:mc>
              </m:mcs>
              <m:ctrlPr>
                <w:rPr>
                  <w:rFonts w:ascii="Cambria Math" w:hAnsi="Cambria Math" w:cs="Times New Roman"/>
                  <w:iCs/>
                  <w:sz w:val="24"/>
                </w:rPr>
              </m:ctrlPr>
            </m:mPr>
            <m:mr>
              <m:e>
                <m:r>
                  <m:rPr>
                    <m:nor/>
                  </m:rPr>
                  <w:rPr>
                    <w:rFonts w:ascii="Times New Roman" w:hAnsi="Times New Roman" w:cs="Times New Roman"/>
                    <w:sz w:val="24"/>
                  </w:rPr>
                  <m:t xml:space="preserve">Total profit per ton of PET = Product value - Total cost </m:t>
                </m:r>
              </m:e>
            </m:mr>
            <m:mr>
              <m:e>
                <m:r>
                  <m:rPr>
                    <m:nor/>
                  </m:rPr>
                  <w:rPr>
                    <w:rFonts w:ascii="Times New Roman" w:hAnsi="Times New Roman" w:cs="Times New Roman"/>
                    <w:sz w:val="24"/>
                  </w:rPr>
                  <m:t xml:space="preserve">= 4048.50 - 3269.02 = 779.48 </m:t>
                </m:r>
                <m:r>
                  <m:rPr>
                    <m:nor/>
                  </m:rPr>
                  <w:rPr>
                    <w:rFonts w:ascii="Times New Roman" w:hAnsi="Times New Roman" w:cs="Times New Roman"/>
                    <w:sz w:val="24"/>
                    <w:szCs w:val="28"/>
                  </w:rPr>
                  <m:t>$</m:t>
                </m:r>
              </m:e>
            </m:mr>
          </m:m>
        </m:oMath>
      </m:oMathPara>
    </w:p>
    <w:p w14:paraId="1AF1F267" w14:textId="05C1BB0A" w:rsidR="008325C7" w:rsidRPr="00DA5F73" w:rsidRDefault="008325C7">
      <w:pPr>
        <w:rPr>
          <w:rFonts w:ascii="Times New Roman" w:hAnsi="Times New Roman" w:cs="Times New Roman"/>
          <w:iCs/>
          <w:sz w:val="24"/>
        </w:rPr>
      </w:pPr>
    </w:p>
    <w:p w14:paraId="4EED083F" w14:textId="77777777" w:rsidR="008325C7" w:rsidRPr="00DA5F73" w:rsidRDefault="00F32507">
      <w:pPr>
        <w:rPr>
          <w:rFonts w:ascii="Times New Roman" w:hAnsi="Times New Roman" w:cs="Times New Roman"/>
        </w:rPr>
      </w:pPr>
      <w:r w:rsidRPr="00DA5F73">
        <w:rPr>
          <w:rFonts w:ascii="Times New Roman" w:hAnsi="Times New Roman" w:cs="Times New Roman"/>
          <w:noProof/>
        </w:rPr>
        <w:lastRenderedPageBreak/>
        <w:drawing>
          <wp:inline distT="0" distB="0" distL="114300" distR="114300" wp14:anchorId="5A036926" wp14:editId="4FE5CF10">
            <wp:extent cx="5273675" cy="3437255"/>
            <wp:effectExtent l="0" t="0" r="3175" b="10795"/>
            <wp:docPr id="1" name="图片 1" desc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1"/>
                    <pic:cNvPicPr>
                      <a:picLocks noChangeAspect="1"/>
                    </pic:cNvPicPr>
                  </pic:nvPicPr>
                  <pic:blipFill>
                    <a:blip r:embed="rId8"/>
                    <a:stretch>
                      <a:fillRect/>
                    </a:stretch>
                  </pic:blipFill>
                  <pic:spPr>
                    <a:xfrm>
                      <a:off x="0" y="0"/>
                      <a:ext cx="5273675" cy="3437255"/>
                    </a:xfrm>
                    <a:prstGeom prst="rect">
                      <a:avLst/>
                    </a:prstGeom>
                  </pic:spPr>
                </pic:pic>
              </a:graphicData>
            </a:graphic>
          </wp:inline>
        </w:drawing>
      </w:r>
    </w:p>
    <w:p w14:paraId="766246E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Figure S1. The prepared electrode sheet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and NiO/NF.</w:t>
      </w:r>
    </w:p>
    <w:p w14:paraId="33461874" w14:textId="77777777" w:rsidR="008325C7" w:rsidRPr="00DA5F73" w:rsidRDefault="008325C7">
      <w:pPr>
        <w:jc w:val="center"/>
        <w:rPr>
          <w:rFonts w:ascii="Times New Roman" w:hAnsi="Times New Roman" w:cs="Times New Roman"/>
        </w:rPr>
      </w:pPr>
    </w:p>
    <w:p w14:paraId="2324F794" w14:textId="77777777" w:rsidR="008325C7" w:rsidRPr="00DA5F73" w:rsidRDefault="00F32507">
      <w:pPr>
        <w:rPr>
          <w:rFonts w:ascii="Times New Roman" w:hAnsi="Times New Roman" w:cs="Times New Roman"/>
        </w:rPr>
      </w:pPr>
      <w:r w:rsidRPr="00DA5F73">
        <w:rPr>
          <w:rFonts w:ascii="Times New Roman" w:hAnsi="Times New Roman" w:cs="Times New Roman"/>
          <w:noProof/>
        </w:rPr>
        <w:drawing>
          <wp:inline distT="0" distB="0" distL="114300" distR="114300" wp14:anchorId="3E45871B" wp14:editId="0C5CFF0A">
            <wp:extent cx="5266690" cy="3678555"/>
            <wp:effectExtent l="0" t="0" r="10160" b="17145"/>
            <wp:docPr id="2" name="图片 2" desc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2"/>
                    <pic:cNvPicPr>
                      <a:picLocks noChangeAspect="1"/>
                    </pic:cNvPicPr>
                  </pic:nvPicPr>
                  <pic:blipFill>
                    <a:blip r:embed="rId9"/>
                    <a:stretch>
                      <a:fillRect/>
                    </a:stretch>
                  </pic:blipFill>
                  <pic:spPr>
                    <a:xfrm>
                      <a:off x="0" y="0"/>
                      <a:ext cx="5266690" cy="3678555"/>
                    </a:xfrm>
                    <a:prstGeom prst="rect">
                      <a:avLst/>
                    </a:prstGeom>
                  </pic:spPr>
                </pic:pic>
              </a:graphicData>
            </a:graphic>
          </wp:inline>
        </w:drawing>
      </w:r>
    </w:p>
    <w:p w14:paraId="5C3AAFA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Figure S2. SEM images of (a, b) Co3O4/NF and (c, d) NiO/NF.</w:t>
      </w:r>
    </w:p>
    <w:p w14:paraId="527146B3" w14:textId="77777777" w:rsidR="008325C7" w:rsidRPr="00DA5F73" w:rsidRDefault="008325C7">
      <w:pPr>
        <w:rPr>
          <w:rFonts w:ascii="Times New Roman" w:hAnsi="Times New Roman" w:cs="Times New Roman"/>
        </w:rPr>
      </w:pPr>
    </w:p>
    <w:p w14:paraId="5EB2213C" w14:textId="77777777" w:rsidR="008325C7" w:rsidRPr="00DA5F73" w:rsidRDefault="00F32507">
      <w:pPr>
        <w:rPr>
          <w:rFonts w:ascii="Times New Roman" w:hAnsi="Times New Roman" w:cs="Times New Roman"/>
        </w:rPr>
      </w:pPr>
      <w:r w:rsidRPr="00DA5F73">
        <w:rPr>
          <w:rFonts w:ascii="Times New Roman" w:hAnsi="Times New Roman" w:cs="Times New Roman"/>
          <w:noProof/>
        </w:rPr>
        <w:lastRenderedPageBreak/>
        <w:drawing>
          <wp:inline distT="0" distB="0" distL="114300" distR="114300" wp14:anchorId="66B0C925" wp14:editId="27217838">
            <wp:extent cx="5427345" cy="1800225"/>
            <wp:effectExtent l="0" t="0" r="0" b="0"/>
            <wp:docPr id="6" name="图片 6" descr="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3"/>
                    <pic:cNvPicPr>
                      <a:picLocks noChangeAspect="1"/>
                    </pic:cNvPicPr>
                  </pic:nvPicPr>
                  <pic:blipFill>
                    <a:blip r:embed="rId10"/>
                    <a:stretch>
                      <a:fillRect/>
                    </a:stretch>
                  </pic:blipFill>
                  <pic:spPr>
                    <a:xfrm>
                      <a:off x="0" y="0"/>
                      <a:ext cx="5427345" cy="1800225"/>
                    </a:xfrm>
                    <a:prstGeom prst="rect">
                      <a:avLst/>
                    </a:prstGeom>
                  </pic:spPr>
                </pic:pic>
              </a:graphicData>
            </a:graphic>
          </wp:inline>
        </w:drawing>
      </w:r>
    </w:p>
    <w:p w14:paraId="72B1DD53"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S3.</w:t>
      </w:r>
      <w:r w:rsidRPr="00DA5F73">
        <w:rPr>
          <w:rFonts w:ascii="Times New Roman" w:hAnsi="Times New Roman" w:cs="Times New Roman"/>
        </w:rPr>
        <w:t xml:space="preserve"> XRD patterns of different catalysts on NF, in a powdery form for (a)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hint="eastAsia"/>
        </w:rPr>
        <w:t>,</w:t>
      </w:r>
      <w:r w:rsidRPr="00DA5F73">
        <w:rPr>
          <w:rFonts w:ascii="Times New Roman" w:hAnsi="Times New Roman" w:cs="Times New Roman"/>
        </w:rPr>
        <w:t xml:space="preserve"> (b)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hint="eastAsia"/>
        </w:rPr>
        <w:t>,</w:t>
      </w:r>
      <w:r w:rsidRPr="00DA5F73">
        <w:rPr>
          <w:rFonts w:ascii="Times New Roman" w:hAnsi="Times New Roman" w:cs="Times New Roman"/>
        </w:rPr>
        <w:t xml:space="preserve"> (c) NiO.</w:t>
      </w:r>
    </w:p>
    <w:p w14:paraId="2C84B3E3" w14:textId="77777777" w:rsidR="008325C7" w:rsidRPr="00DA5F73" w:rsidRDefault="008325C7">
      <w:pPr>
        <w:rPr>
          <w:rFonts w:ascii="Times New Roman" w:hAnsi="Times New Roman" w:cs="Times New Roman"/>
        </w:rPr>
      </w:pPr>
    </w:p>
    <w:p w14:paraId="79F5D351" w14:textId="77777777" w:rsidR="008325C7" w:rsidRPr="00DA5F73" w:rsidRDefault="00F32507">
      <w:pPr>
        <w:rPr>
          <w:rFonts w:ascii="Times New Roman" w:hAnsi="Times New Roman" w:cs="Times New Roman"/>
        </w:rPr>
      </w:pPr>
      <w:r w:rsidRPr="00DA5F73">
        <w:rPr>
          <w:rFonts w:ascii="Times New Roman" w:hAnsi="Times New Roman" w:cs="Times New Roman"/>
          <w:noProof/>
        </w:rPr>
        <w:drawing>
          <wp:inline distT="0" distB="0" distL="114300" distR="114300" wp14:anchorId="4A0DC5C6" wp14:editId="0D691712">
            <wp:extent cx="5427345" cy="1800225"/>
            <wp:effectExtent l="0" t="0" r="0" b="0"/>
            <wp:docPr id="14" name="图片 14" descr="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S4"/>
                    <pic:cNvPicPr>
                      <a:picLocks noChangeAspect="1"/>
                    </pic:cNvPicPr>
                  </pic:nvPicPr>
                  <pic:blipFill>
                    <a:blip r:embed="rId11"/>
                    <a:stretch>
                      <a:fillRect/>
                    </a:stretch>
                  </pic:blipFill>
                  <pic:spPr>
                    <a:xfrm>
                      <a:off x="0" y="0"/>
                      <a:ext cx="5427345" cy="1800225"/>
                    </a:xfrm>
                    <a:prstGeom prst="rect">
                      <a:avLst/>
                    </a:prstGeom>
                  </pic:spPr>
                </pic:pic>
              </a:graphicData>
            </a:graphic>
          </wp:inline>
        </w:drawing>
      </w:r>
    </w:p>
    <w:p w14:paraId="66B8D20B"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S4.</w:t>
      </w:r>
      <w:r w:rsidRPr="00DA5F73">
        <w:rPr>
          <w:rFonts w:ascii="Times New Roman" w:hAnsi="Times New Roman" w:cs="Times New Roman"/>
        </w:rPr>
        <w:t xml:space="preserve"> CV curves of (a)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(b)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and (c) NiO/NF at different scanning rates from 20 to 120 mV s</w:t>
      </w:r>
      <w:r w:rsidRPr="00DA5F73">
        <w:rPr>
          <w:rFonts w:ascii="Times New Roman" w:hAnsi="Times New Roman" w:cs="Times New Roman"/>
          <w:vertAlign w:val="superscript"/>
        </w:rPr>
        <w:t>-1</w:t>
      </w:r>
      <w:r w:rsidRPr="00DA5F73">
        <w:rPr>
          <w:rFonts w:ascii="Times New Roman" w:hAnsi="Times New Roman" w:cs="Times New Roman"/>
        </w:rPr>
        <w:t>.</w:t>
      </w:r>
    </w:p>
    <w:p w14:paraId="5B5EE781" w14:textId="77777777" w:rsidR="008325C7" w:rsidRPr="00DA5F73" w:rsidRDefault="008325C7">
      <w:pPr>
        <w:rPr>
          <w:rFonts w:ascii="Times New Roman" w:hAnsi="Times New Roman" w:cs="Times New Roman"/>
        </w:rPr>
      </w:pPr>
    </w:p>
    <w:p w14:paraId="62E43533"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13A6D4B9" wp14:editId="023B861E">
            <wp:extent cx="3704590" cy="3091815"/>
            <wp:effectExtent l="0" t="0" r="0" b="0"/>
            <wp:docPr id="15" name="图片 15" descr="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S5"/>
                    <pic:cNvPicPr>
                      <a:picLocks noChangeAspect="1"/>
                    </pic:cNvPicPr>
                  </pic:nvPicPr>
                  <pic:blipFill>
                    <a:blip r:embed="rId12"/>
                    <a:srcRect t="4623"/>
                    <a:stretch>
                      <a:fillRect/>
                    </a:stretch>
                  </pic:blipFill>
                  <pic:spPr>
                    <a:xfrm>
                      <a:off x="0" y="0"/>
                      <a:ext cx="3704590" cy="3091815"/>
                    </a:xfrm>
                    <a:prstGeom prst="rect">
                      <a:avLst/>
                    </a:prstGeom>
                  </pic:spPr>
                </pic:pic>
              </a:graphicData>
            </a:graphic>
          </wp:inline>
        </w:drawing>
      </w:r>
    </w:p>
    <w:p w14:paraId="67D9D099"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S5.</w:t>
      </w:r>
      <w:r w:rsidRPr="00DA5F73">
        <w:rPr>
          <w:rFonts w:ascii="Times New Roman" w:hAnsi="Times New Roman" w:cs="Times New Roman"/>
        </w:rPr>
        <w:t xml:space="preserve"> ECSA-normalized LSV curves.</w:t>
      </w:r>
    </w:p>
    <w:p w14:paraId="2A246D14" w14:textId="77777777" w:rsidR="008325C7" w:rsidRPr="00DA5F73" w:rsidRDefault="008325C7">
      <w:pPr>
        <w:jc w:val="center"/>
        <w:rPr>
          <w:rFonts w:ascii="Times New Roman" w:hAnsi="Times New Roman" w:cs="Times New Roman"/>
        </w:rPr>
      </w:pPr>
    </w:p>
    <w:p w14:paraId="52795688"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lastRenderedPageBreak/>
        <w:drawing>
          <wp:inline distT="0" distB="0" distL="114300" distR="114300" wp14:anchorId="4094D642" wp14:editId="28EC8603">
            <wp:extent cx="3704590" cy="3241675"/>
            <wp:effectExtent l="0" t="0" r="0" b="0"/>
            <wp:docPr id="16" name="图片 16" descr="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S6"/>
                    <pic:cNvPicPr>
                      <a:picLocks noChangeAspect="1"/>
                    </pic:cNvPicPr>
                  </pic:nvPicPr>
                  <pic:blipFill>
                    <a:blip r:embed="rId13"/>
                    <a:stretch>
                      <a:fillRect/>
                    </a:stretch>
                  </pic:blipFill>
                  <pic:spPr>
                    <a:xfrm>
                      <a:off x="0" y="0"/>
                      <a:ext cx="3704590" cy="3241675"/>
                    </a:xfrm>
                    <a:prstGeom prst="rect">
                      <a:avLst/>
                    </a:prstGeom>
                  </pic:spPr>
                </pic:pic>
              </a:graphicData>
            </a:graphic>
          </wp:inline>
        </w:drawing>
      </w:r>
    </w:p>
    <w:p w14:paraId="13F97713"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S6.</w:t>
      </w:r>
      <w:r w:rsidRPr="00DA5F73">
        <w:rPr>
          <w:rFonts w:ascii="Times New Roman" w:hAnsi="Times New Roman" w:cs="Times New Roman"/>
        </w:rPr>
        <w:t xml:space="preserve"> Product FE and FA production rate of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 xml:space="preserve">/NF in 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with different EG concentrations.</w:t>
      </w:r>
    </w:p>
    <w:p w14:paraId="6459DB4F" w14:textId="77777777" w:rsidR="008325C7" w:rsidRPr="00DA5F73" w:rsidRDefault="008325C7">
      <w:pPr>
        <w:jc w:val="center"/>
        <w:rPr>
          <w:rFonts w:ascii="Times New Roman" w:hAnsi="Times New Roman" w:cs="Times New Roman"/>
        </w:rPr>
      </w:pPr>
    </w:p>
    <w:p w14:paraId="663F4382"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14DDD804" wp14:editId="1DB4CA67">
            <wp:extent cx="3704590" cy="3241675"/>
            <wp:effectExtent l="0" t="0" r="0" b="0"/>
            <wp:docPr id="19" name="图片 19" descr="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S7"/>
                    <pic:cNvPicPr>
                      <a:picLocks noChangeAspect="1"/>
                    </pic:cNvPicPr>
                  </pic:nvPicPr>
                  <pic:blipFill>
                    <a:blip r:embed="rId14"/>
                    <a:stretch>
                      <a:fillRect/>
                    </a:stretch>
                  </pic:blipFill>
                  <pic:spPr>
                    <a:xfrm>
                      <a:off x="0" y="0"/>
                      <a:ext cx="3704590" cy="3241675"/>
                    </a:xfrm>
                    <a:prstGeom prst="rect">
                      <a:avLst/>
                    </a:prstGeom>
                  </pic:spPr>
                </pic:pic>
              </a:graphicData>
            </a:graphic>
          </wp:inline>
        </w:drawing>
      </w:r>
    </w:p>
    <w:p w14:paraId="240DBBF4"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S7.</w:t>
      </w:r>
      <w:r w:rsidRPr="00DA5F73">
        <w:rPr>
          <w:rFonts w:ascii="Times New Roman" w:hAnsi="Times New Roman" w:cs="Times New Roman"/>
        </w:rPr>
        <w:t xml:space="preserve"> </w:t>
      </w:r>
      <w:r w:rsidRPr="00DA5F73">
        <w:rPr>
          <w:rFonts w:ascii="Times New Roman" w:hAnsi="Times New Roman" w:cs="Times New Roman"/>
          <w:vertAlign w:val="superscript"/>
        </w:rPr>
        <w:t>1</w:t>
      </w:r>
      <w:r w:rsidRPr="00DA5F73">
        <w:rPr>
          <w:rFonts w:ascii="Times New Roman" w:hAnsi="Times New Roman" w:cs="Times New Roman"/>
        </w:rPr>
        <w:t>H NMR spectra of the electrolyte collected after electrolysis over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 xml:space="preserve">/NF in 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with different EG concentrations.</w:t>
      </w:r>
    </w:p>
    <w:p w14:paraId="3DF03E6E" w14:textId="77777777" w:rsidR="008325C7" w:rsidRPr="00DA5F73" w:rsidRDefault="008325C7">
      <w:pPr>
        <w:jc w:val="center"/>
        <w:rPr>
          <w:rFonts w:ascii="Times New Roman" w:hAnsi="Times New Roman" w:cs="Times New Roman"/>
        </w:rPr>
      </w:pPr>
    </w:p>
    <w:p w14:paraId="4497E40B" w14:textId="77777777" w:rsidR="008325C7" w:rsidRPr="00DA5F73" w:rsidRDefault="00F32507">
      <w:pPr>
        <w:rPr>
          <w:rFonts w:ascii="Times New Roman" w:hAnsi="Times New Roman" w:cs="Times New Roman"/>
        </w:rPr>
      </w:pPr>
      <w:r w:rsidRPr="00DA5F73">
        <w:rPr>
          <w:rFonts w:ascii="Times New Roman" w:hAnsi="Times New Roman" w:cs="Times New Roman"/>
          <w:noProof/>
        </w:rPr>
        <w:lastRenderedPageBreak/>
        <w:drawing>
          <wp:inline distT="0" distB="0" distL="114300" distR="114300" wp14:anchorId="3BC586B1" wp14:editId="23CD13C3">
            <wp:extent cx="5440045" cy="1800225"/>
            <wp:effectExtent l="0" t="0" r="0" b="0"/>
            <wp:docPr id="20" name="图片 20" descr="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S8"/>
                    <pic:cNvPicPr>
                      <a:picLocks noChangeAspect="1"/>
                    </pic:cNvPicPr>
                  </pic:nvPicPr>
                  <pic:blipFill>
                    <a:blip r:embed="rId15"/>
                    <a:stretch>
                      <a:fillRect/>
                    </a:stretch>
                  </pic:blipFill>
                  <pic:spPr>
                    <a:xfrm>
                      <a:off x="0" y="0"/>
                      <a:ext cx="5440045" cy="1800225"/>
                    </a:xfrm>
                    <a:prstGeom prst="rect">
                      <a:avLst/>
                    </a:prstGeom>
                  </pic:spPr>
                </pic:pic>
              </a:graphicData>
            </a:graphic>
          </wp:inline>
        </w:drawing>
      </w:r>
    </w:p>
    <w:p w14:paraId="12144AEC"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S8.</w:t>
      </w:r>
      <w:r w:rsidRPr="00DA5F73">
        <w:rPr>
          <w:rFonts w:ascii="Times New Roman" w:hAnsi="Times New Roman" w:cs="Times New Roman"/>
        </w:rPr>
        <w:t xml:space="preserve"> Successive chronoamperometric measurements of the (a)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(b)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and (c) NiO/NF at potentials from 1.3 to 1.7 V for 2 h.</w:t>
      </w:r>
    </w:p>
    <w:p w14:paraId="2F8AF9CE" w14:textId="77777777" w:rsidR="008325C7" w:rsidRPr="00DA5F73" w:rsidRDefault="008325C7">
      <w:pPr>
        <w:rPr>
          <w:rFonts w:ascii="Times New Roman" w:hAnsi="Times New Roman" w:cs="Times New Roman"/>
        </w:rPr>
      </w:pPr>
    </w:p>
    <w:p w14:paraId="019E24EA"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0D7BE30E" wp14:editId="64C240F0">
            <wp:extent cx="5631815" cy="2522855"/>
            <wp:effectExtent l="0" t="0" r="0" b="0"/>
            <wp:docPr id="21" name="图片 21" descr="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S9"/>
                    <pic:cNvPicPr>
                      <a:picLocks noChangeAspect="1"/>
                    </pic:cNvPicPr>
                  </pic:nvPicPr>
                  <pic:blipFill>
                    <a:blip r:embed="rId16"/>
                    <a:srcRect t="3104" b="3457"/>
                    <a:stretch>
                      <a:fillRect/>
                    </a:stretch>
                  </pic:blipFill>
                  <pic:spPr>
                    <a:xfrm>
                      <a:off x="0" y="0"/>
                      <a:ext cx="5631815" cy="2522855"/>
                    </a:xfrm>
                    <a:prstGeom prst="rect">
                      <a:avLst/>
                    </a:prstGeom>
                  </pic:spPr>
                </pic:pic>
              </a:graphicData>
            </a:graphic>
          </wp:inline>
        </w:drawing>
      </w:r>
    </w:p>
    <w:p w14:paraId="2AFAC6A7"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S9.</w:t>
      </w:r>
      <w:r w:rsidRPr="00DA5F73">
        <w:rPr>
          <w:rFonts w:ascii="Times New Roman" w:hAnsi="Times New Roman" w:cs="Times New Roman"/>
        </w:rPr>
        <w:t xml:space="preserve"> Calibration curves of (a)</w:t>
      </w:r>
      <w:r w:rsidRPr="00DA5F73">
        <w:rPr>
          <w:rFonts w:ascii="Times New Roman" w:hAnsi="Times New Roman" w:cs="Times New Roman" w:hint="eastAsia"/>
        </w:rPr>
        <w:t xml:space="preserve"> </w:t>
      </w:r>
      <w:r w:rsidRPr="00DA5F73">
        <w:rPr>
          <w:rFonts w:ascii="Times New Roman" w:hAnsi="Times New Roman" w:cs="Times New Roman"/>
        </w:rPr>
        <w:t>FA and (b)</w:t>
      </w:r>
      <w:r w:rsidRPr="00DA5F73">
        <w:rPr>
          <w:rFonts w:ascii="Times New Roman" w:hAnsi="Times New Roman" w:cs="Times New Roman" w:hint="eastAsia"/>
        </w:rPr>
        <w:t xml:space="preserve"> </w:t>
      </w:r>
      <w:r w:rsidRPr="00DA5F73">
        <w:rPr>
          <w:rFonts w:ascii="Times New Roman" w:hAnsi="Times New Roman" w:cs="Times New Roman"/>
        </w:rPr>
        <w:t xml:space="preserve">EG based on </w:t>
      </w:r>
      <w:r w:rsidRPr="00DA5F73">
        <w:rPr>
          <w:rFonts w:ascii="Times New Roman" w:hAnsi="Times New Roman" w:cs="Times New Roman"/>
          <w:vertAlign w:val="superscript"/>
        </w:rPr>
        <w:t>1</w:t>
      </w:r>
      <w:r w:rsidRPr="00DA5F73">
        <w:rPr>
          <w:rFonts w:ascii="Times New Roman" w:hAnsi="Times New Roman" w:cs="Times New Roman"/>
        </w:rPr>
        <w:t>H</w:t>
      </w:r>
      <w:r w:rsidRPr="00DA5F73">
        <w:rPr>
          <w:rFonts w:ascii="Times New Roman" w:hAnsi="Times New Roman" w:cs="Times New Roman" w:hint="eastAsia"/>
        </w:rPr>
        <w:t xml:space="preserve"> </w:t>
      </w:r>
      <w:r w:rsidRPr="00DA5F73">
        <w:rPr>
          <w:rFonts w:ascii="Times New Roman" w:hAnsi="Times New Roman" w:cs="Times New Roman"/>
        </w:rPr>
        <w:t>NMR analyses.</w:t>
      </w:r>
    </w:p>
    <w:p w14:paraId="71A3BD7F" w14:textId="77777777" w:rsidR="008325C7" w:rsidRPr="00DA5F73" w:rsidRDefault="008325C7">
      <w:pPr>
        <w:rPr>
          <w:rFonts w:ascii="Times New Roman" w:hAnsi="Times New Roman" w:cs="Times New Roman"/>
        </w:rPr>
      </w:pPr>
    </w:p>
    <w:p w14:paraId="31A9ABC2"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0B422184" wp14:editId="030C6EC4">
            <wp:extent cx="5455285" cy="2534920"/>
            <wp:effectExtent l="0" t="0" r="0" b="0"/>
            <wp:docPr id="22" name="图片 22" descr="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S10"/>
                    <pic:cNvPicPr>
                      <a:picLocks noChangeAspect="1"/>
                    </pic:cNvPicPr>
                  </pic:nvPicPr>
                  <pic:blipFill>
                    <a:blip r:embed="rId17"/>
                    <a:srcRect t="2375" b="3739"/>
                    <a:stretch>
                      <a:fillRect/>
                    </a:stretch>
                  </pic:blipFill>
                  <pic:spPr>
                    <a:xfrm>
                      <a:off x="0" y="0"/>
                      <a:ext cx="5455285" cy="2534920"/>
                    </a:xfrm>
                    <a:prstGeom prst="rect">
                      <a:avLst/>
                    </a:prstGeom>
                  </pic:spPr>
                </pic:pic>
              </a:graphicData>
            </a:graphic>
          </wp:inline>
        </w:drawing>
      </w:r>
    </w:p>
    <w:p w14:paraId="552F0206"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S10.</w:t>
      </w:r>
      <w:r w:rsidRPr="00DA5F73">
        <w:rPr>
          <w:rFonts w:ascii="Times New Roman" w:hAnsi="Times New Roman" w:cs="Times New Roman"/>
        </w:rPr>
        <w:t xml:space="preserve"> </w:t>
      </w:r>
      <w:r w:rsidRPr="00DA5F73">
        <w:rPr>
          <w:rFonts w:ascii="Times New Roman" w:hAnsi="Times New Roman" w:cs="Times New Roman"/>
          <w:vertAlign w:val="superscript"/>
        </w:rPr>
        <w:t>1</w:t>
      </w:r>
      <w:r w:rsidRPr="00DA5F73">
        <w:rPr>
          <w:rFonts w:ascii="Times New Roman" w:hAnsi="Times New Roman" w:cs="Times New Roman"/>
        </w:rPr>
        <w:t>H NMR spectra of the electrolyte collected after 2 h electrolysis over (a)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 (b) NiO/NF after electrolysis at potentials from 1.3 to 1.7 V.</w:t>
      </w:r>
    </w:p>
    <w:p w14:paraId="076D8423" w14:textId="77777777" w:rsidR="008325C7" w:rsidRPr="00DA5F73" w:rsidRDefault="008325C7">
      <w:pPr>
        <w:jc w:val="center"/>
        <w:rPr>
          <w:rFonts w:ascii="Times New Roman" w:hAnsi="Times New Roman" w:cs="Times New Roman"/>
        </w:rPr>
      </w:pPr>
    </w:p>
    <w:p w14:paraId="0F72F208"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lastRenderedPageBreak/>
        <w:drawing>
          <wp:inline distT="0" distB="0" distL="114300" distR="114300" wp14:anchorId="0F021652" wp14:editId="5E1EF559">
            <wp:extent cx="5605780" cy="2700020"/>
            <wp:effectExtent l="0" t="0" r="0" b="0"/>
            <wp:docPr id="23" name="图片 23" descr="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S11"/>
                    <pic:cNvPicPr>
                      <a:picLocks noChangeAspect="1"/>
                    </pic:cNvPicPr>
                  </pic:nvPicPr>
                  <pic:blipFill>
                    <a:blip r:embed="rId18"/>
                    <a:stretch>
                      <a:fillRect/>
                    </a:stretch>
                  </pic:blipFill>
                  <pic:spPr>
                    <a:xfrm>
                      <a:off x="0" y="0"/>
                      <a:ext cx="5605780" cy="2700020"/>
                    </a:xfrm>
                    <a:prstGeom prst="rect">
                      <a:avLst/>
                    </a:prstGeom>
                  </pic:spPr>
                </pic:pic>
              </a:graphicData>
            </a:graphic>
          </wp:inline>
        </w:drawing>
      </w:r>
    </w:p>
    <w:p w14:paraId="47BBE30A"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S11.</w:t>
      </w:r>
      <w:r w:rsidRPr="00DA5F73">
        <w:rPr>
          <w:rFonts w:ascii="Times New Roman" w:hAnsi="Times New Roman" w:cs="Times New Roman"/>
        </w:rPr>
        <w:t xml:space="preserve"> Product FEs at different potentials over (a)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 xml:space="preserve">/NF </w:t>
      </w:r>
      <w:r w:rsidRPr="00DA5F73">
        <w:rPr>
          <w:rFonts w:ascii="Times New Roman" w:hAnsi="Times New Roman" w:cs="Times New Roman" w:hint="eastAsia"/>
        </w:rPr>
        <w:t xml:space="preserve">and </w:t>
      </w:r>
      <w:r w:rsidRPr="00DA5F73">
        <w:rPr>
          <w:rFonts w:ascii="Times New Roman" w:hAnsi="Times New Roman" w:cs="Times New Roman"/>
        </w:rPr>
        <w:t>(b) NiO/NF.</w:t>
      </w:r>
    </w:p>
    <w:p w14:paraId="76BE8297"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64B73298" wp14:editId="631CD432">
            <wp:extent cx="3704590" cy="3241675"/>
            <wp:effectExtent l="0" t="0" r="0" b="0"/>
            <wp:docPr id="24" name="图片 24" descr="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S12"/>
                    <pic:cNvPicPr>
                      <a:picLocks noChangeAspect="1"/>
                    </pic:cNvPicPr>
                  </pic:nvPicPr>
                  <pic:blipFill>
                    <a:blip r:embed="rId19"/>
                    <a:stretch>
                      <a:fillRect/>
                    </a:stretch>
                  </pic:blipFill>
                  <pic:spPr>
                    <a:xfrm>
                      <a:off x="0" y="0"/>
                      <a:ext cx="3704590" cy="3241675"/>
                    </a:xfrm>
                    <a:prstGeom prst="rect">
                      <a:avLst/>
                    </a:prstGeom>
                  </pic:spPr>
                </pic:pic>
              </a:graphicData>
            </a:graphic>
          </wp:inline>
        </w:drawing>
      </w:r>
    </w:p>
    <w:p w14:paraId="213257AA" w14:textId="2BF23252" w:rsidR="008325C7" w:rsidRPr="00DA5F73" w:rsidRDefault="00F32507" w:rsidP="003560FA">
      <w:pPr>
        <w:jc w:val="center"/>
        <w:rPr>
          <w:rFonts w:ascii="Times New Roman" w:hAnsi="Times New Roman" w:cs="Times New Roman" w:hint="eastAsia"/>
        </w:rPr>
      </w:pPr>
      <w:r w:rsidRPr="00DA5F73">
        <w:rPr>
          <w:rFonts w:ascii="Times New Roman" w:hAnsi="Times New Roman" w:cs="Times New Roman"/>
          <w:b/>
          <w:bCs/>
        </w:rPr>
        <w:t>Figure S12.</w:t>
      </w:r>
      <w:r w:rsidRPr="00DA5F73">
        <w:rPr>
          <w:rFonts w:ascii="Times New Roman" w:hAnsi="Times New Roman" w:cs="Times New Roman"/>
        </w:rPr>
        <w:t xml:space="preserve"> </w:t>
      </w:r>
      <w:r w:rsidRPr="00DA5F73">
        <w:rPr>
          <w:rFonts w:ascii="Times New Roman" w:hAnsi="Times New Roman" w:cs="Times New Roman"/>
          <w:vertAlign w:val="superscript"/>
        </w:rPr>
        <w:t>1</w:t>
      </w:r>
      <w:r w:rsidRPr="00DA5F73">
        <w:rPr>
          <w:rFonts w:ascii="Times New Roman" w:hAnsi="Times New Roman" w:cs="Times New Roman"/>
        </w:rPr>
        <w:t>H NMR spectra of successive chronoamperometric stability test at 1.5 V by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w:t>
      </w:r>
    </w:p>
    <w:p w14:paraId="2359CB4F"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64058057" wp14:editId="42198550">
            <wp:extent cx="5271135" cy="1831340"/>
            <wp:effectExtent l="0" t="0" r="5715" b="16510"/>
            <wp:docPr id="3" name="图片 3" descr="新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新S13"/>
                    <pic:cNvPicPr>
                      <a:picLocks noChangeAspect="1"/>
                    </pic:cNvPicPr>
                  </pic:nvPicPr>
                  <pic:blipFill>
                    <a:blip r:embed="rId20"/>
                    <a:stretch>
                      <a:fillRect/>
                    </a:stretch>
                  </pic:blipFill>
                  <pic:spPr>
                    <a:xfrm>
                      <a:off x="0" y="0"/>
                      <a:ext cx="5271135" cy="1831340"/>
                    </a:xfrm>
                    <a:prstGeom prst="rect">
                      <a:avLst/>
                    </a:prstGeom>
                  </pic:spPr>
                </pic:pic>
              </a:graphicData>
            </a:graphic>
          </wp:inline>
        </w:drawing>
      </w:r>
    </w:p>
    <w:p w14:paraId="46D9522B" w14:textId="77777777" w:rsidR="008325C7" w:rsidRPr="00DA5F73" w:rsidRDefault="00F32507">
      <w:pPr>
        <w:jc w:val="center"/>
        <w:rPr>
          <w:rFonts w:ascii="Times New Roman" w:hAnsi="Times New Roman" w:cs="Times New Roman"/>
          <w:b/>
          <w:bCs/>
        </w:rPr>
      </w:pPr>
      <w:r w:rsidRPr="00DA5F73">
        <w:rPr>
          <w:rFonts w:ascii="Times New Roman" w:hAnsi="Times New Roman" w:cs="Times New Roman"/>
          <w:b/>
          <w:bCs/>
        </w:rPr>
        <w:lastRenderedPageBreak/>
        <w:t>Figure S13. Post-electrolysis SEM images of NiCo</w:t>
      </w:r>
      <w:r w:rsidRPr="00DA5F73">
        <w:rPr>
          <w:rFonts w:ascii="Times New Roman" w:hAnsi="Times New Roman" w:cs="Times New Roman"/>
          <w:b/>
          <w:bCs/>
          <w:vertAlign w:val="subscript"/>
        </w:rPr>
        <w:t>2</w:t>
      </w:r>
      <w:r w:rsidRPr="00DA5F73">
        <w:rPr>
          <w:rFonts w:ascii="Times New Roman" w:hAnsi="Times New Roman" w:cs="Times New Roman"/>
          <w:b/>
          <w:bCs/>
        </w:rPr>
        <w:t>O</w:t>
      </w:r>
      <w:r w:rsidRPr="00DA5F73">
        <w:rPr>
          <w:rFonts w:ascii="Times New Roman" w:hAnsi="Times New Roman" w:cs="Times New Roman"/>
          <w:b/>
          <w:bCs/>
          <w:vertAlign w:val="subscript"/>
        </w:rPr>
        <w:t>4</w:t>
      </w:r>
      <w:r w:rsidRPr="00DA5F73">
        <w:rPr>
          <w:rFonts w:ascii="Times New Roman" w:hAnsi="Times New Roman" w:cs="Times New Roman"/>
          <w:b/>
          <w:bCs/>
        </w:rPr>
        <w:t>/NF at different magnifications after the 50 h consecutive chronoamperometric EGOR stability test in 1.0 mol·L</w:t>
      </w:r>
      <w:r w:rsidRPr="00DA5F73">
        <w:rPr>
          <w:rFonts w:ascii="Times New Roman" w:hAnsi="Times New Roman" w:cs="Times New Roman"/>
          <w:b/>
          <w:bCs/>
          <w:kern w:val="0"/>
          <w:sz w:val="24"/>
          <w:vertAlign w:val="superscript"/>
        </w:rPr>
        <w:t>-1</w:t>
      </w:r>
      <w:r w:rsidRPr="00DA5F73">
        <w:rPr>
          <w:rFonts w:ascii="Times New Roman" w:hAnsi="Times New Roman" w:cs="Times New Roman"/>
          <w:b/>
          <w:bCs/>
        </w:rPr>
        <w:t xml:space="preserve"> KOH containing 0.5 mol·L</w:t>
      </w:r>
      <w:r w:rsidRPr="00DA5F73">
        <w:rPr>
          <w:rFonts w:ascii="Times New Roman" w:hAnsi="Times New Roman" w:cs="Times New Roman"/>
          <w:b/>
          <w:bCs/>
          <w:kern w:val="0"/>
          <w:sz w:val="24"/>
          <w:vertAlign w:val="superscript"/>
        </w:rPr>
        <w:t>-1</w:t>
      </w:r>
      <w:r w:rsidRPr="00DA5F73">
        <w:rPr>
          <w:rFonts w:ascii="Times New Roman" w:hAnsi="Times New Roman" w:cs="Times New Roman"/>
          <w:b/>
          <w:bCs/>
        </w:rPr>
        <w:t xml:space="preserve"> EG at 1.50 V.</w:t>
      </w:r>
    </w:p>
    <w:p w14:paraId="1A320581" w14:textId="77777777" w:rsidR="008325C7" w:rsidRPr="00DA5F73" w:rsidRDefault="008325C7">
      <w:pPr>
        <w:rPr>
          <w:rFonts w:ascii="Times New Roman" w:hAnsi="Times New Roman" w:cs="Times New Roman"/>
        </w:rPr>
      </w:pPr>
    </w:p>
    <w:p w14:paraId="0C09DD17"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drawing>
          <wp:inline distT="0" distB="0" distL="114300" distR="114300" wp14:anchorId="681C23A1" wp14:editId="1A8FC1F7">
            <wp:extent cx="5830570" cy="1997710"/>
            <wp:effectExtent l="0" t="0" r="0" b="0"/>
            <wp:docPr id="27" name="图片 27" descr="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S13"/>
                    <pic:cNvPicPr>
                      <a:picLocks noChangeAspect="1"/>
                    </pic:cNvPicPr>
                  </pic:nvPicPr>
                  <pic:blipFill>
                    <a:blip r:embed="rId21"/>
                    <a:srcRect l="12519" t="7525" r="8746"/>
                    <a:stretch>
                      <a:fillRect/>
                    </a:stretch>
                  </pic:blipFill>
                  <pic:spPr>
                    <a:xfrm>
                      <a:off x="0" y="0"/>
                      <a:ext cx="5830570" cy="1997710"/>
                    </a:xfrm>
                    <a:prstGeom prst="rect">
                      <a:avLst/>
                    </a:prstGeom>
                  </pic:spPr>
                </pic:pic>
              </a:graphicData>
            </a:graphic>
          </wp:inline>
        </w:drawing>
      </w:r>
    </w:p>
    <w:p w14:paraId="717369CF"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S1</w:t>
      </w:r>
      <w:r w:rsidRPr="00DA5F73">
        <w:rPr>
          <w:rFonts w:ascii="Times New Roman" w:hAnsi="Times New Roman" w:cs="Times New Roman" w:hint="eastAsia"/>
          <w:b/>
          <w:bCs/>
        </w:rPr>
        <w:t>4</w:t>
      </w:r>
      <w:r w:rsidRPr="00DA5F73">
        <w:rPr>
          <w:rFonts w:ascii="Times New Roman" w:hAnsi="Times New Roman" w:cs="Times New Roman"/>
          <w:b/>
          <w:bCs/>
        </w:rPr>
        <w:t>.</w:t>
      </w:r>
      <w:r w:rsidRPr="00DA5F73">
        <w:rPr>
          <w:rFonts w:ascii="Times New Roman" w:hAnsi="Times New Roman" w:cs="Times New Roman"/>
        </w:rPr>
        <w:t xml:space="preserve"> Electrochemical oxidation of PET hydrolysate over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w:t>
      </w:r>
    </w:p>
    <w:p w14:paraId="73AF1BB6" w14:textId="77777777" w:rsidR="008325C7" w:rsidRPr="00DA5F73" w:rsidRDefault="008325C7">
      <w:pPr>
        <w:rPr>
          <w:rFonts w:ascii="Times New Roman" w:hAnsi="Times New Roman" w:cs="Times New Roman"/>
        </w:rPr>
      </w:pPr>
    </w:p>
    <w:p w14:paraId="1FC71C84"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noProof/>
        </w:rPr>
        <w:drawing>
          <wp:inline distT="0" distB="0" distL="114300" distR="114300" wp14:anchorId="1810D87B" wp14:editId="594D9F8E">
            <wp:extent cx="3704590" cy="2785110"/>
            <wp:effectExtent l="0" t="0" r="0" b="0"/>
            <wp:docPr id="28" name="图片 28" descr="S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S14"/>
                    <pic:cNvPicPr>
                      <a:picLocks noChangeAspect="1"/>
                    </pic:cNvPicPr>
                  </pic:nvPicPr>
                  <pic:blipFill>
                    <a:blip r:embed="rId22"/>
                    <a:srcRect t="9853" b="4231"/>
                    <a:stretch>
                      <a:fillRect/>
                    </a:stretch>
                  </pic:blipFill>
                  <pic:spPr>
                    <a:xfrm>
                      <a:off x="0" y="0"/>
                      <a:ext cx="3704590" cy="2785110"/>
                    </a:xfrm>
                    <a:prstGeom prst="rect">
                      <a:avLst/>
                    </a:prstGeom>
                  </pic:spPr>
                </pic:pic>
              </a:graphicData>
            </a:graphic>
          </wp:inline>
        </w:drawing>
      </w:r>
    </w:p>
    <w:p w14:paraId="349DB01F" w14:textId="77777777" w:rsidR="008325C7" w:rsidRPr="00DA5F73" w:rsidRDefault="00F32507">
      <w:pPr>
        <w:jc w:val="center"/>
        <w:rPr>
          <w:rFonts w:ascii="Times New Roman" w:hAnsi="Times New Roman" w:cs="Times New Roman"/>
        </w:rPr>
      </w:pPr>
      <w:r w:rsidRPr="00DA5F73">
        <w:rPr>
          <w:rFonts w:ascii="Times New Roman" w:hAnsi="Times New Roman" w:cs="Times New Roman"/>
          <w:b/>
          <w:bCs/>
        </w:rPr>
        <w:t>Figure S1</w:t>
      </w:r>
      <w:r w:rsidRPr="00DA5F73">
        <w:rPr>
          <w:rFonts w:ascii="Times New Roman" w:hAnsi="Times New Roman" w:cs="Times New Roman" w:hint="eastAsia"/>
          <w:b/>
          <w:bCs/>
        </w:rPr>
        <w:t>5</w:t>
      </w:r>
      <w:r w:rsidRPr="00DA5F73">
        <w:rPr>
          <w:rFonts w:ascii="Times New Roman" w:hAnsi="Times New Roman" w:cs="Times New Roman"/>
          <w:b/>
          <w:bCs/>
        </w:rPr>
        <w:t>.</w:t>
      </w:r>
      <w:r w:rsidRPr="00DA5F73">
        <w:rPr>
          <w:rFonts w:ascii="Times New Roman" w:hAnsi="Times New Roman" w:cs="Times New Roman"/>
        </w:rPr>
        <w:t xml:space="preserve"> </w:t>
      </w:r>
      <w:r w:rsidRPr="00DA5F73">
        <w:rPr>
          <w:rFonts w:ascii="Times New Roman" w:hAnsi="Times New Roman" w:cs="Times New Roman"/>
          <w:vertAlign w:val="superscript"/>
        </w:rPr>
        <w:t>1</w:t>
      </w:r>
      <w:r w:rsidRPr="00DA5F73">
        <w:rPr>
          <w:rFonts w:ascii="Times New Roman" w:hAnsi="Times New Roman" w:cs="Times New Roman"/>
        </w:rPr>
        <w:t>H NMR spectra of the electrolyte after electrolysis of PET hydrolysate over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w:t>
      </w:r>
    </w:p>
    <w:p w14:paraId="207A69A2" w14:textId="77777777" w:rsidR="008325C7" w:rsidRPr="00DA5F73" w:rsidRDefault="008325C7">
      <w:pPr>
        <w:jc w:val="center"/>
        <w:rPr>
          <w:rFonts w:ascii="Times New Roman" w:hAnsi="Times New Roman" w:cs="Times New Roman"/>
        </w:rPr>
      </w:pPr>
    </w:p>
    <w:p w14:paraId="13333390" w14:textId="77777777" w:rsidR="008325C7" w:rsidRPr="00DA5F73" w:rsidRDefault="00F32507">
      <w:pPr>
        <w:jc w:val="center"/>
        <w:rPr>
          <w:rFonts w:ascii="Times New Roman" w:hAnsi="Times New Roman" w:cs="Times New Roman"/>
        </w:rPr>
      </w:pPr>
      <w:r w:rsidRPr="00DA5F73">
        <w:rPr>
          <w:rFonts w:ascii="Times New Roman" w:hAnsi="Times New Roman" w:cs="Times New Roman"/>
          <w:noProof/>
        </w:rPr>
        <w:lastRenderedPageBreak/>
        <w:drawing>
          <wp:inline distT="0" distB="0" distL="114300" distR="114300" wp14:anchorId="11EEDF42" wp14:editId="13F7A432">
            <wp:extent cx="5608955" cy="2700020"/>
            <wp:effectExtent l="0" t="0" r="0" b="0"/>
            <wp:docPr id="29" name="图片 29" descr="S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S15"/>
                    <pic:cNvPicPr>
                      <a:picLocks noChangeAspect="1"/>
                    </pic:cNvPicPr>
                  </pic:nvPicPr>
                  <pic:blipFill>
                    <a:blip r:embed="rId23"/>
                    <a:stretch>
                      <a:fillRect/>
                    </a:stretch>
                  </pic:blipFill>
                  <pic:spPr>
                    <a:xfrm>
                      <a:off x="0" y="0"/>
                      <a:ext cx="5608955" cy="2700020"/>
                    </a:xfrm>
                    <a:prstGeom prst="rect">
                      <a:avLst/>
                    </a:prstGeom>
                  </pic:spPr>
                </pic:pic>
              </a:graphicData>
            </a:graphic>
          </wp:inline>
        </w:drawing>
      </w:r>
    </w:p>
    <w:p w14:paraId="2E4DC845" w14:textId="77777777" w:rsidR="008325C7" w:rsidRPr="00DA5F73" w:rsidRDefault="00F32507">
      <w:pPr>
        <w:jc w:val="center"/>
        <w:rPr>
          <w:rFonts w:ascii="Times New Roman" w:eastAsia="宋体" w:hAnsi="Times New Roman" w:cs="Times New Roman"/>
        </w:rPr>
      </w:pPr>
      <w:r w:rsidRPr="00DA5F73">
        <w:rPr>
          <w:rFonts w:ascii="Times New Roman" w:hAnsi="Times New Roman" w:cs="Times New Roman"/>
          <w:b/>
          <w:bCs/>
        </w:rPr>
        <w:t>Figure S1</w:t>
      </w:r>
      <w:r w:rsidRPr="00DA5F73">
        <w:rPr>
          <w:rFonts w:ascii="Times New Roman" w:hAnsi="Times New Roman" w:cs="Times New Roman" w:hint="eastAsia"/>
          <w:b/>
          <w:bCs/>
        </w:rPr>
        <w:t>6</w:t>
      </w:r>
      <w:r w:rsidRPr="00DA5F73">
        <w:rPr>
          <w:rFonts w:ascii="Times New Roman" w:hAnsi="Times New Roman" w:cs="Times New Roman"/>
          <w:b/>
          <w:bCs/>
        </w:rPr>
        <w:t>.</w:t>
      </w:r>
      <w:r w:rsidRPr="00DA5F73">
        <w:rPr>
          <w:rFonts w:ascii="Times New Roman" w:eastAsia="宋体" w:hAnsi="Times New Roman" w:cs="Times New Roman"/>
          <w:szCs w:val="21"/>
          <w:lang w:bidi="ar"/>
        </w:rPr>
        <w:t xml:space="preserve"> XRD patterns of self-prepared (a) TPA and (b) KDF.</w:t>
      </w:r>
    </w:p>
    <w:p w14:paraId="7908D84E" w14:textId="04A02B92" w:rsidR="008325C7" w:rsidRPr="00DA5F73" w:rsidRDefault="008325C7">
      <w:pPr>
        <w:rPr>
          <w:rFonts w:ascii="Times New Roman" w:hAnsi="Times New Roman" w:cs="Times New Roman"/>
        </w:rPr>
      </w:pPr>
    </w:p>
    <w:p w14:paraId="635F0EF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Table S2. Mass loading of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 xml:space="preserve"> on Ni foam</w:t>
      </w:r>
    </w:p>
    <w:tbl>
      <w:tblPr>
        <w:tblStyle w:val="a6"/>
        <w:tblW w:w="0" w:type="auto"/>
        <w:tblBorders>
          <w:insideH w:val="none" w:sz="0" w:space="0" w:color="auto"/>
          <w:insideV w:val="none" w:sz="0" w:space="0" w:color="auto"/>
        </w:tblBorders>
        <w:tblLook w:val="04A0" w:firstRow="1" w:lastRow="0" w:firstColumn="1" w:lastColumn="0" w:noHBand="0" w:noVBand="1"/>
      </w:tblPr>
      <w:tblGrid>
        <w:gridCol w:w="2130"/>
        <w:gridCol w:w="2130"/>
        <w:gridCol w:w="2131"/>
        <w:gridCol w:w="2131"/>
      </w:tblGrid>
      <w:tr w:rsidR="00DA5F73" w:rsidRPr="00DA5F73" w14:paraId="37895756" w14:textId="77777777">
        <w:tc>
          <w:tcPr>
            <w:tcW w:w="2130" w:type="dxa"/>
            <w:tcBorders>
              <w:left w:val="nil"/>
              <w:bottom w:val="single" w:sz="4" w:space="0" w:color="auto"/>
            </w:tcBorders>
          </w:tcPr>
          <w:p w14:paraId="50CED40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Sample</w:t>
            </w:r>
          </w:p>
        </w:tc>
        <w:tc>
          <w:tcPr>
            <w:tcW w:w="2130" w:type="dxa"/>
            <w:tcBorders>
              <w:bottom w:val="single" w:sz="4" w:space="0" w:color="auto"/>
            </w:tcBorders>
          </w:tcPr>
          <w:p w14:paraId="29A9F64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of Ni foam</w:t>
            </w:r>
          </w:p>
          <w:p w14:paraId="7858D4EE"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rPr>
              <w:t xml:space="preserve"> (</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c>
          <w:tcPr>
            <w:tcW w:w="2131" w:type="dxa"/>
            <w:tcBorders>
              <w:bottom w:val="single" w:sz="4" w:space="0" w:color="auto"/>
            </w:tcBorders>
          </w:tcPr>
          <w:p w14:paraId="02EDACF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of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w:t>
            </w:r>
          </w:p>
          <w:p w14:paraId="73106467"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rPr>
              <w:t xml:space="preserve"> (</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c>
          <w:tcPr>
            <w:tcW w:w="2131" w:type="dxa"/>
            <w:tcBorders>
              <w:bottom w:val="single" w:sz="4" w:space="0" w:color="auto"/>
              <w:right w:val="nil"/>
            </w:tcBorders>
          </w:tcPr>
          <w:p w14:paraId="56E8AED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loading of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hint="eastAsia"/>
              </w:rPr>
              <w:t xml:space="preserve"> (</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r>
      <w:tr w:rsidR="00DA5F73" w:rsidRPr="00DA5F73" w14:paraId="0AAEE72D" w14:textId="77777777">
        <w:tc>
          <w:tcPr>
            <w:tcW w:w="2130" w:type="dxa"/>
            <w:tcBorders>
              <w:top w:val="single" w:sz="4" w:space="0" w:color="auto"/>
              <w:left w:val="nil"/>
            </w:tcBorders>
          </w:tcPr>
          <w:p w14:paraId="2AE84C2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w:t>
            </w:r>
          </w:p>
        </w:tc>
        <w:tc>
          <w:tcPr>
            <w:tcW w:w="2130" w:type="dxa"/>
            <w:tcBorders>
              <w:top w:val="single" w:sz="4" w:space="0" w:color="auto"/>
            </w:tcBorders>
          </w:tcPr>
          <w:p w14:paraId="2CBEE3DD"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35.05</w:t>
            </w:r>
          </w:p>
        </w:tc>
        <w:tc>
          <w:tcPr>
            <w:tcW w:w="2131" w:type="dxa"/>
            <w:tcBorders>
              <w:top w:val="single" w:sz="4" w:space="0" w:color="auto"/>
            </w:tcBorders>
          </w:tcPr>
          <w:p w14:paraId="323871B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37.88</w:t>
            </w:r>
          </w:p>
        </w:tc>
        <w:tc>
          <w:tcPr>
            <w:tcW w:w="2131" w:type="dxa"/>
            <w:tcBorders>
              <w:top w:val="single" w:sz="4" w:space="0" w:color="auto"/>
              <w:right w:val="nil"/>
            </w:tcBorders>
          </w:tcPr>
          <w:p w14:paraId="3A708BC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2.83</w:t>
            </w:r>
          </w:p>
        </w:tc>
      </w:tr>
      <w:tr w:rsidR="00DA5F73" w:rsidRPr="00DA5F73" w14:paraId="328DA31F" w14:textId="77777777">
        <w:tc>
          <w:tcPr>
            <w:tcW w:w="2130" w:type="dxa"/>
            <w:tcBorders>
              <w:left w:val="nil"/>
            </w:tcBorders>
          </w:tcPr>
          <w:p w14:paraId="72E75E5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w:t>
            </w:r>
          </w:p>
        </w:tc>
        <w:tc>
          <w:tcPr>
            <w:tcW w:w="2130" w:type="dxa"/>
          </w:tcPr>
          <w:p w14:paraId="311A59BD"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35.75</w:t>
            </w:r>
          </w:p>
        </w:tc>
        <w:tc>
          <w:tcPr>
            <w:tcW w:w="2131" w:type="dxa"/>
          </w:tcPr>
          <w:p w14:paraId="5AF17B8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38.50</w:t>
            </w:r>
          </w:p>
        </w:tc>
        <w:tc>
          <w:tcPr>
            <w:tcW w:w="2131" w:type="dxa"/>
            <w:tcBorders>
              <w:right w:val="nil"/>
            </w:tcBorders>
          </w:tcPr>
          <w:p w14:paraId="7D1BE78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2.75</w:t>
            </w:r>
          </w:p>
        </w:tc>
      </w:tr>
      <w:tr w:rsidR="00DA5F73" w:rsidRPr="00DA5F73" w14:paraId="28711A6E" w14:textId="77777777">
        <w:tc>
          <w:tcPr>
            <w:tcW w:w="2130" w:type="dxa"/>
            <w:tcBorders>
              <w:left w:val="nil"/>
            </w:tcBorders>
          </w:tcPr>
          <w:p w14:paraId="7EB7B2F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w:t>
            </w:r>
          </w:p>
        </w:tc>
        <w:tc>
          <w:tcPr>
            <w:tcW w:w="2130" w:type="dxa"/>
          </w:tcPr>
          <w:p w14:paraId="68591A8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35.86</w:t>
            </w:r>
          </w:p>
        </w:tc>
        <w:tc>
          <w:tcPr>
            <w:tcW w:w="2131" w:type="dxa"/>
          </w:tcPr>
          <w:p w14:paraId="3D5C59E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38.63</w:t>
            </w:r>
          </w:p>
        </w:tc>
        <w:tc>
          <w:tcPr>
            <w:tcW w:w="2131" w:type="dxa"/>
            <w:tcBorders>
              <w:right w:val="nil"/>
            </w:tcBorders>
          </w:tcPr>
          <w:p w14:paraId="1AF0F19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2.77</w:t>
            </w:r>
          </w:p>
        </w:tc>
      </w:tr>
      <w:tr w:rsidR="008325C7" w:rsidRPr="00DA5F73" w14:paraId="7085E325" w14:textId="77777777">
        <w:tc>
          <w:tcPr>
            <w:tcW w:w="2130" w:type="dxa"/>
            <w:tcBorders>
              <w:left w:val="nil"/>
            </w:tcBorders>
          </w:tcPr>
          <w:p w14:paraId="160FA90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Average</w:t>
            </w:r>
          </w:p>
        </w:tc>
        <w:tc>
          <w:tcPr>
            <w:tcW w:w="2130" w:type="dxa"/>
          </w:tcPr>
          <w:p w14:paraId="71D36A4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w:t>
            </w:r>
          </w:p>
        </w:tc>
        <w:tc>
          <w:tcPr>
            <w:tcW w:w="2131" w:type="dxa"/>
          </w:tcPr>
          <w:p w14:paraId="56A1C4C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w:t>
            </w:r>
          </w:p>
        </w:tc>
        <w:tc>
          <w:tcPr>
            <w:tcW w:w="2131" w:type="dxa"/>
            <w:tcBorders>
              <w:right w:val="nil"/>
            </w:tcBorders>
          </w:tcPr>
          <w:p w14:paraId="1706876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2.78</w:t>
            </w:r>
          </w:p>
        </w:tc>
      </w:tr>
    </w:tbl>
    <w:p w14:paraId="5B67E306" w14:textId="77777777" w:rsidR="008325C7" w:rsidRPr="00DA5F73" w:rsidRDefault="008325C7">
      <w:pPr>
        <w:jc w:val="center"/>
        <w:rPr>
          <w:rFonts w:ascii="Times New Roman" w:hAnsi="Times New Roman" w:cs="Times New Roman"/>
        </w:rPr>
      </w:pPr>
    </w:p>
    <w:p w14:paraId="3B7D3C4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Table S3. Mass loading of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 xml:space="preserve"> on Ni foam</w:t>
      </w:r>
    </w:p>
    <w:tbl>
      <w:tblPr>
        <w:tblStyle w:val="a6"/>
        <w:tblW w:w="0" w:type="auto"/>
        <w:tblLook w:val="04A0" w:firstRow="1" w:lastRow="0" w:firstColumn="1" w:lastColumn="0" w:noHBand="0" w:noVBand="1"/>
      </w:tblPr>
      <w:tblGrid>
        <w:gridCol w:w="2130"/>
        <w:gridCol w:w="2130"/>
        <w:gridCol w:w="2131"/>
        <w:gridCol w:w="2131"/>
      </w:tblGrid>
      <w:tr w:rsidR="00DA5F73" w:rsidRPr="00DA5F73" w14:paraId="34F9846F" w14:textId="77777777">
        <w:tc>
          <w:tcPr>
            <w:tcW w:w="2130" w:type="dxa"/>
            <w:tcBorders>
              <w:left w:val="nil"/>
              <w:right w:val="nil"/>
            </w:tcBorders>
          </w:tcPr>
          <w:p w14:paraId="4E7DC36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Sample</w:t>
            </w:r>
          </w:p>
        </w:tc>
        <w:tc>
          <w:tcPr>
            <w:tcW w:w="2130" w:type="dxa"/>
            <w:tcBorders>
              <w:left w:val="nil"/>
              <w:right w:val="nil"/>
            </w:tcBorders>
          </w:tcPr>
          <w:p w14:paraId="49BF652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of Ni foam</w:t>
            </w:r>
          </w:p>
          <w:p w14:paraId="4E9824E4"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rPr>
              <w:t xml:space="preserve"> (</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c>
          <w:tcPr>
            <w:tcW w:w="2131" w:type="dxa"/>
            <w:tcBorders>
              <w:left w:val="nil"/>
              <w:right w:val="nil"/>
            </w:tcBorders>
          </w:tcPr>
          <w:p w14:paraId="3DCC209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of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w:t>
            </w:r>
          </w:p>
          <w:p w14:paraId="5B0BDC15"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rPr>
              <w:t xml:space="preserve"> (</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c>
          <w:tcPr>
            <w:tcW w:w="2131" w:type="dxa"/>
            <w:tcBorders>
              <w:left w:val="nil"/>
              <w:right w:val="nil"/>
            </w:tcBorders>
          </w:tcPr>
          <w:p w14:paraId="7107028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loading of Co</w:t>
            </w:r>
            <w:r w:rsidRPr="00DA5F73">
              <w:rPr>
                <w:rFonts w:ascii="Times New Roman" w:hAnsi="Times New Roman" w:cs="Times New Roman"/>
                <w:vertAlign w:val="subscript"/>
              </w:rPr>
              <w:t>3</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hint="eastAsia"/>
                <w:vertAlign w:val="subscript"/>
              </w:rPr>
              <w:t xml:space="preserve"> </w:t>
            </w:r>
            <w:r w:rsidRPr="00DA5F73">
              <w:rPr>
                <w:rFonts w:ascii="Times New Roman" w:hAnsi="Times New Roman" w:cs="Times New Roman" w:hint="eastAsia"/>
              </w:rPr>
              <w:t>(</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r>
      <w:tr w:rsidR="00DA5F73" w:rsidRPr="00DA5F73" w14:paraId="6C626546" w14:textId="77777777">
        <w:tc>
          <w:tcPr>
            <w:tcW w:w="2130" w:type="dxa"/>
            <w:tcBorders>
              <w:left w:val="nil"/>
              <w:bottom w:val="nil"/>
              <w:right w:val="nil"/>
            </w:tcBorders>
          </w:tcPr>
          <w:p w14:paraId="635A6C9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w:t>
            </w:r>
          </w:p>
        </w:tc>
        <w:tc>
          <w:tcPr>
            <w:tcW w:w="2130" w:type="dxa"/>
            <w:tcBorders>
              <w:left w:val="nil"/>
              <w:bottom w:val="nil"/>
              <w:right w:val="nil"/>
            </w:tcBorders>
          </w:tcPr>
          <w:p w14:paraId="1F03D32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34.07</w:t>
            </w:r>
          </w:p>
        </w:tc>
        <w:tc>
          <w:tcPr>
            <w:tcW w:w="2131" w:type="dxa"/>
            <w:tcBorders>
              <w:left w:val="nil"/>
              <w:bottom w:val="nil"/>
              <w:right w:val="nil"/>
            </w:tcBorders>
          </w:tcPr>
          <w:p w14:paraId="70C7C51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35.40</w:t>
            </w:r>
          </w:p>
        </w:tc>
        <w:tc>
          <w:tcPr>
            <w:tcW w:w="2131" w:type="dxa"/>
            <w:tcBorders>
              <w:left w:val="nil"/>
              <w:bottom w:val="nil"/>
              <w:right w:val="nil"/>
            </w:tcBorders>
          </w:tcPr>
          <w:p w14:paraId="3AE132B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1.33</w:t>
            </w:r>
          </w:p>
        </w:tc>
      </w:tr>
      <w:tr w:rsidR="00DA5F73" w:rsidRPr="00DA5F73" w14:paraId="7C9052C4" w14:textId="77777777">
        <w:tc>
          <w:tcPr>
            <w:tcW w:w="2130" w:type="dxa"/>
            <w:tcBorders>
              <w:top w:val="nil"/>
              <w:left w:val="nil"/>
              <w:bottom w:val="nil"/>
              <w:right w:val="nil"/>
            </w:tcBorders>
          </w:tcPr>
          <w:p w14:paraId="15D4186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w:t>
            </w:r>
          </w:p>
        </w:tc>
        <w:tc>
          <w:tcPr>
            <w:tcW w:w="2130" w:type="dxa"/>
            <w:tcBorders>
              <w:top w:val="nil"/>
              <w:left w:val="nil"/>
              <w:bottom w:val="nil"/>
              <w:right w:val="nil"/>
            </w:tcBorders>
          </w:tcPr>
          <w:p w14:paraId="04B81516"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34.38</w:t>
            </w:r>
          </w:p>
        </w:tc>
        <w:tc>
          <w:tcPr>
            <w:tcW w:w="2131" w:type="dxa"/>
            <w:tcBorders>
              <w:top w:val="nil"/>
              <w:left w:val="nil"/>
              <w:bottom w:val="nil"/>
              <w:right w:val="nil"/>
            </w:tcBorders>
          </w:tcPr>
          <w:p w14:paraId="250DAA4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35.61</w:t>
            </w:r>
          </w:p>
        </w:tc>
        <w:tc>
          <w:tcPr>
            <w:tcW w:w="2131" w:type="dxa"/>
            <w:tcBorders>
              <w:top w:val="nil"/>
              <w:left w:val="nil"/>
              <w:bottom w:val="nil"/>
              <w:right w:val="nil"/>
            </w:tcBorders>
          </w:tcPr>
          <w:p w14:paraId="184A7C5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1.23</w:t>
            </w:r>
          </w:p>
        </w:tc>
      </w:tr>
      <w:tr w:rsidR="00DA5F73" w:rsidRPr="00DA5F73" w14:paraId="78E52C60" w14:textId="77777777">
        <w:tc>
          <w:tcPr>
            <w:tcW w:w="2130" w:type="dxa"/>
            <w:tcBorders>
              <w:top w:val="nil"/>
              <w:left w:val="nil"/>
              <w:bottom w:val="nil"/>
              <w:right w:val="nil"/>
            </w:tcBorders>
          </w:tcPr>
          <w:p w14:paraId="47C4288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w:t>
            </w:r>
          </w:p>
        </w:tc>
        <w:tc>
          <w:tcPr>
            <w:tcW w:w="2130" w:type="dxa"/>
            <w:tcBorders>
              <w:top w:val="nil"/>
              <w:left w:val="nil"/>
              <w:bottom w:val="nil"/>
              <w:right w:val="nil"/>
            </w:tcBorders>
          </w:tcPr>
          <w:p w14:paraId="4B52CE1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34.91</w:t>
            </w:r>
          </w:p>
        </w:tc>
        <w:tc>
          <w:tcPr>
            <w:tcW w:w="2131" w:type="dxa"/>
            <w:tcBorders>
              <w:top w:val="nil"/>
              <w:left w:val="nil"/>
              <w:bottom w:val="nil"/>
              <w:right w:val="nil"/>
            </w:tcBorders>
          </w:tcPr>
          <w:p w14:paraId="42B8C0B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36.21</w:t>
            </w:r>
          </w:p>
        </w:tc>
        <w:tc>
          <w:tcPr>
            <w:tcW w:w="2131" w:type="dxa"/>
            <w:tcBorders>
              <w:top w:val="nil"/>
              <w:left w:val="nil"/>
              <w:bottom w:val="nil"/>
              <w:right w:val="nil"/>
            </w:tcBorders>
          </w:tcPr>
          <w:p w14:paraId="44C5F21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1.30</w:t>
            </w:r>
          </w:p>
        </w:tc>
      </w:tr>
      <w:tr w:rsidR="008325C7" w:rsidRPr="00DA5F73" w14:paraId="1C55AC7F" w14:textId="77777777">
        <w:tc>
          <w:tcPr>
            <w:tcW w:w="2130" w:type="dxa"/>
            <w:tcBorders>
              <w:top w:val="nil"/>
              <w:left w:val="nil"/>
              <w:right w:val="nil"/>
            </w:tcBorders>
          </w:tcPr>
          <w:p w14:paraId="0AE45EC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Average</w:t>
            </w:r>
          </w:p>
        </w:tc>
        <w:tc>
          <w:tcPr>
            <w:tcW w:w="2130" w:type="dxa"/>
            <w:tcBorders>
              <w:top w:val="nil"/>
              <w:left w:val="nil"/>
              <w:right w:val="nil"/>
            </w:tcBorders>
          </w:tcPr>
          <w:p w14:paraId="7614D48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w:t>
            </w:r>
          </w:p>
        </w:tc>
        <w:tc>
          <w:tcPr>
            <w:tcW w:w="2131" w:type="dxa"/>
            <w:tcBorders>
              <w:top w:val="nil"/>
              <w:left w:val="nil"/>
              <w:right w:val="nil"/>
            </w:tcBorders>
          </w:tcPr>
          <w:p w14:paraId="182A2FE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w:t>
            </w:r>
          </w:p>
        </w:tc>
        <w:tc>
          <w:tcPr>
            <w:tcW w:w="2131" w:type="dxa"/>
            <w:tcBorders>
              <w:top w:val="nil"/>
              <w:left w:val="nil"/>
              <w:right w:val="nil"/>
            </w:tcBorders>
          </w:tcPr>
          <w:p w14:paraId="257BE03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1.29</w:t>
            </w:r>
          </w:p>
        </w:tc>
      </w:tr>
    </w:tbl>
    <w:p w14:paraId="1DC74A0C" w14:textId="77777777" w:rsidR="008325C7" w:rsidRPr="00DA5F73" w:rsidRDefault="008325C7">
      <w:pPr>
        <w:rPr>
          <w:rFonts w:ascii="Times New Roman" w:hAnsi="Times New Roman" w:cs="Times New Roman"/>
        </w:rPr>
      </w:pPr>
    </w:p>
    <w:p w14:paraId="017073E6"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Table S4. Mass loading of NiO on Ni foam</w:t>
      </w:r>
    </w:p>
    <w:tbl>
      <w:tblPr>
        <w:tblStyle w:val="a6"/>
        <w:tblW w:w="0" w:type="auto"/>
        <w:tblLook w:val="04A0" w:firstRow="1" w:lastRow="0" w:firstColumn="1" w:lastColumn="0" w:noHBand="0" w:noVBand="1"/>
      </w:tblPr>
      <w:tblGrid>
        <w:gridCol w:w="2130"/>
        <w:gridCol w:w="2130"/>
        <w:gridCol w:w="2131"/>
        <w:gridCol w:w="2131"/>
      </w:tblGrid>
      <w:tr w:rsidR="00DA5F73" w:rsidRPr="00DA5F73" w14:paraId="6C1DAA0D" w14:textId="77777777">
        <w:tc>
          <w:tcPr>
            <w:tcW w:w="2130" w:type="dxa"/>
            <w:tcBorders>
              <w:left w:val="nil"/>
              <w:right w:val="nil"/>
            </w:tcBorders>
          </w:tcPr>
          <w:p w14:paraId="521AE13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Sample</w:t>
            </w:r>
          </w:p>
        </w:tc>
        <w:tc>
          <w:tcPr>
            <w:tcW w:w="2130" w:type="dxa"/>
            <w:tcBorders>
              <w:left w:val="nil"/>
              <w:right w:val="nil"/>
            </w:tcBorders>
          </w:tcPr>
          <w:p w14:paraId="6C400B8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of Ni foam</w:t>
            </w:r>
          </w:p>
          <w:p w14:paraId="7007E11C"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vertAlign w:val="subscript"/>
              </w:rPr>
              <w:t xml:space="preserve"> </w:t>
            </w:r>
            <w:r w:rsidRPr="00DA5F73">
              <w:rPr>
                <w:rFonts w:ascii="Times New Roman" w:hAnsi="Times New Roman" w:cs="Times New Roman" w:hint="eastAsia"/>
              </w:rPr>
              <w:t>(</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c>
          <w:tcPr>
            <w:tcW w:w="2131" w:type="dxa"/>
            <w:tcBorders>
              <w:left w:val="nil"/>
              <w:right w:val="nil"/>
            </w:tcBorders>
          </w:tcPr>
          <w:p w14:paraId="7953D4B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of NiO/NF</w:t>
            </w:r>
          </w:p>
          <w:p w14:paraId="2013B5AA" w14:textId="77777777" w:rsidR="008325C7" w:rsidRPr="00DA5F73" w:rsidRDefault="00F32507">
            <w:pPr>
              <w:jc w:val="center"/>
              <w:rPr>
                <w:rFonts w:ascii="Times New Roman" w:hAnsi="Times New Roman" w:cs="Times New Roman"/>
              </w:rPr>
            </w:pPr>
            <w:r w:rsidRPr="00DA5F73">
              <w:rPr>
                <w:rFonts w:ascii="Times New Roman" w:hAnsi="Times New Roman" w:cs="Times New Roman" w:hint="eastAsia"/>
                <w:vertAlign w:val="subscript"/>
              </w:rPr>
              <w:t xml:space="preserve"> </w:t>
            </w:r>
            <w:r w:rsidRPr="00DA5F73">
              <w:rPr>
                <w:rFonts w:ascii="Times New Roman" w:hAnsi="Times New Roman" w:cs="Times New Roman" w:hint="eastAsia"/>
              </w:rPr>
              <w:t>(</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c>
          <w:tcPr>
            <w:tcW w:w="2131" w:type="dxa"/>
            <w:tcBorders>
              <w:left w:val="nil"/>
              <w:right w:val="nil"/>
            </w:tcBorders>
          </w:tcPr>
          <w:p w14:paraId="2F2CFE1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Mass loading of NiO</w:t>
            </w:r>
            <w:r w:rsidRPr="00DA5F73">
              <w:rPr>
                <w:rFonts w:ascii="Times New Roman" w:hAnsi="Times New Roman" w:cs="Times New Roman" w:hint="eastAsia"/>
                <w:vertAlign w:val="subscript"/>
              </w:rPr>
              <w:t xml:space="preserve"> </w:t>
            </w:r>
            <w:r w:rsidRPr="00DA5F73">
              <w:rPr>
                <w:rFonts w:ascii="Times New Roman" w:hAnsi="Times New Roman" w:cs="Times New Roman" w:hint="eastAsia"/>
              </w:rPr>
              <w:t>(</w:t>
            </w:r>
            <w:r w:rsidRPr="00DA5F73">
              <w:rPr>
                <w:rFonts w:ascii="Times New Roman" w:hAnsi="Times New Roman" w:cs="Times New Roman"/>
              </w:rPr>
              <w:t>mg cm</w:t>
            </w:r>
            <w:r w:rsidRPr="00DA5F73">
              <w:rPr>
                <w:rFonts w:ascii="Times New Roman" w:hAnsi="Times New Roman" w:cs="Times New Roman"/>
                <w:vertAlign w:val="superscript"/>
              </w:rPr>
              <w:t>-2</w:t>
            </w:r>
            <w:r w:rsidRPr="00DA5F73">
              <w:rPr>
                <w:rFonts w:ascii="Times New Roman" w:hAnsi="Times New Roman" w:cs="Times New Roman" w:hint="eastAsia"/>
              </w:rPr>
              <w:t>)</w:t>
            </w:r>
          </w:p>
        </w:tc>
      </w:tr>
      <w:tr w:rsidR="00DA5F73" w:rsidRPr="00DA5F73" w14:paraId="4E6E7D0D" w14:textId="77777777">
        <w:tc>
          <w:tcPr>
            <w:tcW w:w="2130" w:type="dxa"/>
            <w:tcBorders>
              <w:left w:val="nil"/>
              <w:bottom w:val="nil"/>
              <w:right w:val="nil"/>
            </w:tcBorders>
          </w:tcPr>
          <w:p w14:paraId="491196C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w:t>
            </w:r>
          </w:p>
        </w:tc>
        <w:tc>
          <w:tcPr>
            <w:tcW w:w="2130" w:type="dxa"/>
            <w:tcBorders>
              <w:left w:val="nil"/>
              <w:bottom w:val="nil"/>
              <w:right w:val="nil"/>
            </w:tcBorders>
          </w:tcPr>
          <w:p w14:paraId="42D32DD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34.55</w:t>
            </w:r>
          </w:p>
        </w:tc>
        <w:tc>
          <w:tcPr>
            <w:tcW w:w="2131" w:type="dxa"/>
            <w:tcBorders>
              <w:left w:val="nil"/>
              <w:bottom w:val="nil"/>
              <w:right w:val="nil"/>
            </w:tcBorders>
          </w:tcPr>
          <w:p w14:paraId="3A922BC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37.01</w:t>
            </w:r>
          </w:p>
        </w:tc>
        <w:tc>
          <w:tcPr>
            <w:tcW w:w="2131" w:type="dxa"/>
            <w:tcBorders>
              <w:left w:val="nil"/>
              <w:bottom w:val="nil"/>
              <w:right w:val="nil"/>
            </w:tcBorders>
          </w:tcPr>
          <w:p w14:paraId="14A6649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2.46</w:t>
            </w:r>
          </w:p>
        </w:tc>
      </w:tr>
      <w:tr w:rsidR="00DA5F73" w:rsidRPr="00DA5F73" w14:paraId="65553314" w14:textId="77777777">
        <w:tc>
          <w:tcPr>
            <w:tcW w:w="2130" w:type="dxa"/>
            <w:tcBorders>
              <w:top w:val="nil"/>
              <w:left w:val="nil"/>
              <w:bottom w:val="nil"/>
              <w:right w:val="nil"/>
            </w:tcBorders>
          </w:tcPr>
          <w:p w14:paraId="7FC0476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w:t>
            </w:r>
          </w:p>
        </w:tc>
        <w:tc>
          <w:tcPr>
            <w:tcW w:w="2130" w:type="dxa"/>
            <w:tcBorders>
              <w:top w:val="nil"/>
              <w:left w:val="nil"/>
              <w:bottom w:val="nil"/>
              <w:right w:val="nil"/>
            </w:tcBorders>
          </w:tcPr>
          <w:p w14:paraId="0E7FC83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35.02</w:t>
            </w:r>
          </w:p>
        </w:tc>
        <w:tc>
          <w:tcPr>
            <w:tcW w:w="2131" w:type="dxa"/>
            <w:tcBorders>
              <w:top w:val="nil"/>
              <w:left w:val="nil"/>
              <w:bottom w:val="nil"/>
              <w:right w:val="nil"/>
            </w:tcBorders>
          </w:tcPr>
          <w:p w14:paraId="57305CE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37.43</w:t>
            </w:r>
          </w:p>
        </w:tc>
        <w:tc>
          <w:tcPr>
            <w:tcW w:w="2131" w:type="dxa"/>
            <w:tcBorders>
              <w:top w:val="nil"/>
              <w:left w:val="nil"/>
              <w:bottom w:val="nil"/>
              <w:right w:val="nil"/>
            </w:tcBorders>
          </w:tcPr>
          <w:p w14:paraId="756957A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2.41</w:t>
            </w:r>
          </w:p>
        </w:tc>
      </w:tr>
      <w:tr w:rsidR="00DA5F73" w:rsidRPr="00DA5F73" w14:paraId="14EEEC82" w14:textId="77777777">
        <w:tc>
          <w:tcPr>
            <w:tcW w:w="2130" w:type="dxa"/>
            <w:tcBorders>
              <w:top w:val="nil"/>
              <w:left w:val="nil"/>
              <w:bottom w:val="nil"/>
              <w:right w:val="nil"/>
            </w:tcBorders>
          </w:tcPr>
          <w:p w14:paraId="10957F2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w:t>
            </w:r>
          </w:p>
        </w:tc>
        <w:tc>
          <w:tcPr>
            <w:tcW w:w="2130" w:type="dxa"/>
            <w:tcBorders>
              <w:top w:val="nil"/>
              <w:left w:val="nil"/>
              <w:bottom w:val="nil"/>
              <w:right w:val="nil"/>
            </w:tcBorders>
          </w:tcPr>
          <w:p w14:paraId="523AC7F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34.30</w:t>
            </w:r>
          </w:p>
        </w:tc>
        <w:tc>
          <w:tcPr>
            <w:tcW w:w="2131" w:type="dxa"/>
            <w:tcBorders>
              <w:top w:val="nil"/>
              <w:left w:val="nil"/>
              <w:bottom w:val="nil"/>
              <w:right w:val="nil"/>
            </w:tcBorders>
          </w:tcPr>
          <w:p w14:paraId="34152FC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36.82</w:t>
            </w:r>
          </w:p>
        </w:tc>
        <w:tc>
          <w:tcPr>
            <w:tcW w:w="2131" w:type="dxa"/>
            <w:tcBorders>
              <w:top w:val="nil"/>
              <w:left w:val="nil"/>
              <w:bottom w:val="nil"/>
              <w:right w:val="nil"/>
            </w:tcBorders>
          </w:tcPr>
          <w:p w14:paraId="2BD7E81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2.52</w:t>
            </w:r>
          </w:p>
        </w:tc>
      </w:tr>
      <w:tr w:rsidR="00DA5F73" w:rsidRPr="00DA5F73" w14:paraId="2DFBF6AE" w14:textId="77777777">
        <w:tc>
          <w:tcPr>
            <w:tcW w:w="2130" w:type="dxa"/>
            <w:tcBorders>
              <w:top w:val="nil"/>
              <w:left w:val="nil"/>
              <w:right w:val="nil"/>
            </w:tcBorders>
          </w:tcPr>
          <w:p w14:paraId="2CF3F54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Average</w:t>
            </w:r>
          </w:p>
        </w:tc>
        <w:tc>
          <w:tcPr>
            <w:tcW w:w="2130" w:type="dxa"/>
            <w:tcBorders>
              <w:top w:val="nil"/>
              <w:left w:val="nil"/>
              <w:right w:val="nil"/>
            </w:tcBorders>
          </w:tcPr>
          <w:p w14:paraId="26151AD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w:t>
            </w:r>
          </w:p>
        </w:tc>
        <w:tc>
          <w:tcPr>
            <w:tcW w:w="2131" w:type="dxa"/>
            <w:tcBorders>
              <w:top w:val="nil"/>
              <w:left w:val="nil"/>
              <w:right w:val="nil"/>
            </w:tcBorders>
          </w:tcPr>
          <w:p w14:paraId="12B30AC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w:t>
            </w:r>
          </w:p>
        </w:tc>
        <w:tc>
          <w:tcPr>
            <w:tcW w:w="2131" w:type="dxa"/>
            <w:tcBorders>
              <w:top w:val="nil"/>
              <w:left w:val="nil"/>
              <w:right w:val="nil"/>
            </w:tcBorders>
          </w:tcPr>
          <w:p w14:paraId="79B19DB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2.46</w:t>
            </w:r>
          </w:p>
        </w:tc>
      </w:tr>
    </w:tbl>
    <w:p w14:paraId="36334774" w14:textId="77777777" w:rsidR="008325C7" w:rsidRPr="00DA5F73" w:rsidRDefault="00F32507">
      <w:pPr>
        <w:rPr>
          <w:rFonts w:ascii="Times New Roman" w:hAnsi="Times New Roman" w:cs="Times New Roman"/>
        </w:rPr>
      </w:pPr>
      <w:r w:rsidRPr="00DA5F73">
        <w:rPr>
          <w:rFonts w:ascii="Times New Roman" w:hAnsi="Times New Roman" w:cs="Times New Roman"/>
        </w:rPr>
        <w:br w:type="page"/>
      </w:r>
    </w:p>
    <w:p w14:paraId="6849099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lastRenderedPageBreak/>
        <w:t>Table S5. The performance comparison of 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 xml:space="preserve">/NF with other non-precious metal electrocatalysts that have been reported in EGOR </w:t>
      </w:r>
    </w:p>
    <w:tbl>
      <w:tblPr>
        <w:tblStyle w:val="a6"/>
        <w:tblW w:w="0" w:type="auto"/>
        <w:jc w:val="center"/>
        <w:tblLayout w:type="fixed"/>
        <w:tblLook w:val="04A0" w:firstRow="1" w:lastRow="0" w:firstColumn="1" w:lastColumn="0" w:noHBand="0" w:noVBand="1"/>
      </w:tblPr>
      <w:tblGrid>
        <w:gridCol w:w="2098"/>
        <w:gridCol w:w="3288"/>
        <w:gridCol w:w="1134"/>
        <w:gridCol w:w="1134"/>
        <w:gridCol w:w="1134"/>
      </w:tblGrid>
      <w:tr w:rsidR="00DA5F73" w:rsidRPr="00DA5F73" w14:paraId="3718C518" w14:textId="77777777">
        <w:trPr>
          <w:trHeight w:val="454"/>
          <w:jc w:val="center"/>
        </w:trPr>
        <w:tc>
          <w:tcPr>
            <w:tcW w:w="2098" w:type="dxa"/>
            <w:tcBorders>
              <w:left w:val="nil"/>
              <w:right w:val="nil"/>
            </w:tcBorders>
            <w:vAlign w:val="center"/>
          </w:tcPr>
          <w:p w14:paraId="5502385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Catalyst</w:t>
            </w:r>
          </w:p>
        </w:tc>
        <w:tc>
          <w:tcPr>
            <w:tcW w:w="3288" w:type="dxa"/>
            <w:tcBorders>
              <w:left w:val="nil"/>
              <w:right w:val="nil"/>
            </w:tcBorders>
            <w:vAlign w:val="center"/>
          </w:tcPr>
          <w:p w14:paraId="5137D11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Electrolyte</w:t>
            </w:r>
          </w:p>
        </w:tc>
        <w:tc>
          <w:tcPr>
            <w:tcW w:w="1134" w:type="dxa"/>
            <w:tcBorders>
              <w:left w:val="nil"/>
              <w:right w:val="nil"/>
            </w:tcBorders>
            <w:vAlign w:val="center"/>
          </w:tcPr>
          <w:p w14:paraId="655E6D9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Potential</w:t>
            </w:r>
          </w:p>
          <w:p w14:paraId="729F708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(vs. RHE)</w:t>
            </w:r>
          </w:p>
        </w:tc>
        <w:tc>
          <w:tcPr>
            <w:tcW w:w="1134" w:type="dxa"/>
            <w:tcBorders>
              <w:left w:val="nil"/>
              <w:right w:val="nil"/>
            </w:tcBorders>
            <w:vAlign w:val="center"/>
          </w:tcPr>
          <w:p w14:paraId="69ACE51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Current density</w:t>
            </w:r>
          </w:p>
          <w:p w14:paraId="28DDEC3D"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(mA cm</w:t>
            </w:r>
            <w:r w:rsidRPr="00DA5F73">
              <w:rPr>
                <w:rFonts w:ascii="Times New Roman" w:hAnsi="Times New Roman" w:cs="Times New Roman"/>
                <w:vertAlign w:val="superscript"/>
              </w:rPr>
              <w:t>-2</w:t>
            </w:r>
            <w:r w:rsidRPr="00DA5F73">
              <w:rPr>
                <w:rFonts w:ascii="Times New Roman" w:hAnsi="Times New Roman" w:cs="Times New Roman"/>
              </w:rPr>
              <w:t>)</w:t>
            </w:r>
          </w:p>
        </w:tc>
        <w:tc>
          <w:tcPr>
            <w:tcW w:w="1134" w:type="dxa"/>
            <w:tcBorders>
              <w:left w:val="nil"/>
              <w:right w:val="nil"/>
            </w:tcBorders>
            <w:vAlign w:val="center"/>
          </w:tcPr>
          <w:p w14:paraId="64BCB92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Reference</w:t>
            </w:r>
          </w:p>
        </w:tc>
      </w:tr>
      <w:tr w:rsidR="00DA5F73" w:rsidRPr="00DA5F73" w14:paraId="21250141" w14:textId="77777777">
        <w:trPr>
          <w:trHeight w:val="454"/>
          <w:jc w:val="center"/>
        </w:trPr>
        <w:tc>
          <w:tcPr>
            <w:tcW w:w="2098" w:type="dxa"/>
            <w:vMerge w:val="restart"/>
            <w:tcBorders>
              <w:left w:val="nil"/>
              <w:bottom w:val="nil"/>
              <w:right w:val="nil"/>
            </w:tcBorders>
            <w:vAlign w:val="center"/>
          </w:tcPr>
          <w:p w14:paraId="4C4E0A1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r w:rsidRPr="00DA5F73">
              <w:rPr>
                <w:rFonts w:ascii="Times New Roman" w:hAnsi="Times New Roman" w:cs="Times New Roman"/>
              </w:rPr>
              <w:t>/NF</w:t>
            </w:r>
          </w:p>
        </w:tc>
        <w:tc>
          <w:tcPr>
            <w:tcW w:w="3288" w:type="dxa"/>
            <w:vMerge w:val="restart"/>
            <w:tcBorders>
              <w:left w:val="nil"/>
              <w:bottom w:val="nil"/>
              <w:right w:val="nil"/>
            </w:tcBorders>
            <w:vAlign w:val="center"/>
          </w:tcPr>
          <w:p w14:paraId="68E56B5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+ 0.5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left w:val="nil"/>
              <w:bottom w:val="nil"/>
              <w:right w:val="nil"/>
            </w:tcBorders>
            <w:vAlign w:val="center"/>
          </w:tcPr>
          <w:p w14:paraId="4454E7A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1.20</w:t>
            </w:r>
          </w:p>
        </w:tc>
        <w:tc>
          <w:tcPr>
            <w:tcW w:w="1134" w:type="dxa"/>
            <w:tcBorders>
              <w:left w:val="nil"/>
              <w:bottom w:val="nil"/>
              <w:right w:val="nil"/>
            </w:tcBorders>
            <w:vAlign w:val="center"/>
          </w:tcPr>
          <w:p w14:paraId="0847470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vMerge w:val="restart"/>
            <w:tcBorders>
              <w:left w:val="nil"/>
              <w:right w:val="nil"/>
            </w:tcBorders>
            <w:vAlign w:val="center"/>
          </w:tcPr>
          <w:p w14:paraId="317CF08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This work</w:t>
            </w:r>
          </w:p>
        </w:tc>
      </w:tr>
      <w:tr w:rsidR="00DA5F73" w:rsidRPr="00DA5F73" w14:paraId="7386669E" w14:textId="77777777">
        <w:trPr>
          <w:trHeight w:val="454"/>
          <w:jc w:val="center"/>
        </w:trPr>
        <w:tc>
          <w:tcPr>
            <w:tcW w:w="2098" w:type="dxa"/>
            <w:vMerge/>
            <w:tcBorders>
              <w:top w:val="nil"/>
              <w:left w:val="nil"/>
              <w:bottom w:val="nil"/>
              <w:right w:val="nil"/>
            </w:tcBorders>
            <w:vAlign w:val="center"/>
          </w:tcPr>
          <w:p w14:paraId="23ADDEA6" w14:textId="77777777" w:rsidR="008325C7" w:rsidRPr="00DA5F73" w:rsidRDefault="008325C7">
            <w:pPr>
              <w:jc w:val="center"/>
              <w:rPr>
                <w:rFonts w:ascii="Times New Roman" w:hAnsi="Times New Roman" w:cs="Times New Roman"/>
              </w:rPr>
            </w:pPr>
          </w:p>
        </w:tc>
        <w:tc>
          <w:tcPr>
            <w:tcW w:w="3288" w:type="dxa"/>
            <w:vMerge/>
            <w:tcBorders>
              <w:top w:val="nil"/>
              <w:left w:val="nil"/>
              <w:bottom w:val="nil"/>
              <w:right w:val="nil"/>
            </w:tcBorders>
            <w:vAlign w:val="center"/>
          </w:tcPr>
          <w:p w14:paraId="60435D72" w14:textId="77777777" w:rsidR="008325C7" w:rsidRPr="00DA5F73" w:rsidRDefault="008325C7">
            <w:pPr>
              <w:jc w:val="center"/>
              <w:rPr>
                <w:rFonts w:ascii="Times New Roman" w:hAnsi="Times New Roman" w:cs="Times New Roman"/>
              </w:rPr>
            </w:pPr>
          </w:p>
        </w:tc>
        <w:tc>
          <w:tcPr>
            <w:tcW w:w="1134" w:type="dxa"/>
            <w:tcBorders>
              <w:top w:val="nil"/>
              <w:left w:val="nil"/>
              <w:bottom w:val="nil"/>
              <w:right w:val="nil"/>
            </w:tcBorders>
            <w:vAlign w:val="center"/>
          </w:tcPr>
          <w:p w14:paraId="1364C1C6"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1.37</w:t>
            </w:r>
          </w:p>
        </w:tc>
        <w:tc>
          <w:tcPr>
            <w:tcW w:w="1134" w:type="dxa"/>
            <w:tcBorders>
              <w:top w:val="nil"/>
              <w:left w:val="nil"/>
              <w:bottom w:val="nil"/>
              <w:right w:val="nil"/>
            </w:tcBorders>
            <w:vAlign w:val="center"/>
          </w:tcPr>
          <w:p w14:paraId="1B6A76DD"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vMerge/>
            <w:tcBorders>
              <w:left w:val="nil"/>
              <w:bottom w:val="nil"/>
              <w:right w:val="nil"/>
            </w:tcBorders>
            <w:vAlign w:val="center"/>
          </w:tcPr>
          <w:p w14:paraId="5E5EBD06" w14:textId="77777777" w:rsidR="008325C7" w:rsidRPr="00DA5F73" w:rsidRDefault="008325C7">
            <w:pPr>
              <w:jc w:val="center"/>
              <w:rPr>
                <w:rFonts w:ascii="Times New Roman" w:hAnsi="Times New Roman" w:cs="Times New Roman"/>
              </w:rPr>
            </w:pPr>
          </w:p>
        </w:tc>
      </w:tr>
      <w:tr w:rsidR="00DA5F73" w:rsidRPr="00DA5F73" w14:paraId="3C19B72F" w14:textId="77777777">
        <w:trPr>
          <w:trHeight w:val="454"/>
          <w:jc w:val="center"/>
        </w:trPr>
        <w:tc>
          <w:tcPr>
            <w:tcW w:w="2098" w:type="dxa"/>
            <w:tcBorders>
              <w:top w:val="nil"/>
              <w:left w:val="nil"/>
              <w:bottom w:val="nil"/>
              <w:right w:val="nil"/>
            </w:tcBorders>
            <w:vAlign w:val="center"/>
          </w:tcPr>
          <w:p w14:paraId="061BBAA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CoCuOₓ@MXene</w:t>
            </w:r>
          </w:p>
        </w:tc>
        <w:tc>
          <w:tcPr>
            <w:tcW w:w="3288" w:type="dxa"/>
            <w:tcBorders>
              <w:top w:val="nil"/>
              <w:left w:val="nil"/>
              <w:bottom w:val="nil"/>
              <w:right w:val="nil"/>
            </w:tcBorders>
            <w:vAlign w:val="center"/>
          </w:tcPr>
          <w:p w14:paraId="70D3767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+ 0.4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7B73E9F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1.41</w:t>
            </w:r>
          </w:p>
        </w:tc>
        <w:tc>
          <w:tcPr>
            <w:tcW w:w="1134" w:type="dxa"/>
            <w:tcBorders>
              <w:top w:val="nil"/>
              <w:left w:val="nil"/>
              <w:bottom w:val="nil"/>
              <w:right w:val="nil"/>
            </w:tcBorders>
            <w:vAlign w:val="center"/>
          </w:tcPr>
          <w:p w14:paraId="28E2F6E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2626DDD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_Ref12888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[7]</w:t>
            </w:r>
            <w:r w:rsidRPr="00DA5F73">
              <w:rPr>
                <w:rFonts w:ascii="Times New Roman" w:hAnsi="Times New Roman" w:cs="Times New Roman"/>
              </w:rPr>
              <w:fldChar w:fldCharType="end"/>
            </w:r>
          </w:p>
        </w:tc>
      </w:tr>
      <w:tr w:rsidR="00DA5F73" w:rsidRPr="00DA5F73" w14:paraId="14B947C2" w14:textId="77777777">
        <w:trPr>
          <w:trHeight w:val="454"/>
          <w:jc w:val="center"/>
        </w:trPr>
        <w:tc>
          <w:tcPr>
            <w:tcW w:w="2098" w:type="dxa"/>
            <w:tcBorders>
              <w:top w:val="nil"/>
              <w:left w:val="nil"/>
              <w:bottom w:val="nil"/>
              <w:right w:val="nil"/>
            </w:tcBorders>
            <w:vAlign w:val="center"/>
          </w:tcPr>
          <w:p w14:paraId="4195486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Fe(0.3ωt)-CoPO</w:t>
            </w:r>
          </w:p>
        </w:tc>
        <w:tc>
          <w:tcPr>
            <w:tcW w:w="3288" w:type="dxa"/>
            <w:tcBorders>
              <w:top w:val="nil"/>
              <w:left w:val="nil"/>
              <w:bottom w:val="nil"/>
              <w:right w:val="nil"/>
            </w:tcBorders>
            <w:vAlign w:val="center"/>
          </w:tcPr>
          <w:p w14:paraId="1706CE4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7B24BBE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1.426</w:t>
            </w:r>
          </w:p>
        </w:tc>
        <w:tc>
          <w:tcPr>
            <w:tcW w:w="1134" w:type="dxa"/>
            <w:tcBorders>
              <w:top w:val="nil"/>
              <w:left w:val="nil"/>
              <w:bottom w:val="nil"/>
              <w:right w:val="nil"/>
            </w:tcBorders>
            <w:vAlign w:val="center"/>
          </w:tcPr>
          <w:p w14:paraId="4B4A8B8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05D6990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_Ref12905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[8]</w:t>
            </w:r>
            <w:r w:rsidRPr="00DA5F73">
              <w:rPr>
                <w:rFonts w:ascii="Times New Roman" w:hAnsi="Times New Roman" w:cs="Times New Roman"/>
              </w:rPr>
              <w:fldChar w:fldCharType="end"/>
            </w:r>
          </w:p>
        </w:tc>
      </w:tr>
      <w:tr w:rsidR="00DA5F73" w:rsidRPr="00DA5F73" w14:paraId="55408A65" w14:textId="77777777">
        <w:trPr>
          <w:trHeight w:val="454"/>
          <w:jc w:val="center"/>
        </w:trPr>
        <w:tc>
          <w:tcPr>
            <w:tcW w:w="2098" w:type="dxa"/>
            <w:tcBorders>
              <w:top w:val="nil"/>
              <w:left w:val="nil"/>
              <w:bottom w:val="nil"/>
              <w:right w:val="nil"/>
            </w:tcBorders>
            <w:vAlign w:val="center"/>
          </w:tcPr>
          <w:p w14:paraId="2302A96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w:t>
            </w:r>
            <w:r w:rsidRPr="00DA5F73">
              <w:rPr>
                <w:rFonts w:ascii="Times New Roman" w:hAnsi="Times New Roman" w:cs="Times New Roman"/>
                <w:vertAlign w:val="subscript"/>
              </w:rPr>
              <w:t>0.5</w:t>
            </w:r>
            <w:r w:rsidRPr="00DA5F73">
              <w:rPr>
                <w:rFonts w:ascii="Times New Roman" w:hAnsi="Times New Roman" w:cs="Times New Roman"/>
              </w:rPr>
              <w:t>Ce</w:t>
            </w:r>
            <w:r w:rsidRPr="00DA5F73">
              <w:rPr>
                <w:rFonts w:ascii="Times New Roman" w:hAnsi="Times New Roman" w:cs="Times New Roman"/>
                <w:vertAlign w:val="subscript"/>
              </w:rPr>
              <w:t>0.5</w:t>
            </w:r>
            <w:r w:rsidRPr="00DA5F73">
              <w:rPr>
                <w:rFonts w:ascii="Times New Roman" w:hAnsi="Times New Roman" w:cs="Times New Roman"/>
              </w:rPr>
              <w:t>Co</w:t>
            </w:r>
            <w:r w:rsidRPr="00DA5F73">
              <w:rPr>
                <w:rFonts w:ascii="Times New Roman" w:hAnsi="Times New Roman" w:cs="Times New Roman"/>
                <w:vertAlign w:val="subscript"/>
              </w:rPr>
              <w:t>2</w:t>
            </w:r>
            <w:r w:rsidRPr="00DA5F73">
              <w:rPr>
                <w:rFonts w:ascii="Times New Roman" w:hAnsi="Times New Roman" w:cs="Times New Roman"/>
              </w:rPr>
              <w:t>O</w:t>
            </w:r>
            <w:r w:rsidRPr="00DA5F73">
              <w:rPr>
                <w:rFonts w:ascii="Times New Roman" w:hAnsi="Times New Roman" w:cs="Times New Roman"/>
                <w:vertAlign w:val="subscript"/>
              </w:rPr>
              <w:t>4</w:t>
            </w:r>
          </w:p>
        </w:tc>
        <w:tc>
          <w:tcPr>
            <w:tcW w:w="3288" w:type="dxa"/>
            <w:tcBorders>
              <w:top w:val="nil"/>
              <w:left w:val="nil"/>
              <w:bottom w:val="nil"/>
              <w:right w:val="nil"/>
            </w:tcBorders>
            <w:vAlign w:val="center"/>
          </w:tcPr>
          <w:p w14:paraId="3828C82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0F9358D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1.42</w:t>
            </w:r>
          </w:p>
        </w:tc>
        <w:tc>
          <w:tcPr>
            <w:tcW w:w="1134" w:type="dxa"/>
            <w:tcBorders>
              <w:top w:val="nil"/>
              <w:left w:val="nil"/>
              <w:bottom w:val="nil"/>
              <w:right w:val="nil"/>
            </w:tcBorders>
            <w:vAlign w:val="center"/>
          </w:tcPr>
          <w:p w14:paraId="22C2D27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2711143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_Ref12921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[9]</w:t>
            </w:r>
            <w:r w:rsidRPr="00DA5F73">
              <w:rPr>
                <w:rFonts w:ascii="Times New Roman" w:hAnsi="Times New Roman" w:cs="Times New Roman"/>
              </w:rPr>
              <w:fldChar w:fldCharType="end"/>
            </w:r>
          </w:p>
        </w:tc>
      </w:tr>
      <w:tr w:rsidR="00DA5F73" w:rsidRPr="00DA5F73" w14:paraId="5A5BB00B" w14:textId="77777777">
        <w:trPr>
          <w:trHeight w:val="454"/>
          <w:jc w:val="center"/>
        </w:trPr>
        <w:tc>
          <w:tcPr>
            <w:tcW w:w="2098" w:type="dxa"/>
            <w:tcBorders>
              <w:top w:val="nil"/>
              <w:left w:val="nil"/>
              <w:bottom w:val="nil"/>
              <w:right w:val="nil"/>
            </w:tcBorders>
            <w:vAlign w:val="center"/>
          </w:tcPr>
          <w:p w14:paraId="280A226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FeCo(MOF)@C</w:t>
            </w:r>
          </w:p>
        </w:tc>
        <w:tc>
          <w:tcPr>
            <w:tcW w:w="3288" w:type="dxa"/>
            <w:tcBorders>
              <w:top w:val="nil"/>
              <w:left w:val="nil"/>
              <w:bottom w:val="nil"/>
              <w:right w:val="nil"/>
            </w:tcBorders>
            <w:vAlign w:val="center"/>
          </w:tcPr>
          <w:p w14:paraId="27D7925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+ 0.5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14166FF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1.42</w:t>
            </w:r>
          </w:p>
        </w:tc>
        <w:tc>
          <w:tcPr>
            <w:tcW w:w="1134" w:type="dxa"/>
            <w:tcBorders>
              <w:top w:val="nil"/>
              <w:left w:val="nil"/>
              <w:bottom w:val="nil"/>
              <w:right w:val="nil"/>
            </w:tcBorders>
            <w:vAlign w:val="center"/>
          </w:tcPr>
          <w:p w14:paraId="3BD25ECD"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108BB2E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_Ref12937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[10]</w:t>
            </w:r>
            <w:r w:rsidRPr="00DA5F73">
              <w:rPr>
                <w:rFonts w:ascii="Times New Roman" w:hAnsi="Times New Roman" w:cs="Times New Roman"/>
              </w:rPr>
              <w:fldChar w:fldCharType="end"/>
            </w:r>
          </w:p>
        </w:tc>
      </w:tr>
      <w:tr w:rsidR="00DA5F73" w:rsidRPr="00DA5F73" w14:paraId="2EDE5982" w14:textId="77777777">
        <w:trPr>
          <w:trHeight w:val="454"/>
          <w:jc w:val="center"/>
        </w:trPr>
        <w:tc>
          <w:tcPr>
            <w:tcW w:w="2098" w:type="dxa"/>
            <w:tcBorders>
              <w:top w:val="nil"/>
              <w:left w:val="nil"/>
              <w:bottom w:val="nil"/>
              <w:right w:val="nil"/>
            </w:tcBorders>
            <w:vAlign w:val="center"/>
          </w:tcPr>
          <w:p w14:paraId="0A7D8B9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2D-CoNi-PET</w:t>
            </w:r>
          </w:p>
        </w:tc>
        <w:tc>
          <w:tcPr>
            <w:tcW w:w="3288" w:type="dxa"/>
            <w:tcBorders>
              <w:top w:val="nil"/>
              <w:left w:val="nil"/>
              <w:bottom w:val="nil"/>
              <w:right w:val="nil"/>
            </w:tcBorders>
            <w:vAlign w:val="center"/>
          </w:tcPr>
          <w:p w14:paraId="0D5FC69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+ 0.3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2E51657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1.41</w:t>
            </w:r>
          </w:p>
        </w:tc>
        <w:tc>
          <w:tcPr>
            <w:tcW w:w="1134" w:type="dxa"/>
            <w:tcBorders>
              <w:top w:val="nil"/>
              <w:left w:val="nil"/>
              <w:bottom w:val="nil"/>
              <w:right w:val="nil"/>
            </w:tcBorders>
            <w:vAlign w:val="center"/>
          </w:tcPr>
          <w:p w14:paraId="03AD85C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32F2FCF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_Ref12954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[11]</w:t>
            </w:r>
            <w:r w:rsidRPr="00DA5F73">
              <w:rPr>
                <w:rFonts w:ascii="Times New Roman" w:hAnsi="Times New Roman" w:cs="Times New Roman"/>
              </w:rPr>
              <w:fldChar w:fldCharType="end"/>
            </w:r>
          </w:p>
        </w:tc>
      </w:tr>
      <w:tr w:rsidR="00DA5F73" w:rsidRPr="00DA5F73" w14:paraId="3AF386BF" w14:textId="77777777">
        <w:trPr>
          <w:trHeight w:val="454"/>
          <w:jc w:val="center"/>
        </w:trPr>
        <w:tc>
          <w:tcPr>
            <w:tcW w:w="2098" w:type="dxa"/>
            <w:tcBorders>
              <w:top w:val="nil"/>
              <w:left w:val="nil"/>
              <w:bottom w:val="nil"/>
              <w:right w:val="nil"/>
            </w:tcBorders>
            <w:vAlign w:val="center"/>
          </w:tcPr>
          <w:p w14:paraId="231C8D4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NiCu</w:t>
            </w:r>
            <w:r w:rsidRPr="00DA5F73">
              <w:rPr>
                <w:rFonts w:ascii="Times New Roman" w:hAnsi="Times New Roman" w:cs="Times New Roman"/>
                <w:vertAlign w:val="subscript"/>
              </w:rPr>
              <w:t>60s</w:t>
            </w:r>
            <w:r w:rsidRPr="00DA5F73">
              <w:rPr>
                <w:rFonts w:ascii="Times New Roman" w:hAnsi="Times New Roman" w:cs="Times New Roman"/>
              </w:rPr>
              <w:t>/NF</w:t>
            </w:r>
          </w:p>
        </w:tc>
        <w:tc>
          <w:tcPr>
            <w:tcW w:w="3288" w:type="dxa"/>
            <w:tcBorders>
              <w:top w:val="nil"/>
              <w:left w:val="nil"/>
              <w:bottom w:val="nil"/>
              <w:right w:val="nil"/>
            </w:tcBorders>
            <w:vAlign w:val="center"/>
          </w:tcPr>
          <w:p w14:paraId="1965518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+ 0.3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5EF4CB3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1.45</w:t>
            </w:r>
          </w:p>
        </w:tc>
        <w:tc>
          <w:tcPr>
            <w:tcW w:w="1134" w:type="dxa"/>
            <w:tcBorders>
              <w:top w:val="nil"/>
              <w:left w:val="nil"/>
              <w:bottom w:val="nil"/>
              <w:right w:val="nil"/>
            </w:tcBorders>
            <w:vAlign w:val="center"/>
          </w:tcPr>
          <w:p w14:paraId="7024881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4484EFE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_Ref12973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[12]</w:t>
            </w:r>
            <w:r w:rsidRPr="00DA5F73">
              <w:rPr>
                <w:rFonts w:ascii="Times New Roman" w:hAnsi="Times New Roman" w:cs="Times New Roman"/>
              </w:rPr>
              <w:fldChar w:fldCharType="end"/>
            </w:r>
          </w:p>
        </w:tc>
      </w:tr>
      <w:tr w:rsidR="00DA5F73" w:rsidRPr="00DA5F73" w14:paraId="1D2A6122" w14:textId="77777777">
        <w:trPr>
          <w:trHeight w:val="454"/>
          <w:jc w:val="center"/>
        </w:trPr>
        <w:tc>
          <w:tcPr>
            <w:tcW w:w="2098" w:type="dxa"/>
            <w:tcBorders>
              <w:top w:val="nil"/>
              <w:left w:val="nil"/>
              <w:bottom w:val="nil"/>
              <w:right w:val="nil"/>
            </w:tcBorders>
            <w:vAlign w:val="center"/>
          </w:tcPr>
          <w:p w14:paraId="2B85187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NiFe-LDH/NF</w:t>
            </w:r>
          </w:p>
        </w:tc>
        <w:tc>
          <w:tcPr>
            <w:tcW w:w="3288" w:type="dxa"/>
            <w:tcBorders>
              <w:top w:val="nil"/>
              <w:left w:val="nil"/>
              <w:bottom w:val="nil"/>
              <w:right w:val="nil"/>
            </w:tcBorders>
            <w:vAlign w:val="center"/>
          </w:tcPr>
          <w:p w14:paraId="2C08673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+ 0.5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596CAEF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1.52</w:t>
            </w:r>
          </w:p>
        </w:tc>
        <w:tc>
          <w:tcPr>
            <w:tcW w:w="1134" w:type="dxa"/>
            <w:tcBorders>
              <w:top w:val="nil"/>
              <w:left w:val="nil"/>
              <w:bottom w:val="nil"/>
              <w:right w:val="nil"/>
            </w:tcBorders>
            <w:vAlign w:val="center"/>
          </w:tcPr>
          <w:p w14:paraId="398097C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100</w:t>
            </w:r>
          </w:p>
        </w:tc>
        <w:tc>
          <w:tcPr>
            <w:tcW w:w="1134" w:type="dxa"/>
            <w:tcBorders>
              <w:top w:val="nil"/>
              <w:left w:val="nil"/>
              <w:bottom w:val="nil"/>
              <w:right w:val="nil"/>
            </w:tcBorders>
            <w:vAlign w:val="center"/>
          </w:tcPr>
          <w:p w14:paraId="154BEF5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_Ref12986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[13]</w:t>
            </w:r>
            <w:r w:rsidRPr="00DA5F73">
              <w:rPr>
                <w:rFonts w:ascii="Times New Roman" w:hAnsi="Times New Roman" w:cs="Times New Roman"/>
              </w:rPr>
              <w:fldChar w:fldCharType="end"/>
            </w:r>
          </w:p>
        </w:tc>
      </w:tr>
      <w:tr w:rsidR="00DA5F73" w:rsidRPr="00DA5F73" w14:paraId="484EA96F" w14:textId="77777777">
        <w:trPr>
          <w:trHeight w:val="454"/>
          <w:jc w:val="center"/>
        </w:trPr>
        <w:tc>
          <w:tcPr>
            <w:tcW w:w="2098" w:type="dxa"/>
            <w:tcBorders>
              <w:top w:val="nil"/>
              <w:left w:val="nil"/>
              <w:bottom w:val="nil"/>
              <w:right w:val="nil"/>
            </w:tcBorders>
            <w:vAlign w:val="center"/>
          </w:tcPr>
          <w:p w14:paraId="7DDD1E7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NiSe</w:t>
            </w:r>
            <w:r w:rsidRPr="00DA5F73">
              <w:rPr>
                <w:rFonts w:ascii="Times New Roman" w:hAnsi="Times New Roman" w:cs="Times New Roman"/>
                <w:vertAlign w:val="subscript"/>
              </w:rPr>
              <w:t>2</w:t>
            </w:r>
          </w:p>
        </w:tc>
        <w:tc>
          <w:tcPr>
            <w:tcW w:w="3288" w:type="dxa"/>
            <w:tcBorders>
              <w:top w:val="nil"/>
              <w:left w:val="nil"/>
              <w:bottom w:val="nil"/>
              <w:right w:val="nil"/>
            </w:tcBorders>
            <w:vAlign w:val="center"/>
          </w:tcPr>
          <w:p w14:paraId="26E7395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0F8E89C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1.389</w:t>
            </w:r>
          </w:p>
        </w:tc>
        <w:tc>
          <w:tcPr>
            <w:tcW w:w="1134" w:type="dxa"/>
            <w:tcBorders>
              <w:top w:val="nil"/>
              <w:left w:val="nil"/>
              <w:bottom w:val="nil"/>
              <w:right w:val="nil"/>
            </w:tcBorders>
            <w:vAlign w:val="center"/>
          </w:tcPr>
          <w:p w14:paraId="6A49723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bottom w:val="nil"/>
              <w:right w:val="nil"/>
            </w:tcBorders>
            <w:vAlign w:val="center"/>
          </w:tcPr>
          <w:p w14:paraId="1EAF5B4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_Ref13003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[14]</w:t>
            </w:r>
            <w:r w:rsidRPr="00DA5F73">
              <w:rPr>
                <w:rFonts w:ascii="Times New Roman" w:hAnsi="Times New Roman" w:cs="Times New Roman"/>
              </w:rPr>
              <w:fldChar w:fldCharType="end"/>
            </w:r>
          </w:p>
        </w:tc>
      </w:tr>
      <w:tr w:rsidR="00DA5F73" w:rsidRPr="00DA5F73" w14:paraId="5CEC6F28" w14:textId="77777777">
        <w:trPr>
          <w:trHeight w:val="454"/>
          <w:jc w:val="center"/>
        </w:trPr>
        <w:tc>
          <w:tcPr>
            <w:tcW w:w="2098" w:type="dxa"/>
            <w:tcBorders>
              <w:top w:val="nil"/>
              <w:left w:val="nil"/>
              <w:bottom w:val="nil"/>
              <w:right w:val="nil"/>
            </w:tcBorders>
            <w:vAlign w:val="center"/>
          </w:tcPr>
          <w:p w14:paraId="0CC6E8F6"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w:t>
            </w:r>
            <w:r w:rsidRPr="00DA5F73">
              <w:rPr>
                <w:rFonts w:ascii="Times New Roman" w:hAnsi="Times New Roman" w:cs="Times New Roman"/>
                <w:vertAlign w:val="subscript"/>
              </w:rPr>
              <w:t>3</w:t>
            </w:r>
            <w:r w:rsidRPr="00DA5F73">
              <w:rPr>
                <w:rFonts w:ascii="Times New Roman" w:hAnsi="Times New Roman" w:cs="Times New Roman"/>
              </w:rPr>
              <w:t>S</w:t>
            </w:r>
            <w:r w:rsidRPr="00DA5F73">
              <w:rPr>
                <w:rFonts w:ascii="Times New Roman" w:hAnsi="Times New Roman" w:cs="Times New Roman"/>
                <w:vertAlign w:val="subscript"/>
              </w:rPr>
              <w:t>2</w:t>
            </w:r>
            <w:r w:rsidRPr="00DA5F73">
              <w:rPr>
                <w:rFonts w:ascii="Times New Roman" w:hAnsi="Times New Roman" w:cs="Times New Roman"/>
              </w:rPr>
              <w:t>@NiFeMn-LDH/NF</w:t>
            </w:r>
          </w:p>
        </w:tc>
        <w:tc>
          <w:tcPr>
            <w:tcW w:w="3288" w:type="dxa"/>
            <w:tcBorders>
              <w:top w:val="nil"/>
              <w:left w:val="nil"/>
              <w:bottom w:val="nil"/>
              <w:right w:val="nil"/>
            </w:tcBorders>
            <w:vAlign w:val="center"/>
          </w:tcPr>
          <w:p w14:paraId="45E3CC7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4F285D7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1.29</w:t>
            </w:r>
          </w:p>
        </w:tc>
        <w:tc>
          <w:tcPr>
            <w:tcW w:w="1134" w:type="dxa"/>
            <w:tcBorders>
              <w:top w:val="nil"/>
              <w:left w:val="nil"/>
              <w:bottom w:val="nil"/>
              <w:right w:val="nil"/>
            </w:tcBorders>
            <w:vAlign w:val="center"/>
          </w:tcPr>
          <w:p w14:paraId="5A97068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bottom w:val="nil"/>
              <w:right w:val="nil"/>
            </w:tcBorders>
            <w:vAlign w:val="center"/>
          </w:tcPr>
          <w:p w14:paraId="6EE1865C"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_Ref13019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[15]</w:t>
            </w:r>
            <w:r w:rsidRPr="00DA5F73">
              <w:rPr>
                <w:rFonts w:ascii="Times New Roman" w:hAnsi="Times New Roman" w:cs="Times New Roman"/>
              </w:rPr>
              <w:fldChar w:fldCharType="end"/>
            </w:r>
          </w:p>
        </w:tc>
      </w:tr>
      <w:tr w:rsidR="00DA5F73" w:rsidRPr="00DA5F73" w14:paraId="49790BB6" w14:textId="77777777">
        <w:trPr>
          <w:trHeight w:val="454"/>
          <w:jc w:val="center"/>
        </w:trPr>
        <w:tc>
          <w:tcPr>
            <w:tcW w:w="2098" w:type="dxa"/>
            <w:tcBorders>
              <w:top w:val="nil"/>
              <w:left w:val="nil"/>
              <w:bottom w:val="nil"/>
              <w:right w:val="nil"/>
            </w:tcBorders>
            <w:vAlign w:val="center"/>
          </w:tcPr>
          <w:p w14:paraId="7571358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CoFe-LDH/NF-10</w:t>
            </w:r>
          </w:p>
        </w:tc>
        <w:tc>
          <w:tcPr>
            <w:tcW w:w="3288" w:type="dxa"/>
            <w:tcBorders>
              <w:top w:val="nil"/>
              <w:left w:val="nil"/>
              <w:bottom w:val="nil"/>
              <w:right w:val="nil"/>
            </w:tcBorders>
            <w:vAlign w:val="center"/>
          </w:tcPr>
          <w:p w14:paraId="13209B99"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64FDFEBE"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1.44</w:t>
            </w:r>
          </w:p>
        </w:tc>
        <w:tc>
          <w:tcPr>
            <w:tcW w:w="1134" w:type="dxa"/>
            <w:tcBorders>
              <w:top w:val="nil"/>
              <w:left w:val="nil"/>
              <w:bottom w:val="nil"/>
              <w:right w:val="nil"/>
            </w:tcBorders>
            <w:vAlign w:val="center"/>
          </w:tcPr>
          <w:p w14:paraId="7F22A7C5"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bottom w:val="nil"/>
              <w:right w:val="nil"/>
            </w:tcBorders>
            <w:vAlign w:val="center"/>
          </w:tcPr>
          <w:p w14:paraId="6F8B2E3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_Ref13035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[16]</w:t>
            </w:r>
            <w:r w:rsidRPr="00DA5F73">
              <w:rPr>
                <w:rFonts w:ascii="Times New Roman" w:hAnsi="Times New Roman" w:cs="Times New Roman"/>
              </w:rPr>
              <w:fldChar w:fldCharType="end"/>
            </w:r>
          </w:p>
        </w:tc>
      </w:tr>
      <w:tr w:rsidR="00DA5F73" w:rsidRPr="00DA5F73" w14:paraId="2F4E0451" w14:textId="77777777">
        <w:trPr>
          <w:trHeight w:val="454"/>
          <w:jc w:val="center"/>
        </w:trPr>
        <w:tc>
          <w:tcPr>
            <w:tcW w:w="2098" w:type="dxa"/>
            <w:tcBorders>
              <w:top w:val="nil"/>
              <w:left w:val="nil"/>
              <w:bottom w:val="nil"/>
              <w:right w:val="nil"/>
            </w:tcBorders>
            <w:vAlign w:val="center"/>
          </w:tcPr>
          <w:p w14:paraId="43C31836"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CoNiB:BO 1:0 500 °C</w:t>
            </w:r>
          </w:p>
        </w:tc>
        <w:tc>
          <w:tcPr>
            <w:tcW w:w="3288" w:type="dxa"/>
            <w:tcBorders>
              <w:top w:val="nil"/>
              <w:left w:val="nil"/>
              <w:bottom w:val="nil"/>
              <w:right w:val="nil"/>
            </w:tcBorders>
            <w:vAlign w:val="center"/>
          </w:tcPr>
          <w:p w14:paraId="2E84BA5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34EC821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1.31</w:t>
            </w:r>
          </w:p>
        </w:tc>
        <w:tc>
          <w:tcPr>
            <w:tcW w:w="1134" w:type="dxa"/>
            <w:tcBorders>
              <w:top w:val="nil"/>
              <w:left w:val="nil"/>
              <w:bottom w:val="nil"/>
              <w:right w:val="nil"/>
            </w:tcBorders>
            <w:vAlign w:val="center"/>
          </w:tcPr>
          <w:p w14:paraId="70470C2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bottom w:val="nil"/>
              <w:right w:val="nil"/>
            </w:tcBorders>
            <w:vAlign w:val="center"/>
          </w:tcPr>
          <w:p w14:paraId="70A97081"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_Ref13055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[17]</w:t>
            </w:r>
            <w:r w:rsidRPr="00DA5F73">
              <w:rPr>
                <w:rFonts w:ascii="Times New Roman" w:hAnsi="Times New Roman" w:cs="Times New Roman"/>
              </w:rPr>
              <w:fldChar w:fldCharType="end"/>
            </w:r>
          </w:p>
        </w:tc>
      </w:tr>
      <w:tr w:rsidR="00DA5F73" w:rsidRPr="00DA5F73" w14:paraId="5600D802" w14:textId="77777777">
        <w:trPr>
          <w:trHeight w:val="454"/>
          <w:jc w:val="center"/>
        </w:trPr>
        <w:tc>
          <w:tcPr>
            <w:tcW w:w="2098" w:type="dxa"/>
            <w:tcBorders>
              <w:top w:val="nil"/>
              <w:left w:val="nil"/>
              <w:bottom w:val="nil"/>
              <w:right w:val="nil"/>
            </w:tcBorders>
            <w:vAlign w:val="center"/>
          </w:tcPr>
          <w:p w14:paraId="5F08703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NiFeP-FeP</w:t>
            </w:r>
          </w:p>
        </w:tc>
        <w:tc>
          <w:tcPr>
            <w:tcW w:w="3288" w:type="dxa"/>
            <w:tcBorders>
              <w:top w:val="nil"/>
              <w:left w:val="nil"/>
              <w:bottom w:val="nil"/>
              <w:right w:val="nil"/>
            </w:tcBorders>
            <w:vAlign w:val="center"/>
          </w:tcPr>
          <w:p w14:paraId="61C5D12F"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+ 0.5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7CF6E4CB"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1.43</w:t>
            </w:r>
          </w:p>
        </w:tc>
        <w:tc>
          <w:tcPr>
            <w:tcW w:w="1134" w:type="dxa"/>
            <w:tcBorders>
              <w:top w:val="nil"/>
              <w:left w:val="nil"/>
              <w:bottom w:val="nil"/>
              <w:right w:val="nil"/>
            </w:tcBorders>
            <w:vAlign w:val="center"/>
          </w:tcPr>
          <w:p w14:paraId="26B42F17"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bottom w:val="nil"/>
              <w:right w:val="nil"/>
            </w:tcBorders>
            <w:vAlign w:val="center"/>
          </w:tcPr>
          <w:p w14:paraId="697F5C32"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_Ref13071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[18]</w:t>
            </w:r>
            <w:r w:rsidRPr="00DA5F73">
              <w:rPr>
                <w:rFonts w:ascii="Times New Roman" w:hAnsi="Times New Roman" w:cs="Times New Roman"/>
              </w:rPr>
              <w:fldChar w:fldCharType="end"/>
            </w:r>
          </w:p>
        </w:tc>
      </w:tr>
      <w:tr w:rsidR="00DA5F73" w:rsidRPr="00DA5F73" w14:paraId="30506596" w14:textId="77777777">
        <w:trPr>
          <w:trHeight w:val="454"/>
          <w:jc w:val="center"/>
        </w:trPr>
        <w:tc>
          <w:tcPr>
            <w:tcW w:w="2098" w:type="dxa"/>
            <w:tcBorders>
              <w:top w:val="nil"/>
              <w:left w:val="nil"/>
              <w:bottom w:val="nil"/>
              <w:right w:val="nil"/>
            </w:tcBorders>
            <w:vAlign w:val="center"/>
          </w:tcPr>
          <w:p w14:paraId="796BA980"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Ni</w:t>
            </w:r>
            <w:r w:rsidRPr="00DA5F73">
              <w:rPr>
                <w:rFonts w:ascii="Times New Roman" w:hAnsi="Times New Roman" w:cs="Times New Roman"/>
                <w:vertAlign w:val="subscript"/>
              </w:rPr>
              <w:t>0.9</w:t>
            </w:r>
            <w:r w:rsidRPr="00DA5F73">
              <w:rPr>
                <w:rFonts w:ascii="Times New Roman" w:hAnsi="Times New Roman" w:cs="Times New Roman"/>
              </w:rPr>
              <w:t>Mn</w:t>
            </w:r>
            <w:r w:rsidRPr="00DA5F73">
              <w:rPr>
                <w:rFonts w:ascii="Times New Roman" w:hAnsi="Times New Roman" w:cs="Times New Roman"/>
                <w:vertAlign w:val="subscript"/>
              </w:rPr>
              <w:t>0.1</w:t>
            </w:r>
            <w:r w:rsidRPr="00DA5F73">
              <w:rPr>
                <w:rFonts w:ascii="Times New Roman" w:hAnsi="Times New Roman" w:cs="Times New Roman"/>
              </w:rPr>
              <w:t>-LDH</w:t>
            </w:r>
          </w:p>
        </w:tc>
        <w:tc>
          <w:tcPr>
            <w:tcW w:w="3288" w:type="dxa"/>
            <w:tcBorders>
              <w:top w:val="nil"/>
              <w:left w:val="nil"/>
              <w:bottom w:val="nil"/>
              <w:right w:val="nil"/>
            </w:tcBorders>
            <w:vAlign w:val="center"/>
          </w:tcPr>
          <w:p w14:paraId="32529F78"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bottom w:val="nil"/>
              <w:right w:val="nil"/>
            </w:tcBorders>
            <w:vAlign w:val="center"/>
          </w:tcPr>
          <w:p w14:paraId="26BC7DC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1.37</w:t>
            </w:r>
          </w:p>
        </w:tc>
        <w:tc>
          <w:tcPr>
            <w:tcW w:w="1134" w:type="dxa"/>
            <w:tcBorders>
              <w:top w:val="nil"/>
              <w:left w:val="nil"/>
              <w:bottom w:val="nil"/>
              <w:right w:val="nil"/>
            </w:tcBorders>
            <w:vAlign w:val="center"/>
          </w:tcPr>
          <w:p w14:paraId="28315A0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bottom w:val="nil"/>
              <w:right w:val="nil"/>
            </w:tcBorders>
            <w:vAlign w:val="center"/>
          </w:tcPr>
          <w:p w14:paraId="0857EDF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_Ref13084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[19]</w:t>
            </w:r>
            <w:r w:rsidRPr="00DA5F73">
              <w:rPr>
                <w:rFonts w:ascii="Times New Roman" w:hAnsi="Times New Roman" w:cs="Times New Roman"/>
              </w:rPr>
              <w:fldChar w:fldCharType="end"/>
            </w:r>
          </w:p>
        </w:tc>
      </w:tr>
      <w:tr w:rsidR="00DA5F73" w:rsidRPr="00DA5F73" w14:paraId="4C1351A1" w14:textId="77777777">
        <w:trPr>
          <w:trHeight w:val="454"/>
          <w:jc w:val="center"/>
        </w:trPr>
        <w:tc>
          <w:tcPr>
            <w:tcW w:w="2098" w:type="dxa"/>
            <w:tcBorders>
              <w:top w:val="nil"/>
              <w:left w:val="nil"/>
              <w:right w:val="nil"/>
            </w:tcBorders>
            <w:vAlign w:val="center"/>
          </w:tcPr>
          <w:p w14:paraId="1755EAF6"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FeP/CoP@NC</w:t>
            </w:r>
          </w:p>
        </w:tc>
        <w:tc>
          <w:tcPr>
            <w:tcW w:w="3288" w:type="dxa"/>
            <w:tcBorders>
              <w:top w:val="nil"/>
              <w:left w:val="nil"/>
              <w:right w:val="nil"/>
            </w:tcBorders>
            <w:vAlign w:val="center"/>
          </w:tcPr>
          <w:p w14:paraId="56238D1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 xml:space="preserve">1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KOH + 0.5 </w:t>
            </w:r>
            <w:r w:rsidRPr="00DA5F73">
              <w:rPr>
                <w:rFonts w:ascii="Times New Roman" w:hAnsi="Times New Roman" w:cs="Times New Roman"/>
                <w:kern w:val="0"/>
                <w:sz w:val="24"/>
              </w:rPr>
              <w:t>mol·L</w:t>
            </w:r>
            <w:r w:rsidRPr="00DA5F73">
              <w:rPr>
                <w:rFonts w:ascii="Times New Roman" w:hAnsi="Times New Roman" w:cs="Times New Roman"/>
                <w:kern w:val="0"/>
                <w:sz w:val="24"/>
                <w:vertAlign w:val="superscript"/>
              </w:rPr>
              <w:t>-1</w:t>
            </w:r>
            <w:r w:rsidRPr="00DA5F73">
              <w:rPr>
                <w:rFonts w:ascii="Times New Roman" w:hAnsi="Times New Roman" w:cs="Times New Roman"/>
              </w:rPr>
              <w:t xml:space="preserve"> EG</w:t>
            </w:r>
          </w:p>
        </w:tc>
        <w:tc>
          <w:tcPr>
            <w:tcW w:w="1134" w:type="dxa"/>
            <w:tcBorders>
              <w:top w:val="nil"/>
              <w:left w:val="nil"/>
              <w:right w:val="nil"/>
            </w:tcBorders>
            <w:vAlign w:val="center"/>
          </w:tcPr>
          <w:p w14:paraId="2CE7E41A"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1.32</w:t>
            </w:r>
          </w:p>
        </w:tc>
        <w:tc>
          <w:tcPr>
            <w:tcW w:w="1134" w:type="dxa"/>
            <w:tcBorders>
              <w:top w:val="nil"/>
              <w:left w:val="nil"/>
              <w:right w:val="nil"/>
            </w:tcBorders>
            <w:vAlign w:val="center"/>
          </w:tcPr>
          <w:p w14:paraId="572676E3"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t>10</w:t>
            </w:r>
          </w:p>
        </w:tc>
        <w:tc>
          <w:tcPr>
            <w:tcW w:w="1134" w:type="dxa"/>
            <w:tcBorders>
              <w:top w:val="nil"/>
              <w:left w:val="nil"/>
              <w:right w:val="nil"/>
            </w:tcBorders>
            <w:vAlign w:val="center"/>
          </w:tcPr>
          <w:p w14:paraId="79ABBA34" w14:textId="77777777" w:rsidR="008325C7" w:rsidRPr="00DA5F73" w:rsidRDefault="00F32507">
            <w:pPr>
              <w:jc w:val="center"/>
              <w:rPr>
                <w:rFonts w:ascii="Times New Roman" w:hAnsi="Times New Roman" w:cs="Times New Roman"/>
              </w:rPr>
            </w:pPr>
            <w:r w:rsidRPr="00DA5F73">
              <w:rPr>
                <w:rFonts w:ascii="Times New Roman" w:hAnsi="Times New Roman" w:cs="Times New Roman"/>
              </w:rPr>
              <w:fldChar w:fldCharType="begin"/>
            </w:r>
            <w:r w:rsidRPr="00DA5F73">
              <w:rPr>
                <w:rFonts w:ascii="Times New Roman" w:hAnsi="Times New Roman" w:cs="Times New Roman"/>
              </w:rPr>
              <w:instrText xml:space="preserve"> REF _Ref13104 \r \h </w:instrText>
            </w:r>
            <w:r w:rsidRPr="00DA5F73">
              <w:rPr>
                <w:rFonts w:ascii="Times New Roman" w:hAnsi="Times New Roman" w:cs="Times New Roman"/>
              </w:rPr>
            </w:r>
            <w:r w:rsidRPr="00DA5F73">
              <w:rPr>
                <w:rFonts w:ascii="Times New Roman" w:hAnsi="Times New Roman" w:cs="Times New Roman"/>
              </w:rPr>
              <w:fldChar w:fldCharType="separate"/>
            </w:r>
            <w:r w:rsidRPr="00DA5F73">
              <w:rPr>
                <w:rFonts w:ascii="Times New Roman" w:hAnsi="Times New Roman" w:cs="Times New Roman"/>
              </w:rPr>
              <w:t>[20]</w:t>
            </w:r>
            <w:r w:rsidRPr="00DA5F73">
              <w:rPr>
                <w:rFonts w:ascii="Times New Roman" w:hAnsi="Times New Roman" w:cs="Times New Roman"/>
              </w:rPr>
              <w:fldChar w:fldCharType="end"/>
            </w:r>
          </w:p>
        </w:tc>
      </w:tr>
    </w:tbl>
    <w:p w14:paraId="619BD330" w14:textId="77777777" w:rsidR="008325C7" w:rsidRPr="00DA5F73" w:rsidRDefault="00F32507">
      <w:pPr>
        <w:pStyle w:val="2"/>
        <w:widowControl/>
        <w:jc w:val="center"/>
        <w:rPr>
          <w:rFonts w:ascii="Times New Roman" w:eastAsia="MS Mincho" w:hAnsi="Times New Roman" w:hint="default"/>
          <w:sz w:val="19"/>
          <w:szCs w:val="19"/>
          <w:shd w:val="clear" w:color="auto" w:fill="FFFFFF"/>
          <w:lang w:eastAsia="ja-JP"/>
        </w:rPr>
      </w:pPr>
      <w:bookmarkStart w:id="2" w:name="_Ref10507"/>
      <w:r w:rsidRPr="00DA5F73">
        <w:rPr>
          <w:rFonts w:ascii="Times New Roman" w:hAnsi="Times New Roman" w:hint="default"/>
          <w:sz w:val="32"/>
          <w:szCs w:val="32"/>
        </w:rPr>
        <w:t>References</w:t>
      </w:r>
      <w:bookmarkEnd w:id="2"/>
    </w:p>
    <w:p w14:paraId="3201B1D4" w14:textId="77777777" w:rsidR="008325C7" w:rsidRPr="00DA5F73" w:rsidRDefault="00F32507">
      <w:pPr>
        <w:numPr>
          <w:ilvl w:val="0"/>
          <w:numId w:val="1"/>
        </w:numPr>
        <w:rPr>
          <w:rFonts w:ascii="Times New Roman" w:hAnsi="Times New Roman" w:cs="Times New Roman"/>
          <w:szCs w:val="21"/>
        </w:rPr>
      </w:pPr>
      <w:bookmarkStart w:id="3" w:name="_Ref12669"/>
      <w:r w:rsidRPr="00DA5F73">
        <w:rPr>
          <w:rFonts w:ascii="Times New Roman" w:eastAsia="宋体" w:hAnsi="Times New Roman" w:cs="Times New Roman"/>
          <w:szCs w:val="21"/>
          <w:shd w:val="clear" w:color="auto" w:fill="FFFFFF"/>
        </w:rPr>
        <w:t>Liu K, Gao X, Liu C, Shi R, Tse E, Liu F, Chen Y. Energy-Saving Hydrogen Production by Seawater Splitting Coupled with PET Plastic Upcycling. Advanced Energy Materials, 2024, 14(17): 2304065.</w:t>
      </w:r>
      <w:bookmarkEnd w:id="3"/>
    </w:p>
    <w:p w14:paraId="060FE03F" w14:textId="77777777" w:rsidR="008325C7" w:rsidRPr="00DA5F73" w:rsidRDefault="00F32507">
      <w:pPr>
        <w:numPr>
          <w:ilvl w:val="0"/>
          <w:numId w:val="1"/>
        </w:numPr>
        <w:rPr>
          <w:rFonts w:ascii="Times New Roman" w:hAnsi="Times New Roman" w:cs="Times New Roman"/>
          <w:szCs w:val="21"/>
        </w:rPr>
      </w:pPr>
      <w:bookmarkStart w:id="4" w:name="_Ref12692"/>
      <w:r w:rsidRPr="00DA5F73">
        <w:rPr>
          <w:rFonts w:ascii="Times New Roman" w:eastAsia="宋体" w:hAnsi="Times New Roman" w:cs="Times New Roman"/>
          <w:szCs w:val="21"/>
          <w:shd w:val="clear" w:color="auto" w:fill="FFFFFF"/>
        </w:rPr>
        <w:t>Song M, Wu Y, Zhao Z, Zheng M, Wang C, Lu J. Corrosion Engineering of Part-Per-Million Single Atom Pt</w:t>
      </w:r>
      <w:r w:rsidRPr="00DA5F73">
        <w:rPr>
          <w:rFonts w:ascii="Times New Roman" w:eastAsia="宋体" w:hAnsi="Times New Roman" w:cs="Times New Roman"/>
          <w:szCs w:val="21"/>
          <w:shd w:val="clear" w:color="auto" w:fill="FFFFFF"/>
          <w:vertAlign w:val="subscript"/>
        </w:rPr>
        <w:t>1</w:t>
      </w:r>
      <w:r w:rsidRPr="00DA5F73">
        <w:rPr>
          <w:rFonts w:ascii="Times New Roman" w:eastAsia="宋体" w:hAnsi="Times New Roman" w:cs="Times New Roman"/>
          <w:szCs w:val="21"/>
          <w:shd w:val="clear" w:color="auto" w:fill="FFFFFF"/>
        </w:rPr>
        <w:t>/Ni(OH)</w:t>
      </w:r>
      <w:r w:rsidRPr="00DA5F73">
        <w:rPr>
          <w:rFonts w:ascii="Times New Roman" w:eastAsia="宋体" w:hAnsi="Times New Roman" w:cs="Times New Roman"/>
          <w:szCs w:val="21"/>
          <w:shd w:val="clear" w:color="auto" w:fill="FFFFFF"/>
          <w:vertAlign w:val="subscript"/>
        </w:rPr>
        <w:t>2</w:t>
      </w:r>
      <w:r w:rsidRPr="00DA5F73">
        <w:rPr>
          <w:rFonts w:ascii="Times New Roman" w:eastAsia="宋体" w:hAnsi="Times New Roman" w:cs="Times New Roman"/>
          <w:szCs w:val="21"/>
          <w:shd w:val="clear" w:color="auto" w:fill="FFFFFF"/>
        </w:rPr>
        <w:t xml:space="preserve"> Electrocatalyst for PET Upcycling at Ampere-Level Current Density. Advanced Materials, 2024, 36(23): 2403234.</w:t>
      </w:r>
      <w:bookmarkEnd w:id="4"/>
    </w:p>
    <w:p w14:paraId="2A1A7647" w14:textId="77777777" w:rsidR="008325C7" w:rsidRPr="00DA5F73" w:rsidRDefault="00F32507">
      <w:pPr>
        <w:numPr>
          <w:ilvl w:val="0"/>
          <w:numId w:val="1"/>
        </w:numPr>
        <w:rPr>
          <w:rFonts w:ascii="Times New Roman" w:hAnsi="Times New Roman" w:cs="Times New Roman"/>
          <w:szCs w:val="21"/>
        </w:rPr>
      </w:pPr>
      <w:bookmarkStart w:id="5" w:name="_Ref12705"/>
      <w:r w:rsidRPr="00DA5F73">
        <w:rPr>
          <w:rFonts w:ascii="Times New Roman" w:eastAsia="宋体" w:hAnsi="Times New Roman" w:cs="Times New Roman"/>
          <w:szCs w:val="21"/>
          <w:shd w:val="clear" w:color="auto" w:fill="FFFFFF"/>
        </w:rPr>
        <w:t>Zhou H, Ren Y, Li Z, Xu M, Wang Y, Ge R, Kong X, Zheng L, Duan H. Electrocatalytic upcycling of polyethylene terephthalate to commodity chemicals and H</w:t>
      </w:r>
      <w:r w:rsidRPr="00DA5F73">
        <w:rPr>
          <w:rFonts w:ascii="Times New Roman" w:eastAsia="宋体" w:hAnsi="Times New Roman" w:cs="Times New Roman"/>
          <w:szCs w:val="21"/>
          <w:shd w:val="clear" w:color="auto" w:fill="FFFFFF"/>
          <w:vertAlign w:val="subscript"/>
        </w:rPr>
        <w:t>2</w:t>
      </w:r>
      <w:r w:rsidRPr="00DA5F73">
        <w:rPr>
          <w:rFonts w:ascii="Times New Roman" w:eastAsia="宋体" w:hAnsi="Times New Roman" w:cs="Times New Roman"/>
          <w:szCs w:val="21"/>
          <w:shd w:val="clear" w:color="auto" w:fill="FFFFFF"/>
        </w:rPr>
        <w:t xml:space="preserve"> fuel. Nature Communications, 2021, 12(1): 4679.</w:t>
      </w:r>
      <w:bookmarkEnd w:id="5"/>
    </w:p>
    <w:p w14:paraId="54384DC5" w14:textId="77777777" w:rsidR="008325C7" w:rsidRPr="00DA5F73" w:rsidRDefault="00F32507">
      <w:pPr>
        <w:numPr>
          <w:ilvl w:val="0"/>
          <w:numId w:val="1"/>
        </w:numPr>
        <w:rPr>
          <w:rFonts w:ascii="Times New Roman" w:hAnsi="Times New Roman" w:cs="Times New Roman"/>
          <w:szCs w:val="21"/>
        </w:rPr>
      </w:pPr>
      <w:bookmarkStart w:id="6" w:name="_Ref12718"/>
      <w:r w:rsidRPr="00DA5F73">
        <w:rPr>
          <w:rFonts w:ascii="Times New Roman" w:eastAsia="宋体" w:hAnsi="Times New Roman" w:cs="Times New Roman"/>
          <w:szCs w:val="21"/>
          <w:shd w:val="clear" w:color="auto" w:fill="FFFFFF"/>
        </w:rPr>
        <w:t xml:space="preserve">Ma Y, Guo X, Du M, Kang S, Dong W, Nicolosi V, Cui Z, Zhang Y, Qiu B. Beyond biodegradation: upcycling of polylactic acid plastic waste into amino acids via cascade catalysis </w:t>
      </w:r>
      <w:r w:rsidRPr="00DA5F73">
        <w:rPr>
          <w:rFonts w:ascii="Times New Roman" w:eastAsia="宋体" w:hAnsi="Times New Roman" w:cs="Times New Roman"/>
          <w:szCs w:val="21"/>
          <w:shd w:val="clear" w:color="auto" w:fill="FFFFFF"/>
        </w:rPr>
        <w:lastRenderedPageBreak/>
        <w:t>under mild conditions. Green Chemistry, 2024, 26(7): 3995–4004.</w:t>
      </w:r>
      <w:bookmarkEnd w:id="6"/>
    </w:p>
    <w:p w14:paraId="0F0C5F74" w14:textId="77777777" w:rsidR="008325C7" w:rsidRPr="00DA5F73" w:rsidRDefault="00F32507">
      <w:pPr>
        <w:numPr>
          <w:ilvl w:val="0"/>
          <w:numId w:val="1"/>
        </w:numPr>
        <w:rPr>
          <w:rFonts w:ascii="Times New Roman" w:hAnsi="Times New Roman" w:cs="Times New Roman"/>
          <w:szCs w:val="21"/>
        </w:rPr>
      </w:pPr>
      <w:bookmarkStart w:id="7" w:name="_Ref12732"/>
      <w:r w:rsidRPr="00DA5F73">
        <w:rPr>
          <w:rFonts w:ascii="Times New Roman" w:eastAsia="宋体" w:hAnsi="Times New Roman" w:cs="Times New Roman"/>
          <w:szCs w:val="21"/>
          <w:shd w:val="clear" w:color="auto" w:fill="FFFFFF"/>
        </w:rPr>
        <w:t>Wang J, Li X, Zhang T, Chai X, Xu M, Feng M, Cai C, Chen Z, Qian X, Zhao Y. Photovoltaic-driven Ni(II)/Ni(III) redox mediator for the valorization of PET plastic waste with hydrogen production. Chemical Science, 2024, 15(20): 7596–7602.</w:t>
      </w:r>
      <w:bookmarkEnd w:id="7"/>
    </w:p>
    <w:p w14:paraId="68B6934B" w14:textId="77777777" w:rsidR="008325C7" w:rsidRPr="00DA5F73" w:rsidRDefault="00F32507">
      <w:pPr>
        <w:numPr>
          <w:ilvl w:val="0"/>
          <w:numId w:val="1"/>
        </w:numPr>
        <w:rPr>
          <w:rFonts w:ascii="Times New Roman" w:hAnsi="Times New Roman" w:cs="Times New Roman"/>
          <w:szCs w:val="21"/>
        </w:rPr>
      </w:pPr>
      <w:bookmarkStart w:id="8" w:name="_Ref12758"/>
      <w:r w:rsidRPr="00DA5F73">
        <w:rPr>
          <w:rFonts w:ascii="Times New Roman" w:eastAsia="宋体" w:hAnsi="Times New Roman" w:cs="Times New Roman"/>
          <w:szCs w:val="21"/>
          <w:shd w:val="clear" w:color="auto" w:fill="FFFFFF"/>
        </w:rPr>
        <w:t>Shi K, Si D, Teng X, Chen L, Shi J. Pd/NiMoO</w:t>
      </w:r>
      <w:r w:rsidRPr="00DA5F73">
        <w:rPr>
          <w:rFonts w:ascii="Times New Roman" w:eastAsia="宋体" w:hAnsi="Times New Roman" w:cs="Times New Roman"/>
          <w:szCs w:val="21"/>
          <w:shd w:val="clear" w:color="auto" w:fill="FFFFFF"/>
          <w:vertAlign w:val="subscript"/>
        </w:rPr>
        <w:t>4</w:t>
      </w:r>
      <w:r w:rsidRPr="00DA5F73">
        <w:rPr>
          <w:rFonts w:ascii="Times New Roman" w:eastAsia="宋体" w:hAnsi="Times New Roman" w:cs="Times New Roman"/>
          <w:szCs w:val="21"/>
          <w:shd w:val="clear" w:color="auto" w:fill="FFFFFF"/>
        </w:rPr>
        <w:t>/NF electrocatalysts for the efficient and ultra-stable synthesis and electrolyte-assisted extraction of glycolate. Nature Communications, 2024, 15(1): 2899.</w:t>
      </w:r>
      <w:bookmarkEnd w:id="8"/>
    </w:p>
    <w:p w14:paraId="3F3DA041" w14:textId="77777777" w:rsidR="008325C7" w:rsidRPr="00DA5F73" w:rsidRDefault="00F32507">
      <w:pPr>
        <w:numPr>
          <w:ilvl w:val="0"/>
          <w:numId w:val="1"/>
        </w:numPr>
        <w:rPr>
          <w:rFonts w:ascii="Times New Roman" w:hAnsi="Times New Roman" w:cs="Times New Roman"/>
          <w:szCs w:val="21"/>
        </w:rPr>
      </w:pPr>
      <w:bookmarkStart w:id="9" w:name="_Ref12888"/>
      <w:r w:rsidRPr="00DA5F73">
        <w:rPr>
          <w:rFonts w:ascii="Times New Roman" w:eastAsia="宋体" w:hAnsi="Times New Roman" w:cs="Times New Roman"/>
          <w:szCs w:val="21"/>
          <w:shd w:val="clear" w:color="auto" w:fill="FFFFFF"/>
        </w:rPr>
        <w:t>Yu Z, Ji M, Zhang Z, Zhang Y, Barras A, Addad A, Tang L, Chi Y, Roussel P, Szunerits S, Boukherroub R. Electrocatalytic upcycling of polyethylene terephthalate to formic acid and hydrogen fuels using CoCuO</w:t>
      </w:r>
      <w:r w:rsidRPr="00DA5F73">
        <w:rPr>
          <w:rFonts w:ascii="Times New Roman" w:eastAsia="宋体" w:hAnsi="Times New Roman" w:cs="Times New Roman"/>
          <w:szCs w:val="21"/>
          <w:shd w:val="clear" w:color="auto" w:fill="FFFFFF"/>
          <w:vertAlign w:val="subscript"/>
        </w:rPr>
        <w:t>x</w:t>
      </w:r>
      <w:r w:rsidRPr="00DA5F73">
        <w:rPr>
          <w:rFonts w:ascii="Times New Roman" w:eastAsia="宋体" w:hAnsi="Times New Roman" w:cs="Times New Roman"/>
          <w:szCs w:val="21"/>
          <w:shd w:val="clear" w:color="auto" w:fill="FFFFFF"/>
        </w:rPr>
        <w:t>/MXene catalyst. Journal of Energy Chemistry, 2025, 104: 91–100.</w:t>
      </w:r>
      <w:bookmarkEnd w:id="9"/>
    </w:p>
    <w:p w14:paraId="3A39A8B1" w14:textId="77777777" w:rsidR="008325C7" w:rsidRPr="00DA5F73" w:rsidRDefault="00F32507">
      <w:pPr>
        <w:numPr>
          <w:ilvl w:val="0"/>
          <w:numId w:val="1"/>
        </w:numPr>
        <w:rPr>
          <w:rFonts w:ascii="Times New Roman" w:hAnsi="Times New Roman" w:cs="Times New Roman"/>
          <w:szCs w:val="21"/>
        </w:rPr>
      </w:pPr>
      <w:bookmarkStart w:id="10" w:name="_Ref12905"/>
      <w:r w:rsidRPr="00DA5F73">
        <w:rPr>
          <w:rFonts w:ascii="Times New Roman" w:eastAsia="宋体" w:hAnsi="Times New Roman" w:cs="Times New Roman"/>
          <w:szCs w:val="21"/>
          <w:shd w:val="clear" w:color="auto" w:fill="FFFFFF"/>
        </w:rPr>
        <w:t>Bai X, Lin J, Cheng B, Yang C, Wang X, Li Y, Ishida T, Murayama T, Xiu G, Lin M. Fe-induced Co (IV) elimination enhancing selective ethylene glycol oxidation at high current density. Journal of Catalysis, 2026, 455: 116708.</w:t>
      </w:r>
      <w:bookmarkEnd w:id="10"/>
    </w:p>
    <w:p w14:paraId="5109684A" w14:textId="77777777" w:rsidR="008325C7" w:rsidRPr="00DA5F73" w:rsidRDefault="00F32507">
      <w:pPr>
        <w:numPr>
          <w:ilvl w:val="0"/>
          <w:numId w:val="1"/>
        </w:numPr>
        <w:rPr>
          <w:rFonts w:ascii="Times New Roman" w:hAnsi="Times New Roman" w:cs="Times New Roman"/>
          <w:szCs w:val="21"/>
        </w:rPr>
      </w:pPr>
      <w:bookmarkStart w:id="11" w:name="_Ref12921"/>
      <w:r w:rsidRPr="00DA5F73">
        <w:rPr>
          <w:rFonts w:ascii="Times New Roman" w:eastAsia="宋体" w:hAnsi="Times New Roman" w:cs="Times New Roman"/>
          <w:szCs w:val="21"/>
          <w:shd w:val="clear" w:color="auto" w:fill="FFFFFF"/>
        </w:rPr>
        <w:t>Li Z, Yang Z, Wang S, Luo H, Xue Z, Liu Z, Mu T. Medium entropy metal oxide induced *OH species targeted transfer strategy for efficient polyethylene terephthalate plastic recycling. Chemical Engineering Journal, 2024, 479: 147611.</w:t>
      </w:r>
      <w:bookmarkEnd w:id="11"/>
    </w:p>
    <w:p w14:paraId="70F2BE7D" w14:textId="77777777" w:rsidR="008325C7" w:rsidRPr="00DA5F73" w:rsidRDefault="00F32507">
      <w:pPr>
        <w:numPr>
          <w:ilvl w:val="0"/>
          <w:numId w:val="1"/>
        </w:numPr>
        <w:rPr>
          <w:rFonts w:ascii="Times New Roman" w:hAnsi="Times New Roman" w:cs="Times New Roman"/>
          <w:szCs w:val="21"/>
        </w:rPr>
      </w:pPr>
      <w:bookmarkStart w:id="12" w:name="_Ref12937"/>
      <w:r w:rsidRPr="00DA5F73">
        <w:rPr>
          <w:rFonts w:ascii="Times New Roman" w:eastAsia="宋体" w:hAnsi="Times New Roman" w:cs="Times New Roman"/>
          <w:szCs w:val="21"/>
          <w:shd w:val="clear" w:color="auto" w:fill="FFFFFF"/>
        </w:rPr>
        <w:t>Li M, Xia T, Wang M, Peng Y, Zhang S, Jiang X, Yang H. Biocarbon-confined bimetallic FeCo metal-organic framework orthogonal nanosheet arrays for industry-level ethylene glycol oxidation. Chinese Journal of Structural Chemistry, 2025, 44(8): 100627.</w:t>
      </w:r>
      <w:bookmarkEnd w:id="12"/>
    </w:p>
    <w:p w14:paraId="2B82B8EC" w14:textId="77777777" w:rsidR="008325C7" w:rsidRPr="00DA5F73" w:rsidRDefault="00F32507">
      <w:pPr>
        <w:numPr>
          <w:ilvl w:val="0"/>
          <w:numId w:val="1"/>
        </w:numPr>
        <w:rPr>
          <w:rFonts w:ascii="Times New Roman" w:hAnsi="Times New Roman" w:cs="Times New Roman"/>
          <w:szCs w:val="21"/>
        </w:rPr>
      </w:pPr>
      <w:bookmarkStart w:id="13" w:name="_Ref12954"/>
      <w:r w:rsidRPr="00DA5F73">
        <w:rPr>
          <w:rFonts w:ascii="Times New Roman" w:eastAsia="宋体" w:hAnsi="Times New Roman" w:cs="Times New Roman"/>
          <w:szCs w:val="21"/>
          <w:shd w:val="clear" w:color="auto" w:fill="FFFFFF"/>
        </w:rPr>
        <w:t>Yuan L, Wu C, Deng K, Liu X, Tian W, Ji J. Bimetallic 2D Metal Organic Frameworks for High Selective Ethylene Glycol Electrooxidation. Small, 2026, 22(7): e12758.</w:t>
      </w:r>
      <w:bookmarkEnd w:id="13"/>
    </w:p>
    <w:p w14:paraId="50FD04C8" w14:textId="77777777" w:rsidR="008325C7" w:rsidRPr="00DA5F73" w:rsidRDefault="00F32507">
      <w:pPr>
        <w:numPr>
          <w:ilvl w:val="0"/>
          <w:numId w:val="1"/>
        </w:numPr>
        <w:rPr>
          <w:rFonts w:ascii="Times New Roman" w:hAnsi="Times New Roman" w:cs="Times New Roman"/>
          <w:szCs w:val="21"/>
        </w:rPr>
      </w:pPr>
      <w:bookmarkStart w:id="14" w:name="_Ref12973"/>
      <w:r w:rsidRPr="00DA5F73">
        <w:rPr>
          <w:rFonts w:ascii="Times New Roman" w:eastAsia="宋体" w:hAnsi="Times New Roman" w:cs="Times New Roman"/>
          <w:szCs w:val="21"/>
          <w:shd w:val="clear" w:color="auto" w:fill="FFFFFF"/>
        </w:rPr>
        <w:t>Kang H, He D, Yan X, Dao B, Williams N, Elliott G, Streater D, Nyakuchena J, Huang J, Pan X, Xiao X, Gu J. Cu Promoted the Dynamic Evolution of Ni-Based Catalysts for Polyethylene Terephthalate Plastic Upcycling. ACS Catalysis, 2024, 14(7): 5314–5325.</w:t>
      </w:r>
      <w:bookmarkEnd w:id="14"/>
    </w:p>
    <w:p w14:paraId="15AD5EB3" w14:textId="77777777" w:rsidR="008325C7" w:rsidRPr="00DA5F73" w:rsidRDefault="00F32507">
      <w:pPr>
        <w:numPr>
          <w:ilvl w:val="0"/>
          <w:numId w:val="1"/>
        </w:numPr>
        <w:rPr>
          <w:rFonts w:ascii="Times New Roman" w:hAnsi="Times New Roman" w:cs="Times New Roman"/>
          <w:szCs w:val="21"/>
        </w:rPr>
      </w:pPr>
      <w:bookmarkStart w:id="15" w:name="_Ref12986"/>
      <w:r w:rsidRPr="00DA5F73">
        <w:rPr>
          <w:rFonts w:ascii="Times New Roman" w:eastAsia="宋体" w:hAnsi="Times New Roman" w:cs="Times New Roman"/>
          <w:szCs w:val="21"/>
          <w:shd w:val="clear" w:color="auto" w:fill="FFFFFF"/>
        </w:rPr>
        <w:t>Jiang Y, Li J, Guo X, Chen Y, Sun W, Peng C. Electrocatalytic reforming of polyethylene terephthalate waste plastics into high-value-added chemicals with green hydrogen generation. Journal of Colloid and Interface Science, 2025, 685: 29–37.</w:t>
      </w:r>
      <w:bookmarkEnd w:id="15"/>
    </w:p>
    <w:p w14:paraId="3716BE0A" w14:textId="77777777" w:rsidR="008325C7" w:rsidRPr="00DA5F73" w:rsidRDefault="00F32507">
      <w:pPr>
        <w:numPr>
          <w:ilvl w:val="0"/>
          <w:numId w:val="1"/>
        </w:numPr>
        <w:rPr>
          <w:rFonts w:ascii="Times New Roman" w:hAnsi="Times New Roman" w:cs="Times New Roman"/>
          <w:szCs w:val="21"/>
        </w:rPr>
      </w:pPr>
      <w:bookmarkStart w:id="16" w:name="_Ref13003"/>
      <w:r w:rsidRPr="00DA5F73">
        <w:rPr>
          <w:rFonts w:ascii="Times New Roman" w:eastAsia="宋体" w:hAnsi="Times New Roman" w:cs="Times New Roman"/>
          <w:szCs w:val="21"/>
          <w:shd w:val="clear" w:color="auto" w:fill="FFFFFF"/>
        </w:rPr>
        <w:t>Li J, Li L, Ma X, Han X, Xing C, Qi X, He R, Arbiol J, Pan H, Zhao J, Deng J, Zhang Y, Yang Y, Cabot A. Selective Ethylene Glycol Oxidation to Formate on Nickel Selenide with Simultaneous Evolution of Hydrogen. Advanced Science, 2023, 10(15): 2300841.</w:t>
      </w:r>
      <w:bookmarkEnd w:id="16"/>
    </w:p>
    <w:p w14:paraId="7E854445" w14:textId="77777777" w:rsidR="008325C7" w:rsidRPr="00DA5F73" w:rsidRDefault="00F32507">
      <w:pPr>
        <w:numPr>
          <w:ilvl w:val="0"/>
          <w:numId w:val="1"/>
        </w:numPr>
        <w:rPr>
          <w:rFonts w:ascii="Times New Roman" w:hAnsi="Times New Roman" w:cs="Times New Roman"/>
          <w:szCs w:val="21"/>
        </w:rPr>
      </w:pPr>
      <w:bookmarkStart w:id="17" w:name="_Ref13019"/>
      <w:r w:rsidRPr="00DA5F73">
        <w:rPr>
          <w:rFonts w:ascii="Times New Roman" w:eastAsia="宋体" w:hAnsi="Times New Roman" w:cs="Times New Roman"/>
          <w:szCs w:val="21"/>
          <w:shd w:val="clear" w:color="auto" w:fill="FFFFFF"/>
        </w:rPr>
        <w:t>Ma Y, Ge H, Zhang Y, Jian N, Yu J, Arbiol J, Li C, Zhong Y, Li L, Kang H, Wang J, Cabot A, Li J. Selective Electrooxidation of Ethylene Glycol to Formate with Hydrogen Cogeneration in Ni</w:t>
      </w:r>
      <w:r w:rsidRPr="00DA5F73">
        <w:rPr>
          <w:rFonts w:ascii="Times New Roman" w:eastAsia="宋体" w:hAnsi="Times New Roman" w:cs="Times New Roman"/>
          <w:szCs w:val="21"/>
          <w:shd w:val="clear" w:color="auto" w:fill="FFFFFF"/>
          <w:vertAlign w:val="subscript"/>
        </w:rPr>
        <w:t>3</w:t>
      </w:r>
      <w:r w:rsidRPr="00DA5F73">
        <w:rPr>
          <w:rFonts w:ascii="Times New Roman" w:eastAsia="宋体" w:hAnsi="Times New Roman" w:cs="Times New Roman"/>
          <w:szCs w:val="21"/>
          <w:shd w:val="clear" w:color="auto" w:fill="FFFFFF"/>
        </w:rPr>
        <w:t>S</w:t>
      </w:r>
      <w:r w:rsidRPr="00DA5F73">
        <w:rPr>
          <w:rFonts w:ascii="Times New Roman" w:eastAsia="宋体" w:hAnsi="Times New Roman" w:cs="Times New Roman"/>
          <w:szCs w:val="21"/>
          <w:shd w:val="clear" w:color="auto" w:fill="FFFFFF"/>
          <w:vertAlign w:val="subscript"/>
        </w:rPr>
        <w:t>2</w:t>
      </w:r>
      <w:r w:rsidRPr="00DA5F73">
        <w:rPr>
          <w:rFonts w:ascii="Times New Roman" w:eastAsia="宋体" w:hAnsi="Times New Roman" w:cs="Times New Roman"/>
          <w:szCs w:val="21"/>
          <w:shd w:val="clear" w:color="auto" w:fill="FFFFFF"/>
        </w:rPr>
        <w:t xml:space="preserve"> Nanodomains on NiFeMn-LDH Nanosheet Arrays. ACS Sustainable Chemistry &amp; Engineering, 2025, 13(15): 5601–5612.</w:t>
      </w:r>
      <w:bookmarkEnd w:id="17"/>
    </w:p>
    <w:p w14:paraId="59990593" w14:textId="77777777" w:rsidR="008325C7" w:rsidRPr="00DA5F73" w:rsidRDefault="00F32507">
      <w:pPr>
        <w:numPr>
          <w:ilvl w:val="0"/>
          <w:numId w:val="1"/>
        </w:numPr>
        <w:rPr>
          <w:rFonts w:ascii="Times New Roman" w:hAnsi="Times New Roman" w:cs="Times New Roman"/>
          <w:szCs w:val="21"/>
        </w:rPr>
      </w:pPr>
      <w:bookmarkStart w:id="18" w:name="_Ref13035"/>
      <w:r w:rsidRPr="00DA5F73">
        <w:rPr>
          <w:rFonts w:ascii="Times New Roman" w:eastAsia="宋体" w:hAnsi="Times New Roman" w:cs="Times New Roman"/>
          <w:szCs w:val="21"/>
          <w:shd w:val="clear" w:color="auto" w:fill="FFFFFF"/>
        </w:rPr>
        <w:t>Zhang X, Li X, Zhang X, Lu H, Sun Y, Duan X, Ren Y. Hierarchical CoFe-LDH with nanoneedle-assembled architecture for selective and efficient electrocatalytic oxidation of ethylene glycol to formate. Journal of Electroanalytical Chemistry, 2025, 998: 119532.</w:t>
      </w:r>
      <w:bookmarkEnd w:id="18"/>
    </w:p>
    <w:p w14:paraId="5E77B1A4" w14:textId="77777777" w:rsidR="008325C7" w:rsidRPr="00DA5F73" w:rsidRDefault="00F32507">
      <w:pPr>
        <w:numPr>
          <w:ilvl w:val="0"/>
          <w:numId w:val="1"/>
        </w:numPr>
        <w:rPr>
          <w:rFonts w:ascii="Times New Roman" w:hAnsi="Times New Roman" w:cs="Times New Roman"/>
          <w:szCs w:val="21"/>
        </w:rPr>
      </w:pPr>
      <w:bookmarkStart w:id="19" w:name="_Ref13055"/>
      <w:r w:rsidRPr="00DA5F73">
        <w:rPr>
          <w:rFonts w:ascii="Times New Roman" w:eastAsia="宋体" w:hAnsi="Times New Roman" w:cs="Times New Roman"/>
          <w:szCs w:val="21"/>
          <w:shd w:val="clear" w:color="auto" w:fill="FFFFFF"/>
        </w:rPr>
        <w:t>Braun M, Chatwani M, Kumar P, Hao Y, Sanjuán I, Apostoleri A, Brix A, Morales D, Hagemann U, Heidelmann M, Masa J, Schuhmann W, Andronescu C. Cobalt nickel boride as electrocatalyst for the oxidation of alcohols in alkaline media. Journal of Physics</w:t>
      </w:r>
      <w:r w:rsidRPr="00DA5F73">
        <w:rPr>
          <w:rFonts w:ascii="Times New Roman" w:eastAsia="宋体" w:hAnsi="Times New Roman" w:cs="Times New Roman" w:hint="eastAsia"/>
          <w:szCs w:val="21"/>
          <w:shd w:val="clear" w:color="auto" w:fill="FFFFFF"/>
        </w:rPr>
        <w:t xml:space="preserve">: </w:t>
      </w:r>
      <w:r w:rsidRPr="00DA5F73">
        <w:rPr>
          <w:rFonts w:ascii="Times New Roman" w:eastAsia="宋体" w:hAnsi="Times New Roman" w:cs="Times New Roman"/>
          <w:szCs w:val="21"/>
          <w:shd w:val="clear" w:color="auto" w:fill="FFFFFF"/>
        </w:rPr>
        <w:t>Energy, 2023, 5(2): 024005.</w:t>
      </w:r>
      <w:bookmarkEnd w:id="19"/>
    </w:p>
    <w:p w14:paraId="30E6C73B" w14:textId="77777777" w:rsidR="008325C7" w:rsidRPr="00DA5F73" w:rsidRDefault="00F32507">
      <w:pPr>
        <w:numPr>
          <w:ilvl w:val="0"/>
          <w:numId w:val="1"/>
        </w:numPr>
        <w:rPr>
          <w:rFonts w:ascii="Times New Roman" w:hAnsi="Times New Roman" w:cs="Times New Roman"/>
          <w:szCs w:val="21"/>
        </w:rPr>
      </w:pPr>
      <w:bookmarkStart w:id="20" w:name="_Ref13071"/>
      <w:r w:rsidRPr="00DA5F73">
        <w:rPr>
          <w:rFonts w:ascii="Times New Roman" w:eastAsia="宋体" w:hAnsi="Times New Roman" w:cs="Times New Roman"/>
          <w:szCs w:val="21"/>
          <w:shd w:val="clear" w:color="auto" w:fill="FFFFFF"/>
        </w:rPr>
        <w:t>Wang M, Long X, Hu X, Zhou X, Yang Z, Jiang X, Yang H. Bimetallic phosphide heterojunctions with charge redistribution for polyethylene terephthalate plastic upgrading. Chemical Engineering Journal, 2026, 532: 173395.</w:t>
      </w:r>
      <w:bookmarkEnd w:id="20"/>
    </w:p>
    <w:p w14:paraId="2075F66E" w14:textId="77777777" w:rsidR="008325C7" w:rsidRPr="00DA5F73" w:rsidRDefault="00F32507">
      <w:pPr>
        <w:numPr>
          <w:ilvl w:val="0"/>
          <w:numId w:val="1"/>
        </w:numPr>
        <w:rPr>
          <w:rFonts w:ascii="Times New Roman" w:hAnsi="Times New Roman" w:cs="Times New Roman"/>
          <w:szCs w:val="21"/>
        </w:rPr>
      </w:pPr>
      <w:bookmarkStart w:id="21" w:name="_Ref13084"/>
      <w:r w:rsidRPr="00DA5F73">
        <w:rPr>
          <w:rFonts w:ascii="Times New Roman" w:eastAsia="宋体" w:hAnsi="Times New Roman" w:cs="Times New Roman"/>
          <w:szCs w:val="21"/>
          <w:shd w:val="clear" w:color="auto" w:fill="FFFFFF"/>
        </w:rPr>
        <w:lastRenderedPageBreak/>
        <w:t>Wang Z, Li J, Zhang Q, Wu C, Meng H, Tang Y, Zou A, Zhang Y, Ma R, Lv X, Yu Z, Xi S, Xue J, Wang X, Wu J. Facilitating Formate Selectivity via Optimizing eg* Band Broadening in NiMn Hydroxides for Ethylene Glycol Electro-Oxidation. Angewandte Chemie</w:t>
      </w:r>
      <w:r w:rsidRPr="00DA5F73">
        <w:rPr>
          <w:rFonts w:ascii="Times New Roman" w:eastAsia="宋体" w:hAnsi="Times New Roman" w:cs="Times New Roman" w:hint="eastAsia"/>
          <w:szCs w:val="21"/>
          <w:shd w:val="clear" w:color="auto" w:fill="FFFFFF"/>
        </w:rPr>
        <w:t xml:space="preserve"> </w:t>
      </w:r>
      <w:r w:rsidRPr="00DA5F73">
        <w:rPr>
          <w:rFonts w:ascii="Times New Roman" w:eastAsia="宋体" w:hAnsi="Times New Roman" w:cs="Times New Roman"/>
          <w:szCs w:val="21"/>
          <w:shd w:val="clear" w:color="auto" w:fill="FFFFFF"/>
        </w:rPr>
        <w:t>International Edition, 2024, 63(44): e202411517.</w:t>
      </w:r>
      <w:bookmarkEnd w:id="21"/>
    </w:p>
    <w:p w14:paraId="687BA530" w14:textId="77777777" w:rsidR="008325C7" w:rsidRPr="00DA5F73" w:rsidRDefault="00F32507">
      <w:pPr>
        <w:numPr>
          <w:ilvl w:val="0"/>
          <w:numId w:val="1"/>
        </w:numPr>
        <w:rPr>
          <w:rFonts w:ascii="Times New Roman" w:hAnsi="Times New Roman" w:cs="Times New Roman"/>
          <w:szCs w:val="21"/>
        </w:rPr>
      </w:pPr>
      <w:bookmarkStart w:id="22" w:name="_Ref13104"/>
      <w:r w:rsidRPr="00DA5F73">
        <w:rPr>
          <w:rFonts w:ascii="Times New Roman" w:eastAsia="宋体" w:hAnsi="Times New Roman" w:cs="Times New Roman"/>
          <w:szCs w:val="21"/>
          <w:shd w:val="clear" w:color="auto" w:fill="FFFFFF"/>
        </w:rPr>
        <w:t>Li D, Gan Z, Zhang C, Wang X, Zheng M, Gao X, Huang Y, Fan Y, Zhang S, Zheng F, Chen W. Built-in electric field in hollow FeOOH/CoOOH heterostructure: Enhanced *OH adsorption and C-C bond cleavage towards efficient ethylene glycol-to-formate conversion. Applied Catalysis B</w:t>
      </w:r>
      <w:r w:rsidRPr="00DA5F73">
        <w:rPr>
          <w:rFonts w:ascii="Times New Roman" w:eastAsia="宋体" w:hAnsi="Times New Roman" w:cs="Times New Roman" w:hint="eastAsia"/>
          <w:szCs w:val="21"/>
          <w:shd w:val="clear" w:color="auto" w:fill="FFFFFF"/>
        </w:rPr>
        <w:t xml:space="preserve">: </w:t>
      </w:r>
      <w:r w:rsidRPr="00DA5F73">
        <w:rPr>
          <w:rFonts w:ascii="Times New Roman" w:eastAsia="宋体" w:hAnsi="Times New Roman" w:cs="Times New Roman"/>
          <w:szCs w:val="21"/>
          <w:shd w:val="clear" w:color="auto" w:fill="FFFFFF"/>
        </w:rPr>
        <w:t>Environment and Energy, 2026, 381: 125867.</w:t>
      </w:r>
      <w:bookmarkEnd w:id="22"/>
    </w:p>
    <w:p w14:paraId="6A7D0A5C" w14:textId="77777777" w:rsidR="008325C7" w:rsidRPr="00DA5F73" w:rsidRDefault="008325C7">
      <w:pPr>
        <w:rPr>
          <w:rFonts w:ascii="Times New Roman" w:eastAsia="宋体" w:hAnsi="Times New Roman" w:cs="Times New Roman"/>
          <w:sz w:val="19"/>
          <w:szCs w:val="19"/>
          <w:shd w:val="clear" w:color="auto" w:fill="FFFFFF"/>
        </w:rPr>
      </w:pPr>
    </w:p>
    <w:sectPr w:rsidR="008325C7" w:rsidRPr="00DA5F73">
      <w:footerReference w:type="default" r:id="rId24"/>
      <w:pgSz w:w="11906" w:h="16838"/>
      <w:pgMar w:top="1440" w:right="1800" w:bottom="1440" w:left="1800" w:header="851" w:footer="992" w:gutter="0"/>
      <w:lnNumType w:countBy="1" w:restart="continuous"/>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CF1A6" w14:textId="77777777" w:rsidR="00F32507" w:rsidRDefault="00F32507">
      <w:r>
        <w:separator/>
      </w:r>
    </w:p>
  </w:endnote>
  <w:endnote w:type="continuationSeparator" w:id="0">
    <w:p w14:paraId="04957940" w14:textId="77777777" w:rsidR="00F32507" w:rsidRDefault="00F32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9635087"/>
    </w:sdtPr>
    <w:sdtEndPr/>
    <w:sdtContent>
      <w:p w14:paraId="7A4DC6FE" w14:textId="77777777" w:rsidR="008325C7" w:rsidRDefault="00F32507">
        <w:pPr>
          <w:pStyle w:val="a3"/>
          <w:jc w:val="center"/>
        </w:pPr>
        <w:r>
          <w:fldChar w:fldCharType="begin"/>
        </w:r>
        <w:r>
          <w:instrText>PAGE   \* MERGEFORMAT</w:instrText>
        </w:r>
        <w:r>
          <w:fldChar w:fldCharType="separate"/>
        </w:r>
        <w:r>
          <w:rPr>
            <w:lang w:val="zh-CN"/>
          </w:rPr>
          <w:t>2</w:t>
        </w:r>
        <w:r>
          <w:fldChar w:fldCharType="end"/>
        </w:r>
      </w:p>
    </w:sdtContent>
  </w:sdt>
  <w:p w14:paraId="14D7EDD8" w14:textId="77777777" w:rsidR="008325C7" w:rsidRDefault="008325C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23BBD" w14:textId="77777777" w:rsidR="00F32507" w:rsidRDefault="00F32507">
      <w:r>
        <w:separator/>
      </w:r>
    </w:p>
  </w:footnote>
  <w:footnote w:type="continuationSeparator" w:id="0">
    <w:p w14:paraId="52CB715F" w14:textId="77777777" w:rsidR="00F32507" w:rsidRDefault="00F325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D77363"/>
    <w:multiLevelType w:val="singleLevel"/>
    <w:tmpl w:val="BBD77363"/>
    <w:lvl w:ilvl="0">
      <w:start w:val="1"/>
      <w:numFmt w:val="decimal"/>
      <w:suff w:val="nothing"/>
      <w:lvlText w:val="[%1]"/>
      <w:lvlJc w:val="left"/>
    </w:lvl>
  </w:abstractNum>
  <w:num w:numId="1" w16cid:durableId="1818259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embedSystemFonts/>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Layout" w:val="&lt;ENLayout&gt;&lt;Style&gt;ECE&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sexe5vd9dxxfgewvt3vv22ew9pes0fezwwp&quot;&gt;My EndNote Library&lt;record-ids&gt;&lt;item&gt;68&lt;/item&gt;&lt;item&gt;69&lt;/item&gt;&lt;item&gt;70&lt;/item&gt;&lt;item&gt;71&lt;/item&gt;&lt;item&gt;72&lt;/item&gt;&lt;item&gt;73&lt;/item&gt;&lt;item&gt;75&lt;/item&gt;&lt;item&gt;76&lt;/item&gt;&lt;item&gt;77&lt;/item&gt;&lt;item&gt;78&lt;/item&gt;&lt;item&gt;79&lt;/item&gt;&lt;item&gt;80&lt;/item&gt;&lt;item&gt;81&lt;/item&gt;&lt;item&gt;82&lt;/item&gt;&lt;item&gt;84&lt;/item&gt;&lt;item&gt;85&lt;/item&gt;&lt;item&gt;86&lt;/item&gt;&lt;item&gt;87&lt;/item&gt;&lt;item&gt;88&lt;/item&gt;&lt;item&gt;89&lt;/item&gt;&lt;/record-ids&gt;&lt;/item&gt;&lt;/Libraries&gt;"/>
  </w:docVars>
  <w:rsids>
    <w:rsidRoot w:val="00F04DFA"/>
    <w:rsid w:val="0000785C"/>
    <w:rsid w:val="002A4C3A"/>
    <w:rsid w:val="003560FA"/>
    <w:rsid w:val="004045B1"/>
    <w:rsid w:val="00623356"/>
    <w:rsid w:val="008325C7"/>
    <w:rsid w:val="009D6FA2"/>
    <w:rsid w:val="009E0858"/>
    <w:rsid w:val="00A42857"/>
    <w:rsid w:val="00BA4FBB"/>
    <w:rsid w:val="00DA5F73"/>
    <w:rsid w:val="00F04DFA"/>
    <w:rsid w:val="00F32507"/>
    <w:rsid w:val="07940806"/>
    <w:rsid w:val="082500FC"/>
    <w:rsid w:val="08815EB2"/>
    <w:rsid w:val="0B646908"/>
    <w:rsid w:val="0E364E11"/>
    <w:rsid w:val="109951E3"/>
    <w:rsid w:val="13B031E6"/>
    <w:rsid w:val="145C04F7"/>
    <w:rsid w:val="1B5400E8"/>
    <w:rsid w:val="1BC90570"/>
    <w:rsid w:val="1F205874"/>
    <w:rsid w:val="21AE7786"/>
    <w:rsid w:val="221C624F"/>
    <w:rsid w:val="2398774B"/>
    <w:rsid w:val="26FA7667"/>
    <w:rsid w:val="2BFD05FB"/>
    <w:rsid w:val="30584DD1"/>
    <w:rsid w:val="32FE08BF"/>
    <w:rsid w:val="346474EB"/>
    <w:rsid w:val="37176A6D"/>
    <w:rsid w:val="37702892"/>
    <w:rsid w:val="3AF56CBF"/>
    <w:rsid w:val="3C2C11FE"/>
    <w:rsid w:val="3EE37339"/>
    <w:rsid w:val="3FD64309"/>
    <w:rsid w:val="40086BE5"/>
    <w:rsid w:val="40CE3427"/>
    <w:rsid w:val="470348DF"/>
    <w:rsid w:val="4BD565E1"/>
    <w:rsid w:val="4CAB24BD"/>
    <w:rsid w:val="4ECF72F8"/>
    <w:rsid w:val="4F696053"/>
    <w:rsid w:val="505428F9"/>
    <w:rsid w:val="54A04940"/>
    <w:rsid w:val="5A570600"/>
    <w:rsid w:val="5B7653B5"/>
    <w:rsid w:val="5D861C18"/>
    <w:rsid w:val="61CD49EB"/>
    <w:rsid w:val="62353C0D"/>
    <w:rsid w:val="658B0713"/>
    <w:rsid w:val="67B35CFF"/>
    <w:rsid w:val="68447EF6"/>
    <w:rsid w:val="68B659FD"/>
    <w:rsid w:val="6D4A1CAF"/>
    <w:rsid w:val="6D9B1C9B"/>
    <w:rsid w:val="6E905D76"/>
    <w:rsid w:val="75516263"/>
    <w:rsid w:val="761D15AC"/>
    <w:rsid w:val="78A52C3A"/>
    <w:rsid w:val="78D61873"/>
    <w:rsid w:val="7B567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1FB296"/>
  <w15:docId w15:val="{D71D4EE3-AF8D-48D1-A25F-A278F821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line number"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Pr>
      <w:b/>
    </w:rPr>
  </w:style>
  <w:style w:type="character" w:styleId="a8">
    <w:name w:val="line number"/>
    <w:basedOn w:val="a0"/>
    <w:qFormat/>
  </w:style>
  <w:style w:type="character" w:styleId="a9">
    <w:name w:val="Hyperlink"/>
    <w:basedOn w:val="a0"/>
    <w:qFormat/>
    <w:rPr>
      <w:color w:val="0000FF"/>
      <w:u w:val="single"/>
    </w:rPr>
  </w:style>
  <w:style w:type="paragraph" w:customStyle="1" w:styleId="TCTableBody">
    <w:name w:val="TC_Table_Body"/>
    <w:basedOn w:val="a"/>
    <w:qFormat/>
    <w:pPr>
      <w:widowControl/>
      <w:spacing w:after="200"/>
    </w:pPr>
    <w:rPr>
      <w:rFonts w:ascii="Times" w:hAnsi="Times" w:cs="Times New Roman"/>
      <w:kern w:val="0"/>
      <w:sz w:val="24"/>
      <w:szCs w:val="20"/>
      <w:lang w:eastAsia="en-US"/>
    </w:rPr>
  </w:style>
  <w:style w:type="paragraph" w:customStyle="1" w:styleId="1">
    <w:name w:val="书目1"/>
    <w:basedOn w:val="a"/>
    <w:next w:val="a"/>
    <w:uiPriority w:val="37"/>
    <w:unhideWhenUsed/>
    <w:qFormat/>
    <w:pPr>
      <w:tabs>
        <w:tab w:val="left" w:pos="504"/>
      </w:tabs>
      <w:ind w:left="504" w:hanging="504"/>
    </w:pPr>
  </w:style>
  <w:style w:type="paragraph" w:customStyle="1" w:styleId="EndNoteBibliographyTitle">
    <w:name w:val="EndNote Bibliography Title"/>
    <w:qFormat/>
    <w:pPr>
      <w:jc w:val="center"/>
    </w:pPr>
    <w:rPr>
      <w:rFonts w:ascii="Calibri" w:eastAsiaTheme="minorEastAsia" w:hAnsi="Calibri" w:cs="Calibri"/>
      <w:kern w:val="2"/>
      <w:szCs w:val="24"/>
    </w:rPr>
  </w:style>
  <w:style w:type="paragraph" w:customStyle="1" w:styleId="EndNoteBibliography">
    <w:name w:val="EndNote Bibliography"/>
    <w:qFormat/>
    <w:pPr>
      <w:jc w:val="both"/>
    </w:pPr>
    <w:rPr>
      <w:rFonts w:ascii="Calibri" w:eastAsiaTheme="minorEastAsia" w:hAnsi="Calibri" w:cs="Calibri"/>
      <w:kern w:val="2"/>
      <w:szCs w:val="24"/>
    </w:rPr>
  </w:style>
  <w:style w:type="character" w:customStyle="1" w:styleId="a4">
    <w:name w:val="页脚 字符"/>
    <w:basedOn w:val="a0"/>
    <w:link w:val="a3"/>
    <w:uiPriority w:val="99"/>
    <w:qFormat/>
    <w:rPr>
      <w:rFonts w:asciiTheme="minorHAnsi" w:eastAsiaTheme="minorEastAsia" w:hAnsiTheme="minorHAnsi"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pengchong@dlut.edu.cn"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2178</Words>
  <Characters>11454</Characters>
  <Application>Microsoft Office Word</Application>
  <DocSecurity>0</DocSecurity>
  <Lines>95</Lines>
  <Paragraphs>27</Paragraphs>
  <ScaleCrop>false</ScaleCrop>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tian huang</cp:lastModifiedBy>
  <cp:revision>6</cp:revision>
  <dcterms:created xsi:type="dcterms:W3CDTF">2026-03-02T15:35:00Z</dcterms:created>
  <dcterms:modified xsi:type="dcterms:W3CDTF">2026-06-02T08:40:00Z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eyJoZGlkIjoiMWYyMWQ0MjViY2Y3MzI1ZTZhZWZjMTI1MTczNWE0ZGEiLCJ1c2VySWQiOiI2NDc3MDgwNTQifQ==</vt:lpwstr>
  </property>
  <property fmtid="{D5CDD505-2E9C-101B-9397-08002B2CF9AE}" pid="4" name="ICV">
    <vt:lpwstr>5CB1B5E6AE0947B4B14DBC90E030386C_12</vt:lpwstr>
  </property>
</Properties>
</file>