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8B51C" w14:textId="7C7ABA0F" w:rsidR="005E3800" w:rsidRPr="005E3800" w:rsidRDefault="005E3800" w:rsidP="005E3800">
      <w:pPr>
        <w:pStyle w:val="1"/>
        <w:jc w:val="center"/>
        <w:rPr>
          <w:rFonts w:ascii="Times New Roman" w:hAnsi="Times New Roman" w:cs="Times New Roman"/>
          <w:b/>
          <w:bCs/>
          <w:color w:val="auto"/>
          <w:sz w:val="36"/>
          <w:szCs w:val="36"/>
          <w:lang w:val="en-GB"/>
        </w:rPr>
      </w:pPr>
      <w:r w:rsidRPr="005E3800">
        <w:rPr>
          <w:rFonts w:ascii="Times New Roman" w:hAnsi="Times New Roman" w:cs="Times New Roman"/>
          <w:b/>
          <w:bCs/>
          <w:color w:val="auto"/>
          <w:sz w:val="36"/>
          <w:szCs w:val="36"/>
          <w:lang w:val="en-GB"/>
        </w:rPr>
        <w:t>Electronic Supplementary Material</w:t>
      </w:r>
    </w:p>
    <w:p w14:paraId="5064DA6B" w14:textId="77777777" w:rsidR="005E3800" w:rsidRPr="005E3800" w:rsidRDefault="005E3800" w:rsidP="005E3800">
      <w:pPr>
        <w:jc w:val="center"/>
        <w:rPr>
          <w:rFonts w:eastAsia="宋体"/>
          <w:lang w:val="en-GB" w:eastAsia="zh-CN"/>
        </w:rPr>
      </w:pPr>
      <w:r w:rsidRPr="005E3800">
        <w:rPr>
          <w:rFonts w:eastAsia="宋体"/>
          <w:b/>
          <w:bCs/>
          <w:color w:val="000000"/>
          <w:szCs w:val="22"/>
          <w:lang w:eastAsia="zh-CN"/>
        </w:rPr>
        <w:t>Microbial growth study of advanced</w:t>
      </w:r>
      <w:r w:rsidRPr="005E3800">
        <w:rPr>
          <w:b/>
          <w:bCs/>
          <w:color w:val="000000"/>
          <w:szCs w:val="22"/>
        </w:rPr>
        <w:t xml:space="preserve"> foam control agents (FCAs) </w:t>
      </w:r>
      <w:bookmarkStart w:id="0" w:name="_Hlk228886849"/>
      <w:r w:rsidRPr="005E3800">
        <w:rPr>
          <w:b/>
          <w:bCs/>
          <w:color w:val="000000"/>
          <w:szCs w:val="22"/>
        </w:rPr>
        <w:t>for fermentation process</w:t>
      </w:r>
      <w:bookmarkEnd w:id="0"/>
    </w:p>
    <w:p w14:paraId="481C23C5" w14:textId="77777777" w:rsidR="005E3800" w:rsidRPr="005E3800" w:rsidRDefault="005E3800" w:rsidP="005E3800">
      <w:pPr>
        <w:jc w:val="center"/>
        <w:rPr>
          <w:rFonts w:eastAsia="宋体"/>
          <w:b/>
          <w:i/>
          <w:lang w:val="en-GB" w:eastAsia="zh-CN"/>
        </w:rPr>
      </w:pPr>
    </w:p>
    <w:p w14:paraId="7A9521CB" w14:textId="77777777" w:rsidR="005E3800" w:rsidRPr="005E3800" w:rsidRDefault="005E3800" w:rsidP="005E3800">
      <w:pPr>
        <w:jc w:val="center"/>
        <w:rPr>
          <w:rFonts w:eastAsia="宋体"/>
          <w:bCs/>
          <w:iCs/>
          <w:vertAlign w:val="superscript"/>
          <w:lang w:val="de-DE" w:eastAsia="zh-CN"/>
        </w:rPr>
      </w:pPr>
      <w:r w:rsidRPr="005E3800">
        <w:rPr>
          <w:rFonts w:eastAsia="宋体"/>
          <w:bCs/>
          <w:iCs/>
          <w:lang w:val="de-DE" w:eastAsia="zh-CN"/>
        </w:rPr>
        <w:t>Wenjing Qi</w:t>
      </w:r>
      <w:r w:rsidRPr="005E3800">
        <w:rPr>
          <w:rFonts w:eastAsia="宋体"/>
          <w:bCs/>
          <w:iCs/>
          <w:vertAlign w:val="superscript"/>
          <w:lang w:val="de-DE" w:eastAsia="zh-CN"/>
        </w:rPr>
        <w:t>1</w:t>
      </w:r>
      <w:r w:rsidRPr="005E3800">
        <w:rPr>
          <w:rFonts w:eastAsia="宋体"/>
          <w:bCs/>
          <w:iCs/>
          <w:lang w:val="de-DE" w:eastAsia="zh-CN"/>
        </w:rPr>
        <w:t>, Xue Chen</w:t>
      </w:r>
      <w:r w:rsidRPr="005E3800">
        <w:rPr>
          <w:rFonts w:ascii="等线" w:eastAsia="宋体" w:hAnsi="等线" w:hint="eastAsia"/>
          <w:iCs/>
          <w:kern w:val="2"/>
          <w:sz w:val="20"/>
          <w:szCs w:val="20"/>
          <w:lang w:eastAsia="zh-CN"/>
        </w:rPr>
        <w:t xml:space="preserve"> </w:t>
      </w:r>
      <w:r w:rsidRPr="005E3800">
        <w:rPr>
          <w:rFonts w:ascii="等线" w:hAnsi="等线"/>
          <w:b/>
          <w:bCs/>
          <w:kern w:val="2"/>
          <w:sz w:val="20"/>
          <w:szCs w:val="20"/>
          <w:lang w:eastAsia="zh-CN"/>
        </w:rPr>
        <w:t>(</w:t>
      </w:r>
      <w:r w:rsidRPr="005E3800">
        <w:rPr>
          <w:rFonts w:ascii="等线" w:hAnsi="等线"/>
          <w:b/>
          <w:bCs/>
          <w:kern w:val="2"/>
          <w:sz w:val="20"/>
          <w:szCs w:val="20"/>
          <w:lang w:eastAsia="zh-CN"/>
        </w:rPr>
        <w:sym w:font="Wingdings" w:char="F02A"/>
      </w:r>
      <w:r w:rsidRPr="005E3800">
        <w:rPr>
          <w:rFonts w:ascii="等线" w:hAnsi="等线"/>
          <w:b/>
          <w:bCs/>
          <w:kern w:val="2"/>
          <w:sz w:val="20"/>
          <w:szCs w:val="20"/>
          <w:lang w:eastAsia="zh-CN"/>
        </w:rPr>
        <w:t>)</w:t>
      </w:r>
      <w:r w:rsidRPr="005E3800">
        <w:rPr>
          <w:rFonts w:eastAsia="宋体"/>
          <w:bCs/>
          <w:iCs/>
          <w:vertAlign w:val="superscript"/>
          <w:lang w:val="de-DE" w:eastAsia="zh-CN"/>
        </w:rPr>
        <w:t>2</w:t>
      </w:r>
      <w:r w:rsidRPr="005E3800">
        <w:rPr>
          <w:rFonts w:eastAsia="宋体"/>
          <w:bCs/>
          <w:iCs/>
          <w:lang w:val="de-DE" w:eastAsia="zh-CN"/>
        </w:rPr>
        <w:t>, Erica Frankel</w:t>
      </w:r>
      <w:r w:rsidRPr="005E3800">
        <w:rPr>
          <w:rFonts w:eastAsia="宋体"/>
          <w:bCs/>
          <w:iCs/>
          <w:vertAlign w:val="superscript"/>
          <w:lang w:val="de-DE" w:eastAsia="zh-CN"/>
        </w:rPr>
        <w:t>3</w:t>
      </w:r>
      <w:r w:rsidRPr="005E3800">
        <w:rPr>
          <w:rFonts w:eastAsia="宋体"/>
          <w:bCs/>
          <w:iCs/>
          <w:lang w:val="de-DE" w:eastAsia="zh-CN"/>
        </w:rPr>
        <w:t>, Xinjie Tong</w:t>
      </w:r>
      <w:r w:rsidRPr="005E3800">
        <w:rPr>
          <w:rFonts w:eastAsia="宋体"/>
          <w:bCs/>
          <w:iCs/>
          <w:vertAlign w:val="superscript"/>
          <w:lang w:val="de-DE" w:eastAsia="zh-CN"/>
        </w:rPr>
        <w:t>4</w:t>
      </w:r>
      <w:r w:rsidRPr="005E3800">
        <w:rPr>
          <w:rFonts w:eastAsia="宋体"/>
          <w:bCs/>
          <w:iCs/>
          <w:lang w:val="de-DE" w:eastAsia="zh-CN"/>
        </w:rPr>
        <w:t>, Zeyu Zhong</w:t>
      </w:r>
      <w:r w:rsidRPr="005E3800">
        <w:rPr>
          <w:rFonts w:eastAsia="宋体"/>
          <w:bCs/>
          <w:iCs/>
          <w:vertAlign w:val="superscript"/>
          <w:lang w:val="de-DE" w:eastAsia="zh-CN"/>
        </w:rPr>
        <w:t>1</w:t>
      </w:r>
    </w:p>
    <w:p w14:paraId="463E51CC" w14:textId="77777777" w:rsidR="005E3800" w:rsidRPr="005E3800" w:rsidRDefault="005E3800" w:rsidP="005E3800">
      <w:pPr>
        <w:jc w:val="center"/>
        <w:rPr>
          <w:rFonts w:eastAsia="宋体"/>
          <w:lang w:val="en-GB" w:eastAsia="zh-CN"/>
        </w:rPr>
      </w:pPr>
      <w:r w:rsidRPr="005E3800">
        <w:rPr>
          <w:rFonts w:eastAsia="宋体"/>
          <w:lang w:val="en-GB" w:eastAsia="zh-CN"/>
        </w:rPr>
        <w:t>1</w:t>
      </w:r>
      <w:r w:rsidRPr="005E3800">
        <w:rPr>
          <w:rFonts w:eastAsia="宋体"/>
          <w:szCs w:val="22"/>
          <w:lang w:val="en-GB" w:eastAsia="zh-CN"/>
        </w:rPr>
        <w:t xml:space="preserve"> </w:t>
      </w:r>
      <w:r w:rsidRPr="005E3800">
        <w:rPr>
          <w:rFonts w:eastAsia="宋体"/>
          <w:lang w:val="en-GB" w:eastAsia="zh-CN"/>
        </w:rPr>
        <w:t>The Dow Chemical Company, Shanghai 201203, China</w:t>
      </w:r>
    </w:p>
    <w:p w14:paraId="5FD4CC0F" w14:textId="77777777" w:rsidR="005E3800" w:rsidRPr="005E3800" w:rsidRDefault="005E3800" w:rsidP="005E3800">
      <w:pPr>
        <w:jc w:val="center"/>
        <w:rPr>
          <w:rFonts w:eastAsia="宋体"/>
          <w:lang w:val="en-GB" w:eastAsia="zh-CN"/>
        </w:rPr>
      </w:pPr>
      <w:r w:rsidRPr="005E3800">
        <w:rPr>
          <w:rFonts w:eastAsia="宋体"/>
          <w:lang w:val="en-GB" w:eastAsia="zh-CN"/>
        </w:rPr>
        <w:t>2 The Dow C</w:t>
      </w:r>
      <w:r w:rsidRPr="005E3800">
        <w:rPr>
          <w:rFonts w:eastAsia="宋体"/>
          <w:szCs w:val="22"/>
          <w:lang w:val="en-GB" w:eastAsia="zh-CN"/>
        </w:rPr>
        <w:t>h</w:t>
      </w:r>
      <w:r w:rsidRPr="005E3800">
        <w:rPr>
          <w:rFonts w:eastAsia="宋体"/>
          <w:lang w:val="en-GB" w:eastAsia="zh-CN"/>
        </w:rPr>
        <w:t>emical C</w:t>
      </w:r>
      <w:r w:rsidRPr="005E3800">
        <w:rPr>
          <w:rFonts w:eastAsia="宋体"/>
          <w:szCs w:val="22"/>
          <w:lang w:val="en-GB" w:eastAsia="zh-CN"/>
        </w:rPr>
        <w:t>o</w:t>
      </w:r>
      <w:r w:rsidRPr="005E3800">
        <w:rPr>
          <w:rFonts w:eastAsia="宋体"/>
          <w:lang w:val="en-GB" w:eastAsia="zh-CN"/>
        </w:rPr>
        <w:t>mpany, Industrial Solution Business R&amp;D, Lake Jackson 77566, USA</w:t>
      </w:r>
    </w:p>
    <w:p w14:paraId="01A54A33" w14:textId="77777777" w:rsidR="005E3800" w:rsidRPr="005E3800" w:rsidRDefault="005E3800" w:rsidP="005E3800">
      <w:pPr>
        <w:jc w:val="center"/>
        <w:rPr>
          <w:rFonts w:eastAsia="宋体"/>
          <w:lang w:val="en-GB" w:eastAsia="zh-CN"/>
        </w:rPr>
      </w:pPr>
      <w:r w:rsidRPr="005E3800">
        <w:rPr>
          <w:rFonts w:eastAsia="宋体"/>
          <w:lang w:val="en-GB" w:eastAsia="zh-CN"/>
        </w:rPr>
        <w:t>3 The Dow Chemical Company, Collegeville 19426, USA</w:t>
      </w:r>
    </w:p>
    <w:p w14:paraId="3D1C2579" w14:textId="77777777" w:rsidR="005E3800" w:rsidRPr="005E3800" w:rsidRDefault="005E3800" w:rsidP="005E3800">
      <w:pPr>
        <w:jc w:val="center"/>
        <w:rPr>
          <w:rFonts w:eastAsia="宋体"/>
          <w:lang w:eastAsia="zh-CN"/>
        </w:rPr>
      </w:pPr>
      <w:r w:rsidRPr="005E3800">
        <w:rPr>
          <w:rFonts w:eastAsia="宋体"/>
          <w:lang w:val="en-GB" w:eastAsia="zh-CN"/>
        </w:rPr>
        <w:t>4 The Dow Chemical Company, Core R&amp;D, Lake Jackson 77566, USA</w:t>
      </w:r>
    </w:p>
    <w:p w14:paraId="5047AA62" w14:textId="69E81A46" w:rsidR="005E3800" w:rsidRPr="005E3800" w:rsidRDefault="005E3800" w:rsidP="005E3800">
      <w:pPr>
        <w:rPr>
          <w:rFonts w:eastAsiaTheme="minorEastAsia" w:hint="eastAsia"/>
          <w:lang w:val="en-GB" w:eastAsia="zh-CN"/>
        </w:rPr>
      </w:pPr>
      <w:r w:rsidRPr="005E3800">
        <w:rPr>
          <w:rFonts w:eastAsia="宋体"/>
          <w:bCs/>
          <w:iCs/>
          <w:lang w:val="en-GB" w:eastAsia="zh-CN"/>
        </w:rPr>
        <w:t>E-mail:</w:t>
      </w:r>
      <w:r w:rsidRPr="005E3800">
        <w:rPr>
          <w:rFonts w:eastAsia="宋体" w:hint="eastAsia"/>
          <w:bCs/>
          <w:iCs/>
          <w:lang w:val="en-GB" w:eastAsia="zh-CN"/>
        </w:rPr>
        <w:t xml:space="preserve"> </w:t>
      </w:r>
      <w:r w:rsidRPr="005E3800">
        <w:rPr>
          <w:rFonts w:eastAsia="宋体"/>
          <w:bCs/>
          <w:iCs/>
          <w:lang w:val="en-GB" w:eastAsia="zh-CN"/>
        </w:rPr>
        <w:t>idaxuechen2025@gmail.com</w:t>
      </w:r>
    </w:p>
    <w:p w14:paraId="403953AE" w14:textId="3D6EFD50" w:rsidR="00625808" w:rsidRPr="00E1024C" w:rsidRDefault="00625808" w:rsidP="00625808">
      <w:pPr>
        <w:pStyle w:val="1"/>
        <w:rPr>
          <w:rFonts w:asciiTheme="minorHAnsi" w:hAnsiTheme="minorHAnsi" w:cstheme="minorHAnsi"/>
          <w:b/>
          <w:bCs/>
          <w:color w:val="auto"/>
        </w:rPr>
      </w:pPr>
      <w:r w:rsidRPr="00E1024C">
        <w:rPr>
          <w:rFonts w:asciiTheme="minorHAnsi" w:hAnsiTheme="minorHAnsi" w:cstheme="minorHAnsi"/>
          <w:b/>
          <w:bCs/>
          <w:color w:val="auto"/>
          <w:lang w:val="en-GB"/>
        </w:rPr>
        <w:t xml:space="preserve">Appendixes </w:t>
      </w:r>
    </w:p>
    <w:p w14:paraId="724C0AFB" w14:textId="77777777" w:rsidR="00625808" w:rsidRDefault="00625808" w:rsidP="00625808">
      <w:pPr>
        <w:jc w:val="both"/>
        <w:rPr>
          <w:rFonts w:asciiTheme="minorHAnsi" w:hAnsiTheme="minorHAnsi" w:cstheme="minorHAnsi"/>
          <w:szCs w:val="22"/>
        </w:rPr>
      </w:pPr>
      <w:r w:rsidRPr="000B270D">
        <w:rPr>
          <w:rFonts w:asciiTheme="minorHAnsi" w:hAnsiTheme="minorHAnsi" w:cstheme="minorHAnsi"/>
          <w:b/>
          <w:bCs/>
          <w:szCs w:val="22"/>
        </w:rPr>
        <w:t>1.</w:t>
      </w:r>
      <w:r>
        <w:rPr>
          <w:rFonts w:asciiTheme="minorHAnsi" w:hAnsiTheme="minorHAnsi" w:cstheme="minorHAnsi"/>
          <w:szCs w:val="22"/>
        </w:rPr>
        <w:t xml:space="preserve"> </w:t>
      </w:r>
      <w:r w:rsidRPr="000B270D">
        <w:rPr>
          <w:rFonts w:asciiTheme="minorHAnsi" w:hAnsiTheme="minorHAnsi" w:cstheme="minorHAnsi"/>
          <w:b/>
          <w:bCs/>
          <w:szCs w:val="22"/>
        </w:rPr>
        <w:t>Foamscan</w:t>
      </w:r>
      <w:r w:rsidRPr="00983D72">
        <w:rPr>
          <w:rFonts w:asciiTheme="minorHAnsi" w:hAnsiTheme="minorHAnsi" w:cstheme="minorHAnsi"/>
          <w:szCs w:val="22"/>
        </w:rPr>
        <w:t xml:space="preserve"> </w:t>
      </w:r>
    </w:p>
    <w:p w14:paraId="6A4E380A" w14:textId="77777777" w:rsidR="00625808" w:rsidRPr="00983D72" w:rsidRDefault="00625808" w:rsidP="00625808">
      <w:pPr>
        <w:jc w:val="both"/>
        <w:rPr>
          <w:rFonts w:asciiTheme="minorHAnsi" w:hAnsiTheme="minorHAnsi" w:cstheme="minorHAnsi"/>
          <w:szCs w:val="22"/>
        </w:rPr>
      </w:pPr>
      <w:r w:rsidRPr="00983D72">
        <w:rPr>
          <w:rFonts w:asciiTheme="minorHAnsi" w:hAnsiTheme="minorHAnsi" w:cstheme="minorHAnsi"/>
          <w:szCs w:val="22"/>
        </w:rPr>
        <w:t>The measurement reliability of Foamscan foam testing was validated by 6 repetitive tests of the same FCA. Per those data (</w:t>
      </w:r>
      <w:r>
        <w:rPr>
          <w:rFonts w:asciiTheme="minorHAnsi" w:eastAsiaTheme="minorEastAsia" w:hAnsiTheme="minorHAnsi" w:cstheme="minorHAnsi" w:hint="eastAsia"/>
          <w:szCs w:val="22"/>
          <w:lang w:eastAsia="zh-CN"/>
        </w:rPr>
        <w:t>A</w:t>
      </w:r>
      <w:r w:rsidRPr="0053231C">
        <w:rPr>
          <w:rFonts w:asciiTheme="minorHAnsi" w:eastAsiaTheme="minorEastAsia" w:hAnsiTheme="minorHAnsi" w:cstheme="minorHAnsi"/>
          <w:szCs w:val="22"/>
          <w:lang w:eastAsia="zh-CN"/>
        </w:rPr>
        <w:t>ppendix</w:t>
      </w:r>
      <w:r>
        <w:rPr>
          <w:rFonts w:asciiTheme="minorHAnsi" w:eastAsiaTheme="minorEastAsia" w:hAnsiTheme="minorHAnsi" w:cstheme="minorHAnsi"/>
          <w:szCs w:val="22"/>
          <w:lang w:eastAsia="zh-CN"/>
        </w:rPr>
        <w:t>,</w:t>
      </w:r>
      <w:r w:rsidRPr="00983D72">
        <w:rPr>
          <w:rFonts w:asciiTheme="minorHAnsi" w:hAnsiTheme="minorHAnsi" w:cstheme="minorHAnsi"/>
          <w:szCs w:val="22"/>
        </w:rPr>
        <w:t xml:space="preserve"> Figure </w:t>
      </w:r>
      <w:r>
        <w:rPr>
          <w:rFonts w:asciiTheme="minorHAnsi" w:eastAsiaTheme="minorEastAsia" w:hAnsiTheme="minorHAnsi" w:cstheme="minorHAnsi" w:hint="eastAsia"/>
          <w:szCs w:val="22"/>
          <w:lang w:eastAsia="zh-CN"/>
        </w:rPr>
        <w:t>S1</w:t>
      </w:r>
      <w:r w:rsidRPr="00983D72">
        <w:rPr>
          <w:rFonts w:asciiTheme="minorHAnsi" w:hAnsiTheme="minorHAnsi" w:cstheme="minorHAnsi"/>
          <w:szCs w:val="22"/>
        </w:rPr>
        <w:t xml:space="preserve">), we could see that the RSD was around 7.56%. </w:t>
      </w:r>
    </w:p>
    <w:p w14:paraId="55C8D762" w14:textId="77777777" w:rsidR="00625808" w:rsidRDefault="00625808" w:rsidP="00625808">
      <w:pPr>
        <w:jc w:val="both"/>
        <w:rPr>
          <w:rFonts w:asciiTheme="minorHAnsi" w:eastAsiaTheme="minorEastAsia" w:hAnsiTheme="minorHAnsi" w:cstheme="minorHAnsi"/>
          <w:szCs w:val="22"/>
          <w:lang w:eastAsia="zh-CN"/>
        </w:rPr>
      </w:pPr>
    </w:p>
    <w:p w14:paraId="14FBBF31" w14:textId="77777777" w:rsidR="00625808" w:rsidRPr="00983D72" w:rsidRDefault="00625808" w:rsidP="00625808">
      <w:pPr>
        <w:jc w:val="both"/>
        <w:rPr>
          <w:rFonts w:asciiTheme="minorHAnsi" w:hAnsiTheme="minorHAnsi" w:cstheme="minorHAnsi"/>
          <w:szCs w:val="22"/>
        </w:rPr>
      </w:pPr>
      <w:r w:rsidRPr="00F17CF5">
        <w:rPr>
          <w:rFonts w:asciiTheme="minorHAnsi" w:hAnsiTheme="minorHAnsi" w:cstheme="minorHAnsi"/>
          <w:noProof/>
          <w:szCs w:val="22"/>
        </w:rPr>
        <w:drawing>
          <wp:inline distT="0" distB="0" distL="0" distR="0" wp14:anchorId="2DD0B5E3" wp14:editId="3ADEA393">
            <wp:extent cx="5943600" cy="2510790"/>
            <wp:effectExtent l="0" t="0" r="0" b="3810"/>
            <wp:docPr id="1541336422" name="Picture 6" descr="A screenshot of a graph&#10;&#10;Description automatically generated">
              <a:extLst xmlns:a="http://schemas.openxmlformats.org/drawingml/2006/main">
                <a:ext uri="{FF2B5EF4-FFF2-40B4-BE49-F238E27FC236}">
                  <a16:creationId xmlns:a16="http://schemas.microsoft.com/office/drawing/2014/main" id="{C4D21780-BAEB-6E60-B96A-970D85336C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graph&#10;&#10;Description automatically generated">
                      <a:extLst>
                        <a:ext uri="{FF2B5EF4-FFF2-40B4-BE49-F238E27FC236}">
                          <a16:creationId xmlns:a16="http://schemas.microsoft.com/office/drawing/2014/main" id="{C4D21780-BAEB-6E60-B96A-970D85336CDC}"/>
                        </a:ext>
                      </a:extLst>
                    </pic:cNvPr>
                    <pic:cNvPicPr>
                      <a:picLocks noChangeAspect="1"/>
                    </pic:cNvPicPr>
                  </pic:nvPicPr>
                  <pic:blipFill>
                    <a:blip r:embed="rId6"/>
                    <a:stretch>
                      <a:fillRect/>
                    </a:stretch>
                  </pic:blipFill>
                  <pic:spPr>
                    <a:xfrm>
                      <a:off x="0" y="0"/>
                      <a:ext cx="5943600" cy="2510790"/>
                    </a:xfrm>
                    <a:prstGeom prst="rect">
                      <a:avLst/>
                    </a:prstGeom>
                  </pic:spPr>
                </pic:pic>
              </a:graphicData>
            </a:graphic>
          </wp:inline>
        </w:drawing>
      </w:r>
    </w:p>
    <w:p w14:paraId="18E2868E" w14:textId="77777777" w:rsidR="00625808" w:rsidRPr="00983D72" w:rsidRDefault="00625808" w:rsidP="00625808">
      <w:pPr>
        <w:pStyle w:val="af0"/>
        <w:jc w:val="center"/>
        <w:rPr>
          <w:rFonts w:asciiTheme="minorHAnsi" w:hAnsiTheme="minorHAnsi" w:cstheme="minorHAnsi"/>
          <w:sz w:val="22"/>
          <w:szCs w:val="22"/>
        </w:rPr>
      </w:pPr>
      <w:r w:rsidRPr="003C046B">
        <w:rPr>
          <w:rFonts w:asciiTheme="minorHAnsi" w:hAnsiTheme="minorHAnsi" w:cstheme="minorHAnsi"/>
          <w:b/>
          <w:bCs/>
          <w:sz w:val="22"/>
          <w:szCs w:val="22"/>
        </w:rPr>
        <w:t xml:space="preserve">Figure </w:t>
      </w:r>
      <w:r w:rsidRPr="003C046B">
        <w:rPr>
          <w:rFonts w:asciiTheme="minorHAnsi" w:eastAsiaTheme="minorEastAsia" w:hAnsiTheme="minorHAnsi" w:cstheme="minorHAnsi"/>
          <w:b/>
          <w:bCs/>
          <w:sz w:val="22"/>
          <w:szCs w:val="22"/>
        </w:rPr>
        <w:t>S</w:t>
      </w:r>
      <w:r>
        <w:rPr>
          <w:rFonts w:asciiTheme="minorHAnsi" w:eastAsiaTheme="minorEastAsia" w:hAnsiTheme="minorHAnsi" w:cstheme="minorHAnsi" w:hint="eastAsia"/>
          <w:b/>
          <w:bCs/>
          <w:sz w:val="22"/>
          <w:szCs w:val="22"/>
        </w:rPr>
        <w:t>1</w:t>
      </w:r>
      <w:r w:rsidRPr="003C046B">
        <w:rPr>
          <w:rFonts w:asciiTheme="minorHAnsi" w:hAnsiTheme="minorHAnsi" w:cstheme="minorHAnsi"/>
          <w:b/>
          <w:bCs/>
          <w:sz w:val="22"/>
          <w:szCs w:val="22"/>
        </w:rPr>
        <w:t xml:space="preserve">. Data </w:t>
      </w:r>
      <w:r>
        <w:rPr>
          <w:rFonts w:asciiTheme="minorHAnsi" w:hAnsiTheme="minorHAnsi" w:cstheme="minorHAnsi"/>
          <w:b/>
          <w:bCs/>
          <w:sz w:val="22"/>
          <w:szCs w:val="22"/>
        </w:rPr>
        <w:t>R</w:t>
      </w:r>
      <w:r w:rsidRPr="003C046B">
        <w:rPr>
          <w:rFonts w:asciiTheme="minorHAnsi" w:hAnsiTheme="minorHAnsi" w:cstheme="minorHAnsi"/>
          <w:b/>
          <w:bCs/>
          <w:sz w:val="22"/>
          <w:szCs w:val="22"/>
        </w:rPr>
        <w:t xml:space="preserve">eliability </w:t>
      </w:r>
      <w:r>
        <w:rPr>
          <w:rFonts w:asciiTheme="minorHAnsi" w:hAnsiTheme="minorHAnsi" w:cstheme="minorHAnsi"/>
          <w:b/>
          <w:bCs/>
          <w:sz w:val="22"/>
          <w:szCs w:val="22"/>
        </w:rPr>
        <w:t>C</w:t>
      </w:r>
      <w:r w:rsidRPr="003C046B">
        <w:rPr>
          <w:rFonts w:asciiTheme="minorHAnsi" w:hAnsiTheme="minorHAnsi" w:cstheme="minorHAnsi"/>
          <w:b/>
          <w:bCs/>
          <w:sz w:val="22"/>
          <w:szCs w:val="22"/>
        </w:rPr>
        <w:t xml:space="preserve">heck of Foamscan </w:t>
      </w:r>
      <w:r>
        <w:rPr>
          <w:rFonts w:asciiTheme="minorHAnsi" w:hAnsiTheme="minorHAnsi" w:cstheme="minorHAnsi"/>
          <w:b/>
          <w:bCs/>
          <w:sz w:val="22"/>
          <w:szCs w:val="22"/>
        </w:rPr>
        <w:t>F</w:t>
      </w:r>
      <w:r w:rsidRPr="003C046B">
        <w:rPr>
          <w:rFonts w:asciiTheme="minorHAnsi" w:hAnsiTheme="minorHAnsi" w:cstheme="minorHAnsi"/>
          <w:b/>
          <w:bCs/>
          <w:sz w:val="22"/>
          <w:szCs w:val="22"/>
        </w:rPr>
        <w:t xml:space="preserve">oam </w:t>
      </w:r>
      <w:r>
        <w:rPr>
          <w:rFonts w:asciiTheme="minorHAnsi" w:hAnsiTheme="minorHAnsi" w:cstheme="minorHAnsi"/>
          <w:b/>
          <w:bCs/>
          <w:sz w:val="22"/>
          <w:szCs w:val="22"/>
        </w:rPr>
        <w:t>T</w:t>
      </w:r>
      <w:r w:rsidRPr="003C046B">
        <w:rPr>
          <w:rFonts w:asciiTheme="minorHAnsi" w:hAnsiTheme="minorHAnsi" w:cstheme="minorHAnsi"/>
          <w:b/>
          <w:bCs/>
          <w:sz w:val="22"/>
          <w:szCs w:val="22"/>
        </w:rPr>
        <w:t>esting</w:t>
      </w:r>
    </w:p>
    <w:p w14:paraId="4550C190" w14:textId="77777777" w:rsidR="00625808" w:rsidRPr="00983D72" w:rsidRDefault="00625808" w:rsidP="00625808">
      <w:pPr>
        <w:jc w:val="both"/>
        <w:rPr>
          <w:rFonts w:asciiTheme="minorHAnsi" w:hAnsiTheme="minorHAnsi" w:cstheme="minorHAnsi"/>
          <w:color w:val="000000" w:themeColor="text1"/>
          <w:szCs w:val="22"/>
        </w:rPr>
      </w:pPr>
    </w:p>
    <w:p w14:paraId="461E9232" w14:textId="77777777" w:rsidR="00625808" w:rsidRPr="009F081A" w:rsidRDefault="00625808" w:rsidP="00625808">
      <w:pPr>
        <w:jc w:val="both"/>
        <w:rPr>
          <w:rFonts w:asciiTheme="minorHAnsi" w:hAnsiTheme="minorHAnsi" w:cstheme="minorHAnsi"/>
          <w:b/>
          <w:bCs/>
          <w:color w:val="000000" w:themeColor="text1"/>
          <w:szCs w:val="22"/>
        </w:rPr>
      </w:pPr>
      <w:r w:rsidRPr="009F081A">
        <w:rPr>
          <w:rFonts w:asciiTheme="minorHAnsi" w:hAnsiTheme="minorHAnsi" w:cstheme="minorHAnsi"/>
          <w:b/>
          <w:bCs/>
          <w:color w:val="000000" w:themeColor="text1"/>
          <w:szCs w:val="22"/>
        </w:rPr>
        <w:t xml:space="preserve">2. </w:t>
      </w:r>
      <w:r w:rsidRPr="009F081A">
        <w:rPr>
          <w:rFonts w:asciiTheme="minorHAnsi" w:hAnsiTheme="minorHAnsi" w:cstheme="minorHAnsi"/>
          <w:b/>
          <w:bCs/>
          <w:szCs w:val="22"/>
        </w:rPr>
        <w:t>Microbial Culture</w:t>
      </w:r>
      <w:r w:rsidRPr="009F081A">
        <w:rPr>
          <w:rFonts w:asciiTheme="minorHAnsi" w:hAnsiTheme="minorHAnsi" w:cstheme="minorHAnsi"/>
          <w:b/>
          <w:bCs/>
          <w:color w:val="000000" w:themeColor="text1"/>
          <w:szCs w:val="22"/>
        </w:rPr>
        <w:t xml:space="preserve"> </w:t>
      </w:r>
    </w:p>
    <w:p w14:paraId="1DDB5CB0"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Yeast Maintenance and Inoculum</w:t>
      </w:r>
    </w:p>
    <w:p w14:paraId="037F7B39"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1.</w:t>
      </w:r>
      <w:r w:rsidRPr="00003B7E">
        <w:rPr>
          <w:rFonts w:asciiTheme="minorHAnsi" w:hAnsiTheme="minorHAnsi" w:cstheme="minorHAnsi"/>
          <w:color w:val="000000" w:themeColor="text1"/>
          <w:szCs w:val="22"/>
        </w:rPr>
        <w:tab/>
        <w:t>Aseptic technique was used for culture maintenance and inoculums preparation.</w:t>
      </w:r>
    </w:p>
    <w:p w14:paraId="4CA6DE6C"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2.</w:t>
      </w:r>
      <w:r w:rsidRPr="00003B7E">
        <w:rPr>
          <w:rFonts w:asciiTheme="minorHAnsi" w:hAnsiTheme="minorHAnsi" w:cstheme="minorHAnsi"/>
          <w:color w:val="000000" w:themeColor="text1"/>
          <w:szCs w:val="22"/>
        </w:rPr>
        <w:tab/>
        <w:t>Yeast cultures (18–24-hour broth cultures, ~10</w:t>
      </w:r>
      <w:r w:rsidRPr="00922281">
        <w:rPr>
          <w:rFonts w:asciiTheme="minorHAnsi" w:hAnsiTheme="minorHAnsi" w:cstheme="minorHAnsi"/>
          <w:color w:val="000000" w:themeColor="text1"/>
          <w:szCs w:val="22"/>
          <w:vertAlign w:val="superscript"/>
        </w:rPr>
        <w:t>8</w:t>
      </w:r>
      <w:r w:rsidRPr="00003B7E">
        <w:rPr>
          <w:rFonts w:asciiTheme="minorHAnsi" w:hAnsiTheme="minorHAnsi" w:cstheme="minorHAnsi"/>
          <w:color w:val="000000" w:themeColor="text1"/>
          <w:szCs w:val="22"/>
        </w:rPr>
        <w:t xml:space="preserve"> CFU/mL, diluted with sterile glycerol to a final 10% glycerol concentration) were stored in cryovials at -70 to -80°C. </w:t>
      </w:r>
    </w:p>
    <w:p w14:paraId="38AFAF39"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3.</w:t>
      </w:r>
      <w:r w:rsidRPr="00003B7E">
        <w:rPr>
          <w:rFonts w:asciiTheme="minorHAnsi" w:hAnsiTheme="minorHAnsi" w:cstheme="minorHAnsi"/>
          <w:color w:val="000000" w:themeColor="text1"/>
          <w:szCs w:val="22"/>
        </w:rPr>
        <w:tab/>
        <w:t xml:space="preserve">One vial of each yeast (Table </w:t>
      </w:r>
      <w:r>
        <w:rPr>
          <w:rFonts w:asciiTheme="minorHAnsi" w:hAnsiTheme="minorHAnsi" w:cstheme="minorHAnsi"/>
          <w:color w:val="000000" w:themeColor="text1"/>
          <w:szCs w:val="22"/>
        </w:rPr>
        <w:t>2</w:t>
      </w:r>
      <w:r w:rsidRPr="00003B7E">
        <w:rPr>
          <w:rFonts w:asciiTheme="minorHAnsi" w:hAnsiTheme="minorHAnsi" w:cstheme="minorHAnsi"/>
          <w:color w:val="000000" w:themeColor="text1"/>
          <w:szCs w:val="22"/>
        </w:rPr>
        <w:t>) were retrieved from cold storage.</w:t>
      </w:r>
    </w:p>
    <w:p w14:paraId="46E1FD51"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4.</w:t>
      </w:r>
      <w:r w:rsidRPr="00003B7E">
        <w:rPr>
          <w:rFonts w:asciiTheme="minorHAnsi" w:hAnsiTheme="minorHAnsi" w:cstheme="minorHAnsi"/>
          <w:color w:val="000000" w:themeColor="text1"/>
          <w:szCs w:val="22"/>
        </w:rPr>
        <w:tab/>
        <w:t>Vials were placed at room temperature on the bench top until thawed.</w:t>
      </w:r>
    </w:p>
    <w:p w14:paraId="66BFDD92"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5.</w:t>
      </w:r>
      <w:r w:rsidRPr="00003B7E">
        <w:rPr>
          <w:rFonts w:asciiTheme="minorHAnsi" w:hAnsiTheme="minorHAnsi" w:cstheme="minorHAnsi"/>
          <w:color w:val="000000" w:themeColor="text1"/>
          <w:szCs w:val="22"/>
        </w:rPr>
        <w:tab/>
        <w:t xml:space="preserve">Each yeast suspension (100 µL) was transferred from the cryovial to 10 mL PDB (potato dextrose broth) and grown for 18-24 hours at 30°C with shaking at 150 to 200 rpm. </w:t>
      </w:r>
    </w:p>
    <w:p w14:paraId="69A41F60" w14:textId="77777777" w:rsidR="00625808" w:rsidRPr="00003B7E" w:rsidRDefault="00625808" w:rsidP="00625808">
      <w:pPr>
        <w:jc w:val="both"/>
        <w:rPr>
          <w:rFonts w:asciiTheme="minorHAnsi" w:hAnsiTheme="minorHAnsi" w:cstheme="minorHAnsi"/>
          <w:color w:val="000000" w:themeColor="text1"/>
          <w:szCs w:val="22"/>
        </w:rPr>
      </w:pPr>
    </w:p>
    <w:p w14:paraId="585490F2"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Mold Culture Maintenance and Inoculum</w:t>
      </w:r>
    </w:p>
    <w:p w14:paraId="3F498368"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1.</w:t>
      </w:r>
      <w:r w:rsidRPr="00003B7E">
        <w:rPr>
          <w:rFonts w:asciiTheme="minorHAnsi" w:hAnsiTheme="minorHAnsi" w:cstheme="minorHAnsi"/>
          <w:color w:val="000000" w:themeColor="text1"/>
          <w:szCs w:val="22"/>
        </w:rPr>
        <w:tab/>
        <w:t>Aseptic technique was used for culture maintenance and inoculum preparation.</w:t>
      </w:r>
    </w:p>
    <w:p w14:paraId="0243116A"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lastRenderedPageBreak/>
        <w:t>2.</w:t>
      </w:r>
      <w:r w:rsidRPr="00003B7E">
        <w:rPr>
          <w:rFonts w:asciiTheme="minorHAnsi" w:hAnsiTheme="minorHAnsi" w:cstheme="minorHAnsi"/>
          <w:color w:val="000000" w:themeColor="text1"/>
          <w:szCs w:val="22"/>
        </w:rPr>
        <w:tab/>
        <w:t>Molds were maintained on PDA plates and stored at 2-5°C.</w:t>
      </w:r>
    </w:p>
    <w:p w14:paraId="61FFC0CF"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3.</w:t>
      </w:r>
      <w:r w:rsidRPr="00003B7E">
        <w:rPr>
          <w:rFonts w:asciiTheme="minorHAnsi" w:hAnsiTheme="minorHAnsi" w:cstheme="minorHAnsi"/>
          <w:color w:val="000000" w:themeColor="text1"/>
          <w:szCs w:val="22"/>
        </w:rPr>
        <w:tab/>
        <w:t>Five to seven days in advance of use a sterile swab is used to inoculate two new PDA plates for each mold.</w:t>
      </w:r>
    </w:p>
    <w:p w14:paraId="2B94B2F9"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4.</w:t>
      </w:r>
      <w:r w:rsidRPr="00003B7E">
        <w:rPr>
          <w:rFonts w:asciiTheme="minorHAnsi" w:hAnsiTheme="minorHAnsi" w:cstheme="minorHAnsi"/>
          <w:color w:val="000000" w:themeColor="text1"/>
          <w:szCs w:val="22"/>
        </w:rPr>
        <w:tab/>
        <w:t>The PDA plates are incubated at 25°C for 5 to 7 days.</w:t>
      </w:r>
    </w:p>
    <w:p w14:paraId="02A2C8E9"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5.</w:t>
      </w:r>
      <w:r w:rsidRPr="00003B7E">
        <w:rPr>
          <w:rFonts w:asciiTheme="minorHAnsi" w:hAnsiTheme="minorHAnsi" w:cstheme="minorHAnsi"/>
          <w:color w:val="000000" w:themeColor="text1"/>
          <w:szCs w:val="22"/>
        </w:rPr>
        <w:tab/>
        <w:t xml:space="preserve">A sterile container (e.g. 50 mL centrifuge tube) was charged with 10 mL sterile 0.1 M phosphate buffer (pH 7.0 – 7.5). </w:t>
      </w:r>
    </w:p>
    <w:p w14:paraId="3A024CF0"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6.</w:t>
      </w:r>
      <w:r w:rsidRPr="00003B7E">
        <w:rPr>
          <w:rFonts w:asciiTheme="minorHAnsi" w:hAnsiTheme="minorHAnsi" w:cstheme="minorHAnsi"/>
          <w:color w:val="000000" w:themeColor="text1"/>
          <w:szCs w:val="22"/>
        </w:rPr>
        <w:tab/>
        <w:t>A sterile swab was wet in the sterile buffer, then wiped and rolled over approximately 1 square inch one plate of the sporulating mold culture to coat the swab with spores.</w:t>
      </w:r>
    </w:p>
    <w:p w14:paraId="054E792C"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7.</w:t>
      </w:r>
      <w:r w:rsidRPr="00003B7E">
        <w:rPr>
          <w:rFonts w:asciiTheme="minorHAnsi" w:hAnsiTheme="minorHAnsi" w:cstheme="minorHAnsi"/>
          <w:color w:val="000000" w:themeColor="text1"/>
          <w:szCs w:val="22"/>
        </w:rPr>
        <w:tab/>
        <w:t>The swab was submerged in the sterile buffer and agitated to suspend the spores.</w:t>
      </w:r>
    </w:p>
    <w:p w14:paraId="2E8B3945"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8.</w:t>
      </w:r>
      <w:r w:rsidRPr="00003B7E">
        <w:rPr>
          <w:rFonts w:asciiTheme="minorHAnsi" w:hAnsiTheme="minorHAnsi" w:cstheme="minorHAnsi"/>
          <w:color w:val="000000" w:themeColor="text1"/>
          <w:szCs w:val="22"/>
        </w:rPr>
        <w:tab/>
        <w:t>Steps 6 and 7 were repeated on the same plates for a total of 2 times for each mold, combining the molds into a single tube with 10 mL of buffer.</w:t>
      </w:r>
    </w:p>
    <w:p w14:paraId="2E20CCF5"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9.</w:t>
      </w:r>
      <w:r w:rsidRPr="00003B7E">
        <w:rPr>
          <w:rFonts w:asciiTheme="minorHAnsi" w:hAnsiTheme="minorHAnsi" w:cstheme="minorHAnsi"/>
          <w:color w:val="000000" w:themeColor="text1"/>
          <w:szCs w:val="22"/>
        </w:rPr>
        <w:tab/>
        <w:t>The extra plate was placed in the refrigerator as the maintenance culture.</w:t>
      </w:r>
    </w:p>
    <w:p w14:paraId="3B639205" w14:textId="77777777" w:rsidR="00625808" w:rsidRPr="00003B7E" w:rsidRDefault="00625808" w:rsidP="00625808">
      <w:pPr>
        <w:jc w:val="both"/>
        <w:rPr>
          <w:rFonts w:asciiTheme="minorHAnsi" w:hAnsiTheme="minorHAnsi" w:cstheme="minorHAnsi"/>
          <w:color w:val="000000" w:themeColor="text1"/>
          <w:szCs w:val="22"/>
        </w:rPr>
      </w:pPr>
      <w:r w:rsidRPr="00003B7E">
        <w:rPr>
          <w:rFonts w:asciiTheme="minorHAnsi" w:hAnsiTheme="minorHAnsi" w:cstheme="minorHAnsi"/>
          <w:color w:val="000000" w:themeColor="text1"/>
          <w:szCs w:val="22"/>
        </w:rPr>
        <w:t>10.</w:t>
      </w:r>
      <w:r w:rsidRPr="00003B7E">
        <w:rPr>
          <w:rFonts w:asciiTheme="minorHAnsi" w:hAnsiTheme="minorHAnsi" w:cstheme="minorHAnsi"/>
          <w:color w:val="000000" w:themeColor="text1"/>
          <w:szCs w:val="22"/>
        </w:rPr>
        <w:tab/>
        <w:t>Mold cultures were inspected each time they were grown. If they become compromised, retrieved fresh frozen stocks and start new plates.</w:t>
      </w:r>
    </w:p>
    <w:p w14:paraId="75E59A70" w14:textId="77777777" w:rsidR="00625808" w:rsidRPr="00003B7E" w:rsidRDefault="00625808" w:rsidP="00625808">
      <w:pPr>
        <w:jc w:val="both"/>
        <w:rPr>
          <w:rFonts w:asciiTheme="minorHAnsi" w:hAnsiTheme="minorHAnsi" w:cstheme="minorHAnsi"/>
          <w:color w:val="000000" w:themeColor="text1"/>
          <w:szCs w:val="22"/>
        </w:rPr>
      </w:pPr>
    </w:p>
    <w:p w14:paraId="0462A59D" w14:textId="77777777" w:rsidR="00625808" w:rsidRPr="00D23E9E" w:rsidRDefault="00625808" w:rsidP="00625808">
      <w:pPr>
        <w:jc w:val="both"/>
        <w:rPr>
          <w:rFonts w:asciiTheme="minorHAnsi" w:hAnsiTheme="minorHAnsi" w:cstheme="minorHAnsi"/>
          <w:b/>
          <w:bCs/>
          <w:color w:val="000000" w:themeColor="text1"/>
          <w:szCs w:val="22"/>
        </w:rPr>
      </w:pPr>
      <w:r w:rsidRPr="00D23E9E">
        <w:rPr>
          <w:rFonts w:asciiTheme="minorHAnsi" w:hAnsiTheme="minorHAnsi" w:cstheme="minorHAnsi"/>
          <w:b/>
          <w:bCs/>
          <w:color w:val="000000" w:themeColor="text1"/>
          <w:szCs w:val="22"/>
        </w:rPr>
        <w:t>3. Preparation of RABIT Sample Cells</w:t>
      </w:r>
    </w:p>
    <w:p w14:paraId="5778334D" w14:textId="77777777" w:rsidR="00625808" w:rsidRPr="000F7944" w:rsidRDefault="00625808" w:rsidP="00625808">
      <w:pPr>
        <w:ind w:left="90"/>
        <w:jc w:val="both"/>
        <w:rPr>
          <w:rFonts w:asciiTheme="minorHAnsi" w:hAnsiTheme="minorHAnsi" w:cstheme="minorBidi"/>
        </w:rPr>
      </w:pPr>
      <w:r w:rsidRPr="7D0927A9">
        <w:rPr>
          <w:rFonts w:asciiTheme="minorHAnsi" w:hAnsiTheme="minorHAnsi" w:cstheme="minorBidi"/>
        </w:rPr>
        <w:t>1.  Potassium hydroxide (0.35 g) was dissolved in 50 m</w:t>
      </w:r>
      <w:r>
        <w:rPr>
          <w:rFonts w:asciiTheme="minorHAnsi" w:hAnsiTheme="minorHAnsi" w:cstheme="minorBidi"/>
        </w:rPr>
        <w:t>L</w:t>
      </w:r>
      <w:r w:rsidRPr="7D0927A9">
        <w:rPr>
          <w:rFonts w:asciiTheme="minorHAnsi" w:hAnsiTheme="minorHAnsi" w:cstheme="minorBidi"/>
        </w:rPr>
        <w:t xml:space="preserve"> of deionized water, to form a potassium hydroxide solution.  This solution was not heated.  </w:t>
      </w:r>
    </w:p>
    <w:p w14:paraId="395504D0" w14:textId="77777777" w:rsidR="00625808" w:rsidRPr="000F7944" w:rsidRDefault="00625808" w:rsidP="00625808">
      <w:pPr>
        <w:ind w:left="90"/>
        <w:jc w:val="both"/>
        <w:rPr>
          <w:rFonts w:asciiTheme="minorHAnsi" w:hAnsiTheme="minorHAnsi" w:cstheme="minorBidi"/>
        </w:rPr>
      </w:pPr>
      <w:r w:rsidRPr="7D0927A9">
        <w:rPr>
          <w:rFonts w:asciiTheme="minorHAnsi" w:hAnsiTheme="minorHAnsi" w:cstheme="minorBidi"/>
        </w:rPr>
        <w:t xml:space="preserve">2.  Bacteriological Agar No.1 (1.0 g, available from Thermo Fisher Scientific) was dispersed in 50 ml of deionized water in a 100 ml screw capped bottle.  The agar was completely dissolved by boiling or by autoclaving, to form an agar solution.  </w:t>
      </w:r>
    </w:p>
    <w:p w14:paraId="0DA6725D" w14:textId="77777777" w:rsidR="00625808" w:rsidRPr="000F7944" w:rsidRDefault="00625808" w:rsidP="00625808">
      <w:pPr>
        <w:ind w:left="90"/>
        <w:jc w:val="both"/>
        <w:rPr>
          <w:rFonts w:asciiTheme="minorHAnsi" w:hAnsiTheme="minorHAnsi" w:cstheme="minorBidi"/>
        </w:rPr>
      </w:pPr>
      <w:r w:rsidRPr="7D0927A9">
        <w:rPr>
          <w:rFonts w:asciiTheme="minorHAnsi" w:hAnsiTheme="minorHAnsi" w:cstheme="minorBidi"/>
        </w:rPr>
        <w:t xml:space="preserve">3.  While the agar solution was still hot (approx. 70ºC), but not boiling, the </w:t>
      </w:r>
      <w:r w:rsidRPr="7D0927A9">
        <w:rPr>
          <w:rFonts w:asciiTheme="minorHAnsi" w:hAnsiTheme="minorHAnsi" w:cstheme="minorBidi"/>
          <w:i/>
        </w:rPr>
        <w:t>cold</w:t>
      </w:r>
      <w:r w:rsidRPr="7D0927A9">
        <w:rPr>
          <w:rFonts w:asciiTheme="minorHAnsi" w:hAnsiTheme="minorHAnsi" w:cstheme="minorBidi"/>
        </w:rPr>
        <w:t xml:space="preserve"> potassium hydroxide solution was added to the agar solution, and the final solution was mix thoroughly, to form an agar mixture.  </w:t>
      </w:r>
    </w:p>
    <w:p w14:paraId="457E023F" w14:textId="77777777" w:rsidR="00625808" w:rsidRPr="000F7944" w:rsidRDefault="00625808" w:rsidP="00625808">
      <w:pPr>
        <w:ind w:left="90"/>
        <w:jc w:val="both"/>
        <w:rPr>
          <w:rFonts w:asciiTheme="minorHAnsi" w:hAnsiTheme="minorHAnsi" w:cstheme="minorBidi"/>
        </w:rPr>
      </w:pPr>
      <w:r w:rsidRPr="7D0927A9">
        <w:rPr>
          <w:rFonts w:asciiTheme="minorHAnsi" w:hAnsiTheme="minorHAnsi" w:cstheme="minorBidi"/>
        </w:rPr>
        <w:t xml:space="preserve">4.  Using a suitable pipetting device, 0.7 ml of the agar mixture was dispensed into the base of each clean, dry RABIT impedance cell, taking care to minimize the quantity of agar that runs down the inside of the cell.  </w:t>
      </w:r>
    </w:p>
    <w:p w14:paraId="0E290807" w14:textId="77777777" w:rsidR="00625808" w:rsidRPr="000F7944" w:rsidRDefault="00625808" w:rsidP="00625808">
      <w:pPr>
        <w:ind w:left="90"/>
        <w:jc w:val="both"/>
        <w:rPr>
          <w:rFonts w:asciiTheme="minorHAnsi" w:hAnsiTheme="minorHAnsi" w:cstheme="minorBidi"/>
          <w:highlight w:val="yellow"/>
        </w:rPr>
      </w:pPr>
      <w:r w:rsidRPr="7D0927A9">
        <w:rPr>
          <w:rFonts w:asciiTheme="minorHAnsi" w:hAnsiTheme="minorHAnsi" w:cstheme="minorBidi"/>
        </w:rPr>
        <w:t xml:space="preserve">5.  Within each cell, the agar mixture was allowed to cool and solidify within 15 and 30 minutes (maximum).  Then each cell was sealed as tightly as possible using a supplied rubber stopper.  </w:t>
      </w:r>
    </w:p>
    <w:p w14:paraId="57259F8D" w14:textId="77777777" w:rsidR="00625808" w:rsidRPr="000F7944" w:rsidRDefault="00625808" w:rsidP="00625808">
      <w:pPr>
        <w:ind w:left="90"/>
        <w:jc w:val="both"/>
        <w:rPr>
          <w:rFonts w:asciiTheme="minorHAnsi" w:hAnsiTheme="minorHAnsi" w:cstheme="minorBidi"/>
          <w:b/>
        </w:rPr>
      </w:pPr>
      <w:r w:rsidRPr="7D0927A9">
        <w:rPr>
          <w:rFonts w:asciiTheme="minorHAnsi" w:hAnsiTheme="minorHAnsi" w:cstheme="minorBidi"/>
        </w:rPr>
        <w:t xml:space="preserve">6.  Next, the agar in each cell was allowed to equilibrate for a minimum of 2- hours (preferably overnight) prior to use.   </w:t>
      </w:r>
    </w:p>
    <w:p w14:paraId="5966C81A" w14:textId="77777777" w:rsidR="00625808" w:rsidRPr="000F7944" w:rsidRDefault="00625808" w:rsidP="00625808">
      <w:pPr>
        <w:ind w:left="90"/>
        <w:jc w:val="both"/>
        <w:rPr>
          <w:rFonts w:asciiTheme="minorHAnsi" w:hAnsiTheme="minorHAnsi" w:cstheme="minorBidi"/>
        </w:rPr>
      </w:pPr>
      <w:r w:rsidRPr="7D0927A9">
        <w:rPr>
          <w:rFonts w:asciiTheme="minorHAnsi" w:hAnsiTheme="minorHAnsi" w:cstheme="minorBidi"/>
        </w:rPr>
        <w:t xml:space="preserve">7.  These “RABIT pre-cells” containing the solidified agar may be stored at room temperature for one month, if tightly sealed and protected from strong light.  These cells should not be refrigerated.  </w:t>
      </w:r>
    </w:p>
    <w:p w14:paraId="57176C27" w14:textId="77777777" w:rsidR="00625808" w:rsidRDefault="00625808" w:rsidP="00625808">
      <w:pPr>
        <w:ind w:left="90"/>
        <w:jc w:val="both"/>
        <w:rPr>
          <w:rFonts w:asciiTheme="minorHAnsi" w:hAnsiTheme="minorHAnsi" w:cstheme="minorBidi"/>
        </w:rPr>
      </w:pPr>
      <w:r w:rsidRPr="7D0927A9">
        <w:rPr>
          <w:rFonts w:asciiTheme="minorHAnsi" w:hAnsiTheme="minorHAnsi" w:cstheme="minorBidi"/>
        </w:rPr>
        <w:t>8.  To check the condition of the prepared impedance cells before use, they are placed in the RABIT module and the conductivity readings from the cell are observed using a Global Conductivity Table function (supplied by the manufacturer of the RABIT instrumentation).  These values should typically be from 7000 to 10000 µS at 30ºC.  Cells with conductivity readings below 6000 µS, at 30°C, should not be used.</w:t>
      </w:r>
    </w:p>
    <w:p w14:paraId="389D04C9" w14:textId="77777777" w:rsidR="00625808" w:rsidRDefault="00625808" w:rsidP="00625808">
      <w:pPr>
        <w:ind w:left="90"/>
        <w:rPr>
          <w:rFonts w:asciiTheme="minorHAnsi" w:hAnsiTheme="minorHAnsi" w:cstheme="minorHAnsi"/>
        </w:rPr>
      </w:pPr>
    </w:p>
    <w:p w14:paraId="7ACD6D14" w14:textId="77777777" w:rsidR="00625808" w:rsidRPr="001C6BD5" w:rsidRDefault="00625808" w:rsidP="00625808">
      <w:pPr>
        <w:jc w:val="both"/>
        <w:rPr>
          <w:rFonts w:asciiTheme="minorHAnsi" w:hAnsiTheme="minorHAnsi" w:cstheme="minorBidi"/>
          <w:b/>
          <w:bCs/>
        </w:rPr>
      </w:pPr>
      <w:r w:rsidRPr="001C6BD5">
        <w:rPr>
          <w:rFonts w:asciiTheme="minorHAnsi" w:hAnsiTheme="minorHAnsi" w:cstheme="minorBidi"/>
          <w:b/>
          <w:bCs/>
        </w:rPr>
        <w:t>4. Calibration Details</w:t>
      </w:r>
    </w:p>
    <w:p w14:paraId="35DEA535" w14:textId="77777777" w:rsidR="00625808" w:rsidRDefault="00625808" w:rsidP="00625808">
      <w:pPr>
        <w:jc w:val="both"/>
        <w:rPr>
          <w:rFonts w:asciiTheme="minorHAnsi" w:hAnsiTheme="minorHAnsi" w:cstheme="minorBidi"/>
        </w:rPr>
      </w:pPr>
      <w:r>
        <w:rPr>
          <w:noProof/>
        </w:rPr>
        <w:lastRenderedPageBreak/>
        <w:drawing>
          <wp:inline distT="0" distB="0" distL="0" distR="0" wp14:anchorId="0A361DA4" wp14:editId="591BCAE2">
            <wp:extent cx="5837722" cy="402336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7722" cy="4023360"/>
                    </a:xfrm>
                    <a:prstGeom prst="rect">
                      <a:avLst/>
                    </a:prstGeom>
                    <a:noFill/>
                    <a:ln>
                      <a:noFill/>
                    </a:ln>
                  </pic:spPr>
                </pic:pic>
              </a:graphicData>
            </a:graphic>
          </wp:inline>
        </w:drawing>
      </w:r>
    </w:p>
    <w:p w14:paraId="3974AF5B" w14:textId="77777777" w:rsidR="00625808" w:rsidRPr="000E7F83" w:rsidRDefault="00625808" w:rsidP="00625808">
      <w:pPr>
        <w:jc w:val="both"/>
        <w:rPr>
          <w:rFonts w:asciiTheme="minorHAnsi" w:hAnsiTheme="minorHAnsi" w:cstheme="minorBidi"/>
        </w:rPr>
      </w:pPr>
      <w:r w:rsidRPr="00155A2A">
        <w:rPr>
          <w:rFonts w:asciiTheme="minorHAnsi" w:hAnsiTheme="minorHAnsi" w:cstheme="minorBidi"/>
          <w:b/>
          <w:bCs/>
        </w:rPr>
        <w:t xml:space="preserve">Figure S2: </w:t>
      </w:r>
      <w:r>
        <w:rPr>
          <w:rFonts w:asciiTheme="minorHAnsi" w:hAnsiTheme="minorHAnsi" w:cstheme="minorBidi"/>
        </w:rPr>
        <w:t xml:space="preserve">Sample dataset for conductivity curves as a function of time for different dilutions of yeast. Dilution factors are shown from most concentrated on the leftmost curve to least concentrated on the rightmost curve. Each curve is demarcated with an “x” denoting the time to detection. </w:t>
      </w:r>
    </w:p>
    <w:p w14:paraId="4C780C60" w14:textId="77777777" w:rsidR="00625808" w:rsidRDefault="00625808" w:rsidP="00625808">
      <w:pPr>
        <w:jc w:val="both"/>
        <w:rPr>
          <w:rFonts w:asciiTheme="minorHAnsi" w:hAnsiTheme="minorHAnsi" w:cstheme="minorBidi"/>
        </w:rPr>
      </w:pPr>
    </w:p>
    <w:p w14:paraId="347FA24E" w14:textId="77777777" w:rsidR="00625808" w:rsidRPr="000F7944" w:rsidRDefault="00625808" w:rsidP="00625808">
      <w:pPr>
        <w:ind w:left="90"/>
        <w:rPr>
          <w:b/>
          <w:bCs/>
        </w:rPr>
      </w:pPr>
      <w:r>
        <w:rPr>
          <w:rFonts w:asciiTheme="minorHAnsi" w:hAnsiTheme="minorHAnsi" w:cstheme="minorHAnsi"/>
          <w:b/>
          <w:bCs/>
        </w:rPr>
        <w:t>5</w:t>
      </w:r>
      <w:r w:rsidRPr="000F7944">
        <w:rPr>
          <w:rFonts w:asciiTheme="minorHAnsi" w:hAnsiTheme="minorHAnsi" w:cstheme="minorHAnsi"/>
          <w:b/>
          <w:bCs/>
        </w:rPr>
        <w:t xml:space="preserve">. </w:t>
      </w:r>
      <w:r>
        <w:rPr>
          <w:rFonts w:asciiTheme="minorHAnsi" w:hAnsiTheme="minorHAnsi" w:cstheme="minorHAnsi"/>
          <w:b/>
          <w:bCs/>
        </w:rPr>
        <w:t>Microorganism Growth Assays</w:t>
      </w:r>
    </w:p>
    <w:p w14:paraId="1F82659A" w14:textId="77777777" w:rsidR="00625808" w:rsidRPr="00C13756" w:rsidRDefault="00625808" w:rsidP="00625808">
      <w:pPr>
        <w:jc w:val="both"/>
        <w:rPr>
          <w:rFonts w:asciiTheme="minorHAnsi" w:eastAsiaTheme="minorEastAsia" w:hAnsiTheme="minorHAnsi" w:cstheme="minorHAnsi"/>
          <w:lang w:eastAsia="zh-CN"/>
        </w:rPr>
      </w:pPr>
      <w:r>
        <w:rPr>
          <w:rFonts w:asciiTheme="minorHAnsi" w:hAnsiTheme="minorHAnsi" w:cstheme="minorHAnsi"/>
        </w:rPr>
        <w:t>Microbial growth was analyzed via t</w:t>
      </w:r>
      <w:r w:rsidRPr="004162DD">
        <w:rPr>
          <w:rFonts w:asciiTheme="minorHAnsi" w:hAnsiTheme="minorHAnsi" w:cstheme="minorHAnsi"/>
        </w:rPr>
        <w:t>he Rapid Automated Bacterial Impedance Technique (RABIT)</w:t>
      </w:r>
      <w:r>
        <w:rPr>
          <w:rFonts w:asciiTheme="minorHAnsi" w:hAnsiTheme="minorHAnsi" w:cstheme="minorHAnsi"/>
        </w:rPr>
        <w:t xml:space="preserve">, an instrument that </w:t>
      </w:r>
      <w:r w:rsidRPr="004162DD">
        <w:rPr>
          <w:rFonts w:asciiTheme="minorHAnsi" w:hAnsiTheme="minorHAnsi" w:cstheme="minorHAnsi"/>
        </w:rPr>
        <w:t xml:space="preserve">provides an </w:t>
      </w:r>
      <w:r w:rsidRPr="004162DD">
        <w:rPr>
          <w:rFonts w:asciiTheme="minorHAnsi" w:hAnsiTheme="minorHAnsi" w:cstheme="minorHAnsi"/>
          <w:i/>
          <w:iCs/>
        </w:rPr>
        <w:t>in-situ</w:t>
      </w:r>
      <w:r w:rsidRPr="004162DD">
        <w:rPr>
          <w:rFonts w:asciiTheme="minorHAnsi" w:hAnsiTheme="minorHAnsi" w:cstheme="minorHAnsi"/>
        </w:rPr>
        <w:t xml:space="preserve"> monitoring of </w:t>
      </w:r>
      <w:r>
        <w:rPr>
          <w:rFonts w:asciiTheme="minorHAnsi" w:hAnsiTheme="minorHAnsi" w:cstheme="minorHAnsi"/>
        </w:rPr>
        <w:t xml:space="preserve">microbial solution </w:t>
      </w:r>
      <w:r w:rsidRPr="004162DD">
        <w:rPr>
          <w:rFonts w:asciiTheme="minorHAnsi" w:hAnsiTheme="minorHAnsi" w:cstheme="minorHAnsi"/>
        </w:rPr>
        <w:t>conductivity over time.</w:t>
      </w:r>
      <w:r>
        <w:rPr>
          <w:rFonts w:asciiTheme="minorHAnsi" w:hAnsiTheme="minorHAnsi" w:cstheme="minorHAnsi"/>
        </w:rPr>
        <w:t xml:space="preserve"> </w:t>
      </w:r>
      <w:r w:rsidRPr="004162DD">
        <w:rPr>
          <w:rFonts w:asciiTheme="minorHAnsi" w:hAnsiTheme="minorHAnsi" w:cstheme="minorHAnsi"/>
        </w:rPr>
        <w:t xml:space="preserve">The instrument recognizes exponential growth within a sample, based on the change in conductivity over a certain amount of time.  For each microbial solution, the “time to detection (TTD),” is used to determine </w:t>
      </w:r>
      <w:r w:rsidRPr="008D4DE8">
        <w:rPr>
          <w:rFonts w:asciiTheme="minorHAnsi" w:hAnsiTheme="minorHAnsi" w:cstheme="minorHAnsi"/>
        </w:rPr>
        <w:t>the initial concentration of the microorganism(s) of interest.  For yeast, the initial concentration is the concentration after incubation, at 30°C for one day (24 hours), right before the TTD-RABIT analysis.  For mold, the initial concentration is the concentration after incubation, at 25°C for seven days, right before the TTD/RABIT analysis.  The TTD is determined after a change in the threshold conductivity is observed for three consecutive readings on the microbial solution (typically done at six-minute intervals), and where the next consecutive reading (the fourth change in conductivity) is the reported “time to detection (TTD)”.  The TTD can be used to back calculate the initial concentration of microorganisms based on a calibration curve</w:t>
      </w:r>
      <w:r>
        <w:rPr>
          <w:rFonts w:asciiTheme="minorHAnsi" w:hAnsiTheme="minorHAnsi" w:cstheme="minorHAnsi"/>
        </w:rPr>
        <w:t>.</w:t>
      </w:r>
    </w:p>
    <w:p w14:paraId="6880818F" w14:textId="77777777" w:rsidR="00625808" w:rsidRPr="00983D72" w:rsidRDefault="00625808" w:rsidP="00625808">
      <w:pPr>
        <w:spacing w:before="120" w:after="120"/>
        <w:jc w:val="center"/>
        <w:rPr>
          <w:rFonts w:asciiTheme="minorHAnsi" w:hAnsiTheme="minorHAnsi" w:cstheme="minorBidi"/>
        </w:rPr>
      </w:pPr>
      <w:r w:rsidRPr="701ADFE1">
        <w:rPr>
          <w:rFonts w:asciiTheme="minorHAnsi" w:hAnsiTheme="minorHAnsi" w:cstheme="minorBidi"/>
        </w:rPr>
        <w:t xml:space="preserve">Table </w:t>
      </w:r>
      <w:r>
        <w:rPr>
          <w:rFonts w:asciiTheme="minorHAnsi" w:eastAsiaTheme="minorEastAsia" w:hAnsiTheme="minorHAnsi" w:cstheme="minorBidi" w:hint="eastAsia"/>
          <w:lang w:eastAsia="zh-CN"/>
        </w:rPr>
        <w:t>S1</w:t>
      </w:r>
      <w:r w:rsidRPr="701ADFE1">
        <w:rPr>
          <w:rFonts w:asciiTheme="minorHAnsi" w:hAnsiTheme="minorHAnsi" w:cstheme="minorBidi"/>
        </w:rPr>
        <w:t xml:space="preserve">. </w:t>
      </w:r>
      <w:r w:rsidRPr="701ADFE1">
        <w:rPr>
          <w:rFonts w:asciiTheme="minorHAnsi" w:hAnsiTheme="minorHAnsi" w:cstheme="minorBidi"/>
          <w:color w:val="000000" w:themeColor="text1"/>
        </w:rPr>
        <w:t xml:space="preserve">The foam volume of fermentation broth with the addition of </w:t>
      </w:r>
      <w:r>
        <w:rPr>
          <w:rFonts w:asciiTheme="minorHAnsi" w:hAnsiTheme="minorHAnsi" w:cstheme="minorBidi"/>
          <w:color w:val="000000" w:themeColor="text1"/>
        </w:rPr>
        <w:t>FCA332</w:t>
      </w:r>
      <w:r w:rsidRPr="701ADFE1">
        <w:rPr>
          <w:rFonts w:asciiTheme="minorHAnsi" w:hAnsiTheme="minorHAnsi" w:cstheme="minorBidi"/>
          <w:color w:val="000000" w:themeColor="text1"/>
        </w:rPr>
        <w:t>.</w:t>
      </w:r>
    </w:p>
    <w:p w14:paraId="24F74921" w14:textId="77777777" w:rsidR="00625808" w:rsidRPr="00983D72" w:rsidRDefault="00625808" w:rsidP="00625808">
      <w:pPr>
        <w:spacing w:before="120"/>
        <w:jc w:val="both"/>
        <w:rPr>
          <w:rFonts w:asciiTheme="minorHAnsi" w:hAnsiTheme="minorHAnsi" w:cstheme="minorHAnsi"/>
          <w:b/>
          <w:bCs/>
          <w:color w:val="000000" w:themeColor="text1"/>
          <w:szCs w:val="22"/>
        </w:rPr>
      </w:pPr>
      <w:r w:rsidRPr="00983D72">
        <w:rPr>
          <w:rFonts w:asciiTheme="minorHAnsi" w:hAnsiTheme="minorHAnsi" w:cstheme="minorHAnsi"/>
          <w:noProof/>
        </w:rPr>
        <w:lastRenderedPageBreak/>
        <w:drawing>
          <wp:inline distT="0" distB="0" distL="0" distR="0" wp14:anchorId="1A4323AF" wp14:editId="1CBCB36A">
            <wp:extent cx="5829300" cy="2524785"/>
            <wp:effectExtent l="0" t="0" r="0" b="8890"/>
            <wp:docPr id="1767821339" name="Picture 176782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7991" cy="2528549"/>
                    </a:xfrm>
                    <a:prstGeom prst="rect">
                      <a:avLst/>
                    </a:prstGeom>
                    <a:noFill/>
                    <a:ln>
                      <a:noFill/>
                    </a:ln>
                  </pic:spPr>
                </pic:pic>
              </a:graphicData>
            </a:graphic>
          </wp:inline>
        </w:drawing>
      </w:r>
    </w:p>
    <w:p w14:paraId="3DBD4C55" w14:textId="77777777" w:rsidR="00625808" w:rsidRPr="00983D72" w:rsidRDefault="00625808" w:rsidP="00625808">
      <w:pPr>
        <w:rPr>
          <w:rFonts w:asciiTheme="minorHAnsi" w:hAnsiTheme="minorHAnsi" w:cstheme="minorHAnsi"/>
          <w:sz w:val="20"/>
          <w:szCs w:val="20"/>
        </w:rPr>
      </w:pPr>
      <w:r w:rsidRPr="00983D72">
        <w:rPr>
          <w:rFonts w:asciiTheme="minorHAnsi" w:hAnsiTheme="minorHAnsi" w:cstheme="minorHAnsi"/>
          <w:sz w:val="20"/>
          <w:szCs w:val="20"/>
        </w:rPr>
        <w:t>*The fermentation broth was prepared by using LB broth supplied by Thermo Fisher Scientific Inc.</w:t>
      </w:r>
    </w:p>
    <w:p w14:paraId="22262E73" w14:textId="77777777" w:rsidR="00625808" w:rsidRPr="00A65942" w:rsidRDefault="00625808" w:rsidP="00625808">
      <w:pPr>
        <w:pStyle w:val="af0"/>
        <w:jc w:val="both"/>
        <w:rPr>
          <w:rFonts w:asciiTheme="minorHAnsi" w:eastAsiaTheme="minorEastAsia" w:hAnsiTheme="minorHAnsi"/>
          <w:sz w:val="20"/>
        </w:rPr>
      </w:pPr>
    </w:p>
    <w:p w14:paraId="73078FCF" w14:textId="77777777" w:rsidR="00D93A80" w:rsidRDefault="00D93A80"/>
    <w:sectPr w:rsidR="00D93A80">
      <w:footerReference w:type="even" r:id="rId9"/>
      <w:footerReference w:type="defaul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8834A" w14:textId="77777777" w:rsidR="00024C08" w:rsidRDefault="00024C08" w:rsidP="00024C08">
      <w:r>
        <w:separator/>
      </w:r>
    </w:p>
  </w:endnote>
  <w:endnote w:type="continuationSeparator" w:id="0">
    <w:p w14:paraId="3BA9F22F" w14:textId="77777777" w:rsidR="00024C08" w:rsidRDefault="00024C08" w:rsidP="00024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053A0" w14:textId="04F713E3" w:rsidR="00024C08" w:rsidRDefault="00024C08">
    <w:pPr>
      <w:pStyle w:val="ae"/>
    </w:pPr>
    <w:r>
      <w:rPr>
        <w:noProof/>
      </w:rPr>
      <mc:AlternateContent>
        <mc:Choice Requires="wps">
          <w:drawing>
            <wp:anchor distT="0" distB="0" distL="0" distR="0" simplePos="0" relativeHeight="251658241" behindDoc="0" locked="0" layoutInCell="1" allowOverlap="1" wp14:anchorId="15C2AC5B" wp14:editId="5A727778">
              <wp:simplePos x="635" y="635"/>
              <wp:positionH relativeFrom="page">
                <wp:align>center</wp:align>
              </wp:positionH>
              <wp:positionV relativeFrom="page">
                <wp:align>bottom</wp:align>
              </wp:positionV>
              <wp:extent cx="956310" cy="370205"/>
              <wp:effectExtent l="0" t="0" r="15240" b="0"/>
              <wp:wrapNone/>
              <wp:docPr id="537929040"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6A25B29A" w14:textId="43419F81" w:rsidR="00024C08" w:rsidRPr="00024C08" w:rsidRDefault="00024C08" w:rsidP="00024C08">
                          <w:pPr>
                            <w:rPr>
                              <w:rFonts w:ascii="Aptos" w:eastAsia="Aptos" w:hAnsi="Aptos" w:cs="Aptos"/>
                              <w:noProof/>
                              <w:color w:val="000000"/>
                              <w:sz w:val="20"/>
                              <w:szCs w:val="20"/>
                            </w:rPr>
                          </w:pPr>
                          <w:r w:rsidRPr="00024C08">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5C2AC5B" id="_x0000_t202" coordsize="21600,21600" o:spt="202" path="m,l,21600r21600,l21600,xe">
              <v:stroke joinstyle="miter"/>
              <v:path gradientshapeok="t" o:connecttype="rect"/>
            </v:shapetype>
            <v:shape id="Text Box 2" o:spid="_x0000_s1026" type="#_x0000_t202" alt="General Business" style="position:absolute;margin-left:0;margin-top:0;width:75.3pt;height:29.1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" filled="f" stroked="f">
              <v:textbox style="mso-fit-shape-to-text:t" inset="0,0,0,15pt">
                <w:txbxContent>
                  <w:p w14:paraId="6A25B29A" w14:textId="43419F81" w:rsidR="00024C08" w:rsidRPr="00024C08" w:rsidRDefault="00024C08" w:rsidP="00024C08">
                    <w:pPr>
                      <w:rPr>
                        <w:rFonts w:ascii="Aptos" w:eastAsia="Aptos" w:hAnsi="Aptos" w:cs="Aptos"/>
                        <w:noProof/>
                        <w:color w:val="000000"/>
                        <w:sz w:val="20"/>
                        <w:szCs w:val="20"/>
                      </w:rPr>
                    </w:pPr>
                    <w:r w:rsidRPr="00024C08">
                      <w:rPr>
                        <w:rFonts w:ascii="Aptos" w:eastAsia="Aptos" w:hAnsi="Aptos" w:cs="Aptos"/>
                        <w:noProof/>
                        <w:color w:val="000000"/>
                        <w:sz w:val="20"/>
                        <w:szCs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EF444" w14:textId="57FCA03F" w:rsidR="00024C08" w:rsidRDefault="00024C08">
    <w:pPr>
      <w:pStyle w:val="ae"/>
    </w:pPr>
    <w:r>
      <w:rPr>
        <w:noProof/>
      </w:rPr>
      <mc:AlternateContent>
        <mc:Choice Requires="wps">
          <w:drawing>
            <wp:anchor distT="0" distB="0" distL="0" distR="0" simplePos="0" relativeHeight="251658242" behindDoc="0" locked="0" layoutInCell="1" allowOverlap="1" wp14:anchorId="119C65EF" wp14:editId="23F7ED58">
              <wp:simplePos x="635" y="635"/>
              <wp:positionH relativeFrom="page">
                <wp:align>center</wp:align>
              </wp:positionH>
              <wp:positionV relativeFrom="page">
                <wp:align>bottom</wp:align>
              </wp:positionV>
              <wp:extent cx="956310" cy="370205"/>
              <wp:effectExtent l="0" t="0" r="15240" b="0"/>
              <wp:wrapNone/>
              <wp:docPr id="1668797879" name="Text Box 3"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3DD69442" w14:textId="6C026EEE" w:rsidR="00024C08" w:rsidRPr="00024C08" w:rsidRDefault="00024C08" w:rsidP="00024C08">
                          <w:pPr>
                            <w:rPr>
                              <w:rFonts w:ascii="Aptos" w:eastAsia="Aptos" w:hAnsi="Aptos" w:cs="Aptos"/>
                              <w:noProof/>
                              <w:color w:val="000000"/>
                              <w:sz w:val="20"/>
                              <w:szCs w:val="20"/>
                            </w:rPr>
                          </w:pPr>
                          <w:r w:rsidRPr="00024C08">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9C65EF" id="_x0000_t202" coordsize="21600,21600" o:spt="202" path="m,l,21600r21600,l21600,xe">
              <v:stroke joinstyle="miter"/>
              <v:path gradientshapeok="t" o:connecttype="rect"/>
            </v:shapetype>
            <v:shape id="Text Box 3" o:spid="_x0000_s1027" type="#_x0000_t202" alt="General Business" style="position:absolute;margin-left:0;margin-top:0;width:75.3pt;height:29.1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" filled="f" stroked="f">
              <v:textbox style="mso-fit-shape-to-text:t" inset="0,0,0,15pt">
                <w:txbxContent>
                  <w:p w14:paraId="3DD69442" w14:textId="6C026EEE" w:rsidR="00024C08" w:rsidRPr="00024C08" w:rsidRDefault="00024C08" w:rsidP="00024C08">
                    <w:pPr>
                      <w:rPr>
                        <w:rFonts w:ascii="Aptos" w:eastAsia="Aptos" w:hAnsi="Aptos" w:cs="Aptos"/>
                        <w:noProof/>
                        <w:color w:val="000000"/>
                        <w:sz w:val="20"/>
                        <w:szCs w:val="20"/>
                      </w:rPr>
                    </w:pPr>
                    <w:r w:rsidRPr="00024C08">
                      <w:rPr>
                        <w:rFonts w:ascii="Aptos" w:eastAsia="Aptos" w:hAnsi="Aptos" w:cs="Aptos"/>
                        <w:noProof/>
                        <w:color w:val="000000"/>
                        <w:sz w:val="20"/>
                        <w:szCs w:val="20"/>
                      </w:rPr>
                      <w:t>General Business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F6A3C" w14:textId="039E7392" w:rsidR="00024C08" w:rsidRDefault="00024C08">
    <w:pPr>
      <w:pStyle w:val="ae"/>
    </w:pPr>
    <w:r>
      <w:rPr>
        <w:noProof/>
      </w:rPr>
      <mc:AlternateContent>
        <mc:Choice Requires="wps">
          <w:drawing>
            <wp:anchor distT="0" distB="0" distL="0" distR="0" simplePos="0" relativeHeight="251658240" behindDoc="0" locked="0" layoutInCell="1" allowOverlap="1" wp14:anchorId="70C45631" wp14:editId="6B8A5656">
              <wp:simplePos x="635" y="635"/>
              <wp:positionH relativeFrom="page">
                <wp:align>center</wp:align>
              </wp:positionH>
              <wp:positionV relativeFrom="page">
                <wp:align>bottom</wp:align>
              </wp:positionV>
              <wp:extent cx="956310" cy="370205"/>
              <wp:effectExtent l="0" t="0" r="15240" b="0"/>
              <wp:wrapNone/>
              <wp:docPr id="103527512"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2526C6A8" w14:textId="5B9FD027" w:rsidR="00024C08" w:rsidRPr="00024C08" w:rsidRDefault="00024C08" w:rsidP="00024C08">
                          <w:pPr>
                            <w:rPr>
                              <w:rFonts w:ascii="Aptos" w:eastAsia="Aptos" w:hAnsi="Aptos" w:cs="Aptos"/>
                              <w:noProof/>
                              <w:color w:val="000000"/>
                              <w:sz w:val="20"/>
                              <w:szCs w:val="20"/>
                            </w:rPr>
                          </w:pPr>
                          <w:r w:rsidRPr="00024C08">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0C45631" id="_x0000_t202" coordsize="21600,21600" o:spt="202" path="m,l,21600r21600,l21600,xe">
              <v:stroke joinstyle="miter"/>
              <v:path gradientshapeok="t" o:connecttype="rect"/>
            </v:shapetype>
            <v:shape id="Text Box 1" o:spid="_x0000_s1028" type="#_x0000_t202" alt="General Business" style="position:absolute;margin-left:0;margin-top:0;width:75.3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" filled="f" stroked="f">
              <v:textbox style="mso-fit-shape-to-text:t" inset="0,0,0,15pt">
                <w:txbxContent>
                  <w:p w14:paraId="2526C6A8" w14:textId="5B9FD027" w:rsidR="00024C08" w:rsidRPr="00024C08" w:rsidRDefault="00024C08" w:rsidP="00024C08">
                    <w:pPr>
                      <w:rPr>
                        <w:rFonts w:ascii="Aptos" w:eastAsia="Aptos" w:hAnsi="Aptos" w:cs="Aptos"/>
                        <w:noProof/>
                        <w:color w:val="000000"/>
                        <w:sz w:val="20"/>
                        <w:szCs w:val="20"/>
                      </w:rPr>
                    </w:pPr>
                    <w:r w:rsidRPr="00024C08">
                      <w:rPr>
                        <w:rFonts w:ascii="Aptos" w:eastAsia="Aptos" w:hAnsi="Aptos" w:cs="Aptos"/>
                        <w:noProof/>
                        <w:color w:val="000000"/>
                        <w:sz w:val="20"/>
                        <w:szCs w:val="2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05482" w14:textId="77777777" w:rsidR="00024C08" w:rsidRDefault="00024C08" w:rsidP="00024C08">
      <w:r>
        <w:separator/>
      </w:r>
    </w:p>
  </w:footnote>
  <w:footnote w:type="continuationSeparator" w:id="0">
    <w:p w14:paraId="62C85A29" w14:textId="77777777" w:rsidR="00024C08" w:rsidRDefault="00024C08" w:rsidP="00024C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7AA"/>
    <w:rsid w:val="00005CFE"/>
    <w:rsid w:val="00024C08"/>
    <w:rsid w:val="002417AA"/>
    <w:rsid w:val="00385CD2"/>
    <w:rsid w:val="00462140"/>
    <w:rsid w:val="004B4E7C"/>
    <w:rsid w:val="005E3800"/>
    <w:rsid w:val="005F6AB6"/>
    <w:rsid w:val="00625808"/>
    <w:rsid w:val="007364E4"/>
    <w:rsid w:val="008C443F"/>
    <w:rsid w:val="00BC51C1"/>
    <w:rsid w:val="00D93A80"/>
    <w:rsid w:val="00E102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9B3637"/>
  <w15:chartTrackingRefBased/>
  <w15:docId w15:val="{AC5F5D6D-4511-42B5-81E0-E7A857C7B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5808"/>
    <w:pPr>
      <w:spacing w:after="0" w:line="240" w:lineRule="auto"/>
    </w:pPr>
    <w:rPr>
      <w:rFonts w:ascii="Times New Roman" w:eastAsia="Times New Roman" w:hAnsi="Times New Roman" w:cs="Times New Roman"/>
      <w:kern w:val="0"/>
      <w:sz w:val="22"/>
      <w:lang w:eastAsia="en-US"/>
      <w14:ligatures w14:val="none"/>
    </w:rPr>
  </w:style>
  <w:style w:type="paragraph" w:styleId="1">
    <w:name w:val="heading 1"/>
    <w:aliases w:val="Dow Heading 1"/>
    <w:basedOn w:val="a"/>
    <w:next w:val="a"/>
    <w:link w:val="10"/>
    <w:uiPriority w:val="9"/>
    <w:qFormat/>
    <w:rsid w:val="002417A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2">
    <w:name w:val="heading 2"/>
    <w:basedOn w:val="a"/>
    <w:next w:val="a"/>
    <w:link w:val="20"/>
    <w:uiPriority w:val="9"/>
    <w:semiHidden/>
    <w:unhideWhenUsed/>
    <w:qFormat/>
    <w:rsid w:val="002417A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3">
    <w:name w:val="heading 3"/>
    <w:basedOn w:val="a"/>
    <w:next w:val="a"/>
    <w:link w:val="30"/>
    <w:uiPriority w:val="9"/>
    <w:semiHidden/>
    <w:unhideWhenUsed/>
    <w:qFormat/>
    <w:rsid w:val="002417A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4">
    <w:name w:val="heading 4"/>
    <w:basedOn w:val="a"/>
    <w:next w:val="a"/>
    <w:link w:val="40"/>
    <w:uiPriority w:val="9"/>
    <w:semiHidden/>
    <w:unhideWhenUsed/>
    <w:qFormat/>
    <w:rsid w:val="002417A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lang w:eastAsia="zh-CN"/>
      <w14:ligatures w14:val="standardContextual"/>
    </w:rPr>
  </w:style>
  <w:style w:type="paragraph" w:styleId="5">
    <w:name w:val="heading 5"/>
    <w:basedOn w:val="a"/>
    <w:next w:val="a"/>
    <w:link w:val="50"/>
    <w:uiPriority w:val="9"/>
    <w:semiHidden/>
    <w:unhideWhenUsed/>
    <w:qFormat/>
    <w:rsid w:val="002417A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lang w:eastAsia="zh-CN"/>
      <w14:ligatures w14:val="standardContextual"/>
    </w:rPr>
  </w:style>
  <w:style w:type="paragraph" w:styleId="6">
    <w:name w:val="heading 6"/>
    <w:basedOn w:val="a"/>
    <w:next w:val="a"/>
    <w:link w:val="60"/>
    <w:uiPriority w:val="9"/>
    <w:semiHidden/>
    <w:unhideWhenUsed/>
    <w:qFormat/>
    <w:rsid w:val="002417AA"/>
    <w:pPr>
      <w:keepNext/>
      <w:keepLines/>
      <w:spacing w:before="40" w:line="278" w:lineRule="auto"/>
      <w:outlineLvl w:val="5"/>
    </w:pPr>
    <w:rPr>
      <w:rFonts w:asciiTheme="minorHAnsi" w:eastAsiaTheme="majorEastAsia" w:hAnsiTheme="minorHAnsi" w:cstheme="majorBidi"/>
      <w:i/>
      <w:iCs/>
      <w:color w:val="595959" w:themeColor="text1" w:themeTint="A6"/>
      <w:kern w:val="2"/>
      <w:sz w:val="24"/>
      <w:lang w:eastAsia="zh-CN"/>
      <w14:ligatures w14:val="standardContextual"/>
    </w:rPr>
  </w:style>
  <w:style w:type="paragraph" w:styleId="7">
    <w:name w:val="heading 7"/>
    <w:basedOn w:val="a"/>
    <w:next w:val="a"/>
    <w:link w:val="70"/>
    <w:uiPriority w:val="9"/>
    <w:semiHidden/>
    <w:unhideWhenUsed/>
    <w:qFormat/>
    <w:rsid w:val="002417AA"/>
    <w:pPr>
      <w:keepNext/>
      <w:keepLines/>
      <w:spacing w:before="40" w:line="278" w:lineRule="auto"/>
      <w:outlineLvl w:val="6"/>
    </w:pPr>
    <w:rPr>
      <w:rFonts w:asciiTheme="minorHAnsi" w:eastAsiaTheme="majorEastAsia" w:hAnsiTheme="minorHAnsi" w:cstheme="majorBidi"/>
      <w:color w:val="595959" w:themeColor="text1" w:themeTint="A6"/>
      <w:kern w:val="2"/>
      <w:sz w:val="24"/>
      <w:lang w:eastAsia="zh-CN"/>
      <w14:ligatures w14:val="standardContextual"/>
    </w:rPr>
  </w:style>
  <w:style w:type="paragraph" w:styleId="8">
    <w:name w:val="heading 8"/>
    <w:basedOn w:val="a"/>
    <w:next w:val="a"/>
    <w:link w:val="80"/>
    <w:uiPriority w:val="9"/>
    <w:semiHidden/>
    <w:unhideWhenUsed/>
    <w:qFormat/>
    <w:rsid w:val="002417AA"/>
    <w:pPr>
      <w:keepNext/>
      <w:keepLines/>
      <w:spacing w:line="278" w:lineRule="auto"/>
      <w:outlineLvl w:val="7"/>
    </w:pPr>
    <w:rPr>
      <w:rFonts w:asciiTheme="minorHAnsi" w:eastAsiaTheme="majorEastAsia" w:hAnsiTheme="minorHAnsi" w:cstheme="majorBidi"/>
      <w:i/>
      <w:iCs/>
      <w:color w:val="272727" w:themeColor="text1" w:themeTint="D8"/>
      <w:kern w:val="2"/>
      <w:sz w:val="24"/>
      <w:lang w:eastAsia="zh-CN"/>
      <w14:ligatures w14:val="standardContextual"/>
    </w:rPr>
  </w:style>
  <w:style w:type="paragraph" w:styleId="9">
    <w:name w:val="heading 9"/>
    <w:basedOn w:val="a"/>
    <w:next w:val="a"/>
    <w:link w:val="90"/>
    <w:uiPriority w:val="9"/>
    <w:semiHidden/>
    <w:unhideWhenUsed/>
    <w:qFormat/>
    <w:rsid w:val="002417AA"/>
    <w:pPr>
      <w:keepNext/>
      <w:keepLines/>
      <w:spacing w:line="278" w:lineRule="auto"/>
      <w:outlineLvl w:val="8"/>
    </w:pPr>
    <w:rPr>
      <w:rFonts w:asciiTheme="minorHAnsi" w:eastAsiaTheme="majorEastAsia" w:hAnsiTheme="minorHAnsi" w:cstheme="majorBidi"/>
      <w:color w:val="272727" w:themeColor="text1" w:themeTint="D8"/>
      <w:kern w:val="2"/>
      <w:sz w:val="24"/>
      <w:lang w:eastAsia="zh-CN"/>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Dow Heading 1 字符"/>
    <w:basedOn w:val="a0"/>
    <w:link w:val="1"/>
    <w:uiPriority w:val="9"/>
    <w:rsid w:val="002417AA"/>
    <w:rPr>
      <w:rFonts w:asciiTheme="majorHAnsi" w:eastAsiaTheme="majorEastAsia" w:hAnsiTheme="majorHAnsi" w:cstheme="majorBidi"/>
      <w:color w:val="0F4761" w:themeColor="accent1" w:themeShade="BF"/>
      <w:sz w:val="40"/>
      <w:szCs w:val="40"/>
    </w:rPr>
  </w:style>
  <w:style w:type="character" w:customStyle="1" w:styleId="20">
    <w:name w:val="标题 2 字符"/>
    <w:basedOn w:val="a0"/>
    <w:link w:val="2"/>
    <w:uiPriority w:val="9"/>
    <w:semiHidden/>
    <w:rsid w:val="002417AA"/>
    <w:rPr>
      <w:rFonts w:asciiTheme="majorHAnsi" w:eastAsiaTheme="majorEastAsia" w:hAnsiTheme="majorHAnsi" w:cstheme="majorBidi"/>
      <w:color w:val="0F4761" w:themeColor="accent1" w:themeShade="BF"/>
      <w:sz w:val="32"/>
      <w:szCs w:val="32"/>
    </w:rPr>
  </w:style>
  <w:style w:type="character" w:customStyle="1" w:styleId="30">
    <w:name w:val="标题 3 字符"/>
    <w:basedOn w:val="a0"/>
    <w:link w:val="3"/>
    <w:uiPriority w:val="9"/>
    <w:semiHidden/>
    <w:rsid w:val="002417AA"/>
    <w:rPr>
      <w:rFonts w:eastAsiaTheme="majorEastAsia" w:cstheme="majorBidi"/>
      <w:color w:val="0F4761" w:themeColor="accent1" w:themeShade="BF"/>
      <w:sz w:val="28"/>
      <w:szCs w:val="28"/>
    </w:rPr>
  </w:style>
  <w:style w:type="character" w:customStyle="1" w:styleId="40">
    <w:name w:val="标题 4 字符"/>
    <w:basedOn w:val="a0"/>
    <w:link w:val="4"/>
    <w:uiPriority w:val="9"/>
    <w:semiHidden/>
    <w:rsid w:val="002417AA"/>
    <w:rPr>
      <w:rFonts w:eastAsiaTheme="majorEastAsia" w:cstheme="majorBidi"/>
      <w:i/>
      <w:iCs/>
      <w:color w:val="0F4761" w:themeColor="accent1" w:themeShade="BF"/>
    </w:rPr>
  </w:style>
  <w:style w:type="character" w:customStyle="1" w:styleId="50">
    <w:name w:val="标题 5 字符"/>
    <w:basedOn w:val="a0"/>
    <w:link w:val="5"/>
    <w:uiPriority w:val="9"/>
    <w:semiHidden/>
    <w:rsid w:val="002417AA"/>
    <w:rPr>
      <w:rFonts w:eastAsiaTheme="majorEastAsia" w:cstheme="majorBidi"/>
      <w:color w:val="0F4761" w:themeColor="accent1" w:themeShade="BF"/>
    </w:rPr>
  </w:style>
  <w:style w:type="character" w:customStyle="1" w:styleId="60">
    <w:name w:val="标题 6 字符"/>
    <w:basedOn w:val="a0"/>
    <w:link w:val="6"/>
    <w:uiPriority w:val="9"/>
    <w:semiHidden/>
    <w:rsid w:val="002417AA"/>
    <w:rPr>
      <w:rFonts w:eastAsiaTheme="majorEastAsia" w:cstheme="majorBidi"/>
      <w:i/>
      <w:iCs/>
      <w:color w:val="595959" w:themeColor="text1" w:themeTint="A6"/>
    </w:rPr>
  </w:style>
  <w:style w:type="character" w:customStyle="1" w:styleId="70">
    <w:name w:val="标题 7 字符"/>
    <w:basedOn w:val="a0"/>
    <w:link w:val="7"/>
    <w:uiPriority w:val="9"/>
    <w:semiHidden/>
    <w:rsid w:val="002417AA"/>
    <w:rPr>
      <w:rFonts w:eastAsiaTheme="majorEastAsia" w:cstheme="majorBidi"/>
      <w:color w:val="595959" w:themeColor="text1" w:themeTint="A6"/>
    </w:rPr>
  </w:style>
  <w:style w:type="character" w:customStyle="1" w:styleId="80">
    <w:name w:val="标题 8 字符"/>
    <w:basedOn w:val="a0"/>
    <w:link w:val="8"/>
    <w:uiPriority w:val="9"/>
    <w:semiHidden/>
    <w:rsid w:val="002417AA"/>
    <w:rPr>
      <w:rFonts w:eastAsiaTheme="majorEastAsia" w:cstheme="majorBidi"/>
      <w:i/>
      <w:iCs/>
      <w:color w:val="272727" w:themeColor="text1" w:themeTint="D8"/>
    </w:rPr>
  </w:style>
  <w:style w:type="character" w:customStyle="1" w:styleId="90">
    <w:name w:val="标题 9 字符"/>
    <w:basedOn w:val="a0"/>
    <w:link w:val="9"/>
    <w:uiPriority w:val="9"/>
    <w:semiHidden/>
    <w:rsid w:val="002417AA"/>
    <w:rPr>
      <w:rFonts w:eastAsiaTheme="majorEastAsia" w:cstheme="majorBidi"/>
      <w:color w:val="272727" w:themeColor="text1" w:themeTint="D8"/>
    </w:rPr>
  </w:style>
  <w:style w:type="paragraph" w:styleId="a3">
    <w:name w:val="Title"/>
    <w:basedOn w:val="a"/>
    <w:next w:val="a"/>
    <w:link w:val="a4"/>
    <w:uiPriority w:val="10"/>
    <w:qFormat/>
    <w:rsid w:val="002417AA"/>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a4">
    <w:name w:val="标题 字符"/>
    <w:basedOn w:val="a0"/>
    <w:link w:val="a3"/>
    <w:uiPriority w:val="10"/>
    <w:rsid w:val="002417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417A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a6">
    <w:name w:val="副标题 字符"/>
    <w:basedOn w:val="a0"/>
    <w:link w:val="a5"/>
    <w:uiPriority w:val="11"/>
    <w:rsid w:val="002417A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417AA"/>
    <w:pPr>
      <w:spacing w:before="160" w:after="160" w:line="278" w:lineRule="auto"/>
      <w:jc w:val="center"/>
    </w:pPr>
    <w:rPr>
      <w:rFonts w:asciiTheme="minorHAnsi" w:eastAsiaTheme="minorEastAsia" w:hAnsiTheme="minorHAnsi" w:cstheme="minorBidi"/>
      <w:i/>
      <w:iCs/>
      <w:color w:val="404040" w:themeColor="text1" w:themeTint="BF"/>
      <w:kern w:val="2"/>
      <w:sz w:val="24"/>
      <w:lang w:eastAsia="zh-CN"/>
      <w14:ligatures w14:val="standardContextual"/>
    </w:rPr>
  </w:style>
  <w:style w:type="character" w:customStyle="1" w:styleId="a8">
    <w:name w:val="引用 字符"/>
    <w:basedOn w:val="a0"/>
    <w:link w:val="a7"/>
    <w:uiPriority w:val="29"/>
    <w:rsid w:val="002417AA"/>
    <w:rPr>
      <w:i/>
      <w:iCs/>
      <w:color w:val="404040" w:themeColor="text1" w:themeTint="BF"/>
    </w:rPr>
  </w:style>
  <w:style w:type="paragraph" w:styleId="a9">
    <w:name w:val="List Paragraph"/>
    <w:basedOn w:val="a"/>
    <w:uiPriority w:val="34"/>
    <w:qFormat/>
    <w:rsid w:val="002417AA"/>
    <w:pPr>
      <w:spacing w:after="160" w:line="278" w:lineRule="auto"/>
      <w:ind w:left="720"/>
      <w:contextualSpacing/>
    </w:pPr>
    <w:rPr>
      <w:rFonts w:asciiTheme="minorHAnsi" w:eastAsiaTheme="minorEastAsia" w:hAnsiTheme="minorHAnsi" w:cstheme="minorBidi"/>
      <w:kern w:val="2"/>
      <w:sz w:val="24"/>
      <w:lang w:eastAsia="zh-CN"/>
      <w14:ligatures w14:val="standardContextual"/>
    </w:rPr>
  </w:style>
  <w:style w:type="character" w:styleId="aa">
    <w:name w:val="Intense Emphasis"/>
    <w:basedOn w:val="a0"/>
    <w:uiPriority w:val="21"/>
    <w:qFormat/>
    <w:rsid w:val="002417AA"/>
    <w:rPr>
      <w:i/>
      <w:iCs/>
      <w:color w:val="0F4761" w:themeColor="accent1" w:themeShade="BF"/>
    </w:rPr>
  </w:style>
  <w:style w:type="paragraph" w:styleId="ab">
    <w:name w:val="Intense Quote"/>
    <w:basedOn w:val="a"/>
    <w:next w:val="a"/>
    <w:link w:val="ac"/>
    <w:uiPriority w:val="30"/>
    <w:qFormat/>
    <w:rsid w:val="002417A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lang w:eastAsia="zh-CN"/>
      <w14:ligatures w14:val="standardContextual"/>
    </w:rPr>
  </w:style>
  <w:style w:type="character" w:customStyle="1" w:styleId="ac">
    <w:name w:val="明显引用 字符"/>
    <w:basedOn w:val="a0"/>
    <w:link w:val="ab"/>
    <w:uiPriority w:val="30"/>
    <w:rsid w:val="002417AA"/>
    <w:rPr>
      <w:i/>
      <w:iCs/>
      <w:color w:val="0F4761" w:themeColor="accent1" w:themeShade="BF"/>
    </w:rPr>
  </w:style>
  <w:style w:type="character" w:styleId="ad">
    <w:name w:val="Intense Reference"/>
    <w:basedOn w:val="a0"/>
    <w:uiPriority w:val="32"/>
    <w:qFormat/>
    <w:rsid w:val="002417AA"/>
    <w:rPr>
      <w:b/>
      <w:bCs/>
      <w:smallCaps/>
      <w:color w:val="0F4761" w:themeColor="accent1" w:themeShade="BF"/>
      <w:spacing w:val="5"/>
    </w:rPr>
  </w:style>
  <w:style w:type="paragraph" w:styleId="ae">
    <w:name w:val="footer"/>
    <w:basedOn w:val="a"/>
    <w:link w:val="af"/>
    <w:uiPriority w:val="99"/>
    <w:unhideWhenUsed/>
    <w:rsid w:val="00024C08"/>
    <w:pPr>
      <w:tabs>
        <w:tab w:val="center" w:pos="4680"/>
        <w:tab w:val="right" w:pos="9360"/>
      </w:tabs>
    </w:pPr>
    <w:rPr>
      <w:rFonts w:asciiTheme="minorHAnsi" w:eastAsiaTheme="minorEastAsia" w:hAnsiTheme="minorHAnsi" w:cstheme="minorBidi"/>
      <w:kern w:val="2"/>
      <w:sz w:val="24"/>
      <w:lang w:eastAsia="zh-CN"/>
      <w14:ligatures w14:val="standardContextual"/>
    </w:rPr>
  </w:style>
  <w:style w:type="character" w:customStyle="1" w:styleId="af">
    <w:name w:val="页脚 字符"/>
    <w:basedOn w:val="a0"/>
    <w:link w:val="ae"/>
    <w:uiPriority w:val="99"/>
    <w:rsid w:val="00024C08"/>
  </w:style>
  <w:style w:type="paragraph" w:styleId="af0">
    <w:name w:val="endnote text"/>
    <w:basedOn w:val="a"/>
    <w:link w:val="af1"/>
    <w:rsid w:val="00625808"/>
    <w:rPr>
      <w:sz w:val="24"/>
      <w:szCs w:val="20"/>
      <w:lang w:eastAsia="zh-CN"/>
    </w:rPr>
  </w:style>
  <w:style w:type="character" w:customStyle="1" w:styleId="af1">
    <w:name w:val="尾注文本 字符"/>
    <w:basedOn w:val="a0"/>
    <w:link w:val="af0"/>
    <w:rsid w:val="00625808"/>
    <w:rPr>
      <w:rFonts w:ascii="Times New Roman" w:eastAsia="Times New Roman" w:hAnsi="Times New Roman" w:cs="Times New Roman"/>
      <w:kern w:val="0"/>
      <w:szCs w:val="20"/>
      <w14:ligatures w14:val="none"/>
    </w:rPr>
  </w:style>
  <w:style w:type="paragraph" w:styleId="af2">
    <w:name w:val="header"/>
    <w:basedOn w:val="a"/>
    <w:link w:val="af3"/>
    <w:uiPriority w:val="99"/>
    <w:unhideWhenUsed/>
    <w:rsid w:val="00462140"/>
    <w:pPr>
      <w:tabs>
        <w:tab w:val="center" w:pos="4680"/>
        <w:tab w:val="right" w:pos="9360"/>
      </w:tabs>
    </w:pPr>
  </w:style>
  <w:style w:type="character" w:customStyle="1" w:styleId="af3">
    <w:name w:val="页眉 字符"/>
    <w:basedOn w:val="a0"/>
    <w:link w:val="af2"/>
    <w:uiPriority w:val="99"/>
    <w:rsid w:val="00462140"/>
    <w:rPr>
      <w:rFonts w:ascii="Times New Roman" w:eastAsia="Times New Roman" w:hAnsi="Times New Roman" w:cs="Times New Roman"/>
      <w:kern w:val="0"/>
      <w:sz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Template>
  <TotalTime>4</TotalTime>
  <Pages>4</Pages>
  <Words>888</Words>
  <Characters>5067</Characters>
  <Application>Microsoft Office Word</Application>
  <DocSecurity>0</DocSecurity>
  <Lines>42</Lines>
  <Paragraphs>11</Paragraphs>
  <ScaleCrop>false</ScaleCrop>
  <Company>Dow Chemical Company</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 Wendy (W)</dc:creator>
  <cp:keywords/>
  <dc:description/>
  <cp:lastModifiedBy>tian huang</cp:lastModifiedBy>
  <cp:revision>6</cp:revision>
  <dcterms:created xsi:type="dcterms:W3CDTF">2026-04-03T02:10:00Z</dcterms:created>
  <dcterms:modified xsi:type="dcterms:W3CDTF">2026-05-05T14:26:00Z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62bb458,20102550,6377d5b7</vt:lpwstr>
  </property>
  <property fmtid="{D5CDD505-2E9C-101B-9397-08002B2CF9AE}" pid="3" name="ClassificationContentMarkingFooterFontProps">
    <vt:lpwstr>#000000,10,Aptos</vt:lpwstr>
  </property>
  <property fmtid="{D5CDD505-2E9C-101B-9397-08002B2CF9AE}" pid="4" name="ClassificationContentMarkingFooterText">
    <vt:lpwstr>General Business</vt:lpwstr>
  </property>
</Properties>
</file>