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8F0DA" w14:textId="1D73D6BF" w:rsidR="00415A99" w:rsidRDefault="00A73CE2">
      <w:pPr>
        <w:jc w:val="center"/>
        <w:rPr>
          <w:rFonts w:ascii="Times New Roman" w:eastAsia="微软雅黑" w:hAnsi="Times New Roman" w:cs="Times New Roman" w:hint="eastAsia"/>
          <w:b/>
          <w:bCs/>
          <w:color w:val="000000"/>
          <w:sz w:val="32"/>
          <w:szCs w:val="32"/>
        </w:rPr>
      </w:pPr>
      <w:r>
        <w:rPr>
          <w:rFonts w:ascii="Times New Roman" w:eastAsia="微软雅黑" w:hAnsi="Times New Roman" w:cs="Times New Roman" w:hint="eastAsia"/>
          <w:b/>
          <w:bCs/>
          <w:color w:val="000000"/>
          <w:sz w:val="32"/>
          <w:szCs w:val="32"/>
        </w:rPr>
        <w:t>Electronic Supplementary Material</w:t>
      </w:r>
    </w:p>
    <w:p w14:paraId="460CCEA9" w14:textId="77777777" w:rsidR="00415A99" w:rsidRDefault="00415A99">
      <w:pPr>
        <w:jc w:val="center"/>
        <w:rPr>
          <w:rFonts w:ascii="Times New Roman" w:eastAsia="微软雅黑" w:hAnsi="Times New Roman" w:cs="Times New Roman"/>
          <w:b/>
          <w:bCs/>
          <w:color w:val="000000"/>
          <w:sz w:val="24"/>
        </w:rPr>
      </w:pPr>
    </w:p>
    <w:p w14:paraId="6ECC638D" w14:textId="77777777" w:rsidR="00A73CE2" w:rsidRPr="00A73CE2" w:rsidRDefault="00A73CE2" w:rsidP="00A73CE2">
      <w:pPr>
        <w:adjustRightInd/>
        <w:snapToGrid/>
        <w:spacing w:before="240"/>
        <w:jc w:val="center"/>
        <w:rPr>
          <w:rFonts w:ascii="Times New Roman" w:eastAsia="宋体" w:hAnsi="Times New Roman" w:cs="Times New Roman"/>
          <w:b/>
          <w:bCs/>
          <w:sz w:val="24"/>
        </w:rPr>
      </w:pPr>
      <w:bookmarkStart w:id="0" w:name="_Hlk239449580"/>
      <w:r w:rsidRPr="00A73CE2">
        <w:rPr>
          <w:rFonts w:ascii="Times New Roman" w:eastAsia="宋体" w:hAnsi="Times New Roman" w:cs="Times New Roman"/>
          <w:b/>
          <w:bCs/>
          <w:sz w:val="24"/>
        </w:rPr>
        <w:t>Hydrothermal regulation of hierarchical Al-doped nickel</w:t>
      </w:r>
      <w:r w:rsidRPr="00A73CE2">
        <w:rPr>
          <w:rFonts w:ascii="Times New Roman" w:eastAsia="宋体" w:hAnsi="Times New Roman" w:cs="Times New Roman" w:hint="eastAsia"/>
          <w:b/>
          <w:bCs/>
          <w:sz w:val="24"/>
        </w:rPr>
        <w:t>-</w:t>
      </w:r>
      <w:r w:rsidRPr="00A73CE2">
        <w:rPr>
          <w:rFonts w:ascii="Times New Roman" w:eastAsia="宋体" w:hAnsi="Times New Roman" w:cs="Times New Roman"/>
          <w:b/>
          <w:bCs/>
          <w:sz w:val="24"/>
        </w:rPr>
        <w:t>cobalt layered double hydroxide nanoneedle arrays</w:t>
      </w:r>
      <w:bookmarkEnd w:id="0"/>
      <w:r w:rsidRPr="00A73CE2">
        <w:rPr>
          <w:rFonts w:ascii="Times New Roman" w:eastAsia="宋体" w:hAnsi="Times New Roman" w:cs="Times New Roman"/>
          <w:b/>
          <w:bCs/>
          <w:sz w:val="24"/>
        </w:rPr>
        <w:t xml:space="preserve"> for hybrid supercapacitors</w:t>
      </w:r>
    </w:p>
    <w:p w14:paraId="321414E8" w14:textId="77777777" w:rsidR="00A73CE2" w:rsidRPr="00A73CE2" w:rsidRDefault="00A73CE2" w:rsidP="00A73CE2">
      <w:pPr>
        <w:autoSpaceDE w:val="0"/>
        <w:autoSpaceDN w:val="0"/>
        <w:snapToGrid/>
        <w:spacing w:before="240"/>
        <w:jc w:val="center"/>
        <w:rPr>
          <w:rFonts w:ascii="Times New Roman" w:eastAsia="宋体" w:hAnsi="Times New Roman" w:cs="Times New Roman"/>
          <w:kern w:val="0"/>
          <w:sz w:val="24"/>
        </w:rPr>
      </w:pPr>
      <w:bookmarkStart w:id="1" w:name="_Hlk239449534"/>
      <w:r w:rsidRPr="00A73CE2">
        <w:rPr>
          <w:rFonts w:ascii="Times New Roman" w:eastAsia="宋体" w:hAnsi="Times New Roman" w:cs="Times New Roman" w:hint="eastAsia"/>
          <w:kern w:val="0"/>
          <w:sz w:val="24"/>
        </w:rPr>
        <w:t>Zhen Li</w:t>
      </w:r>
      <w:bookmarkEnd w:id="1"/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1</w:t>
      </w:r>
      <w:r w:rsidRPr="00A73CE2">
        <w:rPr>
          <w:rFonts w:ascii="Times New Roman" w:eastAsia="宋体" w:hAnsi="Times New Roman" w:cs="Times New Roman"/>
          <w:kern w:val="0"/>
          <w:sz w:val="24"/>
        </w:rPr>
        <w:t>,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 xml:space="preserve"> Yin-Tao Li</w:t>
      </w:r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2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>, Li Tian</w:t>
      </w:r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1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 xml:space="preserve">, </w:t>
      </w:r>
      <w:r w:rsidRPr="00A73CE2">
        <w:rPr>
          <w:rFonts w:ascii="Times New Roman" w:eastAsia="宋体" w:hAnsi="Times New Roman" w:cs="Times New Roman"/>
          <w:kern w:val="0"/>
          <w:sz w:val="24"/>
        </w:rPr>
        <w:t>Chun-Mei Zha</w:t>
      </w:r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1</w:t>
      </w:r>
      <w:r w:rsidRPr="00A73CE2">
        <w:rPr>
          <w:rFonts w:ascii="Times New Roman" w:eastAsia="宋体" w:hAnsi="Times New Roman" w:cs="Times New Roman"/>
          <w:kern w:val="0"/>
          <w:sz w:val="24"/>
        </w:rPr>
        <w:t xml:space="preserve">, 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>Kavin</w:t>
      </w:r>
      <w:r w:rsidRPr="00A73CE2">
        <w:rPr>
          <w:rFonts w:ascii="Times New Roman" w:eastAsia="宋体" w:hAnsi="Times New Roman" w:cs="Times New Roman"/>
          <w:kern w:val="0"/>
          <w:sz w:val="24"/>
        </w:rPr>
        <w:t xml:space="preserve">kumar </w:t>
      </w:r>
      <w:bookmarkStart w:id="2" w:name="_Hlk239409850"/>
      <w:r w:rsidRPr="00A73CE2">
        <w:rPr>
          <w:rFonts w:ascii="Times New Roman" w:eastAsia="宋体" w:hAnsi="Times New Roman" w:cs="Times New Roman"/>
          <w:kern w:val="0"/>
          <w:sz w:val="24"/>
        </w:rPr>
        <w:t>Veerappan</w:t>
      </w:r>
      <w:bookmarkEnd w:id="2"/>
      <w:r w:rsidRPr="00A73CE2">
        <w:rPr>
          <w:rFonts w:ascii="Times New Roman" w:eastAsia="宋体" w:hAnsi="Times New Roman" w:cs="Times New Roman"/>
          <w:sz w:val="24"/>
        </w:rPr>
        <w:t xml:space="preserve"> </w:t>
      </w:r>
      <w:r w:rsidRPr="00A73CE2">
        <w:rPr>
          <w:rFonts w:ascii="Times New Roman" w:eastAsia="宋体" w:hAnsi="Times New Roman" w:cs="Times New Roman"/>
          <w:bCs/>
          <w:sz w:val="24"/>
        </w:rPr>
        <w:t>(</w:t>
      </w:r>
      <w:r w:rsidRPr="00A73CE2">
        <w:rPr>
          <w:rFonts w:ascii="Times New Roman" w:eastAsia="宋体" w:hAnsi="Times New Roman" w:cs="Times New Roman"/>
          <w:bCs/>
          <w:sz w:val="24"/>
        </w:rPr>
        <w:sym w:font="Wingdings" w:char="F02A"/>
      </w:r>
      <w:r w:rsidRPr="00A73CE2">
        <w:rPr>
          <w:rFonts w:ascii="Times New Roman" w:eastAsia="宋体" w:hAnsi="Times New Roman" w:cs="Times New Roman"/>
          <w:bCs/>
          <w:sz w:val="24"/>
        </w:rPr>
        <w:t>)</w:t>
      </w:r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1</w:t>
      </w:r>
      <w:r w:rsidRPr="00A73CE2">
        <w:rPr>
          <w:rFonts w:ascii="Times New Roman" w:eastAsia="宋体" w:hAnsi="Times New Roman" w:cs="Times New Roman"/>
          <w:kern w:val="0"/>
          <w:sz w:val="24"/>
        </w:rPr>
        <w:t>,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 xml:space="preserve"> </w:t>
      </w:r>
      <w:r w:rsidRPr="00A73CE2">
        <w:rPr>
          <w:rFonts w:ascii="Times New Roman" w:eastAsia="宋体" w:hAnsi="Times New Roman" w:cs="Times New Roman"/>
          <w:kern w:val="0"/>
          <w:sz w:val="24"/>
        </w:rPr>
        <w:t>Tie-Zhen Ren</w:t>
      </w:r>
      <w:r w:rsidRPr="00A73CE2">
        <w:rPr>
          <w:rFonts w:ascii="Times New Roman" w:eastAsia="宋体" w:hAnsi="Times New Roman" w:cs="Times New Roman"/>
          <w:sz w:val="24"/>
        </w:rPr>
        <w:t xml:space="preserve"> </w:t>
      </w:r>
      <w:r w:rsidRPr="00A73CE2">
        <w:rPr>
          <w:rFonts w:ascii="Times New Roman" w:eastAsia="宋体" w:hAnsi="Times New Roman" w:cs="Times New Roman"/>
          <w:bCs/>
          <w:sz w:val="24"/>
        </w:rPr>
        <w:t>(</w:t>
      </w:r>
      <w:r w:rsidRPr="00A73CE2">
        <w:rPr>
          <w:rFonts w:ascii="Times New Roman" w:eastAsia="宋体" w:hAnsi="Times New Roman" w:cs="Times New Roman"/>
          <w:bCs/>
          <w:sz w:val="24"/>
        </w:rPr>
        <w:sym w:font="Wingdings" w:char="F02A"/>
      </w:r>
      <w:r w:rsidRPr="00A73CE2">
        <w:rPr>
          <w:rFonts w:ascii="Times New Roman" w:eastAsia="宋体" w:hAnsi="Times New Roman" w:cs="Times New Roman"/>
          <w:bCs/>
          <w:sz w:val="24"/>
        </w:rPr>
        <w:t>)</w:t>
      </w:r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1</w:t>
      </w:r>
    </w:p>
    <w:p w14:paraId="4772C559" w14:textId="77777777" w:rsidR="00A73CE2" w:rsidRPr="00A73CE2" w:rsidRDefault="00A73CE2" w:rsidP="00A73CE2">
      <w:pPr>
        <w:autoSpaceDE w:val="0"/>
        <w:autoSpaceDN w:val="0"/>
        <w:adjustRightInd/>
        <w:snapToGrid/>
        <w:spacing w:before="240"/>
        <w:jc w:val="center"/>
        <w:rPr>
          <w:rFonts w:ascii="Times New Roman" w:eastAsia="宋体" w:hAnsi="Times New Roman" w:cs="Times New Roman"/>
          <w:kern w:val="0"/>
          <w:sz w:val="24"/>
        </w:rPr>
      </w:pPr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1</w:t>
      </w:r>
      <w:r w:rsidRPr="00A73CE2">
        <w:rPr>
          <w:rFonts w:ascii="Times New Roman" w:eastAsia="宋体" w:hAnsi="Times New Roman" w:cs="Times New Roman"/>
          <w:kern w:val="0"/>
          <w:sz w:val="24"/>
        </w:rPr>
        <w:t>State Key Laboratory of Chemistry and Utilization of Carbon-based Energy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>,</w:t>
      </w:r>
      <w:r w:rsidRPr="00A73CE2">
        <w:rPr>
          <w:rFonts w:ascii="Times New Roman" w:eastAsia="宋体" w:hAnsi="Times New Roman" w:cs="Times New Roman"/>
          <w:kern w:val="0"/>
          <w:sz w:val="24"/>
        </w:rPr>
        <w:t xml:space="preserve"> Resources and Key Laboratory of Coal Clean Conversion &amp; Chemical Engineering Process Xinjiang </w:t>
      </w:r>
      <w:r w:rsidRPr="00A73CE2">
        <w:rPr>
          <w:rFonts w:ascii="Times New Roman" w:eastAsia="宋体" w:hAnsi="Times New Roman" w:cs="Times New Roman"/>
          <w:sz w:val="24"/>
        </w:rPr>
        <w:t>Uyghur</w:t>
      </w:r>
      <w:r w:rsidRPr="00A73CE2">
        <w:rPr>
          <w:rFonts w:ascii="Times New Roman" w:eastAsia="宋体" w:hAnsi="Times New Roman" w:cs="Times New Roman"/>
          <w:sz w:val="24"/>
          <w:vertAlign w:val="superscript"/>
        </w:rPr>
        <w:t xml:space="preserve"> </w:t>
      </w:r>
      <w:r w:rsidRPr="00A73CE2">
        <w:rPr>
          <w:rFonts w:ascii="Times New Roman" w:eastAsia="宋体" w:hAnsi="Times New Roman" w:cs="Times New Roman"/>
          <w:kern w:val="0"/>
          <w:sz w:val="24"/>
        </w:rPr>
        <w:t xml:space="preserve">Autonomous Region, School of Chemical Engineering and Technology, Xinjiang University, </w:t>
      </w:r>
      <w:r w:rsidRPr="00A73CE2">
        <w:rPr>
          <w:rFonts w:ascii="Times New Roman" w:eastAsiaTheme="minorEastAsia" w:hAnsi="Times New Roman" w:cs="Times New Roman"/>
          <w:sz w:val="24"/>
        </w:rPr>
        <w:t>Urumqi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 xml:space="preserve"> </w:t>
      </w:r>
      <w:r w:rsidRPr="00A73CE2">
        <w:rPr>
          <w:rFonts w:ascii="Times New Roman" w:eastAsia="宋体" w:hAnsi="Times New Roman" w:cs="Times New Roman"/>
          <w:kern w:val="0"/>
          <w:sz w:val="24"/>
        </w:rPr>
        <w:t>830017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>, China</w:t>
      </w:r>
    </w:p>
    <w:p w14:paraId="1909C299" w14:textId="77777777" w:rsidR="00A73CE2" w:rsidRPr="00A73CE2" w:rsidRDefault="00A73CE2" w:rsidP="00A73CE2">
      <w:pPr>
        <w:autoSpaceDE w:val="0"/>
        <w:autoSpaceDN w:val="0"/>
        <w:snapToGrid/>
        <w:jc w:val="center"/>
        <w:rPr>
          <w:rFonts w:ascii="Times New Roman" w:eastAsia="宋体" w:hAnsi="Times New Roman" w:cs="Times New Roman"/>
          <w:kern w:val="0"/>
          <w:sz w:val="24"/>
        </w:rPr>
      </w:pPr>
      <w:r w:rsidRPr="00A73CE2">
        <w:rPr>
          <w:rFonts w:ascii="Times New Roman" w:eastAsia="宋体" w:hAnsi="Times New Roman" w:cs="Times New Roman" w:hint="eastAsia"/>
          <w:kern w:val="0"/>
          <w:sz w:val="24"/>
          <w:vertAlign w:val="superscript"/>
        </w:rPr>
        <w:t>2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>Baotou Ecological Environment Information Center, Baotou 014060, China</w:t>
      </w:r>
    </w:p>
    <w:p w14:paraId="5D289058" w14:textId="77777777" w:rsidR="00A73CE2" w:rsidRPr="00A73CE2" w:rsidRDefault="00A73CE2" w:rsidP="00A73CE2">
      <w:pPr>
        <w:autoSpaceDE w:val="0"/>
        <w:autoSpaceDN w:val="0"/>
        <w:snapToGrid/>
        <w:rPr>
          <w:rFonts w:ascii="Times New Roman" w:eastAsia="宋体" w:hAnsi="Times New Roman" w:cs="Times New Roman"/>
          <w:kern w:val="0"/>
          <w:sz w:val="24"/>
        </w:rPr>
      </w:pPr>
      <w:r w:rsidRPr="00A73CE2">
        <w:rPr>
          <w:rFonts w:ascii="Times New Roman" w:eastAsia="宋体" w:hAnsi="Times New Roman" w:cs="Times New Roman"/>
          <w:kern w:val="0"/>
          <w:sz w:val="24"/>
        </w:rPr>
        <w:t>E-mails:</w:t>
      </w:r>
      <w:r w:rsidRPr="00A73CE2">
        <w:rPr>
          <w:rFonts w:ascii="Times New Roman" w:eastAsia="宋体" w:hAnsi="Times New Roman" w:cs="Times New Roman" w:hint="eastAsia"/>
          <w:kern w:val="0"/>
          <w:sz w:val="24"/>
        </w:rPr>
        <w:t xml:space="preserve"> </w:t>
      </w:r>
      <w:hyperlink r:id="rId8" w:history="1">
        <w:r w:rsidRPr="00A73CE2">
          <w:rPr>
            <w:rFonts w:ascii="Times New Roman" w:eastAsia="宋体" w:hAnsi="Times New Roman" w:cs="Times New Roman"/>
            <w:color w:val="0000FF"/>
            <w:kern w:val="0"/>
            <w:sz w:val="24"/>
            <w:u w:val="single"/>
          </w:rPr>
          <w:t>rtz@xju.edu.cn</w:t>
        </w:r>
      </w:hyperlink>
      <w:r w:rsidRPr="00A73CE2">
        <w:rPr>
          <w:rFonts w:ascii="Times New Roman" w:eastAsia="宋体" w:hAnsi="Times New Roman" w:cs="Times New Roman" w:hint="eastAsia"/>
          <w:color w:val="0000FF"/>
          <w:kern w:val="0"/>
          <w:sz w:val="24"/>
          <w:u w:val="single"/>
        </w:rPr>
        <w:t xml:space="preserve"> (Ren T-Z);</w:t>
      </w:r>
      <w:r w:rsidRPr="00A73CE2">
        <w:rPr>
          <w:rFonts w:ascii="Times New Roman" w:eastAsia="宋体" w:hAnsi="Times New Roman" w:cs="Times New Roman"/>
          <w:color w:val="0000FF"/>
          <w:kern w:val="0"/>
          <w:sz w:val="24"/>
          <w:u w:val="single"/>
        </w:rPr>
        <w:t xml:space="preserve"> </w:t>
      </w:r>
      <w:hyperlink r:id="rId9" w:history="1">
        <w:r w:rsidRPr="00A73CE2">
          <w:rPr>
            <w:rFonts w:ascii="Times New Roman" w:eastAsia="宋体" w:hAnsi="Times New Roman" w:cs="Times New Roman"/>
            <w:color w:val="0000FF"/>
            <w:kern w:val="0"/>
            <w:sz w:val="24"/>
            <w:u w:val="single"/>
          </w:rPr>
          <w:t>vkavinchem@gmail.com</w:t>
        </w:r>
      </w:hyperlink>
      <w:r w:rsidRPr="00A73CE2">
        <w:rPr>
          <w:rFonts w:ascii="Times New Roman" w:eastAsia="宋体" w:hAnsi="Times New Roman" w:cs="Times New Roman" w:hint="eastAsia"/>
          <w:color w:val="0000FF"/>
          <w:kern w:val="0"/>
          <w:sz w:val="24"/>
          <w:u w:val="single"/>
        </w:rPr>
        <w:t xml:space="preserve"> (</w:t>
      </w:r>
      <w:r w:rsidRPr="00A73CE2">
        <w:rPr>
          <w:rFonts w:ascii="Times New Roman" w:eastAsia="宋体" w:hAnsi="Times New Roman" w:cs="Times New Roman"/>
          <w:color w:val="0000FF"/>
          <w:kern w:val="0"/>
          <w:sz w:val="24"/>
          <w:u w:val="single"/>
        </w:rPr>
        <w:t>Veerappan</w:t>
      </w:r>
      <w:r w:rsidRPr="00A73CE2">
        <w:rPr>
          <w:rFonts w:ascii="Times New Roman" w:eastAsia="宋体" w:hAnsi="Times New Roman" w:cs="Times New Roman" w:hint="eastAsia"/>
          <w:color w:val="0000FF"/>
          <w:kern w:val="0"/>
          <w:sz w:val="24"/>
          <w:u w:val="single"/>
        </w:rPr>
        <w:t xml:space="preserve"> K)</w:t>
      </w:r>
    </w:p>
    <w:p w14:paraId="106A78DA" w14:textId="77777777" w:rsidR="00415A99" w:rsidRDefault="00415A99">
      <w:pPr>
        <w:jc w:val="center"/>
        <w:rPr>
          <w:rFonts w:ascii="Times New Roman" w:eastAsia="微软雅黑" w:hAnsi="Times New Roman" w:cs="Times New Roman"/>
          <w:b/>
          <w:bCs/>
          <w:color w:val="E54C5E" w:themeColor="accent6"/>
          <w:sz w:val="24"/>
        </w:rPr>
      </w:pPr>
    </w:p>
    <w:p w14:paraId="5FAB0847" w14:textId="77777777" w:rsidR="00415A99" w:rsidRDefault="00A73CE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</w:t>
      </w:r>
      <w:r>
        <w:rPr>
          <w:rFonts w:ascii="Times New Roman" w:hAnsi="Times New Roman" w:cs="Times New Roman"/>
          <w:bCs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Experimental Section</w:t>
      </w:r>
    </w:p>
    <w:p w14:paraId="3F6977C4" w14:textId="77777777" w:rsidR="00415A99" w:rsidRDefault="00A73CE2">
      <w:pPr>
        <w:rPr>
          <w:rFonts w:ascii="Times New Roman" w:eastAsiaTheme="minorEastAsia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1.1 </w:t>
      </w:r>
      <w:r>
        <w:rPr>
          <w:rFonts w:ascii="Times New Roman" w:eastAsiaTheme="minorEastAsia" w:hAnsi="Times New Roman" w:cs="Times New Roman"/>
          <w:b/>
          <w:bCs/>
          <w:sz w:val="24"/>
        </w:rPr>
        <w:t>Materials characterization</w:t>
      </w:r>
    </w:p>
    <w:p w14:paraId="4C246A3A" w14:textId="78FEF325" w:rsidR="00415A99" w:rsidRDefault="00A73CE2">
      <w:pPr>
        <w:ind w:firstLineChars="200" w:firstLine="480"/>
        <w:rPr>
          <w:rFonts w:ascii="Times New Roman" w:eastAsia="宋体" w:hAnsi="Times New Roman" w:cs="Times New Roman"/>
          <w:sz w:val="24"/>
          <w:lang w:bidi="ar"/>
        </w:rPr>
      </w:pPr>
      <w:r>
        <w:rPr>
          <w:rFonts w:ascii="Times New Roman" w:eastAsia="宋体" w:hAnsi="Times New Roman" w:cs="Times New Roman"/>
          <w:sz w:val="24"/>
          <w:lang w:bidi="ar"/>
        </w:rPr>
        <w:t xml:space="preserve">The samples were characterized using a scanning electron microscope (JSM-6490LV, Japan), </w:t>
      </w:r>
      <w:r>
        <w:rPr>
          <w:rFonts w:ascii="Times New Roman" w:eastAsia="宋体" w:hAnsi="Times New Roman" w:cs="Times New Roman"/>
          <w:color w:val="000000" w:themeColor="text1"/>
          <w:sz w:val="24"/>
          <w:lang w:bidi="ar"/>
        </w:rPr>
        <w:t xml:space="preserve">TEM (JEOL JEM-2100F), </w:t>
      </w:r>
      <w:r>
        <w:rPr>
          <w:rFonts w:ascii="Times New Roman" w:eastAsia="宋体" w:hAnsi="Times New Roman" w:cs="Times New Roman"/>
          <w:sz w:val="24"/>
          <w:lang w:bidi="ar"/>
        </w:rPr>
        <w:t xml:space="preserve">and an X-ray diffractometer (Bruker D8 Advance, Germany) to analyze their morphology and structure. Analysis of structure and chemical composition by X-ray Photoelectron Spectroscopy (ESCALAB 250Xi, USA). The specific surface area and pore size distribution of the materials were determined using a nitrogen adsorption-desorption </w:t>
      </w:r>
      <w:r w:rsidR="00C146BD">
        <w:rPr>
          <w:rFonts w:ascii="Times New Roman" w:eastAsia="宋体" w:hAnsi="Times New Roman" w:cs="Times New Roman"/>
          <w:sz w:val="24"/>
          <w:lang w:bidi="ar"/>
        </w:rPr>
        <w:t>analyzer</w:t>
      </w:r>
      <w:r>
        <w:rPr>
          <w:rFonts w:ascii="Times New Roman" w:eastAsia="宋体" w:hAnsi="Times New Roman" w:cs="Times New Roman"/>
          <w:sz w:val="24"/>
          <w:lang w:bidi="ar"/>
        </w:rPr>
        <w:t xml:space="preserve"> (Autosorb-iQ, USA). </w:t>
      </w:r>
    </w:p>
    <w:p w14:paraId="2C0C0C9C" w14:textId="77777777" w:rsidR="00415A99" w:rsidRDefault="00A73CE2">
      <w:pPr>
        <w:rPr>
          <w:rFonts w:ascii="Times New Roman" w:eastAsiaTheme="minorEastAsia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1.2 </w:t>
      </w:r>
      <w:r>
        <w:rPr>
          <w:rFonts w:ascii="Times New Roman" w:eastAsiaTheme="minorEastAsia" w:hAnsi="Times New Roman" w:cs="Times New Roman"/>
          <w:b/>
          <w:bCs/>
          <w:sz w:val="24"/>
        </w:rPr>
        <w:t>Electrochemical tests</w:t>
      </w:r>
    </w:p>
    <w:p w14:paraId="654C98D5" w14:textId="77777777" w:rsidR="00415A99" w:rsidRDefault="00A73CE2">
      <w:pPr>
        <w:ind w:firstLineChars="200" w:firstLine="480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 w:hint="eastAsia"/>
          <w:sz w:val="24"/>
        </w:rPr>
        <w:t xml:space="preserve"> Electrochemical tests were performed using the CHI760E electrochemical workstation </w:t>
      </w:r>
      <w:r>
        <w:rPr>
          <w:rFonts w:ascii="Times New Roman" w:eastAsiaTheme="minorEastAsia" w:hAnsi="Times New Roman" w:cs="Times New Roman"/>
          <w:sz w:val="24"/>
        </w:rPr>
        <w:t>(Shanghai Chenhua, China)</w:t>
      </w:r>
      <w:r>
        <w:rPr>
          <w:rFonts w:ascii="Times New Roman" w:eastAsiaTheme="minorEastAsia" w:hAnsi="Times New Roman" w:cs="Times New Roman" w:hint="eastAsia"/>
          <w:sz w:val="24"/>
        </w:rPr>
        <w:t xml:space="preserve">. The device includes a graphite counter electrode, a </w:t>
      </w:r>
      <w:r>
        <w:rPr>
          <w:rFonts w:ascii="Times New Roman" w:eastAsiaTheme="minorEastAsia" w:hAnsi="Times New Roman" w:cs="Times New Roman" w:hint="eastAsia"/>
          <w:color w:val="000000" w:themeColor="text1"/>
          <w:sz w:val="24"/>
        </w:rPr>
        <w:t>3</w:t>
      </w:r>
      <w:r>
        <w:rPr>
          <w:rFonts w:ascii="Times New Roman" w:eastAsiaTheme="minorEastAsia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 w:themeColor="text1"/>
          <w:sz w:val="24"/>
        </w:rPr>
        <w:t>mol</w:t>
      </w:r>
      <w:r>
        <w:rPr>
          <w:rFonts w:ascii="Times New Roman" w:eastAsiaTheme="minorEastAsia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 w:themeColor="text1"/>
          <w:sz w:val="24"/>
        </w:rPr>
        <w:t>L</w:t>
      </w:r>
      <w:r>
        <w:rPr>
          <w:rFonts w:ascii="Times New Roman" w:eastAsiaTheme="minorEastAsia" w:hAnsi="Times New Roman" w:cs="Times New Roman" w:hint="eastAsia"/>
          <w:color w:val="000000" w:themeColor="text1"/>
          <w:sz w:val="24"/>
          <w:vertAlign w:val="superscript"/>
        </w:rPr>
        <w:t>-1</w:t>
      </w:r>
      <w:r>
        <w:rPr>
          <w:rFonts w:ascii="Times New Roman" w:eastAsiaTheme="minorEastAsia" w:hAnsi="Times New Roman" w:cs="Times New Roman" w:hint="eastAsia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KOH</w:t>
      </w:r>
      <w:r>
        <w:rPr>
          <w:rFonts w:ascii="Times New Roman" w:eastAsiaTheme="minorEastAsia" w:hAnsi="Times New Roman" w:cs="Times New Roman" w:hint="eastAsia"/>
          <w:sz w:val="24"/>
        </w:rPr>
        <w:t xml:space="preserve"> electrolyte, and a </w:t>
      </w:r>
      <w:r>
        <w:rPr>
          <w:rFonts w:ascii="Times New Roman" w:eastAsiaTheme="minorEastAsia" w:hAnsi="Times New Roman" w:cs="Times New Roman"/>
          <w:sz w:val="24"/>
        </w:rPr>
        <w:t>Hg/HgO</w:t>
      </w:r>
      <w:r>
        <w:rPr>
          <w:rFonts w:ascii="Times New Roman" w:eastAsiaTheme="minorEastAsia" w:hAnsi="Times New Roman" w:cs="Times New Roman" w:hint="eastAsia"/>
          <w:sz w:val="24"/>
        </w:rPr>
        <w:t xml:space="preserve"> reference electrode. Before measurement, the working electrode needs to be immersed in the electrolyte for 12 hours.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r>
        <w:rPr>
          <w:rFonts w:ascii="Times New Roman" w:eastAsiaTheme="minorEastAsia" w:hAnsi="Times New Roman" w:cs="Times New Roman" w:hint="eastAsia"/>
          <w:sz w:val="24"/>
        </w:rPr>
        <w:t xml:space="preserve">It was found that the loading amount of in-situ growth of active material on nickel foam substrate at </w:t>
      </w:r>
      <w:r>
        <w:rPr>
          <w:rFonts w:ascii="Times New Roman" w:eastAsiaTheme="minorEastAsia" w:hAnsi="Times New Roman" w:cs="Times New Roman"/>
          <w:sz w:val="24"/>
        </w:rPr>
        <w:t>1×1 cm</w:t>
      </w:r>
      <w:r>
        <w:rPr>
          <w:rFonts w:ascii="Times New Roman" w:eastAsiaTheme="minorEastAsia" w:hAnsi="Times New Roman" w:cs="Times New Roman"/>
          <w:sz w:val="24"/>
          <w:vertAlign w:val="superscript"/>
        </w:rPr>
        <w:t>2</w:t>
      </w:r>
      <w:r>
        <w:rPr>
          <w:rFonts w:ascii="Times New Roman" w:eastAsiaTheme="minorEastAsia" w:hAnsi="Times New Roman" w:cs="Times New Roman" w:hint="eastAsia"/>
          <w:sz w:val="24"/>
        </w:rPr>
        <w:t xml:space="preserve"> was about 0.</w:t>
      </w:r>
      <w:r>
        <w:rPr>
          <w:rFonts w:ascii="Times New Roman" w:eastAsiaTheme="minorEastAsia" w:hAnsi="Times New Roman" w:cs="Times New Roman"/>
          <w:sz w:val="24"/>
        </w:rPr>
        <w:t>7</w:t>
      </w:r>
      <w:r>
        <w:rPr>
          <w:rFonts w:ascii="Times New Roman" w:eastAsiaTheme="minorEastAsia" w:hAnsi="Times New Roman" w:cs="Times New Roman" w:hint="eastAsia"/>
          <w:sz w:val="24"/>
        </w:rPr>
        <w:t xml:space="preserve"> mg.</w:t>
      </w:r>
    </w:p>
    <w:p w14:paraId="46900D41" w14:textId="77777777" w:rsidR="00415A99" w:rsidRDefault="00A73CE2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(1) Three-electrode system: </w:t>
      </w:r>
      <w:r>
        <w:rPr>
          <w:rFonts w:ascii="Times New Roman" w:eastAsiaTheme="minorEastAsia" w:hAnsi="Times New Roman" w:cs="Times New Roman" w:hint="eastAsia"/>
          <w:sz w:val="24"/>
        </w:rPr>
        <w:t xml:space="preserve">platinum plate electrode </w:t>
      </w:r>
      <w:r>
        <w:rPr>
          <w:rFonts w:ascii="Times New Roman" w:eastAsiaTheme="minorEastAsia" w:hAnsi="Times New Roman" w:cs="Times New Roman"/>
          <w:sz w:val="24"/>
        </w:rPr>
        <w:t xml:space="preserve">and an Hg/HgO electrode were used as the counter electrode and reference electrode, respectively. Cyclic voltammetry </w:t>
      </w:r>
      <w:r>
        <w:rPr>
          <w:rFonts w:ascii="Times New Roman" w:eastAsiaTheme="minorEastAsia" w:hAnsi="Times New Roman" w:cs="Times New Roman"/>
          <w:sz w:val="24"/>
        </w:rPr>
        <w:lastRenderedPageBreak/>
        <w:t xml:space="preserve">(CV) tests were performed in a </w:t>
      </w:r>
      <w:r>
        <w:rPr>
          <w:rFonts w:ascii="Times New Roman" w:eastAsiaTheme="minorEastAsia" w:hAnsi="Times New Roman" w:cs="Times New Roman" w:hint="eastAsia"/>
          <w:sz w:val="24"/>
        </w:rPr>
        <w:t>3</w:t>
      </w:r>
      <w:r>
        <w:rPr>
          <w:rFonts w:ascii="Times New Roman" w:eastAsiaTheme="minorEastAsia" w:hAnsi="Times New Roman" w:cs="Times New Roman"/>
          <w:color w:val="E54C5E" w:themeColor="accent6"/>
          <w:sz w:val="24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 w:themeColor="text1"/>
          <w:sz w:val="24"/>
        </w:rPr>
        <w:t>mol</w:t>
      </w:r>
      <w:r>
        <w:rPr>
          <w:rFonts w:ascii="Times New Roman" w:eastAsia="微软雅黑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 w:themeColor="text1"/>
          <w:sz w:val="24"/>
        </w:rPr>
        <w:t>L</w:t>
      </w:r>
      <w:r>
        <w:rPr>
          <w:rFonts w:ascii="Times New Roman" w:eastAsiaTheme="minorEastAsia" w:hAnsi="Times New Roman" w:cs="Times New Roman" w:hint="eastAsia"/>
          <w:color w:val="000000" w:themeColor="text1"/>
          <w:sz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color w:val="000000" w:themeColor="text1"/>
          <w:sz w:val="24"/>
          <w:vertAlign w:val="superscript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 xml:space="preserve">KOH electrolyte in a potential window between </w:t>
      </w:r>
      <w:r>
        <w:rPr>
          <w:rFonts w:ascii="Times New Roman" w:eastAsiaTheme="minorEastAsia" w:hAnsi="Times New Roman" w:cs="Times New Roman" w:hint="eastAsia"/>
          <w:sz w:val="24"/>
        </w:rPr>
        <w:t>0</w:t>
      </w:r>
      <w:r>
        <w:rPr>
          <w:rFonts w:ascii="Times New Roman" w:eastAsiaTheme="minorEastAsia" w:hAnsi="Times New Roman" w:cs="Times New Roman"/>
          <w:sz w:val="24"/>
        </w:rPr>
        <w:t xml:space="preserve"> and 0</w:t>
      </w:r>
      <w:r>
        <w:rPr>
          <w:rFonts w:ascii="Times New Roman" w:eastAsiaTheme="minorEastAsia" w:hAnsi="Times New Roman" w:cs="Times New Roman" w:hint="eastAsia"/>
          <w:sz w:val="24"/>
        </w:rPr>
        <w:t>.6</w:t>
      </w:r>
      <w:r>
        <w:rPr>
          <w:rFonts w:ascii="Times New Roman" w:eastAsiaTheme="minorEastAsia" w:hAnsi="Times New Roman" w:cs="Times New Roman"/>
          <w:sz w:val="24"/>
        </w:rPr>
        <w:t xml:space="preserve"> V, with scan rates ranging from </w:t>
      </w:r>
      <w:r>
        <w:rPr>
          <w:rFonts w:ascii="Times New Roman" w:eastAsiaTheme="minorEastAsia" w:hAnsi="Times New Roman" w:cs="Times New Roman" w:hint="eastAsia"/>
          <w:sz w:val="24"/>
        </w:rPr>
        <w:t>5</w:t>
      </w:r>
      <w:r>
        <w:rPr>
          <w:rFonts w:ascii="Times New Roman" w:eastAsiaTheme="minorEastAsia" w:hAnsi="Times New Roman" w:cs="Times New Roman"/>
          <w:sz w:val="24"/>
        </w:rPr>
        <w:t xml:space="preserve"> to 100 mV</w:t>
      </w:r>
      <w:r>
        <w:rPr>
          <w:rFonts w:ascii="Times New Roman" w:eastAsia="微软雅黑" w:hAnsi="Times New Roman" w:cs="Times New Roman"/>
          <w:color w:val="E54C5E" w:themeColor="accent6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sz w:val="24"/>
        </w:rPr>
        <w:t xml:space="preserve">. Constant current charge-discharge (GCD) tests were performed at current densities between 1 and 10 </w:t>
      </w:r>
      <w:r>
        <w:rPr>
          <w:rFonts w:ascii="Times New Roman" w:eastAsiaTheme="minorEastAsia" w:hAnsi="Times New Roman" w:cs="Times New Roman"/>
          <w:color w:val="000000" w:themeColor="text1"/>
          <w:sz w:val="24"/>
        </w:rPr>
        <w:t>A</w:t>
      </w:r>
      <w:r>
        <w:rPr>
          <w:rFonts w:ascii="Times New Roman" w:eastAsia="微软雅黑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</w:rPr>
        <w:t>g</w:t>
      </w:r>
      <w:r>
        <w:rPr>
          <w:rFonts w:ascii="Times New Roman" w:hAnsi="Times New Roman" w:cs="Times New Roman"/>
          <w:color w:val="000000" w:themeColor="text1"/>
          <w:sz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color w:val="000000" w:themeColor="text1"/>
          <w:sz w:val="24"/>
        </w:rPr>
        <w:t>.</w:t>
      </w:r>
      <w:r>
        <w:rPr>
          <w:rFonts w:ascii="Times New Roman" w:eastAsiaTheme="minorEastAsia" w:hAnsi="Times New Roman" w:cs="Times New Roman"/>
          <w:sz w:val="24"/>
        </w:rPr>
        <w:t xml:space="preserve"> Electrochemical impedance spectroscopy (EIS) measurements were performed at an amplitude of 5 mV in a frequency range from 100 kHz to 0.01 Hz. The specific capacit</w:t>
      </w:r>
      <w:r>
        <w:rPr>
          <w:rFonts w:ascii="Times New Roman" w:eastAsiaTheme="minorEastAsia" w:hAnsi="Times New Roman" w:cs="Times New Roman" w:hint="eastAsia"/>
          <w:sz w:val="24"/>
        </w:rPr>
        <w:t>ance</w:t>
      </w:r>
      <w:r>
        <w:rPr>
          <w:rFonts w:ascii="Times New Roman" w:eastAsiaTheme="minorEastAsia" w:hAnsi="Times New Roman" w:cs="Times New Roman"/>
          <w:sz w:val="24"/>
        </w:rPr>
        <w:t xml:space="preserve"> (</w:t>
      </w:r>
      <w:r>
        <w:rPr>
          <w:rFonts w:ascii="Times New Roman" w:eastAsiaTheme="minorEastAsia" w:hAnsi="Times New Roman" w:cs="Times New Roman"/>
          <w:i/>
          <w:iCs/>
          <w:color w:val="000000" w:themeColor="text1"/>
          <w:sz w:val="24"/>
        </w:rPr>
        <w:t>C</w:t>
      </w:r>
      <w:r>
        <w:rPr>
          <w:rFonts w:ascii="Times New Roman" w:eastAsiaTheme="minorEastAsia" w:hAnsi="Times New Roman" w:cs="Times New Roman" w:hint="eastAsia"/>
          <w:i/>
          <w:iCs/>
          <w:color w:val="000000" w:themeColor="text1"/>
          <w:sz w:val="24"/>
          <w:vertAlign w:val="subscript"/>
        </w:rPr>
        <w:t>s</w:t>
      </w:r>
      <w:r>
        <w:rPr>
          <w:rFonts w:ascii="Times New Roman" w:eastAsiaTheme="minorEastAsia" w:hAnsi="Times New Roman" w:cs="Times New Roman"/>
          <w:color w:val="000000" w:themeColor="text1"/>
          <w:sz w:val="24"/>
        </w:rPr>
        <w:t xml:space="preserve">) </w:t>
      </w:r>
      <w:r>
        <w:rPr>
          <w:rFonts w:ascii="Times New Roman" w:eastAsiaTheme="minorEastAsia" w:hAnsi="Times New Roman" w:cs="Times New Roman"/>
          <w:sz w:val="24"/>
        </w:rPr>
        <w:t>was calculated using the following formula:</w:t>
      </w:r>
    </w:p>
    <w:p w14:paraId="1F594358" w14:textId="77777777" w:rsidR="00415A99" w:rsidRDefault="00A73CE2">
      <w:pPr>
        <w:widowControl/>
        <w:rPr>
          <w:rFonts w:hAnsi="Cambria Math" w:cs="Times New Roman"/>
          <w:sz w:val="24"/>
          <w:lang w:bidi="ar"/>
        </w:rPr>
      </w:pPr>
      <m:oMathPara>
        <m:oMathParaPr>
          <m:jc m:val="center"/>
        </m:oMathParaPr>
        <m:oMath>
          <m:eqArr>
            <m:eqArrPr>
              <m:maxDist m:val="1"/>
              <m:ctrlPr>
                <w:rPr>
                  <w:rFonts w:ascii="Cambria Math" w:hAnsi="Cambria Math" w:cs="Times New Roman"/>
                  <w:sz w:val="24"/>
                  <w:lang w:bidi="ar"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lang w:bidi="ar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sz w:val="24"/>
                      <w:lang w:bidi="ar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sz w:val="24"/>
                      <w:lang w:bidi="ar"/>
                    </w:rPr>
                    <m:t>s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i/>
                  <w:sz w:val="24"/>
                  <w:lang w:bidi="ar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lang w:bidi="ar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sz w:val="24"/>
                      <w:lang w:bidi="ar"/>
                    </w:rPr>
                    <m:t>IΔt</m:t>
                  </m:r>
                </m:num>
                <m:den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sz w:val="24"/>
                      <w:lang w:bidi="ar"/>
                    </w:rPr>
                    <m:t>mΔV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lang w:bidi="ar"/>
                </w:rPr>
                <m:t>#</m:t>
              </m:r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  <w:lang w:bidi="ar"/>
                </w:rPr>
                <m:t>(1)</m:t>
              </m:r>
            </m:e>
          </m:eqArr>
        </m:oMath>
      </m:oMathPara>
    </w:p>
    <w:p w14:paraId="3E793A72" w14:textId="77777777" w:rsidR="00415A99" w:rsidRDefault="00A73CE2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Where I (A) and m (g) denote the discharge current and the mass of active material in the charge, respectively; Δt (s) and ΔV (V) represent the discharge duration and the voltage variation during discharge.</w:t>
      </w:r>
    </w:p>
    <w:p w14:paraId="4BC3F916" w14:textId="77777777" w:rsidR="00415A99" w:rsidRDefault="00A73CE2">
      <w:pPr>
        <w:rPr>
          <w:rFonts w:ascii="Times New Roman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(2) Double electrode system:</w:t>
      </w:r>
    </w:p>
    <w:p w14:paraId="38379A62" w14:textId="77777777" w:rsidR="00415A99" w:rsidRDefault="00A73CE2">
      <w:pPr>
        <w:ind w:firstLineChars="200" w:firstLine="480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 w:hint="eastAsia"/>
          <w:sz w:val="24"/>
        </w:rPr>
        <w:t xml:space="preserve">The manufacturing process of anode materials is as follows: activated carbon AC, acetylene black (conductive agent) and PTFE binder were mixed in ethanol at a weight ratio of </w:t>
      </w:r>
      <w:r>
        <w:rPr>
          <w:rFonts w:ascii="Times New Roman" w:eastAsiaTheme="minorEastAsia" w:hAnsi="Times New Roman" w:cs="Times New Roman"/>
          <w:sz w:val="24"/>
        </w:rPr>
        <w:t>8:1:1</w:t>
      </w:r>
      <w:r>
        <w:rPr>
          <w:rFonts w:ascii="Times New Roman" w:eastAsiaTheme="minorEastAsia" w:hAnsi="Times New Roman" w:cs="Times New Roman" w:hint="eastAsia"/>
          <w:sz w:val="24"/>
        </w:rPr>
        <w:t xml:space="preserve"> to form a slurry mixture, and the resulting carbon paste was coated on a </w:t>
      </w:r>
      <w:r>
        <w:rPr>
          <w:rFonts w:ascii="Times New Roman" w:eastAsiaTheme="minorEastAsia" w:hAnsi="Times New Roman" w:cs="Times New Roman"/>
          <w:sz w:val="24"/>
        </w:rPr>
        <w:t>1×1 cm²</w:t>
      </w:r>
      <w:r>
        <w:rPr>
          <w:rFonts w:ascii="Times New Roman" w:eastAsiaTheme="minorEastAsia" w:hAnsi="Times New Roman" w:cs="Times New Roman" w:hint="eastAsia"/>
          <w:sz w:val="24"/>
        </w:rPr>
        <w:t xml:space="preserve"> nickel foam substrate. After drying the electrode material in an oven at </w:t>
      </w:r>
      <w:r>
        <w:rPr>
          <w:rFonts w:ascii="Times New Roman" w:eastAsiaTheme="minorEastAsia" w:hAnsi="Times New Roman" w:cs="Times New Roman"/>
          <w:sz w:val="24"/>
        </w:rPr>
        <w:t>70°C</w:t>
      </w:r>
      <w:r>
        <w:rPr>
          <w:rFonts w:ascii="Times New Roman" w:eastAsiaTheme="minorEastAsia" w:hAnsi="Times New Roman" w:cs="Times New Roman" w:hint="eastAsia"/>
          <w:sz w:val="24"/>
        </w:rPr>
        <w:t xml:space="preserve">, the nickel foam was pressed at </w:t>
      </w:r>
      <w:r>
        <w:rPr>
          <w:rFonts w:ascii="Times New Roman" w:eastAsiaTheme="minorEastAsia" w:hAnsi="Times New Roman" w:cs="Times New Roman"/>
          <w:sz w:val="24"/>
        </w:rPr>
        <w:t>10 MPa</w:t>
      </w:r>
      <w:r>
        <w:rPr>
          <w:rFonts w:ascii="Times New Roman" w:eastAsiaTheme="minorEastAsia" w:hAnsi="Times New Roman" w:cs="Times New Roman" w:hint="eastAsia"/>
          <w:sz w:val="24"/>
        </w:rPr>
        <w:t xml:space="preserve"> for 1 minute to obtain the required thickness, Finally, the positive electrode material was assembled with the negative electrode material and subjected to testing. At the beginning of the test, a small current was applied for activation. </w:t>
      </w:r>
    </w:p>
    <w:p w14:paraId="482A6FD4" w14:textId="77777777" w:rsidR="00415A99" w:rsidRDefault="00A73CE2">
      <w:pPr>
        <w:ind w:firstLineChars="200" w:firstLine="480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The specific capacitance (</w:t>
      </w:r>
      <w:r>
        <w:rPr>
          <w:rFonts w:ascii="Times New Roman" w:eastAsiaTheme="minorEastAsia" w:hAnsi="Times New Roman" w:cs="Times New Roman"/>
          <w:i/>
          <w:iCs/>
          <w:color w:val="000000" w:themeColor="text1"/>
          <w:sz w:val="24"/>
        </w:rPr>
        <w:t>C</w:t>
      </w:r>
      <w:r>
        <w:rPr>
          <w:rFonts w:ascii="Times New Roman" w:eastAsiaTheme="minorEastAsia" w:hAnsi="Times New Roman" w:cs="Times New Roman" w:hint="eastAsia"/>
          <w:i/>
          <w:iCs/>
          <w:color w:val="000000" w:themeColor="text1"/>
          <w:sz w:val="24"/>
          <w:vertAlign w:val="subscript"/>
        </w:rPr>
        <w:t>d</w:t>
      </w:r>
      <w:r>
        <w:rPr>
          <w:rFonts w:ascii="Times New Roman" w:eastAsiaTheme="minorEastAsia" w:hAnsi="Times New Roman" w:cs="Times New Roman"/>
          <w:color w:val="000000" w:themeColor="text1"/>
          <w:sz w:val="24"/>
        </w:rPr>
        <w:t>) i</w:t>
      </w:r>
      <w:r>
        <w:rPr>
          <w:rFonts w:ascii="Times New Roman" w:eastAsiaTheme="minorEastAsia" w:hAnsi="Times New Roman" w:cs="Times New Roman"/>
          <w:sz w:val="24"/>
        </w:rPr>
        <w:t>n a double electrode system can be calculated using the following equation:</w:t>
      </w:r>
    </w:p>
    <w:p w14:paraId="1F10E3C5" w14:textId="77777777" w:rsidR="00415A99" w:rsidRDefault="00A73CE2">
      <w:pPr>
        <w:widowControl/>
        <w:rPr>
          <w:rFonts w:hAnsi="Times New Roman" w:cs="Times New Roman"/>
          <w:color w:val="000000" w:themeColor="text1"/>
          <w:sz w:val="24"/>
        </w:rPr>
      </w:pPr>
      <m:oMathPara>
        <m:oMathParaPr>
          <m:jc m:val="center"/>
        </m:oMathParaPr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 w:themeColor="text1"/>
                      <w:sz w:val="24"/>
                    </w:rPr>
                    <m:t>d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color w:val="000000" w:themeColor="text1"/>
                  <w:sz w:val="24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</w:rPr>
                    <m:t>I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00000" w:themeColor="text1"/>
                      <w:sz w:val="24"/>
                    </w:rPr>
                    <m:t>Δ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</w:rPr>
                    <m:t>t</m:t>
                  </m:r>
                </m:num>
                <m:den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</w:rPr>
                    <m:t>M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00000" w:themeColor="text1"/>
                      <w:sz w:val="24"/>
                    </w:rPr>
                    <m:t>Δ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</w:rPr>
                    <m:t>V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color w:val="000000" w:themeColor="text1"/>
                  <w:sz w:val="24"/>
                </w:rPr>
                <m:t>#</m:t>
              </m:r>
              <m:r>
                <m:rPr>
                  <m:nor/>
                </m:rPr>
                <w:rPr>
                  <w:rFonts w:ascii="Times New Roman" w:hAnsi="Times New Roman" w:cs="Times New Roman"/>
                  <w:color w:val="000000" w:themeColor="text1"/>
                  <w:sz w:val="24"/>
                </w:rPr>
                <m:t>(2</m:t>
              </m:r>
            </m:e>
          </m:eqArr>
          <m:r>
            <m:rPr>
              <m:nor/>
            </m:rPr>
            <w:rPr>
              <w:rFonts w:ascii="Times New Roman" w:hAnsi="Times New Roman" w:cs="Times New Roman"/>
              <w:color w:val="000000" w:themeColor="text1"/>
              <w:sz w:val="24"/>
            </w:rPr>
            <m:t>)</m:t>
          </m:r>
        </m:oMath>
      </m:oMathPara>
    </w:p>
    <w:p w14:paraId="65FEC88B" w14:textId="77777777" w:rsidR="00415A99" w:rsidRDefault="00A73CE2">
      <w:pPr>
        <w:widowControl/>
        <w:rPr>
          <w:rFonts w:hAnsi="Times New Roman" w:cs="Times New Roman"/>
          <w:sz w:val="24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</w:rPr>
              </m:ctrlPr>
            </m:eqArrPr>
            <m:e>
              <m:r>
                <m:rPr>
                  <m:nor/>
                </m:rPr>
                <w:rPr>
                  <w:rFonts w:ascii="Times New Roman" w:hAnsi="Times New Roman" w:cs="Times New Roman"/>
                  <w:i/>
                  <w:color w:val="000000" w:themeColor="text1"/>
                  <w:sz w:val="24"/>
                </w:rPr>
                <m:t>E</m:t>
              </m:r>
              <m:r>
                <m:rPr>
                  <m:nor/>
                </m:rPr>
                <w:rPr>
                  <w:rFonts w:ascii="Times New Roman" w:hAnsi="Times New Roman" w:cs="Times New Roman"/>
                  <w:color w:val="000000" w:themeColor="text1"/>
                  <w:sz w:val="24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</w:rPr>
                    <m:t>C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00000" w:themeColor="text1"/>
                      <w:sz w:val="24"/>
                    </w:rPr>
                    <m:t>(Δ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</w:rPr>
                      </m:ctrlPr>
                    </m:sSupPr>
                    <m:e>
                      <m:r>
                        <m:rPr>
                          <m:nor/>
                        </m:rPr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4"/>
                        </w:rPr>
                        <m:t>V</m:t>
                      </m:r>
                    </m:e>
                    <m:sup>
                      <m:r>
                        <m:rPr>
                          <m:nor/>
                        </m:r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00000" w:themeColor="text1"/>
                      <w:sz w:val="24"/>
                    </w:rPr>
                    <m:t>)</m:t>
                  </m:r>
                </m:num>
                <m:den>
                  <m:r>
                    <m:rPr>
                      <m:nor/>
                    </m:rPr>
                    <w:rPr>
                      <w:rFonts w:ascii="Cambria Math" w:eastAsia="宋体" w:hAnsi="Cambria Math" w:cs="Times New Roman"/>
                      <w:color w:val="000000" w:themeColor="text1"/>
                      <w:sz w:val="24"/>
                    </w:rPr>
                    <m:t>2</m:t>
                  </m:r>
                  <m:r>
                    <m:rPr>
                      <m:nor/>
                    </m:rPr>
                    <w:rPr>
                      <w:rFonts w:ascii="Cambria Math" w:eastAsia="宋体" w:hAnsi="Cambria Math" w:cs="Times New Roman" w:hint="eastAsia"/>
                      <w:color w:val="000000" w:themeColor="text1"/>
                      <w:sz w:val="24"/>
                    </w:rPr>
                    <m:t>×</m:t>
                  </m:r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color w:val="000000" w:themeColor="text1"/>
                      <w:sz w:val="24"/>
                    </w:rPr>
                    <m:t>3.6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color w:val="000000" w:themeColor="text1"/>
                  <w:sz w:val="24"/>
                </w:rPr>
                <m:t>#</m:t>
              </m:r>
              <m:r>
                <m:rPr>
                  <m:nor/>
                </m:rPr>
                <w:rPr>
                  <w:rFonts w:ascii="Times New Roman" w:hAnsi="Times New Roman" w:cs="Times New Roman"/>
                  <w:color w:val="000000" w:themeColor="text1"/>
                  <w:sz w:val="24"/>
                </w:rPr>
                <m:t>(3</m:t>
              </m:r>
            </m:e>
          </m:eqArr>
          <m:r>
            <m:rPr>
              <m:nor/>
            </m:rPr>
            <w:rPr>
              <w:rFonts w:ascii="Times New Roman" w:hAnsi="Times New Roman" w:cs="Times New Roman"/>
              <w:sz w:val="24"/>
            </w:rPr>
            <m:t>)</m:t>
          </m:r>
        </m:oMath>
      </m:oMathPara>
    </w:p>
    <w:p w14:paraId="7A605D60" w14:textId="77777777" w:rsidR="00415A99" w:rsidRDefault="00A73CE2">
      <w:pPr>
        <w:rPr>
          <w:rFonts w:hAnsi="Cambria Math" w:cs="Times New Roman"/>
          <w:sz w:val="24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sz w:val="24"/>
                </w:rPr>
              </m:ctrlPr>
            </m:eqArrPr>
            <m:e>
              <m:r>
                <m:rPr>
                  <m:nor/>
                </m:rPr>
                <w:rPr>
                  <w:rFonts w:ascii="Times New Roman" w:hAnsi="Times New Roman" w:cs="Times New Roman"/>
                  <w:i/>
                  <w:sz w:val="24"/>
                </w:rPr>
                <m:t>P</m:t>
              </m:r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sz w:val="24"/>
                    </w:rPr>
                    <m:t>E</m:t>
                  </m:r>
                </m:num>
                <m:den>
                  <m:r>
                    <m:rPr>
                      <m:nor/>
                    </m:rPr>
                    <w:rPr>
                      <w:rFonts w:ascii="Times New Roman" w:hAnsi="Times New Roman" w:cs="Times New Roman"/>
                      <w:sz w:val="24"/>
                    </w:rPr>
                    <m:t>Δ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sz w:val="24"/>
                    </w:rPr>
                    <m:t>t</m:t>
                  </m:r>
                </m:den>
              </m:f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</w:rPr>
                <m:t>×3600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</w:rPr>
                <m:t>#</m:t>
              </m:r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 xml:space="preserve">  </m:t>
              </m:r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</w:rPr>
                <m:t xml:space="preserve"> </m:t>
              </m:r>
              <m:r>
                <m:rPr>
                  <m:nor/>
                </m:rPr>
                <w:rPr>
                  <w:rFonts w:ascii="Times New Roman" w:eastAsia="宋体" w:hAnsi="Times New Roman" w:cs="Times New Roman"/>
                  <w:sz w:val="24"/>
                </w:rPr>
                <m:t xml:space="preserve">  </m:t>
              </m:r>
              <m:r>
                <m:rPr>
                  <m:nor/>
                </m:rPr>
                <w:rPr>
                  <w:rFonts w:ascii="Times New Roman" w:hAnsi="Times New Roman" w:cs="Times New Roman"/>
                  <w:sz w:val="24"/>
                </w:rPr>
                <m:t>(4)</m:t>
              </m:r>
            </m:e>
          </m:eqArr>
        </m:oMath>
      </m:oMathPara>
    </w:p>
    <w:p w14:paraId="5DEB26C2" w14:textId="77777777" w:rsidR="00415A99" w:rsidRDefault="00A73CE2">
      <w:pPr>
        <w:ind w:firstLineChars="200" w:firstLine="480"/>
        <w:rPr>
          <w:rFonts w:eastAsia="宋体" w:hAnsi="Cambria Math" w:cs="Times New Roman"/>
          <w:sz w:val="24"/>
        </w:rPr>
      </w:pPr>
      <m:oMathPara>
        <m:oMath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 xml:space="preserve">                        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Times New Roman" w:hAnsi="Times New Roman" w:cs="Times New Roman"/>
                      <w:sz w:val="24"/>
                    </w:rPr>
                    <m:t>m</m:t>
                  </m:r>
                </m:e>
                <m:sub>
                  <m:r>
                    <w:rPr>
                      <w:rFonts w:ascii="Times New Roman" w:hAnsi="Times New Roman" w:cs="Times New Roman"/>
                      <w:sz w:val="24"/>
                    </w:rPr>
                    <m:t>+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Times New Roman" w:hAnsi="Times New Roman" w:cs="Times New Roman"/>
                      <w:sz w:val="24"/>
                    </w:rPr>
                    <m:t>m</m:t>
                  </m:r>
                </m:e>
                <m:sub>
                  <m:r>
                    <w:rPr>
                      <w:rFonts w:ascii="Times New Roman" w:hAnsi="Times New Roman" w:cs="Times New Roman"/>
                      <w:sz w:val="24"/>
                    </w:rPr>
                    <m:t>-</m:t>
                  </m:r>
                </m:sub>
              </m:sSub>
            </m:den>
          </m:f>
          <m:r>
            <m:rPr>
              <m:nor/>
            </m:rPr>
            <w:rPr>
              <w:rFonts w:ascii="Times New Roman" w:hAnsi="Times New Roman" w:cs="Times New Roman"/>
              <w:i/>
              <w:sz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Times New Roman" w:hAnsi="Times New Roman" w:cs="Times New Roman"/>
                      <w:sz w:val="24"/>
                    </w:rPr>
                    <m:t>C</m:t>
                  </m:r>
                </m:e>
                <m:sub>
                  <m:r>
                    <w:rPr>
                      <w:rFonts w:ascii="Times New Roman" w:hAnsi="Times New Roman" w:cs="Times New Roman"/>
                      <w:sz w:val="24"/>
                    </w:rPr>
                    <m:t>-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i/>
                  <w:sz w:val="24"/>
                </w:rPr>
                <m:t>Δ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sz w:val="24"/>
                    </w:rPr>
                    <m:t>V</m:t>
                  </m:r>
                </m:e>
                <m:sub>
                  <m:r>
                    <w:rPr>
                      <w:rFonts w:ascii="Times New Roman" w:hAnsi="Times New Roman" w:cs="Times New Roman"/>
                      <w:sz w:val="24"/>
                    </w:rPr>
                    <m:t>-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Times New Roman" w:hAnsi="Times New Roman" w:cs="Times New Roman"/>
                      <w:sz w:val="24"/>
                    </w:rPr>
                    <m:t>C</m:t>
                  </m:r>
                </m:e>
                <m:sub>
                  <m:r>
                    <w:rPr>
                      <w:rFonts w:ascii="Times New Roman" w:hAnsi="Times New Roman" w:cs="Times New Roman"/>
                      <w:sz w:val="24"/>
                    </w:rPr>
                    <m:t>+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i/>
                  <w:sz w:val="24"/>
                </w:rPr>
                <m:t>Δ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i/>
                      <w:sz w:val="24"/>
                    </w:rPr>
                    <m:t>V</m:t>
                  </m:r>
                </m:e>
                <m:sub>
                  <m:r>
                    <w:rPr>
                      <w:rFonts w:ascii="Times New Roman" w:hAnsi="Times New Roman" w:cs="Times New Roman"/>
                      <w:sz w:val="24"/>
                    </w:rPr>
                    <m:t>+</m:t>
                  </m:r>
                </m:sub>
              </m:sSub>
            </m:den>
          </m:f>
          <m:r>
            <w:rPr>
              <w:rFonts w:ascii="Cambria Math" w:eastAsia="宋体" w:hAnsi="Cambria Math" w:cs="Times New Roman"/>
              <w:sz w:val="24"/>
            </w:rPr>
            <m:t xml:space="preserve">                                                            </m:t>
          </m:r>
          <m:r>
            <m:rPr>
              <m:sty m:val="p"/>
            </m:rPr>
            <w:rPr>
              <w:rFonts w:ascii="Times New Roman" w:hAnsi="Times New Roman" w:cs="Times New Roman"/>
              <w:sz w:val="24"/>
            </w:rPr>
            <m:t>(</m:t>
          </m:r>
          <m:r>
            <m:rPr>
              <m:sty m:val="p"/>
            </m:rPr>
            <w:rPr>
              <w:rFonts w:ascii="Times New Roman" w:eastAsia="宋体" w:hAnsi="Times New Roman" w:cs="Times New Roman"/>
              <w:sz w:val="24"/>
            </w:rPr>
            <m:t>5</m:t>
          </m:r>
          <m:r>
            <m:rPr>
              <m:sty m:val="p"/>
            </m:rPr>
            <w:rPr>
              <w:rFonts w:ascii="Times New Roman" w:hAnsi="Times New Roman" w:cs="Times New Roman"/>
              <w:sz w:val="24"/>
            </w:rPr>
            <m:t>)</m:t>
          </m:r>
        </m:oMath>
      </m:oMathPara>
    </w:p>
    <w:p w14:paraId="213AB61F" w14:textId="77777777" w:rsidR="00415A99" w:rsidRDefault="00A73CE2">
      <w:pPr>
        <w:widowControl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Where C (F</w:t>
      </w:r>
      <w:r>
        <w:rPr>
          <w:rStyle w:val="1"/>
          <w:rFonts w:ascii="Times New Roman" w:eastAsia="微软雅黑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g</w:t>
      </w:r>
      <w:r>
        <w:rPr>
          <w:rFonts w:ascii="Times New Roman" w:eastAsiaTheme="minorEastAsia" w:hAnsi="Times New Roman" w:cs="Times New Roman"/>
          <w:sz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sz w:val="24"/>
        </w:rPr>
        <w:t>) denotes the specific capacit</w:t>
      </w:r>
      <w:r>
        <w:rPr>
          <w:rFonts w:ascii="Times New Roman" w:eastAsiaTheme="minorEastAsia" w:hAnsi="Times New Roman" w:cs="Times New Roman" w:hint="eastAsia"/>
          <w:sz w:val="24"/>
        </w:rPr>
        <w:t>ance</w:t>
      </w:r>
      <w:r>
        <w:rPr>
          <w:rFonts w:ascii="Times New Roman" w:eastAsiaTheme="minorEastAsia" w:hAnsi="Times New Roman" w:cs="Times New Roman"/>
          <w:sz w:val="24"/>
        </w:rPr>
        <w:t xml:space="preserve"> of the device; I (A) and </w:t>
      </w:r>
      <w:r>
        <w:rPr>
          <w:rFonts w:ascii="Times New Roman" w:eastAsiaTheme="minorEastAsia" w:hAnsi="Times New Roman" w:cs="Times New Roman" w:hint="eastAsia"/>
          <w:sz w:val="24"/>
        </w:rPr>
        <w:t>M</w:t>
      </w:r>
      <w:r>
        <w:rPr>
          <w:rFonts w:ascii="Times New Roman" w:eastAsiaTheme="minorEastAsia" w:hAnsi="Times New Roman" w:cs="Times New Roman"/>
          <w:sz w:val="24"/>
        </w:rPr>
        <w:t xml:space="preserve"> (g) represent the applied current and </w:t>
      </w:r>
      <w:r>
        <w:rPr>
          <w:rFonts w:ascii="Times New Roman" w:eastAsiaTheme="minorEastAsia" w:hAnsi="Times New Roman" w:cs="Times New Roman" w:hint="eastAsia"/>
          <w:sz w:val="24"/>
        </w:rPr>
        <w:t>the total mass of cathode and anode materials in the device</w:t>
      </w:r>
      <w:r>
        <w:rPr>
          <w:rFonts w:ascii="Times New Roman" w:eastAsiaTheme="minorEastAsia" w:hAnsi="Times New Roman" w:cs="Times New Roman"/>
          <w:sz w:val="24"/>
        </w:rPr>
        <w:t>; Δt (s) and ΔV (V) denote the discharge time and the potential window; E (Wh</w:t>
      </w:r>
      <w:r>
        <w:rPr>
          <w:rStyle w:val="1"/>
          <w:rFonts w:ascii="Times New Roman" w:eastAsia="微软雅黑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kg</w:t>
      </w:r>
      <w:r>
        <w:rPr>
          <w:rFonts w:ascii="Times New Roman" w:eastAsiaTheme="minorEastAsia" w:hAnsi="Times New Roman" w:cs="Times New Roman"/>
          <w:sz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sz w:val="24"/>
        </w:rPr>
        <w:t>) and P (W</w:t>
      </w:r>
      <w:r>
        <w:rPr>
          <w:rStyle w:val="1"/>
          <w:rFonts w:ascii="Times New Roman" w:eastAsia="微软雅黑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kg</w:t>
      </w:r>
      <w:r>
        <w:rPr>
          <w:rFonts w:ascii="Times New Roman" w:eastAsiaTheme="minorEastAsia" w:hAnsi="Times New Roman" w:cs="Times New Roman"/>
          <w:sz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sz w:val="24"/>
        </w:rPr>
        <w:t>) denote the energy density and power density.</w:t>
      </w:r>
      <w:r>
        <w:rPr>
          <w:rFonts w:ascii="Times New Roman" w:eastAsiaTheme="minorEastAsia" w:hAnsi="Times New Roman" w:cs="Times New Roman" w:hint="eastAsia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The m</w:t>
      </w:r>
      <w:r>
        <w:rPr>
          <w:rFonts w:ascii="Times New Roman" w:eastAsiaTheme="minorEastAsia" w:hAnsi="Times New Roman" w:cs="Times New Roman"/>
          <w:sz w:val="24"/>
          <w:vertAlign w:val="subscript"/>
        </w:rPr>
        <w:t>+</w:t>
      </w:r>
      <w:r>
        <w:rPr>
          <w:rFonts w:ascii="Times New Roman" w:hAnsi="Times New Roman" w:cs="Times New Roman" w:hint="eastAsia"/>
          <w:sz w:val="24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>and m</w:t>
      </w:r>
      <w:r>
        <w:rPr>
          <w:rFonts w:ascii="Times New Roman" w:eastAsiaTheme="minorEastAsia" w:hAnsi="Times New Roman" w:cs="Times New Roman"/>
          <w:sz w:val="24"/>
          <w:vertAlign w:val="subscript"/>
        </w:rPr>
        <w:t>-</w:t>
      </w:r>
      <w:r>
        <w:rPr>
          <w:rFonts w:ascii="Times New Roman" w:eastAsiaTheme="minorEastAsia" w:hAnsi="Times New Roman" w:cs="Times New Roman"/>
          <w:sz w:val="24"/>
        </w:rPr>
        <w:t xml:space="preserve"> represent the mass (mg) of the positive and negative electrode materials, respectively, and C</w:t>
      </w:r>
      <w:r>
        <w:rPr>
          <w:rFonts w:ascii="Times New Roman" w:eastAsiaTheme="minorEastAsia" w:hAnsi="Times New Roman" w:cs="Times New Roman"/>
          <w:sz w:val="24"/>
          <w:vertAlign w:val="subscript"/>
        </w:rPr>
        <w:t>+</w:t>
      </w:r>
      <w:r>
        <w:rPr>
          <w:rFonts w:ascii="Times New Roman" w:eastAsiaTheme="minorEastAsia" w:hAnsi="Times New Roman" w:cs="Times New Roman"/>
          <w:sz w:val="24"/>
        </w:rPr>
        <w:t xml:space="preserve"> and C</w:t>
      </w:r>
      <w:r>
        <w:rPr>
          <w:rFonts w:ascii="Times New Roman" w:eastAsiaTheme="minorEastAsia" w:hAnsi="Times New Roman" w:cs="Times New Roman"/>
          <w:sz w:val="24"/>
          <w:vertAlign w:val="subscript"/>
        </w:rPr>
        <w:t>-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lastRenderedPageBreak/>
        <w:t>represent the corresponding specific capacitance. △ V</w:t>
      </w:r>
      <w:r>
        <w:rPr>
          <w:rFonts w:ascii="Times New Roman" w:eastAsiaTheme="minorEastAsia" w:hAnsi="Times New Roman" w:cs="Times New Roman"/>
          <w:sz w:val="24"/>
          <w:vertAlign w:val="subscript"/>
        </w:rPr>
        <w:t>+</w:t>
      </w:r>
      <w:r>
        <w:rPr>
          <w:rFonts w:ascii="Times New Roman" w:eastAsiaTheme="minorEastAsia" w:hAnsi="Times New Roman" w:cs="Times New Roman"/>
          <w:sz w:val="24"/>
        </w:rPr>
        <w:t xml:space="preserve"> and △ V</w:t>
      </w:r>
      <w:r>
        <w:rPr>
          <w:rFonts w:ascii="Times New Roman" w:eastAsiaTheme="minorEastAsia" w:hAnsi="Times New Roman" w:cs="Times New Roman"/>
          <w:sz w:val="24"/>
          <w:vertAlign w:val="subscript"/>
        </w:rPr>
        <w:t>−</w:t>
      </w:r>
      <w:r>
        <w:rPr>
          <w:rFonts w:ascii="Times New Roman" w:eastAsiaTheme="minorEastAsia" w:hAnsi="Times New Roman" w:cs="Times New Roman"/>
          <w:sz w:val="24"/>
        </w:rPr>
        <w:t xml:space="preserve"> represent the voltage windows of the positive and negative electrode materials, respectively.</w:t>
      </w:r>
    </w:p>
    <w:p w14:paraId="64698E57" w14:textId="77777777" w:rsidR="00415A99" w:rsidRDefault="00A73CE2">
      <w:pPr>
        <w:rPr>
          <w:rFonts w:ascii="Times New Roman" w:eastAsia="微软雅黑" w:hAnsi="Times New Roman" w:cs="Times New Roman"/>
          <w:sz w:val="24"/>
        </w:rPr>
      </w:pPr>
      <w:r>
        <w:rPr>
          <w:rFonts w:ascii="Times New Roman" w:eastAsia="微软雅黑" w:hAnsi="Times New Roman" w:cs="Times New Roman"/>
          <w:sz w:val="24"/>
        </w:rPr>
        <w:t>(3) The ion diffusion coefficient is calculated using the following formula:</w:t>
      </w:r>
    </w:p>
    <w:p w14:paraId="40867998" w14:textId="77777777" w:rsidR="00415A99" w:rsidRDefault="00A73CE2">
      <w:pPr>
        <w:ind w:firstLine="480"/>
        <w:rPr>
          <w:rFonts w:eastAsia="微软雅黑" w:hAnsi="Cambria Math" w:cs="Cambria Math"/>
          <w:sz w:val="24"/>
        </w:rPr>
      </w:pPr>
      <m:oMathPara>
        <m:oMath>
          <m:eqArr>
            <m:eqArrPr>
              <m:maxDist m:val="1"/>
              <m:ctrlPr>
                <w:rPr>
                  <w:rFonts w:ascii="Cambria Math" w:eastAsia="微软雅黑" w:hAnsi="Cambria Math" w:cs="Cambria Math"/>
                  <w:sz w:val="24"/>
                </w:rPr>
              </m:ctrlPr>
            </m:eqArrPr>
            <m:e>
              <m:r>
                <w:rPr>
                  <w:rFonts w:ascii="Cambria Math" w:eastAsia="微软雅黑" w:hAnsi="Cambria Math" w:cs="Times New Roman"/>
                  <w:sz w:val="24"/>
                </w:rPr>
                <m:t>iv</m:t>
              </m:r>
              <m:r>
                <w:rPr>
                  <w:rFonts w:ascii="Cambria Math" w:eastAsia="微软雅黑" w:hAnsi="Cambria Math" w:cs="Times New Roman" w:hint="eastAsia"/>
                  <w:sz w:val="24"/>
                </w:rPr>
                <m:t>=</m:t>
              </m:r>
              <m:r>
                <w:rPr>
                  <w:rFonts w:ascii="Cambria Math" w:eastAsia="微软雅黑" w:hAnsi="Cambria Math" w:cs="Times New Roman"/>
                  <w:sz w:val="24"/>
                </w:rPr>
                <m:t>a</m:t>
              </m:r>
              <m:r>
                <w:rPr>
                  <w:rFonts w:ascii="Cambria Math" w:eastAsia="微软雅黑" w:hAnsi="Cambria Math" w:cs="Cambria Math"/>
                  <w:sz w:val="24"/>
                </w:rPr>
                <m:t>×</m:t>
              </m:r>
              <m:sSup>
                <m:sSupPr>
                  <m:ctrlPr>
                    <w:rPr>
                      <w:rFonts w:ascii="Cambria Math" w:eastAsia="微软雅黑" w:hAnsi="Cambria Math" w:cs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微软雅黑" w:hAnsi="Cambria Math" w:cs="Cambria Math"/>
                      <w:sz w:val="24"/>
                    </w:rPr>
                    <m:t>v</m:t>
                  </m:r>
                </m:e>
                <m:sup>
                  <m:r>
                    <w:rPr>
                      <w:rFonts w:ascii="Cambria Math" w:eastAsia="微软雅黑" w:hAnsi="Cambria Math" w:cs="Cambria Math"/>
                      <w:sz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eastAsia="微软雅黑" w:hAnsi="Cambria Math" w:cs="Cambria Math" w:hint="eastAsia"/>
                  <w:sz w:val="24"/>
                </w:rPr>
                <m:t>#</m:t>
              </m:r>
              <m:r>
                <m:rPr>
                  <m:sty m:val="p"/>
                </m:rPr>
                <w:rPr>
                  <w:rFonts w:ascii="Cambria Math" w:eastAsia="微软雅黑" w:hAnsi="Cambria Math" w:cs="Cambria Math"/>
                  <w:sz w:val="24"/>
                </w:rPr>
                <m:t>(5)</m:t>
              </m:r>
            </m:e>
          </m:eqArr>
        </m:oMath>
      </m:oMathPara>
    </w:p>
    <w:p w14:paraId="01F39BD5" w14:textId="77777777" w:rsidR="00415A99" w:rsidRDefault="00A73CE2">
      <w:pPr>
        <w:ind w:firstLine="480"/>
        <w:rPr>
          <w:rFonts w:eastAsia="微软雅黑" w:hAnsi="Cambria Math" w:cs="Cambria Math"/>
          <w:sz w:val="24"/>
        </w:rPr>
      </w:pPr>
      <m:oMathPara>
        <m:oMath>
          <m:eqArr>
            <m:eqArrPr>
              <m:maxDist m:val="1"/>
              <m:ctrlPr>
                <w:rPr>
                  <w:rFonts w:ascii="Cambria Math" w:eastAsia="微软雅黑" w:hAnsi="Cambria Math" w:cs="Cambria Math"/>
                  <w:sz w:val="24"/>
                </w:rPr>
              </m:ctrlPr>
            </m:eqArrPr>
            <m:e>
              <m:r>
                <w:rPr>
                  <w:rFonts w:ascii="Cambria Math" w:eastAsia="微软雅黑" w:hAnsi="Cambria Math" w:cs="Cambria Math"/>
                  <w:sz w:val="24"/>
                </w:rPr>
                <m:t>iV</m:t>
              </m:r>
              <m:r>
                <w:rPr>
                  <w:rFonts w:ascii="Cambria Math" w:eastAsia="微软雅黑" w:hAnsi="Cambria Math" w:cs="Cambria Math"/>
                  <w:sz w:val="24"/>
                </w:rPr>
                <m:t>=</m:t>
              </m:r>
              <m:sSub>
                <m:sSubPr>
                  <m:ctrlPr>
                    <w:rPr>
                      <w:rFonts w:ascii="Cambria Math" w:eastAsia="微软雅黑" w:hAnsi="Cambria Math" w:cs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="微软雅黑" w:hAnsi="Cambria Math" w:cs="Cambria Math"/>
                      <w:sz w:val="24"/>
                    </w:rPr>
                    <m:t>k</m:t>
                  </m:r>
                </m:e>
                <m:sub>
                  <m:r>
                    <w:rPr>
                      <w:rFonts w:ascii="Cambria Math" w:eastAsia="微软雅黑" w:hAnsi="Cambria Math" w:cs="Cambria Math" w:hint="eastAsia"/>
                      <w:sz w:val="24"/>
                    </w:rPr>
                    <m:t>1</m:t>
                  </m:r>
                </m:sub>
              </m:sSub>
              <m:r>
                <w:rPr>
                  <w:rFonts w:ascii="Cambria Math" w:eastAsia="微软雅黑" w:hAnsi="Cambria Math" w:cs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eastAsia="微软雅黑" w:hAnsi="Cambria Math" w:cs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="微软雅黑" w:hAnsi="Cambria Math" w:cs="Cambria Math"/>
                      <w:sz w:val="24"/>
                    </w:rPr>
                    <m:t>k</m:t>
                  </m:r>
                </m:e>
                <m:sub>
                  <m:r>
                    <w:rPr>
                      <w:rFonts w:ascii="Cambria Math" w:eastAsia="微软雅黑" w:hAnsi="Cambria Math" w:cs="Cambria Math" w:hint="eastAsia"/>
                      <w:sz w:val="24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eastAsia="微软雅黑" w:hAnsi="Cambria Math" w:cs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微软雅黑" w:hAnsi="Cambria Math" w:cs="Cambria Math"/>
                      <w:sz w:val="24"/>
                    </w:rPr>
                    <m:t>v</m:t>
                  </m:r>
                </m:e>
                <m:sup>
                  <m:f>
                    <m:fPr>
                      <m:ctrlPr>
                        <w:rPr>
                          <w:rFonts w:ascii="Cambria Math" w:eastAsia="微软雅黑" w:hAnsi="Cambria Math" w:cs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="微软雅黑" w:hAnsi="Cambria Math" w:cs="Cambria Math" w:hint="eastAsia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微软雅黑" w:hAnsi="Cambria Math" w:cs="Cambria Math" w:hint="eastAsia"/>
                          <w:sz w:val="24"/>
                        </w:rPr>
                        <m:t>2</m:t>
                      </m:r>
                    </m:den>
                  </m:f>
                </m:sup>
              </m:sSup>
              <m:r>
                <m:rPr>
                  <m:sty m:val="p"/>
                </m:rPr>
                <w:rPr>
                  <w:rFonts w:ascii="Cambria Math" w:eastAsia="微软雅黑" w:hAnsi="Cambria Math" w:cs="Cambria Math" w:hint="eastAsia"/>
                  <w:sz w:val="24"/>
                </w:rPr>
                <m:t>#</m:t>
              </m:r>
              <m:r>
                <m:rPr>
                  <m:sty m:val="p"/>
                </m:rPr>
                <w:rPr>
                  <w:rFonts w:ascii="Cambria Math" w:eastAsia="微软雅黑" w:hAnsi="Cambria Math" w:cs="Cambria Math"/>
                  <w:sz w:val="24"/>
                </w:rPr>
                <m:t>(6)</m:t>
              </m:r>
            </m:e>
          </m:eqArr>
        </m:oMath>
      </m:oMathPara>
    </w:p>
    <w:p w14:paraId="79ADE529" w14:textId="77777777" w:rsidR="00415A99" w:rsidRDefault="00A73CE2">
      <w:pPr>
        <w:ind w:firstLineChars="200" w:firstLine="480"/>
        <w:rPr>
          <w:rFonts w:ascii="Times New Roman" w:eastAsia="微软雅黑" w:hAnsi="Times New Roman" w:cs="Times New Roman"/>
          <w:sz w:val="24"/>
        </w:rPr>
      </w:pPr>
      <w:r>
        <w:rPr>
          <w:rFonts w:ascii="Times New Roman" w:eastAsia="微软雅黑" w:hAnsi="Times New Roman" w:cs="Times New Roman"/>
          <w:sz w:val="24"/>
        </w:rPr>
        <w:t>Here, i denotes current density, ν and V represent scan rate and potential, respectively, while b serves as a crucial indicator for evaluating charge storage kinetics. The terms denote surface-controlled and diffusion-controlled processes, respectively.</w:t>
      </w:r>
    </w:p>
    <w:p w14:paraId="1F3D4B3D" w14:textId="77777777" w:rsidR="00415A99" w:rsidRDefault="00415A99">
      <w:pPr>
        <w:widowControl/>
        <w:rPr>
          <w:rFonts w:ascii="Times New Roman" w:eastAsiaTheme="minorEastAsia" w:hAnsi="Times New Roman" w:cs="Times New Roman"/>
          <w:sz w:val="24"/>
        </w:rPr>
      </w:pPr>
    </w:p>
    <w:p w14:paraId="62007A0B" w14:textId="77777777" w:rsidR="00415A99" w:rsidRDefault="00A73CE2">
      <w:pPr>
        <w:jc w:val="center"/>
      </w:pPr>
      <w:r>
        <w:rPr>
          <w:noProof/>
        </w:rPr>
        <w:drawing>
          <wp:inline distT="0" distB="0" distL="114300" distR="114300" wp14:anchorId="002DDE2D" wp14:editId="7AB11C64">
            <wp:extent cx="5272405" cy="4250690"/>
            <wp:effectExtent l="0" t="0" r="10795" b="381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25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B2EEF" wp14:editId="17646BE8">
                <wp:simplePos x="0" y="0"/>
                <wp:positionH relativeFrom="column">
                  <wp:posOffset>811530</wp:posOffset>
                </wp:positionH>
                <wp:positionV relativeFrom="paragraph">
                  <wp:posOffset>2161540</wp:posOffset>
                </wp:positionV>
                <wp:extent cx="499110" cy="376555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" cy="376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DF6F44" w14:textId="77777777" w:rsidR="00415A99" w:rsidRDefault="00415A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9B2EEF" id="_x0000_t202" coordsize="21600,21600" o:spt="202" path="m,l,21600r21600,l21600,xe">
                <v:stroke joinstyle="miter"/>
                <v:path gradientshapeok="t" o:connecttype="rect"/>
              </v:shapetype>
              <v:shape id="文本框 10" o:spid="_x0000_s1026" type="#_x0000_t202" style="position:absolute;left:0;text-align:left;margin-left:63.9pt;margin-top:170.2pt;width:39.3pt;height:2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ut8TgIAAPQEAAAOAAAAZHJzL2Uyb0RvYy54bWysVFGP2jAMfp+0/xDlfZRywA1EOTFOTJPQ&#10;7jQ27TmkCa2WxlkSaNmvn5OWgm57uWkvrRPbn+3PdhYPTaXISVhXgs5oOhhSIjSHvNSHjH77unn3&#10;nhLnmc6ZAi0yehaOPizfvlnUZi5GUIDKhSUIot28NhktvDfzJHG8EBVzAzBCo1KCrZjHoz0kuWU1&#10;olcqGQ2H06QGmxsLXDiHt4+tki4jvpSC+ycpnfBEZRRz8/Fr43cfvslyweYHy0xR8i4N9g9ZVKzU&#10;GLSHemSekaMt/4CqSm7BgfQDDlUCUpZcxBqwmnT4oppdwYyItSA5zvQ0uf8Hyz+fdubZEt98gAYb&#10;GAipjZs7vAz1NNJW4Y+ZEtQjheeeNtF4wvFyPJulKWo4qu7up5PJJKAkV2djnf8ooCJByKjFrkSy&#10;2GnrfGt6MQmxNGxKpWJnlCZ1Rqd3k2F06DUIrjTGuKYaJX9WIiAo/UVIUuYx43AR50mslSUnhpPA&#10;OBfax2IjEloHK4lhX+PY2QdXEWftNc69R4wM2vfOVanBxnpfpJ3/uKQsW/sLA23dgQLf7JuuhXvI&#10;z9hZC+3QO8M3JfK/Zc4/M4tTji3DzfVP+JEKkGfoJEoKsL/+dh/scfhQS0mNW5NR9/PIrKBEfdI4&#10;lrN0PA5rFg/jyf0ID/ZWs7/V6GO1BmxHim+E4VEM9l5dRGmh+o4LvgpRUcU0x9gZ9Rdx7dtdxgeC&#10;i9UqGuFiGea3emd4gA70algdPcgyDlugqeWmow9XK45r9wyE3b09R6vrY7X8DQAA//8DAFBLAwQU&#10;AAYACAAAACEA4d0qBOIAAAALAQAADwAAAGRycy9kb3ducmV2LnhtbEyPzU7DMBCE70i8g7VI3KhN&#10;KP0JcaoqUoWE6KGlF26b2E0i4nWI3Tbw9CwnuO3sjma/yVaj68TZDqH1pOF+okBYqrxpqdZweNvc&#10;LUCEiGSw82Q1fNkAq/z6KsPU+Avt7Hkfa8EhFFLU0MTYp1KGqrEOw8T3lvh29IPDyHKopRnwwuGu&#10;k4lSM+mwJf7QYG+LxlYf+5PT8FJstrgrE7f47orn1+O6/zy8P2p9ezOun0BEO8Y/M/ziMzrkzFT6&#10;E5kgOtbJnNGjhoepmoJgR6JmPJS8WS7nIPNM/u+Q/wAAAP//AwBQSwECLQAUAAYACAAAACEAtoM4&#10;kv4AAADhAQAAEwAAAAAAAAAAAAAAAAAAAAAAW0NvbnRlbnRfVHlwZXNdLnhtbFBLAQItABQABgAI&#10;AAAAIQA4/SH/1gAAAJQBAAALAAAAAAAAAAAAAAAAAC8BAABfcmVscy8ucmVsc1BLAQItABQABgAI&#10;AAAAIQDz4ut8TgIAAPQEAAAOAAAAAAAAAAAAAAAAAC4CAABkcnMvZTJvRG9jLnhtbFBLAQItABQA&#10;BgAIAAAAIQDh3SoE4gAAAAsBAAAPAAAAAAAAAAAAAAAAAKgEAABkcnMvZG93bnJldi54bWxQSwUG&#10;AAAAAAQABADzAAAAtwUAAAAA&#10;" filled="f" stroked="f" strokeweight=".5pt">
                <v:textbox>
                  <w:txbxContent>
                    <w:p w14:paraId="18DF6F44" w14:textId="77777777" w:rsidR="00415A99" w:rsidRDefault="00415A99"/>
                  </w:txbxContent>
                </v:textbox>
              </v:shape>
            </w:pict>
          </mc:Fallback>
        </mc:AlternateContent>
      </w:r>
      <w:r>
        <w:rPr>
          <w:rFonts w:eastAsia="宋体" w:hint="eastAsia"/>
        </w:rPr>
        <w:t xml:space="preserve">     </w:t>
      </w:r>
    </w:p>
    <w:p w14:paraId="4756D0B6" w14:textId="77777777" w:rsidR="00415A99" w:rsidRDefault="00A73C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Fig. S1</w:t>
      </w:r>
      <w:r>
        <w:rPr>
          <w:rFonts w:ascii="Times New Roman" w:hAnsi="Times New Roman" w:cs="Times New Roman"/>
          <w:sz w:val="36"/>
          <w:szCs w:val="44"/>
        </w:rPr>
        <w:t>.</w:t>
      </w:r>
      <w:r>
        <w:rPr>
          <w:rFonts w:ascii="Times New Roman" w:hAnsi="Times New Roman" w:cs="Times New Roman" w:hint="eastAsia"/>
          <w:sz w:val="36"/>
          <w:szCs w:val="44"/>
        </w:rPr>
        <w:t xml:space="preserve"> </w:t>
      </w:r>
      <w:r>
        <w:rPr>
          <w:rFonts w:ascii="Times New Roman" w:eastAsia="微软雅黑" w:hAnsi="Times New Roman" w:cs="Times New Roman"/>
          <w:sz w:val="24"/>
        </w:rPr>
        <w:t>(</w:t>
      </w:r>
      <w:r>
        <w:rPr>
          <w:rFonts w:ascii="Times New Roman" w:eastAsia="微软雅黑" w:hAnsi="Times New Roman" w:cs="Times New Roman" w:hint="eastAsia"/>
          <w:sz w:val="24"/>
        </w:rPr>
        <w:t>a</w:t>
      </w:r>
      <w:r>
        <w:rPr>
          <w:rFonts w:ascii="Times New Roman" w:eastAsia="微软雅黑" w:hAnsi="Times New Roman" w:cs="Times New Roman"/>
          <w:sz w:val="24"/>
        </w:rPr>
        <w:t>)</w:t>
      </w:r>
      <w:r>
        <w:rPr>
          <w:rFonts w:ascii="Times New Roman" w:eastAsia="微软雅黑" w:hAnsi="Times New Roman" w:cs="Times New Roman" w:hint="eastAsia"/>
          <w:sz w:val="24"/>
        </w:rPr>
        <w:t xml:space="preserve"> </w:t>
      </w:r>
      <w:r>
        <w:rPr>
          <w:rFonts w:ascii="Times New Roman" w:eastAsia="宋体" w:hAnsi="Times New Roman" w:cs="Times New Roman" w:hint="eastAsia"/>
          <w:sz w:val="24"/>
        </w:rPr>
        <w:t>Comparison of GCD curves for different Al addition levels</w:t>
      </w:r>
      <w:r>
        <w:rPr>
          <w:rFonts w:ascii="Times New Roman" w:eastAsia="宋体" w:hAnsi="Times New Roman" w:cs="Times New Roman"/>
          <w:sz w:val="24"/>
        </w:rPr>
        <w:t>,</w:t>
      </w:r>
      <w:r>
        <w:rPr>
          <w:rFonts w:ascii="Times New Roman" w:eastAsia="微软雅黑" w:hAnsi="Times New Roman" w:cs="Times New Roman"/>
          <w:sz w:val="24"/>
        </w:rPr>
        <w:t xml:space="preserve"> (b)</w:t>
      </w:r>
      <w:r>
        <w:rPr>
          <w:rFonts w:ascii="Times New Roman" w:eastAsia="微软雅黑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XRD patterns of NiCo-LDH and NiCoAl-LDH-6,</w:t>
      </w:r>
      <w:r>
        <w:rPr>
          <w:rFonts w:ascii="Times New Roman" w:eastAsia="宋体" w:hAnsi="Times New Roman" w:cs="Times New Roman" w:hint="eastAsia"/>
          <w:sz w:val="24"/>
        </w:rPr>
        <w:t xml:space="preserve"> </w:t>
      </w:r>
      <w:r>
        <w:rPr>
          <w:rFonts w:ascii="Times New Roman" w:eastAsia="微软雅黑" w:hAnsi="Times New Roman" w:cs="Times New Roman"/>
          <w:sz w:val="24"/>
        </w:rPr>
        <w:t>(c)</w:t>
      </w:r>
      <w:r>
        <w:rPr>
          <w:rFonts w:ascii="Times New Roman" w:eastAsia="微软雅黑" w:hAnsi="Times New Roman" w:cs="Times New Roman" w:hint="eastAsia"/>
          <w:sz w:val="24"/>
        </w:rPr>
        <w:t xml:space="preserve"> schematic illustration of the morphology evolution of NiCoAl-LDH with hydrothermal reaction time</w:t>
      </w:r>
      <w:r>
        <w:rPr>
          <w:rFonts w:ascii="Times New Roman" w:eastAsia="微软雅黑" w:hAnsi="Times New Roman" w:cs="Times New Roman"/>
          <w:sz w:val="24"/>
        </w:rPr>
        <w:t>, and</w:t>
      </w:r>
      <w:r>
        <w:rPr>
          <w:rFonts w:ascii="Times New Roman" w:eastAsia="微软雅黑" w:hAnsi="Times New Roman" w:cs="Times New Roman" w:hint="eastAsia"/>
          <w:sz w:val="24"/>
        </w:rPr>
        <w:t xml:space="preserve"> </w:t>
      </w:r>
      <w:r>
        <w:rPr>
          <w:rFonts w:ascii="Times New Roman" w:eastAsia="微软雅黑" w:hAnsi="Times New Roman" w:cs="Times New Roman"/>
          <w:sz w:val="24"/>
        </w:rPr>
        <w:t>(d)</w:t>
      </w:r>
      <w:r>
        <w:rPr>
          <w:rFonts w:ascii="Times New Roman" w:hAnsi="Times New Roman" w:cs="Times New Roman"/>
          <w:sz w:val="36"/>
          <w:szCs w:val="44"/>
        </w:rPr>
        <w:t xml:space="preserve"> </w:t>
      </w:r>
      <w:r>
        <w:rPr>
          <w:rFonts w:ascii="Times New Roman" w:eastAsia="微软雅黑" w:hAnsi="Times New Roman" w:cs="Times New Roman" w:hint="eastAsia"/>
          <w:sz w:val="24"/>
        </w:rPr>
        <w:t>EDS spectrum of NiCoAl-LDH-6</w:t>
      </w:r>
    </w:p>
    <w:p w14:paraId="6891B25A" w14:textId="77777777" w:rsidR="00415A99" w:rsidRDefault="00415A99">
      <w:pPr>
        <w:rPr>
          <w:rFonts w:ascii="Times New Roman" w:hAnsi="Times New Roman" w:cs="Times New Roman"/>
          <w:sz w:val="24"/>
        </w:rPr>
      </w:pPr>
    </w:p>
    <w:p w14:paraId="3874178A" w14:textId="77777777" w:rsidR="00415A99" w:rsidRDefault="00415A99">
      <w:pPr>
        <w:rPr>
          <w:rFonts w:ascii="Times New Roman" w:hAnsi="Times New Roman" w:cs="Times New Roman"/>
          <w:sz w:val="24"/>
        </w:rPr>
      </w:pPr>
    </w:p>
    <w:p w14:paraId="58B7D1BD" w14:textId="77777777" w:rsidR="00415A99" w:rsidRDefault="00415A99">
      <w:pPr>
        <w:rPr>
          <w:rFonts w:ascii="Times New Roman" w:hAnsi="Times New Roman" w:cs="Times New Roman"/>
          <w:sz w:val="24"/>
        </w:rPr>
      </w:pPr>
    </w:p>
    <w:p w14:paraId="5C3BE2F8" w14:textId="77777777" w:rsidR="00415A99" w:rsidRDefault="00A73CE2">
      <w:r>
        <w:rPr>
          <w:noProof/>
        </w:rPr>
        <w:lastRenderedPageBreak/>
        <w:drawing>
          <wp:inline distT="0" distB="0" distL="114300" distR="114300" wp14:anchorId="028C581C" wp14:editId="5D1CDFD2">
            <wp:extent cx="5267960" cy="20447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F1E03" w14:textId="77777777" w:rsidR="00415A99" w:rsidRDefault="00A73CE2">
      <w:pPr>
        <w:jc w:val="center"/>
        <w:rPr>
          <w:rFonts w:ascii="Times New Roman" w:eastAsia="宋体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Fig. S</w:t>
      </w:r>
      <w:r>
        <w:rPr>
          <w:rFonts w:ascii="Times New Roman" w:eastAsia="宋体" w:hAnsi="Times New Roman" w:cs="Times New Roman" w:hint="eastAsia"/>
          <w:b/>
          <w:bCs/>
          <w:sz w:val="24"/>
        </w:rPr>
        <w:t>2</w:t>
      </w:r>
      <w:r>
        <w:rPr>
          <w:rFonts w:ascii="Times New Roman" w:hAnsi="Times New Roman" w:cs="Times New Roman"/>
          <w:sz w:val="36"/>
          <w:szCs w:val="44"/>
        </w:rPr>
        <w:t>.</w:t>
      </w:r>
      <w:r>
        <w:rPr>
          <w:rFonts w:ascii="Times New Roman" w:eastAsia="宋体" w:hAnsi="Times New Roman" w:cs="Times New Roman" w:hint="eastAsia"/>
          <w:sz w:val="36"/>
          <w:szCs w:val="44"/>
        </w:rPr>
        <w:t xml:space="preserve"> </w:t>
      </w:r>
      <w:r>
        <w:rPr>
          <w:rFonts w:ascii="Times New Roman" w:eastAsia="微软雅黑" w:hAnsi="Times New Roman" w:cs="Times New Roman"/>
          <w:sz w:val="24"/>
        </w:rPr>
        <w:t>(</w:t>
      </w:r>
      <w:r>
        <w:rPr>
          <w:rFonts w:ascii="Times New Roman" w:eastAsia="微软雅黑" w:hAnsi="Times New Roman" w:cs="Times New Roman" w:hint="eastAsia"/>
          <w:sz w:val="24"/>
        </w:rPr>
        <w:t>a</w:t>
      </w:r>
      <w:r>
        <w:rPr>
          <w:rFonts w:ascii="Times New Roman" w:eastAsia="微软雅黑" w:hAnsi="Times New Roman" w:cs="Times New Roman"/>
          <w:sz w:val="24"/>
        </w:rPr>
        <w:t>)</w:t>
      </w:r>
      <w:r>
        <w:rPr>
          <w:rFonts w:ascii="Times New Roman" w:eastAsia="宋体" w:hAnsi="Times New Roman" w:cs="Times New Roman" w:hint="eastAsia"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N</w:t>
      </w:r>
      <w:r>
        <w:rPr>
          <w:rFonts w:ascii="Times New Roman" w:eastAsia="宋体" w:hAnsi="Times New Roman" w:cs="Times New Roman"/>
          <w:sz w:val="24"/>
          <w:vertAlign w:val="subscript"/>
        </w:rPr>
        <w:t xml:space="preserve">2 </w:t>
      </w:r>
      <w:r>
        <w:rPr>
          <w:rFonts w:ascii="Times New Roman" w:eastAsia="宋体" w:hAnsi="Times New Roman" w:cs="Times New Roman"/>
          <w:sz w:val="24"/>
        </w:rPr>
        <w:t>adsorption-desorption isotherms and</w:t>
      </w:r>
      <w:r>
        <w:rPr>
          <w:rFonts w:ascii="Times New Roman" w:eastAsia="宋体" w:hAnsi="Times New Roman" w:cs="Times New Roman" w:hint="eastAsia"/>
          <w:sz w:val="24"/>
        </w:rPr>
        <w:t xml:space="preserve"> </w:t>
      </w:r>
      <w:r>
        <w:rPr>
          <w:rFonts w:ascii="Times New Roman" w:eastAsia="微软雅黑" w:hAnsi="Times New Roman" w:cs="Times New Roman"/>
          <w:sz w:val="24"/>
        </w:rPr>
        <w:t>(</w:t>
      </w:r>
      <w:r>
        <w:rPr>
          <w:rFonts w:ascii="Times New Roman" w:eastAsia="微软雅黑" w:hAnsi="Times New Roman" w:cs="Times New Roman" w:hint="eastAsia"/>
          <w:sz w:val="24"/>
        </w:rPr>
        <w:t>b</w:t>
      </w:r>
      <w:r>
        <w:rPr>
          <w:rFonts w:ascii="Times New Roman" w:eastAsia="微软雅黑" w:hAnsi="Times New Roman" w:cs="Times New Roman"/>
          <w:sz w:val="24"/>
        </w:rPr>
        <w:t>)</w:t>
      </w:r>
      <w:r>
        <w:rPr>
          <w:rFonts w:ascii="Times New Roman" w:eastAsia="微软雅黑" w:hAnsi="Times New Roman" w:cs="Times New Roman" w:hint="eastAsia"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pore size distributions</w:t>
      </w:r>
    </w:p>
    <w:p w14:paraId="257FC758" w14:textId="77777777" w:rsidR="00415A99" w:rsidRDefault="00A73CE2">
      <w:pPr>
        <w:spacing w:line="240" w:lineRule="auto"/>
        <w:rPr>
          <w:rFonts w:ascii="Times New Roman" w:hAnsi="Times New Roman" w:cs="Times New Roman"/>
          <w:color w:val="1F1F1F"/>
          <w:sz w:val="24"/>
        </w:rPr>
      </w:pPr>
      <w:r>
        <w:rPr>
          <w:rStyle w:val="label"/>
          <w:rFonts w:ascii="Times New Roman" w:hAnsi="Times New Roman" w:cs="Times New Roman"/>
          <w:b/>
          <w:bCs/>
          <w:color w:val="1F1F1F"/>
          <w:sz w:val="24"/>
        </w:rPr>
        <w:t>Table S1</w:t>
      </w:r>
      <w:r>
        <w:rPr>
          <w:rFonts w:ascii="Times New Roman" w:hAnsi="Times New Roman" w:cs="Times New Roman"/>
          <w:b/>
          <w:bCs/>
          <w:color w:val="1F1F1F"/>
          <w:sz w:val="24"/>
        </w:rPr>
        <w:t xml:space="preserve">. </w:t>
      </w:r>
      <w:r>
        <w:rPr>
          <w:rFonts w:ascii="Times New Roman" w:hAnsi="Times New Roman" w:cs="Times New Roman"/>
          <w:color w:val="1F1F1F"/>
          <w:sz w:val="24"/>
        </w:rPr>
        <w:t>Pore structure parameters.</w:t>
      </w:r>
    </w:p>
    <w:p w14:paraId="320F5110" w14:textId="77777777" w:rsidR="00415A99" w:rsidRDefault="00415A99">
      <w:pPr>
        <w:spacing w:line="240" w:lineRule="auto"/>
        <w:rPr>
          <w:rFonts w:ascii="Times New Roman" w:hAnsi="Times New Roman" w:cs="Times New Roman"/>
          <w:color w:val="1F1F1F"/>
          <w:sz w:val="24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028"/>
        <w:gridCol w:w="1209"/>
        <w:gridCol w:w="1303"/>
        <w:gridCol w:w="1138"/>
        <w:gridCol w:w="1448"/>
        <w:gridCol w:w="1180"/>
      </w:tblGrid>
      <w:tr w:rsidR="00415A99" w14:paraId="3EF0C0D0" w14:textId="77777777">
        <w:trPr>
          <w:trHeight w:val="772"/>
          <w:jc w:val="center"/>
        </w:trPr>
        <w:tc>
          <w:tcPr>
            <w:tcW w:w="207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0A5A157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Sample</w:t>
            </w:r>
          </w:p>
        </w:tc>
        <w:tc>
          <w:tcPr>
            <w:tcW w:w="1223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14:paraId="3D2B47DE" w14:textId="77777777" w:rsidR="00415A99" w:rsidRDefault="00A73CE2">
            <w:pPr>
              <w:pStyle w:val="aa"/>
              <w:widowControl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</w:t>
            </w:r>
            <w:r>
              <w:rPr>
                <w:b/>
                <w:bCs/>
                <w:sz w:val="24"/>
                <w:szCs w:val="24"/>
                <w:vertAlign w:val="subscript"/>
              </w:rPr>
              <w:t>BET</w:t>
            </w:r>
          </w:p>
          <w:p w14:paraId="4070F181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(m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2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·g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-1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)</w:t>
            </w:r>
          </w:p>
        </w:tc>
        <w:tc>
          <w:tcPr>
            <w:tcW w:w="131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14:paraId="47EDC43E" w14:textId="77777777" w:rsidR="00415A99" w:rsidRDefault="00A73CE2">
            <w:pPr>
              <w:pStyle w:val="aa"/>
              <w:widowControl/>
              <w:rPr>
                <w:b/>
                <w:bCs/>
                <w:sz w:val="24"/>
                <w:szCs w:val="24"/>
                <w:vertAlign w:val="subscript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  <w:r>
              <w:rPr>
                <w:b/>
                <w:bCs/>
                <w:sz w:val="24"/>
                <w:szCs w:val="24"/>
                <w:vertAlign w:val="subscript"/>
              </w:rPr>
              <w:t>t</w:t>
            </w:r>
          </w:p>
          <w:p w14:paraId="078E6B53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(cm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3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·g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-1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)</w:t>
            </w:r>
          </w:p>
        </w:tc>
        <w:tc>
          <w:tcPr>
            <w:tcW w:w="114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14:paraId="7DB7F8BC" w14:textId="77777777" w:rsidR="00415A99" w:rsidRDefault="00A73CE2">
            <w:pPr>
              <w:pStyle w:val="aa"/>
              <w:widowControl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  <w:vertAlign w:val="subscript"/>
              </w:rPr>
              <w:t>ext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15CE3D3C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(m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2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·g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-1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)</w:t>
            </w:r>
          </w:p>
        </w:tc>
        <w:tc>
          <w:tcPr>
            <w:tcW w:w="147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14:paraId="240FE0DE" w14:textId="77777777" w:rsidR="00415A99" w:rsidRDefault="00A73CE2">
            <w:pPr>
              <w:pStyle w:val="aa"/>
              <w:widowControl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  <w:r>
              <w:rPr>
                <w:rFonts w:hint="eastAsia"/>
                <w:b/>
                <w:bCs/>
                <w:sz w:val="24"/>
                <w:szCs w:val="24"/>
                <w:vertAlign w:val="subscript"/>
              </w:rPr>
              <w:t>ext</w:t>
            </w:r>
          </w:p>
          <w:p w14:paraId="103275B9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(cm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3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·g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perscript"/>
                <w:lang w:bidi="ar"/>
              </w:rPr>
              <w:t>-1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)</w:t>
            </w:r>
          </w:p>
        </w:tc>
        <w:tc>
          <w:tcPr>
            <w:tcW w:w="1193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ADB0236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V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24"/>
                <w:vertAlign w:val="subscript"/>
                <w:lang w:bidi="ar"/>
              </w:rPr>
              <w:t>ext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lang w:bidi="ar"/>
              </w:rPr>
              <w:t>/V</w:t>
            </w:r>
            <w:r>
              <w:rPr>
                <w:rFonts w:ascii="Times New Roman" w:eastAsia="宋体" w:hAnsi="Times New Roman" w:cs="Times New Roman"/>
                <w:b/>
                <w:bCs/>
                <w:sz w:val="24"/>
                <w:vertAlign w:val="subscript"/>
                <w:lang w:bidi="ar"/>
              </w:rPr>
              <w:t>t</w:t>
            </w:r>
          </w:p>
        </w:tc>
      </w:tr>
      <w:tr w:rsidR="00415A99" w14:paraId="508ADC16" w14:textId="77777777">
        <w:trPr>
          <w:trHeight w:val="344"/>
          <w:jc w:val="center"/>
        </w:trPr>
        <w:tc>
          <w:tcPr>
            <w:tcW w:w="2071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521B452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NiCoAl-LDH-4h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90F6F93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73.232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03846AD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  <w:lang w:bidi="ar"/>
              </w:rPr>
              <w:t>0.</w:t>
            </w: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427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9FC2061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70.267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87318A8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  <w:lang w:bidi="ar"/>
              </w:rPr>
              <w:t>0.</w:t>
            </w: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419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285C2B1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0.981</w:t>
            </w:r>
          </w:p>
        </w:tc>
      </w:tr>
      <w:tr w:rsidR="00415A99" w14:paraId="4ADD95BA" w14:textId="77777777">
        <w:trPr>
          <w:trHeight w:val="344"/>
          <w:jc w:val="center"/>
        </w:trPr>
        <w:tc>
          <w:tcPr>
            <w:tcW w:w="2071" w:type="dxa"/>
            <w:tcBorders>
              <w:top w:val="nil"/>
              <w:left w:val="nil"/>
              <w:bottom w:val="nil"/>
              <w:right w:val="nil"/>
            </w:tcBorders>
          </w:tcPr>
          <w:p w14:paraId="7A2A2562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NiCoAl-LDH-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6h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14:paraId="3DE9284C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98.726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14:paraId="34BBC3A7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0.517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14:paraId="224DA18E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92.344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173B8DCB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0.509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2BB69FA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0.985</w:t>
            </w:r>
          </w:p>
        </w:tc>
      </w:tr>
      <w:tr w:rsidR="00415A99" w14:paraId="391F165C" w14:textId="77777777">
        <w:trPr>
          <w:trHeight w:val="363"/>
          <w:jc w:val="center"/>
        </w:trPr>
        <w:tc>
          <w:tcPr>
            <w:tcW w:w="207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1C5EEB7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NiCoAl-LDH-8h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163BCC6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86.992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A4DA6B0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0.459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0006E9A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82.312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B9FDA6B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0.451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E8B17DB" w14:textId="77777777" w:rsidR="00415A99" w:rsidRDefault="00A73CE2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0.983</w:t>
            </w:r>
          </w:p>
        </w:tc>
      </w:tr>
    </w:tbl>
    <w:p w14:paraId="4B9DB925" w14:textId="77777777" w:rsidR="00415A99" w:rsidRDefault="00415A99">
      <w:pPr>
        <w:rPr>
          <w:rFonts w:ascii="Times New Roman" w:eastAsia="宋体" w:hAnsi="Times New Roman" w:cs="Times New Roman"/>
          <w:szCs w:val="21"/>
        </w:rPr>
      </w:pPr>
    </w:p>
    <w:p w14:paraId="097AB153" w14:textId="77777777" w:rsidR="00415A99" w:rsidRDefault="00A73CE2">
      <w:pPr>
        <w:jc w:val="left"/>
        <w:rPr>
          <w:rFonts w:ascii="Times New Roman" w:eastAsia="宋体" w:hAnsi="Times New Roman" w:cs="Times New Roman"/>
          <w:szCs w:val="21"/>
        </w:rPr>
      </w:pPr>
      <w:r>
        <w:rPr>
          <w:rFonts w:ascii="Times New Roman" w:hAnsi="Times New Roman" w:cs="Times New Roman"/>
          <w:b/>
          <w:bCs/>
          <w:sz w:val="24"/>
        </w:rPr>
        <w:t>Table S</w:t>
      </w:r>
      <w:r>
        <w:rPr>
          <w:rFonts w:ascii="Times New Roman" w:eastAsia="宋体" w:hAnsi="Times New Roman" w:cs="Times New Roman" w:hint="eastAsia"/>
          <w:b/>
          <w:bCs/>
          <w:sz w:val="24"/>
        </w:rPr>
        <w:t>2</w:t>
      </w:r>
      <w:r>
        <w:rPr>
          <w:rFonts w:ascii="Times New Roman" w:hAnsi="Times New Roman" w:cs="Times New Roman"/>
          <w:b/>
          <w:bCs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EDS elemental analysis of NiCoAl-LDH-6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62"/>
        <w:gridCol w:w="1661"/>
        <w:gridCol w:w="1674"/>
        <w:gridCol w:w="1655"/>
        <w:gridCol w:w="1654"/>
      </w:tblGrid>
      <w:tr w:rsidR="00415A99" w14:paraId="1CA77D29" w14:textId="77777777">
        <w:trPr>
          <w:trHeight w:val="615"/>
        </w:trPr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42F17F2A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Element</w:t>
            </w:r>
          </w:p>
          <w:p w14:paraId="45A84912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Number</w:t>
            </w:r>
          </w:p>
        </w:tc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4081712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Element</w:t>
            </w:r>
          </w:p>
          <w:p w14:paraId="2569FE15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Symbol</w:t>
            </w:r>
          </w:p>
        </w:tc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E453EB9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Element</w:t>
            </w:r>
          </w:p>
          <w:p w14:paraId="718429E7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Name</w:t>
            </w:r>
          </w:p>
        </w:tc>
        <w:tc>
          <w:tcPr>
            <w:tcW w:w="17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764875EE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Atomic</w:t>
            </w:r>
          </w:p>
          <w:p w14:paraId="54E124C5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Conc.</w:t>
            </w:r>
          </w:p>
        </w:tc>
        <w:tc>
          <w:tcPr>
            <w:tcW w:w="17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C4C7667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Weight</w:t>
            </w:r>
          </w:p>
          <w:p w14:paraId="7C672947" w14:textId="77777777" w:rsidR="00415A99" w:rsidRDefault="00A73C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Conc.</w:t>
            </w:r>
          </w:p>
        </w:tc>
      </w:tr>
      <w:tr w:rsidR="00415A99" w14:paraId="499143A6" w14:textId="77777777">
        <w:tc>
          <w:tcPr>
            <w:tcW w:w="170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7944D1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8</w:t>
            </w:r>
          </w:p>
        </w:tc>
        <w:tc>
          <w:tcPr>
            <w:tcW w:w="170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51E53D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O</w:t>
            </w:r>
          </w:p>
        </w:tc>
        <w:tc>
          <w:tcPr>
            <w:tcW w:w="170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D40A70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Oxygen</w:t>
            </w: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A123C8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85.36</w:t>
            </w:r>
          </w:p>
        </w:tc>
        <w:tc>
          <w:tcPr>
            <w:tcW w:w="170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E6993C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61.82</w:t>
            </w:r>
          </w:p>
        </w:tc>
      </w:tr>
      <w:tr w:rsidR="00415A99" w14:paraId="5AA37FAD" w14:textId="77777777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14:paraId="64DD21A0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14:paraId="125FEDAA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Al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14:paraId="052D53E0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Aluminum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36F765EF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0.52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4C0E4615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0.62</w:t>
            </w:r>
          </w:p>
        </w:tc>
      </w:tr>
      <w:tr w:rsidR="00415A99" w14:paraId="22C49E80" w14:textId="77777777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14:paraId="4D65E6D7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27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14:paraId="59559B86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Co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14:paraId="443C4037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Cobalt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56786455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6.87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63ADEF5D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18.31</w:t>
            </w:r>
          </w:p>
        </w:tc>
      </w:tr>
      <w:tr w:rsidR="00415A99" w14:paraId="3B07B823" w14:textId="77777777">
        <w:tc>
          <w:tcPr>
            <w:tcW w:w="170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C015490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28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A15FDC5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Ni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8B51FF3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Nickel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97554A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7.25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3AFD192" w14:textId="77777777" w:rsidR="00415A99" w:rsidRDefault="00A73CE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19.24</w:t>
            </w:r>
          </w:p>
        </w:tc>
      </w:tr>
    </w:tbl>
    <w:p w14:paraId="322FF859" w14:textId="77777777" w:rsidR="00415A99" w:rsidRDefault="00415A99">
      <w:pPr>
        <w:rPr>
          <w:rFonts w:ascii="Times New Roman" w:eastAsia="宋体" w:hAnsi="Times New Roman" w:cs="Times New Roman"/>
          <w:szCs w:val="21"/>
        </w:rPr>
      </w:pPr>
    </w:p>
    <w:p w14:paraId="6B42CDB4" w14:textId="77777777" w:rsidR="00415A99" w:rsidRDefault="00415A99">
      <w:pPr>
        <w:rPr>
          <w:rFonts w:ascii="Times New Roman" w:eastAsia="宋体" w:hAnsi="Times New Roman" w:cs="Times New Roman"/>
          <w:szCs w:val="21"/>
        </w:rPr>
      </w:pPr>
    </w:p>
    <w:p w14:paraId="7CDA54EB" w14:textId="77777777" w:rsidR="00415A99" w:rsidRDefault="00415A99">
      <w:pPr>
        <w:rPr>
          <w:rFonts w:ascii="Times New Roman" w:eastAsia="宋体" w:hAnsi="Times New Roman" w:cs="Times New Roman"/>
          <w:szCs w:val="21"/>
        </w:rPr>
      </w:pPr>
    </w:p>
    <w:p w14:paraId="5EF8B62D" w14:textId="77777777" w:rsidR="00415A99" w:rsidRDefault="00A73CE2">
      <w:pPr>
        <w:jc w:val="left"/>
      </w:pPr>
      <w:r>
        <w:rPr>
          <w:rFonts w:eastAsia="宋体" w:hint="eastAsia"/>
        </w:rPr>
        <w:lastRenderedPageBreak/>
        <w:t xml:space="preserve">           </w:t>
      </w:r>
      <w:r>
        <w:rPr>
          <w:noProof/>
        </w:rPr>
        <w:drawing>
          <wp:inline distT="0" distB="0" distL="114300" distR="114300" wp14:anchorId="37C3573B" wp14:editId="5BF6380A">
            <wp:extent cx="3663315" cy="3243580"/>
            <wp:effectExtent l="0" t="0" r="6985" b="762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63315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1D177" w14:textId="77777777" w:rsidR="00415A99" w:rsidRDefault="00A73CE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Fig. S</w:t>
      </w:r>
      <w:r>
        <w:rPr>
          <w:rFonts w:ascii="Times New Roman" w:eastAsia="宋体" w:hAnsi="Times New Roman" w:cs="Times New Roman" w:hint="eastAsia"/>
          <w:b/>
          <w:bCs/>
          <w:sz w:val="24"/>
        </w:rPr>
        <w:t>3</w:t>
      </w:r>
      <w:r>
        <w:rPr>
          <w:rFonts w:ascii="Times New Roman" w:hAnsi="Times New Roman" w:cs="Times New Roman"/>
          <w:sz w:val="36"/>
          <w:szCs w:val="44"/>
        </w:rPr>
        <w:t xml:space="preserve">. </w:t>
      </w:r>
      <w:r>
        <w:rPr>
          <w:rFonts w:ascii="Times New Roman" w:hAnsi="Times New Roman" w:cs="Times New Roman" w:hint="eastAsia"/>
          <w:sz w:val="24"/>
        </w:rPr>
        <w:t>The XPS survey spectra of NiCoAl-LDH and NiCo-LDH</w:t>
      </w:r>
    </w:p>
    <w:p w14:paraId="028C98C4" w14:textId="77777777" w:rsidR="00415A99" w:rsidRDefault="00415A99">
      <w:pPr>
        <w:jc w:val="left"/>
      </w:pPr>
    </w:p>
    <w:p w14:paraId="66CD5458" w14:textId="77777777" w:rsidR="00415A99" w:rsidRDefault="00A73CE2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Table S</w:t>
      </w:r>
      <w:r>
        <w:rPr>
          <w:rFonts w:ascii="Times New Roman" w:eastAsia="宋体" w:hAnsi="Times New Roman" w:cs="Times New Roman" w:hint="eastAsia"/>
          <w:b/>
          <w:bCs/>
          <w:sz w:val="24"/>
        </w:rPr>
        <w:t>3</w:t>
      </w:r>
      <w:r>
        <w:rPr>
          <w:rFonts w:ascii="Times New Roman" w:hAnsi="Times New Roman" w:cs="Times New Roman"/>
          <w:b/>
          <w:bCs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Element compositions (at. %) of samples calculated from XPS results.</w:t>
      </w:r>
    </w:p>
    <w:tbl>
      <w:tblPr>
        <w:tblW w:w="7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0"/>
        <w:gridCol w:w="1420"/>
        <w:gridCol w:w="1420"/>
        <w:gridCol w:w="1580"/>
        <w:gridCol w:w="1620"/>
      </w:tblGrid>
      <w:tr w:rsidR="00415A99" w14:paraId="1CD88388" w14:textId="77777777">
        <w:trPr>
          <w:trHeight w:val="378"/>
        </w:trPr>
        <w:tc>
          <w:tcPr>
            <w:tcW w:w="1860" w:type="dxa"/>
            <w:vMerge w:val="restart"/>
            <w:tcBorders>
              <w:top w:val="single" w:sz="12" w:space="0" w:color="auto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299633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Samples</w:t>
            </w:r>
          </w:p>
        </w:tc>
        <w:tc>
          <w:tcPr>
            <w:tcW w:w="6040" w:type="dxa"/>
            <w:gridSpan w:val="4"/>
            <w:tcBorders>
              <w:top w:val="single" w:sz="12" w:space="0" w:color="auto"/>
              <w:bottom w:val="single" w:sz="6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741864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Contents (%)</w:t>
            </w:r>
          </w:p>
        </w:tc>
      </w:tr>
      <w:tr w:rsidR="00415A99" w14:paraId="4B532462" w14:textId="77777777">
        <w:trPr>
          <w:trHeight w:val="240"/>
        </w:trPr>
        <w:tc>
          <w:tcPr>
            <w:tcW w:w="1860" w:type="dxa"/>
            <w:vMerge/>
            <w:tcBorders>
              <w:top w:val="single" w:sz="12" w:space="0" w:color="000000"/>
              <w:bottom w:val="single" w:sz="6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93AABA8" w14:textId="77777777" w:rsidR="00415A99" w:rsidRDefault="00415A99">
            <w:pPr>
              <w:spacing w:line="240" w:lineRule="auto"/>
              <w:jc w:val="center"/>
              <w:rPr>
                <w:rFonts w:ascii="宋体"/>
                <w:b/>
                <w:bCs/>
                <w:sz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AD82F2A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</w:rPr>
              <w:t>Ni</w:t>
            </w:r>
          </w:p>
        </w:tc>
        <w:tc>
          <w:tcPr>
            <w:tcW w:w="1420" w:type="dxa"/>
            <w:tcBorders>
              <w:top w:val="single" w:sz="6" w:space="0" w:color="auto"/>
              <w:bottom w:val="single" w:sz="6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961DA5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</w:rPr>
              <w:t>Co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3FC3669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</w:rPr>
              <w:t>Al</w:t>
            </w:r>
          </w:p>
        </w:tc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C00A2C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</w:rPr>
              <w:t>O</w:t>
            </w:r>
          </w:p>
        </w:tc>
      </w:tr>
      <w:tr w:rsidR="00415A99" w14:paraId="26DAB3E1" w14:textId="77777777">
        <w:trPr>
          <w:trHeight w:val="240"/>
        </w:trPr>
        <w:tc>
          <w:tcPr>
            <w:tcW w:w="18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FA79ABE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NiCoAl-LDH-6</w:t>
            </w:r>
          </w:p>
        </w:tc>
        <w:tc>
          <w:tcPr>
            <w:tcW w:w="1420" w:type="dxa"/>
            <w:tcBorders>
              <w:top w:val="nil"/>
              <w:bottom w:val="nil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BE84E60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t>12.69</w:t>
            </w:r>
          </w:p>
        </w:tc>
        <w:tc>
          <w:tcPr>
            <w:tcW w:w="1420" w:type="dxa"/>
            <w:tcBorders>
              <w:top w:val="nil"/>
              <w:bottom w:val="nil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A13B388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t>11.56</w:t>
            </w:r>
          </w:p>
        </w:tc>
        <w:tc>
          <w:tcPr>
            <w:tcW w:w="1580" w:type="dxa"/>
            <w:tcBorders>
              <w:top w:val="nil"/>
              <w:bottom w:val="nil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0DB4F94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1.4</w:t>
            </w:r>
          </w:p>
        </w:tc>
        <w:tc>
          <w:tcPr>
            <w:tcW w:w="1620" w:type="dxa"/>
            <w:tcBorders>
              <w:top w:val="nil"/>
              <w:bottom w:val="nil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888E58A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t>74.35</w:t>
            </w:r>
          </w:p>
        </w:tc>
      </w:tr>
      <w:tr w:rsidR="00415A99" w14:paraId="01535E10" w14:textId="77777777">
        <w:trPr>
          <w:trHeight w:val="240"/>
        </w:trPr>
        <w:tc>
          <w:tcPr>
            <w:tcW w:w="1860" w:type="dxa"/>
            <w:tcBorders>
              <w:top w:val="nil"/>
              <w:bottom w:val="single" w:sz="12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F3382ED" w14:textId="77777777" w:rsidR="00415A99" w:rsidRDefault="00A73CE2">
            <w:pPr>
              <w:pStyle w:val="a7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NiCo-LDH</w:t>
            </w:r>
          </w:p>
        </w:tc>
        <w:tc>
          <w:tcPr>
            <w:tcW w:w="1420" w:type="dxa"/>
            <w:tcBorders>
              <w:top w:val="nil"/>
              <w:bottom w:val="single" w:sz="12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6327CD0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12.87</w:t>
            </w:r>
          </w:p>
        </w:tc>
        <w:tc>
          <w:tcPr>
            <w:tcW w:w="1420" w:type="dxa"/>
            <w:tcBorders>
              <w:top w:val="nil"/>
              <w:bottom w:val="single" w:sz="12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9EB12AD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11.72</w:t>
            </w:r>
          </w:p>
        </w:tc>
        <w:tc>
          <w:tcPr>
            <w:tcW w:w="1580" w:type="dxa"/>
            <w:tcBorders>
              <w:top w:val="nil"/>
              <w:bottom w:val="single" w:sz="12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A384BE5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  <w:tc>
          <w:tcPr>
            <w:tcW w:w="1620" w:type="dxa"/>
            <w:tcBorders>
              <w:top w:val="nil"/>
              <w:bottom w:val="single" w:sz="12" w:space="0" w:color="auto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CC449E3" w14:textId="77777777" w:rsidR="00415A99" w:rsidRDefault="00A73CE2">
            <w:pPr>
              <w:pStyle w:val="a7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75.41</w:t>
            </w:r>
          </w:p>
        </w:tc>
      </w:tr>
    </w:tbl>
    <w:p w14:paraId="54DF6B80" w14:textId="45FC5E66" w:rsidR="00415A99" w:rsidRDefault="00A73CE2" w:rsidP="00A73CE2">
      <w:pPr>
        <w:jc w:val="center"/>
      </w:pPr>
      <w:r>
        <w:rPr>
          <w:rFonts w:eastAsia="宋体" w:hint="eastAsia"/>
        </w:rPr>
        <w:t xml:space="preserve">     </w:t>
      </w:r>
      <w:r>
        <w:rPr>
          <w:noProof/>
        </w:rPr>
        <w:drawing>
          <wp:inline distT="0" distB="0" distL="114300" distR="114300" wp14:anchorId="0FD0CE06" wp14:editId="587C6F5B">
            <wp:extent cx="5271770" cy="1706880"/>
            <wp:effectExtent l="0" t="0" r="11430" b="762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BFDD2" w14:textId="77777777" w:rsidR="00415A99" w:rsidRDefault="00A73CE2">
      <w:pPr>
        <w:jc w:val="center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eastAsia="微软雅黑" w:hAnsi="Times New Roman" w:cs="Times New Roman"/>
          <w:b/>
          <w:bCs/>
          <w:color w:val="000000" w:themeColor="text1"/>
          <w:sz w:val="24"/>
        </w:rPr>
        <w:t>Fig. S</w:t>
      </w:r>
      <w:r>
        <w:rPr>
          <w:rFonts w:ascii="Times New Roman" w:eastAsia="微软雅黑" w:hAnsi="Times New Roman" w:cs="Times New Roman" w:hint="eastAsia"/>
          <w:b/>
          <w:bCs/>
          <w:color w:val="000000" w:themeColor="text1"/>
          <w:sz w:val="24"/>
        </w:rPr>
        <w:t>4</w:t>
      </w:r>
      <w:r>
        <w:rPr>
          <w:rFonts w:ascii="Times New Roman" w:eastAsia="微软雅黑" w:hAnsi="Times New Roman" w:cs="Times New Roman"/>
          <w:b/>
          <w:bCs/>
          <w:color w:val="000000" w:themeColor="text1"/>
          <w:sz w:val="24"/>
        </w:rPr>
        <w:t xml:space="preserve">. </w:t>
      </w:r>
      <w:r>
        <w:rPr>
          <w:rFonts w:ascii="Times New Roman" w:eastAsia="微软雅黑" w:hAnsi="Times New Roman" w:cs="Times New Roman"/>
          <w:color w:val="000000" w:themeColor="text1"/>
          <w:sz w:val="24"/>
        </w:rPr>
        <w:t>(a)</w:t>
      </w:r>
      <w:r>
        <w:rPr>
          <w:rFonts w:ascii="Times New Roman" w:eastAsia="微软雅黑" w:hAnsi="Times New Roman" w:cs="Times New Roman"/>
          <w:b/>
          <w:bCs/>
          <w:color w:val="000000" w:themeColor="text1"/>
          <w:sz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CV curves of NiCoAl-LDH and NiCo-LDH at a scan rate of </w:t>
      </w:r>
      <w:r>
        <w:rPr>
          <w:rFonts w:ascii="Times New Roman" w:eastAsia="宋体" w:hAnsi="Times New Roman" w:cs="Times New Roman"/>
          <w:color w:val="000000" w:themeColor="text1"/>
          <w:sz w:val="24"/>
        </w:rPr>
        <w:t>5 mV s</w:t>
      </w:r>
      <w:r>
        <w:rPr>
          <w:rFonts w:ascii="Times New Roman" w:eastAsia="宋体" w:hAnsi="Times New Roman" w:cs="Times New Roman"/>
          <w:color w:val="000000" w:themeColor="text1"/>
          <w:sz w:val="24"/>
          <w:vertAlign w:val="superscript"/>
        </w:rPr>
        <w:t>-1</w:t>
      </w:r>
      <w:r>
        <w:rPr>
          <w:rFonts w:ascii="Times New Roman" w:eastAsia="宋体" w:hAnsi="Times New Roman" w:cs="Times New Roman"/>
          <w:sz w:val="24"/>
        </w:rPr>
        <w:t xml:space="preserve">, </w:t>
      </w:r>
      <w:r>
        <w:rPr>
          <w:rFonts w:ascii="Times New Roman" w:eastAsia="微软雅黑" w:hAnsi="Times New Roman" w:cs="Times New Roman"/>
          <w:sz w:val="24"/>
        </w:rPr>
        <w:t>(</w:t>
      </w:r>
      <w:r>
        <w:rPr>
          <w:rFonts w:ascii="Times New Roman" w:eastAsia="微软雅黑" w:hAnsi="Times New Roman" w:cs="Times New Roman" w:hint="eastAsia"/>
          <w:sz w:val="24"/>
        </w:rPr>
        <w:t>b</w:t>
      </w:r>
      <w:r>
        <w:rPr>
          <w:rFonts w:ascii="Times New Roman" w:eastAsia="微软雅黑" w:hAnsi="Times New Roman" w:cs="Times New Roman"/>
          <w:sz w:val="24"/>
        </w:rPr>
        <w:t>)</w:t>
      </w:r>
      <w:r>
        <w:rPr>
          <w:rFonts w:ascii="Times New Roman" w:eastAsia="微软雅黑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GCD curves of NiCoAl-LDH and NiCo-LDH at </w:t>
      </w:r>
      <w:r>
        <w:rPr>
          <w:rFonts w:ascii="Times New Roman" w:eastAsia="宋体" w:hAnsi="Times New Roman" w:cs="Times New Roman"/>
          <w:sz w:val="24"/>
        </w:rPr>
        <w:t>1 A g</w:t>
      </w:r>
      <w:r>
        <w:rPr>
          <w:rFonts w:ascii="Times New Roman" w:eastAsia="宋体" w:hAnsi="Times New Roman" w:cs="Times New Roman"/>
          <w:sz w:val="24"/>
          <w:vertAlign w:val="superscript"/>
        </w:rPr>
        <w:t>-1</w:t>
      </w:r>
      <w:r>
        <w:rPr>
          <w:rFonts w:ascii="Times New Roman" w:eastAsia="宋体" w:hAnsi="Times New Roman" w:cs="Times New Roman"/>
          <w:sz w:val="24"/>
        </w:rPr>
        <w:t xml:space="preserve">, and </w:t>
      </w:r>
      <w:r>
        <w:rPr>
          <w:rFonts w:ascii="Times New Roman" w:eastAsia="微软雅黑" w:hAnsi="Times New Roman" w:cs="Times New Roman"/>
          <w:sz w:val="24"/>
        </w:rPr>
        <w:t>(</w:t>
      </w:r>
      <w:r>
        <w:rPr>
          <w:rFonts w:ascii="Times New Roman" w:eastAsia="微软雅黑" w:hAnsi="Times New Roman" w:cs="Times New Roman" w:hint="eastAsia"/>
          <w:sz w:val="24"/>
        </w:rPr>
        <w:t>c</w:t>
      </w:r>
      <w:r>
        <w:rPr>
          <w:rFonts w:ascii="Times New Roman" w:eastAsia="微软雅黑" w:hAnsi="Times New Roman" w:cs="Times New Roman"/>
          <w:sz w:val="24"/>
        </w:rPr>
        <w:t xml:space="preserve">) EIS Nyquist plot of </w:t>
      </w:r>
      <w:r>
        <w:rPr>
          <w:rFonts w:ascii="Times New Roman" w:hAnsi="Times New Roman" w:cs="Times New Roman"/>
          <w:sz w:val="24"/>
        </w:rPr>
        <w:t>of NiCoAl-LDH and NiCo-LDH.</w:t>
      </w:r>
    </w:p>
    <w:p w14:paraId="24B51F7B" w14:textId="77777777" w:rsidR="00415A99" w:rsidRDefault="00415A99">
      <w:pPr>
        <w:rPr>
          <w:rFonts w:ascii="Times New Roman" w:eastAsia="宋体" w:hAnsi="Times New Roman" w:cs="Times New Roman"/>
          <w:szCs w:val="21"/>
        </w:rPr>
      </w:pPr>
    </w:p>
    <w:p w14:paraId="53858261" w14:textId="77777777" w:rsidR="00415A99" w:rsidRDefault="00415A99">
      <w:pPr>
        <w:rPr>
          <w:rFonts w:ascii="Times New Roman" w:eastAsia="宋体" w:hAnsi="Times New Roman" w:cs="Times New Roman"/>
          <w:szCs w:val="21"/>
        </w:rPr>
      </w:pPr>
    </w:p>
    <w:p w14:paraId="312C6225" w14:textId="77777777" w:rsidR="00415A99" w:rsidRDefault="00A73CE2">
      <w:r>
        <w:rPr>
          <w:rFonts w:eastAsia="宋体" w:hint="eastAsia"/>
        </w:rPr>
        <w:lastRenderedPageBreak/>
        <w:t xml:space="preserve">             </w:t>
      </w:r>
      <w:r>
        <w:rPr>
          <w:noProof/>
        </w:rPr>
        <w:drawing>
          <wp:inline distT="0" distB="0" distL="114300" distR="114300" wp14:anchorId="38C8D239" wp14:editId="0B359839">
            <wp:extent cx="3472815" cy="2922905"/>
            <wp:effectExtent l="0" t="0" r="6985" b="1079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72815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A24DA" w14:textId="77777777" w:rsidR="00415A99" w:rsidRDefault="00A73CE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eastAsia="微软雅黑" w:hAnsi="Times New Roman" w:cs="Times New Roman"/>
          <w:b/>
          <w:bCs/>
          <w:color w:val="000000" w:themeColor="text1"/>
          <w:sz w:val="24"/>
        </w:rPr>
        <w:t>Fig. S</w:t>
      </w:r>
      <w:r>
        <w:rPr>
          <w:rFonts w:ascii="Times New Roman" w:eastAsia="微软雅黑" w:hAnsi="Times New Roman" w:cs="Times New Roman" w:hint="eastAsia"/>
          <w:b/>
          <w:bCs/>
          <w:color w:val="000000" w:themeColor="text1"/>
          <w:sz w:val="24"/>
        </w:rPr>
        <w:t>5</w:t>
      </w:r>
      <w:r>
        <w:rPr>
          <w:rFonts w:ascii="Times New Roman" w:eastAsia="微软雅黑" w:hAnsi="Times New Roman" w:cs="Times New Roman"/>
          <w:b/>
          <w:bCs/>
          <w:color w:val="000000" w:themeColor="text1"/>
          <w:sz w:val="24"/>
        </w:rPr>
        <w:t>.</w:t>
      </w:r>
      <w:r>
        <w:rPr>
          <w:rFonts w:ascii="Times New Roman" w:eastAsia="微软雅黑" w:hAnsi="Times New Roman" w:cs="Times New Roman" w:hint="eastAsia"/>
          <w:b/>
          <w:bCs/>
          <w:color w:val="000000" w:themeColor="text1"/>
          <w:sz w:val="24"/>
        </w:rPr>
        <w:t xml:space="preserve"> </w:t>
      </w:r>
      <w:r>
        <w:rPr>
          <w:rFonts w:ascii="Times New Roman" w:eastAsia="微软雅黑" w:hAnsi="Times New Roman" w:cs="Times New Roman" w:hint="eastAsia"/>
          <w:b/>
          <w:b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The b-values of the anodic and cathodic peaks</w:t>
      </w:r>
    </w:p>
    <w:p w14:paraId="6854888C" w14:textId="77777777" w:rsidR="00415A99" w:rsidRDefault="00415A99">
      <w:pPr>
        <w:jc w:val="center"/>
        <w:rPr>
          <w:rFonts w:ascii="Times New Roman" w:hAnsi="Times New Roman" w:cs="Times New Roman"/>
          <w:sz w:val="24"/>
        </w:rPr>
      </w:pPr>
    </w:p>
    <w:p w14:paraId="1834A0AD" w14:textId="77777777" w:rsidR="00415A99" w:rsidRDefault="00A73CE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eastAsia="微软雅黑" w:hAnsi="Times New Roman" w:cs="Times New Roman" w:hint="eastAsia"/>
          <w:b/>
          <w:bCs/>
          <w:noProof/>
          <w:color w:val="000000"/>
          <w:sz w:val="24"/>
        </w:rPr>
        <w:drawing>
          <wp:inline distT="0" distB="0" distL="114300" distR="114300" wp14:anchorId="221D6913" wp14:editId="5D54B160">
            <wp:extent cx="5252085" cy="2075815"/>
            <wp:effectExtent l="0" t="0" r="5715" b="6985"/>
            <wp:docPr id="5" name="图片 5" descr="形貌机理图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形貌机理图_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4D59B" w14:textId="77777777" w:rsidR="00415A99" w:rsidRDefault="00A73CE2">
      <w:pPr>
        <w:jc w:val="center"/>
        <w:rPr>
          <w:rFonts w:ascii="Times New Roman" w:eastAsia="微软雅黑" w:hAnsi="Times New Roman" w:cs="Times New Roman"/>
          <w:sz w:val="24"/>
        </w:rPr>
      </w:pPr>
      <w:r>
        <w:rPr>
          <w:rFonts w:ascii="Times New Roman" w:eastAsia="微软雅黑" w:hAnsi="Times New Roman" w:cs="Times New Roman"/>
          <w:b/>
          <w:bCs/>
          <w:sz w:val="24"/>
        </w:rPr>
        <w:t xml:space="preserve">Fig. S6. </w:t>
      </w:r>
      <w:r>
        <w:rPr>
          <w:rFonts w:ascii="Times New Roman" w:eastAsia="微软雅黑" w:hAnsi="Times New Roman" w:cs="Times New Roman"/>
          <w:sz w:val="24"/>
        </w:rPr>
        <w:t>(a) Surface morphology of the electrode after cycling and (b) XRD pattern of the electrode before and after cycling.</w:t>
      </w:r>
    </w:p>
    <w:p w14:paraId="38A11A11" w14:textId="77777777" w:rsidR="00415A99" w:rsidRDefault="00A73CE2">
      <w:pPr>
        <w:jc w:val="center"/>
      </w:pPr>
      <w:r>
        <w:rPr>
          <w:noProof/>
        </w:rPr>
        <w:drawing>
          <wp:inline distT="0" distB="0" distL="114300" distR="114300" wp14:anchorId="1525A7EA" wp14:editId="60A76F08">
            <wp:extent cx="3024505" cy="2336165"/>
            <wp:effectExtent l="0" t="0" r="1079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24505" cy="233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1C6C9" w14:textId="77777777" w:rsidR="00415A99" w:rsidRDefault="00A73CE2">
      <w:pPr>
        <w:jc w:val="center"/>
        <w:rPr>
          <w:rFonts w:ascii="Times New Roman" w:eastAsia="微软雅黑" w:hAnsi="Times New Roman" w:cs="Times New Roman"/>
          <w:color w:val="000000"/>
          <w:sz w:val="24"/>
        </w:rPr>
        <w:sectPr w:rsidR="00415A9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eastAsia="微软雅黑" w:hAnsi="Times New Roman" w:cs="Times New Roman"/>
          <w:b/>
          <w:bCs/>
          <w:color w:val="000000"/>
          <w:sz w:val="24"/>
        </w:rPr>
        <w:t>Fig. S7.</w:t>
      </w:r>
      <w:r>
        <w:rPr>
          <w:rFonts w:ascii="Times New Roman" w:eastAsia="微软雅黑" w:hAnsi="Times New Roman" w:cs="Times New Roman" w:hint="eastAsia"/>
          <w:b/>
          <w:bCs/>
          <w:color w:val="000000"/>
          <w:sz w:val="24"/>
        </w:rPr>
        <w:t xml:space="preserve">  </w:t>
      </w:r>
      <w:r>
        <w:rPr>
          <w:rFonts w:ascii="Times New Roman" w:eastAsia="微软雅黑" w:hAnsi="Times New Roman" w:cs="Times New Roman" w:hint="eastAsia"/>
          <w:color w:val="000000"/>
          <w:sz w:val="24"/>
        </w:rPr>
        <w:t>Schematic diagram of NiCoAl-LDH-6 // AC device assembly</w:t>
      </w:r>
    </w:p>
    <w:p w14:paraId="02E3C0E0" w14:textId="77777777" w:rsidR="00415A99" w:rsidRDefault="00A73CE2">
      <w:pPr>
        <w:jc w:val="center"/>
        <w:rPr>
          <w:color w:val="FF0000"/>
        </w:rPr>
      </w:pPr>
      <w:r>
        <w:rPr>
          <w:noProof/>
        </w:rPr>
        <w:lastRenderedPageBreak/>
        <w:drawing>
          <wp:inline distT="0" distB="0" distL="114300" distR="114300" wp14:anchorId="125B7A7F" wp14:editId="5A7725E3">
            <wp:extent cx="5269230" cy="1238885"/>
            <wp:effectExtent l="0" t="0" r="1270" b="571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23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AF929" w14:textId="77777777" w:rsidR="00415A99" w:rsidRDefault="00A73CE2">
      <w:pPr>
        <w:jc w:val="center"/>
        <w:rPr>
          <w:rFonts w:ascii="Times New Roman" w:eastAsia="微软雅黑" w:hAnsi="Times New Roman" w:cs="Times New Roman"/>
          <w:sz w:val="24"/>
        </w:rPr>
      </w:pPr>
      <w:r>
        <w:rPr>
          <w:rFonts w:ascii="Times New Roman" w:eastAsia="微软雅黑" w:hAnsi="Times New Roman" w:cs="Times New Roman"/>
          <w:b/>
          <w:bCs/>
          <w:color w:val="000000" w:themeColor="text1"/>
          <w:sz w:val="24"/>
        </w:rPr>
        <w:t>Fig. S8.</w:t>
      </w:r>
      <w:r>
        <w:rPr>
          <w:rFonts w:ascii="Times New Roman" w:eastAsia="微软雅黑" w:hAnsi="Times New Roman" w:cs="Times New Roman" w:hint="eastAsia"/>
          <w:b/>
          <w:bCs/>
          <w:color w:val="000000" w:themeColor="text1"/>
          <w:sz w:val="24"/>
        </w:rPr>
        <w:t xml:space="preserve"> </w:t>
      </w:r>
      <w:r>
        <w:rPr>
          <w:rFonts w:ascii="Times New Roman" w:eastAsia="微软雅黑" w:hAnsi="Times New Roman" w:cs="Times New Roman"/>
          <w:color w:val="000000" w:themeColor="text1"/>
          <w:sz w:val="24"/>
        </w:rPr>
        <w:t>(a) Operation of a fan powered by the device, (b) powering of an electronic watch, and (c) calculator.</w:t>
      </w:r>
    </w:p>
    <w:p w14:paraId="00E5850C" w14:textId="77777777" w:rsidR="00415A99" w:rsidRDefault="00415A99">
      <w:pPr>
        <w:jc w:val="center"/>
        <w:rPr>
          <w:rFonts w:ascii="Times New Roman" w:eastAsia="微软雅黑" w:hAnsi="Times New Roman" w:cs="Times New Roman"/>
          <w:color w:val="000000" w:themeColor="text1"/>
          <w:sz w:val="24"/>
        </w:rPr>
      </w:pPr>
    </w:p>
    <w:sectPr w:rsidR="00415A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2C5AD" w14:textId="77777777" w:rsidR="00B31FEE" w:rsidRDefault="00B31FEE">
      <w:pPr>
        <w:spacing w:line="240" w:lineRule="auto"/>
      </w:pPr>
      <w:r>
        <w:separator/>
      </w:r>
    </w:p>
  </w:endnote>
  <w:endnote w:type="continuationSeparator" w:id="0">
    <w:p w14:paraId="137342BA" w14:textId="77777777" w:rsidR="00B31FEE" w:rsidRDefault="00B31F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EF713" w14:textId="77777777" w:rsidR="00B31FEE" w:rsidRDefault="00B31FEE">
      <w:r>
        <w:separator/>
      </w:r>
    </w:p>
  </w:footnote>
  <w:footnote w:type="continuationSeparator" w:id="0">
    <w:p w14:paraId="2EEEFD81" w14:textId="77777777" w:rsidR="00B31FEE" w:rsidRDefault="00B31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F44A7D4"/>
    <w:multiLevelType w:val="singleLevel"/>
    <w:tmpl w:val="9F44A7D4"/>
    <w:lvl w:ilvl="0">
      <w:start w:val="1"/>
      <w:numFmt w:val="decimalEnclosedCircleChinese"/>
      <w:pStyle w:val="4424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 w16cid:durableId="2683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rEwtTAxMTI3MTA2szRW0lEKTi0uzszPAykwqwUAceHb8SwAAAA="/>
  </w:docVars>
  <w:rsids>
    <w:rsidRoot w:val="282F784B"/>
    <w:rsid w:val="00033003"/>
    <w:rsid w:val="00065F00"/>
    <w:rsid w:val="000F4449"/>
    <w:rsid w:val="001C7D3A"/>
    <w:rsid w:val="001D6BB0"/>
    <w:rsid w:val="002803A0"/>
    <w:rsid w:val="00283501"/>
    <w:rsid w:val="00285804"/>
    <w:rsid w:val="002E3F7E"/>
    <w:rsid w:val="002F119A"/>
    <w:rsid w:val="003652D9"/>
    <w:rsid w:val="00415A99"/>
    <w:rsid w:val="004401ED"/>
    <w:rsid w:val="004769F4"/>
    <w:rsid w:val="005609D2"/>
    <w:rsid w:val="005B173D"/>
    <w:rsid w:val="005B5B22"/>
    <w:rsid w:val="00663834"/>
    <w:rsid w:val="00670155"/>
    <w:rsid w:val="006A01B3"/>
    <w:rsid w:val="006C344E"/>
    <w:rsid w:val="006E6977"/>
    <w:rsid w:val="006F25A8"/>
    <w:rsid w:val="00717620"/>
    <w:rsid w:val="00742C31"/>
    <w:rsid w:val="007F5D1F"/>
    <w:rsid w:val="00803BEA"/>
    <w:rsid w:val="008D7DE4"/>
    <w:rsid w:val="00911DEC"/>
    <w:rsid w:val="009746AF"/>
    <w:rsid w:val="009B1634"/>
    <w:rsid w:val="009B6D97"/>
    <w:rsid w:val="009C3AF5"/>
    <w:rsid w:val="00A356A7"/>
    <w:rsid w:val="00A555C0"/>
    <w:rsid w:val="00A73CE2"/>
    <w:rsid w:val="00A9760C"/>
    <w:rsid w:val="00AD53B8"/>
    <w:rsid w:val="00B10747"/>
    <w:rsid w:val="00B31FEE"/>
    <w:rsid w:val="00B405ED"/>
    <w:rsid w:val="00C146BD"/>
    <w:rsid w:val="00CA5547"/>
    <w:rsid w:val="00CD683B"/>
    <w:rsid w:val="00CE7255"/>
    <w:rsid w:val="00CF563E"/>
    <w:rsid w:val="00D06DF5"/>
    <w:rsid w:val="00D24B1B"/>
    <w:rsid w:val="00D5109E"/>
    <w:rsid w:val="00D525FE"/>
    <w:rsid w:val="00D86DEC"/>
    <w:rsid w:val="00D9650F"/>
    <w:rsid w:val="00DA5EA9"/>
    <w:rsid w:val="00DB720B"/>
    <w:rsid w:val="00DE2CE6"/>
    <w:rsid w:val="00E049B1"/>
    <w:rsid w:val="00E10900"/>
    <w:rsid w:val="00E40992"/>
    <w:rsid w:val="00EC4EBA"/>
    <w:rsid w:val="00F1014C"/>
    <w:rsid w:val="00F66FB6"/>
    <w:rsid w:val="00F92118"/>
    <w:rsid w:val="00FC545A"/>
    <w:rsid w:val="00FF78E8"/>
    <w:rsid w:val="016A347B"/>
    <w:rsid w:val="064222D0"/>
    <w:rsid w:val="089A79AF"/>
    <w:rsid w:val="09412B4D"/>
    <w:rsid w:val="0F1C58C6"/>
    <w:rsid w:val="10A666CB"/>
    <w:rsid w:val="160E121C"/>
    <w:rsid w:val="19DA1C23"/>
    <w:rsid w:val="1F161D1D"/>
    <w:rsid w:val="22110474"/>
    <w:rsid w:val="22301C59"/>
    <w:rsid w:val="267E0CAB"/>
    <w:rsid w:val="282F784B"/>
    <w:rsid w:val="2AED6127"/>
    <w:rsid w:val="2B247DB0"/>
    <w:rsid w:val="2B8164E8"/>
    <w:rsid w:val="30864743"/>
    <w:rsid w:val="3E570308"/>
    <w:rsid w:val="3FAE6AE0"/>
    <w:rsid w:val="418C0D18"/>
    <w:rsid w:val="465D24C1"/>
    <w:rsid w:val="47D907FC"/>
    <w:rsid w:val="4CA61C30"/>
    <w:rsid w:val="4D6B792C"/>
    <w:rsid w:val="4F680C94"/>
    <w:rsid w:val="52250B39"/>
    <w:rsid w:val="58F509F1"/>
    <w:rsid w:val="5C5F7047"/>
    <w:rsid w:val="5D1551BE"/>
    <w:rsid w:val="5D706906"/>
    <w:rsid w:val="5FEA0B84"/>
    <w:rsid w:val="61D74F81"/>
    <w:rsid w:val="62E775FD"/>
    <w:rsid w:val="640A2514"/>
    <w:rsid w:val="68D42A3B"/>
    <w:rsid w:val="6A9F106F"/>
    <w:rsid w:val="76272535"/>
    <w:rsid w:val="79992B9F"/>
    <w:rsid w:val="7D9E51D2"/>
    <w:rsid w:val="7FDD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761B437"/>
  <w15:docId w15:val="{1EE4F883-0AA1-4615-81AD-A5961D19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IN" w:eastAsia="zh-CN" w:bidi="ta-I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napToGrid w:val="0"/>
      <w:spacing w:line="360" w:lineRule="auto"/>
      <w:jc w:val="both"/>
    </w:pPr>
    <w:rPr>
      <w:rFonts w:asciiTheme="minorHAnsi" w:eastAsia="Times New Roman" w:hAnsiTheme="minorHAnsi" w:cstheme="minorBidi"/>
      <w:kern w:val="2"/>
      <w:sz w:val="21"/>
      <w:szCs w:val="24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513"/>
        <w:tab w:val="right" w:pos="9026"/>
      </w:tabs>
      <w:spacing w:line="240" w:lineRule="auto"/>
    </w:pPr>
  </w:style>
  <w:style w:type="paragraph" w:styleId="a5">
    <w:name w:val="header"/>
    <w:basedOn w:val="a"/>
    <w:link w:val="a6"/>
    <w:qFormat/>
    <w:pPr>
      <w:tabs>
        <w:tab w:val="center" w:pos="4513"/>
        <w:tab w:val="right" w:pos="9026"/>
      </w:tabs>
      <w:spacing w:line="240" w:lineRule="auto"/>
    </w:p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Latha" w:hint="eastAsia"/>
      <w:kern w:val="0"/>
      <w:sz w:val="24"/>
      <w:lang w:bidi="ta-IN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qFormat/>
    <w:rPr>
      <w:color w:val="0000FF"/>
      <w:u w:val="single"/>
    </w:rPr>
  </w:style>
  <w:style w:type="paragraph" w:customStyle="1" w:styleId="4424">
    <w:name w:val="4424"/>
    <w:basedOn w:val="a"/>
    <w:qFormat/>
    <w:pPr>
      <w:numPr>
        <w:numId w:val="1"/>
      </w:numPr>
      <w:ind w:firstLineChars="200" w:firstLine="480"/>
    </w:pPr>
    <w:rPr>
      <w:rFonts w:ascii="Segoe UI" w:eastAsia="微软雅黑" w:hAnsi="Segoe UI" w:cs="Segoe UI"/>
      <w:color w:val="3C464F"/>
      <w:sz w:val="24"/>
      <w:shd w:val="clear" w:color="auto" w:fill="FFFFFF"/>
    </w:rPr>
  </w:style>
  <w:style w:type="character" w:customStyle="1" w:styleId="1">
    <w:name w:val="正文1"/>
    <w:basedOn w:val="a0"/>
    <w:qFormat/>
    <w:rPr>
      <w:rFonts w:eastAsiaTheme="minorEastAsia"/>
      <w:sz w:val="24"/>
    </w:rPr>
  </w:style>
  <w:style w:type="character" w:customStyle="1" w:styleId="a6">
    <w:name w:val="页眉 字符"/>
    <w:basedOn w:val="a0"/>
    <w:link w:val="a5"/>
    <w:qFormat/>
    <w:rPr>
      <w:rFonts w:asciiTheme="minorHAnsi" w:eastAsia="Times New Roman" w:hAnsiTheme="minorHAnsi" w:cstheme="minorBidi"/>
      <w:kern w:val="2"/>
      <w:sz w:val="21"/>
      <w:szCs w:val="24"/>
      <w:lang w:val="en-US" w:bidi="ar-SA"/>
    </w:rPr>
  </w:style>
  <w:style w:type="character" w:customStyle="1" w:styleId="a4">
    <w:name w:val="页脚 字符"/>
    <w:basedOn w:val="a0"/>
    <w:link w:val="a3"/>
    <w:qFormat/>
    <w:rPr>
      <w:rFonts w:asciiTheme="minorHAnsi" w:eastAsia="Times New Roman" w:hAnsiTheme="minorHAnsi" w:cstheme="minorBidi"/>
      <w:kern w:val="2"/>
      <w:sz w:val="21"/>
      <w:szCs w:val="24"/>
      <w:lang w:val="en-US" w:bidi="ar-SA"/>
    </w:rPr>
  </w:style>
  <w:style w:type="character" w:customStyle="1" w:styleId="label">
    <w:name w:val="label"/>
    <w:basedOn w:val="a0"/>
    <w:qFormat/>
  </w:style>
  <w:style w:type="paragraph" w:customStyle="1" w:styleId="aa">
    <w:name w:val="表格里字体"/>
    <w:basedOn w:val="a"/>
    <w:qFormat/>
    <w:pPr>
      <w:spacing w:before="60" w:after="60"/>
      <w:jc w:val="center"/>
    </w:pPr>
    <w:rPr>
      <w:rFonts w:ascii="Times New Roman" w:eastAsia="宋体" w:hAnsi="Times New Roman" w:cs="Latha"/>
      <w:sz w:val="22"/>
      <w:szCs w:val="18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tz@xju.edu.cn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vkavinchem@gmail.com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896</Words>
  <Characters>5384</Characters>
  <Application>Microsoft Office Word</Application>
  <DocSecurity>0</DocSecurity>
  <Lines>44</Lines>
  <Paragraphs>12</Paragraphs>
  <ScaleCrop>false</ScaleCrop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.A</dc:creator>
  <cp:lastModifiedBy>tian huang</cp:lastModifiedBy>
  <cp:revision>5</cp:revision>
  <dcterms:created xsi:type="dcterms:W3CDTF">2026-08-25T15:13:00Z</dcterms:created>
  <dcterms:modified xsi:type="dcterms:W3CDTF">2026-09-05T09:50:00Z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16ED9D8EECB74A8FB05CCD076C2AAF2F_13</vt:lpwstr>
  </property>
  <property fmtid="{D5CDD505-2E9C-101B-9397-08002B2CF9AE}" pid="4" name="KSOTemplateDocerSaveRecord">
    <vt:lpwstr>eyJoZGlkIjoiZTYzODAyNmEzZWM0ZGJkM2FkNTQyOGQ4ZjhiNGY0MTkiLCJ1c2VySWQiOiIxODcwNDkwNDM4In0=</vt:lpwstr>
  </property>
</Properties>
</file>