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44C71" w14:textId="77777777" w:rsidR="00243A2B" w:rsidRPr="00B6211C" w:rsidRDefault="00243A2B" w:rsidP="00243A2B">
      <w:pPr>
        <w:spacing w:after="240" w:line="360" w:lineRule="auto"/>
        <w:jc w:val="center"/>
        <w:rPr>
          <w:rFonts w:cs="Times New Roman"/>
          <w:b/>
          <w:bCs/>
          <w:sz w:val="36"/>
          <w:szCs w:val="36"/>
        </w:rPr>
      </w:pPr>
      <w:r w:rsidRPr="00B6211C">
        <w:rPr>
          <w:rFonts w:cs="Times New Roman"/>
          <w:b/>
          <w:bCs/>
          <w:sz w:val="36"/>
          <w:szCs w:val="36"/>
        </w:rPr>
        <w:t>SUPPORTING INFORMATION</w:t>
      </w:r>
    </w:p>
    <w:p w14:paraId="4B8EC829" w14:textId="77777777" w:rsidR="007E39D0" w:rsidRPr="00B6211C" w:rsidRDefault="007E39D0" w:rsidP="008D2824">
      <w:pPr>
        <w:snapToGrid w:val="0"/>
        <w:spacing w:before="240" w:after="240" w:line="360" w:lineRule="auto"/>
        <w:jc w:val="center"/>
        <w:rPr>
          <w:rFonts w:ascii="Arial" w:hAnsi="Arial" w:cs="Arial"/>
          <w:b/>
          <w:bCs/>
          <w:sz w:val="32"/>
          <w:szCs w:val="28"/>
        </w:rPr>
      </w:pPr>
      <w:bookmarkStart w:id="0" w:name="_Hlk186983031"/>
      <w:bookmarkStart w:id="1" w:name="_Hlk179653554"/>
      <w:bookmarkStart w:id="2" w:name="OLE_LINK5"/>
      <w:bookmarkStart w:id="3" w:name="OLE_LINK4"/>
      <w:bookmarkEnd w:id="0"/>
      <w:r w:rsidRPr="00B6211C">
        <w:rPr>
          <w:rFonts w:ascii="Arial" w:hAnsi="Arial" w:cs="Arial"/>
          <w:b/>
          <w:bCs/>
          <w:sz w:val="32"/>
          <w:szCs w:val="28"/>
        </w:rPr>
        <w:t>Metalated Polymer Brush Coatings with Excellent Transparence and Antibacterial Properties</w:t>
      </w:r>
      <w:bookmarkEnd w:id="1"/>
      <w:bookmarkEnd w:id="2"/>
      <w:bookmarkEnd w:id="3"/>
    </w:p>
    <w:p w14:paraId="3FA1AADB" w14:textId="77777777" w:rsidR="007E39D0" w:rsidRPr="00B6211C" w:rsidRDefault="007E39D0" w:rsidP="007E39D0">
      <w:pPr>
        <w:widowControl/>
        <w:spacing w:after="180" w:line="360" w:lineRule="auto"/>
        <w:jc w:val="center"/>
        <w:rPr>
          <w:rFonts w:cs="Times New Roman"/>
          <w:b/>
          <w:bCs/>
          <w:kern w:val="26"/>
          <w:szCs w:val="20"/>
          <w:lang w:eastAsia="en-US"/>
        </w:rPr>
      </w:pPr>
      <w:bookmarkStart w:id="4" w:name="_Hlk190875877"/>
      <w:r w:rsidRPr="00B6211C">
        <w:rPr>
          <w:rFonts w:cs="Times New Roman"/>
          <w:b/>
          <w:bCs/>
          <w:kern w:val="26"/>
          <w:szCs w:val="20"/>
          <w:lang w:eastAsia="en-US"/>
        </w:rPr>
        <w:t>Ling Yin</w:t>
      </w:r>
      <w:r w:rsidRPr="00B6211C">
        <w:rPr>
          <w:rFonts w:cs="Times New Roman"/>
          <w:b/>
          <w:bCs/>
          <w:kern w:val="26"/>
          <w:szCs w:val="20"/>
          <w:vertAlign w:val="superscript"/>
          <w:lang w:eastAsia="en-US"/>
        </w:rPr>
        <w:t>1,2</w:t>
      </w:r>
      <w:r w:rsidRPr="00B6211C">
        <w:rPr>
          <w:rFonts w:cs="Times New Roman"/>
          <w:b/>
          <w:bCs/>
          <w:kern w:val="26"/>
          <w:szCs w:val="20"/>
          <w:lang w:eastAsia="en-US"/>
        </w:rPr>
        <w:t>, Shengfei Li</w:t>
      </w:r>
      <w:r w:rsidRPr="00B6211C">
        <w:rPr>
          <w:rFonts w:cs="Times New Roman"/>
          <w:b/>
          <w:bCs/>
          <w:kern w:val="26"/>
          <w:szCs w:val="20"/>
          <w:vertAlign w:val="superscript"/>
          <w:lang w:eastAsia="en-US"/>
        </w:rPr>
        <w:t>1</w:t>
      </w:r>
      <w:r w:rsidRPr="00B6211C">
        <w:rPr>
          <w:rFonts w:cs="Times New Roman"/>
          <w:b/>
          <w:bCs/>
          <w:kern w:val="26"/>
          <w:szCs w:val="20"/>
          <w:lang w:eastAsia="en-US"/>
        </w:rPr>
        <w:t>, Yuxiang Zhao</w:t>
      </w:r>
      <w:r w:rsidRPr="00B6211C">
        <w:rPr>
          <w:rFonts w:cs="Times New Roman"/>
          <w:b/>
          <w:bCs/>
          <w:kern w:val="26"/>
          <w:szCs w:val="20"/>
          <w:vertAlign w:val="superscript"/>
          <w:lang w:eastAsia="en-US"/>
        </w:rPr>
        <w:t>1,2</w:t>
      </w:r>
      <w:r w:rsidRPr="00B6211C">
        <w:rPr>
          <w:rFonts w:cs="Times New Roman"/>
          <w:b/>
          <w:bCs/>
          <w:kern w:val="26"/>
          <w:szCs w:val="20"/>
          <w:lang w:eastAsia="en-US"/>
        </w:rPr>
        <w:t>, Guangen Fu</w:t>
      </w:r>
      <w:r w:rsidRPr="00B6211C">
        <w:rPr>
          <w:rFonts w:cs="Times New Roman"/>
          <w:b/>
          <w:bCs/>
          <w:kern w:val="26"/>
          <w:szCs w:val="20"/>
          <w:vertAlign w:val="superscript"/>
          <w:lang w:eastAsia="en-US"/>
        </w:rPr>
        <w:t>1</w:t>
      </w:r>
      <w:r w:rsidRPr="00B6211C">
        <w:rPr>
          <w:rFonts w:cs="Times New Roman"/>
          <w:b/>
          <w:bCs/>
          <w:kern w:val="26"/>
          <w:szCs w:val="20"/>
          <w:lang w:eastAsia="en-US"/>
        </w:rPr>
        <w:t>, Haoyong Yang</w:t>
      </w:r>
      <w:r w:rsidRPr="00B6211C">
        <w:rPr>
          <w:rFonts w:cs="Times New Roman"/>
          <w:b/>
          <w:bCs/>
          <w:kern w:val="26"/>
          <w:szCs w:val="20"/>
          <w:vertAlign w:val="superscript"/>
          <w:lang w:eastAsia="en-US"/>
        </w:rPr>
        <w:t>1</w:t>
      </w:r>
      <w:r w:rsidRPr="00B6211C">
        <w:rPr>
          <w:rFonts w:cs="Times New Roman"/>
          <w:b/>
          <w:bCs/>
          <w:kern w:val="26"/>
          <w:szCs w:val="20"/>
          <w:lang w:eastAsia="en-US"/>
        </w:rPr>
        <w:t>, Daheng Wu</w:t>
      </w:r>
      <w:r w:rsidRPr="00B6211C">
        <w:rPr>
          <w:rFonts w:cs="Times New Roman"/>
          <w:b/>
          <w:bCs/>
          <w:kern w:val="26"/>
          <w:szCs w:val="20"/>
          <w:vertAlign w:val="superscript"/>
          <w:lang w:eastAsia="en-US"/>
        </w:rPr>
        <w:t>1</w:t>
      </w:r>
      <w:r w:rsidRPr="00B6211C">
        <w:rPr>
          <w:rFonts w:cs="Times New Roman"/>
          <w:b/>
          <w:bCs/>
          <w:kern w:val="26"/>
          <w:szCs w:val="20"/>
          <w:lang w:eastAsia="en-US"/>
        </w:rPr>
        <w:t>, Jianing Wang</w:t>
      </w:r>
      <w:r w:rsidRPr="00B6211C">
        <w:rPr>
          <w:rFonts w:cs="Times New Roman"/>
          <w:b/>
          <w:bCs/>
          <w:kern w:val="26"/>
          <w:szCs w:val="20"/>
          <w:vertAlign w:val="superscript"/>
          <w:lang w:eastAsia="en-US"/>
        </w:rPr>
        <w:t>1</w:t>
      </w:r>
      <w:r w:rsidRPr="00B6211C">
        <w:rPr>
          <w:rFonts w:cs="Times New Roman"/>
          <w:b/>
          <w:bCs/>
          <w:kern w:val="26"/>
          <w:szCs w:val="20"/>
          <w:lang w:eastAsia="en-US"/>
        </w:rPr>
        <w:t>, Tao Zhang</w:t>
      </w:r>
      <w:r w:rsidRPr="00B6211C">
        <w:rPr>
          <w:rFonts w:cs="Times New Roman"/>
          <w:b/>
          <w:bCs/>
          <w:kern w:val="26"/>
          <w:szCs w:val="20"/>
          <w:vertAlign w:val="superscript"/>
          <w:lang w:eastAsia="en-US"/>
        </w:rPr>
        <w:t>1</w:t>
      </w:r>
    </w:p>
    <w:p w14:paraId="382464DB" w14:textId="77777777" w:rsidR="007E39D0" w:rsidRPr="00B6211C" w:rsidRDefault="007E39D0" w:rsidP="007E39D0">
      <w:pPr>
        <w:widowControl/>
        <w:spacing w:line="360" w:lineRule="auto"/>
        <w:jc w:val="center"/>
        <w:rPr>
          <w:rFonts w:cs="Times New Roman"/>
          <w:kern w:val="26"/>
          <w:szCs w:val="20"/>
          <w:lang w:eastAsia="en-US"/>
        </w:rPr>
      </w:pPr>
      <w:r w:rsidRPr="00B6211C">
        <w:rPr>
          <w:rFonts w:cs="Times New Roman"/>
          <w:kern w:val="26"/>
          <w:szCs w:val="20"/>
          <w:lang w:eastAsia="en-US"/>
        </w:rPr>
        <w:t>1 State Key Laboratory of Advanced Marine Materials, Ningbo Institute of Materials Technology and Engineering, Chinese Academy of Sciences, Ningbo 315201, China</w:t>
      </w:r>
    </w:p>
    <w:p w14:paraId="673E0278" w14:textId="77777777" w:rsidR="007E39D0" w:rsidRPr="00B6211C" w:rsidRDefault="007E39D0" w:rsidP="007E39D0">
      <w:pPr>
        <w:widowControl/>
        <w:spacing w:after="180" w:line="360" w:lineRule="auto"/>
        <w:jc w:val="center"/>
        <w:rPr>
          <w:rFonts w:cs="Times New Roman"/>
          <w:kern w:val="26"/>
          <w:szCs w:val="20"/>
          <w:lang w:eastAsia="en-US"/>
        </w:rPr>
      </w:pPr>
      <w:r w:rsidRPr="00B6211C">
        <w:rPr>
          <w:rFonts w:cs="Times New Roman"/>
          <w:kern w:val="26"/>
          <w:szCs w:val="20"/>
          <w:lang w:eastAsia="en-US"/>
        </w:rPr>
        <w:t>2 University of Chinese Academy of Sciences, Beijing 100049, China</w:t>
      </w:r>
    </w:p>
    <w:bookmarkEnd w:id="4"/>
    <w:p w14:paraId="6D49D088" w14:textId="6A77AFCB" w:rsidR="00243A2B" w:rsidRPr="00B6211C" w:rsidRDefault="00243A2B">
      <w:pPr>
        <w:widowControl/>
        <w:jc w:val="left"/>
        <w:rPr>
          <w:szCs w:val="24"/>
        </w:rPr>
      </w:pPr>
      <w:r w:rsidRPr="00B6211C">
        <w:rPr>
          <w:szCs w:val="24"/>
        </w:rPr>
        <w:br w:type="page"/>
      </w:r>
    </w:p>
    <w:p w14:paraId="6BBCF9D2" w14:textId="6D0EF213" w:rsidR="0077131B" w:rsidRPr="00B6211C" w:rsidRDefault="0077131B" w:rsidP="007E39D0">
      <w:pPr>
        <w:spacing w:line="360" w:lineRule="auto"/>
        <w:rPr>
          <w:rFonts w:cs="Times New Roman"/>
          <w:b/>
          <w:bCs/>
          <w:sz w:val="28"/>
          <w:szCs w:val="28"/>
        </w:rPr>
      </w:pPr>
      <w:r w:rsidRPr="00B6211C">
        <w:rPr>
          <w:rFonts w:cs="Times New Roman"/>
          <w:b/>
          <w:bCs/>
          <w:sz w:val="28"/>
          <w:szCs w:val="28"/>
        </w:rPr>
        <w:lastRenderedPageBreak/>
        <w:t>Supplementary Figures</w:t>
      </w:r>
    </w:p>
    <w:p w14:paraId="4ABAE30E" w14:textId="50F77633" w:rsidR="00243A2B" w:rsidRPr="00B6211C" w:rsidRDefault="00DC465E" w:rsidP="0077131B">
      <w:pPr>
        <w:pStyle w:val="a7"/>
        <w:adjustRightInd w:val="0"/>
        <w:spacing w:before="240" w:line="360" w:lineRule="auto"/>
        <w:ind w:firstLineChars="0" w:firstLine="0"/>
        <w:jc w:val="center"/>
        <w:rPr>
          <w:rFonts w:cs="Times New Roman"/>
          <w:b/>
          <w:bCs/>
          <w:szCs w:val="24"/>
        </w:rPr>
      </w:pPr>
      <w:r w:rsidRPr="00B6211C">
        <w:rPr>
          <w:rFonts w:cs="Times New Roman"/>
          <w:b/>
          <w:bCs/>
          <w:noProof/>
          <w:szCs w:val="24"/>
        </w:rPr>
        <w:drawing>
          <wp:inline distT="0" distB="0" distL="0" distR="0" wp14:anchorId="4A515528" wp14:editId="3CF2FD98">
            <wp:extent cx="4554220" cy="27559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4220" cy="2755900"/>
                    </a:xfrm>
                    <a:prstGeom prst="rect">
                      <a:avLst/>
                    </a:prstGeom>
                    <a:noFill/>
                  </pic:spPr>
                </pic:pic>
              </a:graphicData>
            </a:graphic>
          </wp:inline>
        </w:drawing>
      </w:r>
    </w:p>
    <w:p w14:paraId="0ABF562D" w14:textId="02C877C5" w:rsidR="004A1DD1" w:rsidRPr="00B6211C" w:rsidRDefault="00243A2B" w:rsidP="00D53458">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Schematic diagram of Cu</w:t>
      </w:r>
      <w:r w:rsidRPr="00B6211C">
        <w:rPr>
          <w:rFonts w:cs="Times New Roman"/>
          <w:szCs w:val="24"/>
          <w:vertAlign w:val="superscript"/>
        </w:rPr>
        <w:t>0</w:t>
      </w:r>
      <w:r w:rsidRPr="00B6211C">
        <w:rPr>
          <w:rFonts w:cs="Times New Roman"/>
          <w:szCs w:val="24"/>
        </w:rPr>
        <w:t>-mediated surface-initiated controlled radical polymerization method (SI-Cu</w:t>
      </w:r>
      <w:r w:rsidRPr="00B6211C">
        <w:rPr>
          <w:rFonts w:cs="Times New Roman"/>
          <w:szCs w:val="24"/>
          <w:vertAlign w:val="superscript"/>
        </w:rPr>
        <w:t>0</w:t>
      </w:r>
      <w:r w:rsidRPr="00B6211C">
        <w:rPr>
          <w:rFonts w:cs="Times New Roman"/>
          <w:szCs w:val="24"/>
        </w:rPr>
        <w:t>CRP).</w:t>
      </w:r>
    </w:p>
    <w:p w14:paraId="14CB2E1A" w14:textId="16F6F937" w:rsidR="00D53458" w:rsidRPr="00B6211C" w:rsidRDefault="004A1DD1" w:rsidP="004A1DD1">
      <w:pPr>
        <w:widowControl/>
        <w:jc w:val="left"/>
        <w:rPr>
          <w:rFonts w:cs="Times New Roman"/>
          <w:szCs w:val="24"/>
        </w:rPr>
      </w:pPr>
      <w:r w:rsidRPr="00B6211C">
        <w:rPr>
          <w:rFonts w:cs="Times New Roman"/>
          <w:szCs w:val="24"/>
        </w:rPr>
        <w:br w:type="page"/>
      </w:r>
    </w:p>
    <w:p w14:paraId="06EED383" w14:textId="77777777" w:rsidR="00243A2B" w:rsidRPr="00B6211C" w:rsidRDefault="00243A2B" w:rsidP="00D53458">
      <w:pPr>
        <w:pStyle w:val="a7"/>
        <w:adjustRightInd w:val="0"/>
        <w:spacing w:before="240"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7457B718" wp14:editId="4D67ADC9">
            <wp:extent cx="2485292" cy="2079182"/>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8">
                      <a:extLst>
                        <a:ext uri="{28A0092B-C50C-407E-A947-70E740481C1C}">
                          <a14:useLocalDpi xmlns:a14="http://schemas.microsoft.com/office/drawing/2010/main"/>
                        </a:ext>
                      </a:extLst>
                    </a:blip>
                    <a:srcRect t="3446" b="1"/>
                    <a:stretch/>
                  </pic:blipFill>
                  <pic:spPr bwMode="auto">
                    <a:xfrm>
                      <a:off x="0" y="0"/>
                      <a:ext cx="2507843" cy="2098048"/>
                    </a:xfrm>
                    <a:prstGeom prst="rect">
                      <a:avLst/>
                    </a:prstGeom>
                    <a:noFill/>
                    <a:ln>
                      <a:noFill/>
                    </a:ln>
                    <a:extLst>
                      <a:ext uri="{53640926-AAD7-44D8-BBD7-CCE9431645EC}">
                        <a14:shadowObscured xmlns:a14="http://schemas.microsoft.com/office/drawing/2010/main"/>
                      </a:ext>
                    </a:extLst>
                  </pic:spPr>
                </pic:pic>
              </a:graphicData>
            </a:graphic>
          </wp:inline>
        </w:drawing>
      </w:r>
    </w:p>
    <w:p w14:paraId="1D22EBBD" w14:textId="77777777" w:rsidR="00D53458" w:rsidRPr="00B6211C" w:rsidRDefault="00243A2B" w:rsidP="00243A2B">
      <w:pPr>
        <w:pStyle w:val="a7"/>
        <w:numPr>
          <w:ilvl w:val="0"/>
          <w:numId w:val="2"/>
        </w:numPr>
        <w:adjustRightInd w:val="0"/>
        <w:spacing w:line="360" w:lineRule="auto"/>
        <w:ind w:firstLineChars="0"/>
        <w:rPr>
          <w:szCs w:val="24"/>
        </w:rPr>
      </w:pPr>
      <w:r w:rsidRPr="00B6211C">
        <w:rPr>
          <w:rFonts w:cs="Times New Roman" w:hint="eastAsia"/>
          <w:szCs w:val="24"/>
        </w:rPr>
        <w:t xml:space="preserve"> </w:t>
      </w:r>
      <w:r w:rsidRPr="00B6211C">
        <w:rPr>
          <w:szCs w:val="24"/>
        </w:rPr>
        <w:t>The corresponding FTIR spectrum of MAA monomer (pink line) and PMAA polymer brush (red line)</w:t>
      </w:r>
      <w:r w:rsidRPr="00B6211C">
        <w:rPr>
          <w:rFonts w:hint="eastAsia"/>
          <w:szCs w:val="24"/>
        </w:rPr>
        <w:t>.</w:t>
      </w:r>
      <w:r w:rsidRPr="00B6211C">
        <w:rPr>
          <w:szCs w:val="24"/>
        </w:rPr>
        <w:t xml:space="preserve"> </w:t>
      </w:r>
    </w:p>
    <w:p w14:paraId="051FB639" w14:textId="23886ED6" w:rsidR="00D53458" w:rsidRPr="00B6211C" w:rsidRDefault="00243A2B" w:rsidP="00D53458">
      <w:pPr>
        <w:pStyle w:val="a7"/>
        <w:adjustRightInd w:val="0"/>
        <w:spacing w:line="360" w:lineRule="auto"/>
        <w:ind w:firstLineChars="0" w:firstLine="0"/>
        <w:rPr>
          <w:szCs w:val="24"/>
        </w:rPr>
      </w:pPr>
      <w:r w:rsidRPr="00B6211C">
        <w:rPr>
          <w:szCs w:val="24"/>
        </w:rPr>
        <w:t>MAA, monomer, displays characteristic carboxylic acid peaks at 1710 cm</w:t>
      </w:r>
      <w:r w:rsidRPr="00B6211C">
        <w:rPr>
          <w:szCs w:val="24"/>
          <w:vertAlign w:val="superscript"/>
        </w:rPr>
        <w:t>-1</w:t>
      </w:r>
      <w:r w:rsidRPr="00B6211C">
        <w:rPr>
          <w:szCs w:val="24"/>
        </w:rPr>
        <w:t xml:space="preserve"> (-C=O, stretch), 1631 cm</w:t>
      </w:r>
      <w:r w:rsidRPr="00B6211C">
        <w:rPr>
          <w:szCs w:val="24"/>
          <w:vertAlign w:val="superscript"/>
        </w:rPr>
        <w:t>-1</w:t>
      </w:r>
      <w:r w:rsidRPr="00B6211C">
        <w:rPr>
          <w:szCs w:val="24"/>
        </w:rPr>
        <w:t xml:space="preserve"> (-C=C, stretch), 1300 cm</w:t>
      </w:r>
      <w:r w:rsidRPr="00B6211C">
        <w:rPr>
          <w:szCs w:val="24"/>
          <w:vertAlign w:val="superscript"/>
        </w:rPr>
        <w:t>-1</w:t>
      </w:r>
      <w:r w:rsidRPr="00B6211C">
        <w:rPr>
          <w:szCs w:val="24"/>
        </w:rPr>
        <w:t xml:space="preserve"> (-C-O, stretch) and 945 cm</w:t>
      </w:r>
      <w:r w:rsidRPr="00B6211C">
        <w:rPr>
          <w:szCs w:val="24"/>
          <w:vertAlign w:val="superscript"/>
        </w:rPr>
        <w:t>-1</w:t>
      </w:r>
      <w:r w:rsidRPr="00B6211C">
        <w:rPr>
          <w:szCs w:val="24"/>
        </w:rPr>
        <w:t xml:space="preserve"> (-OH, out-plane bending). The -C=O peaks increasing and the -C=C peaks decreasing of fourier transform infrared spectroscopy measurements (FTIR) indicate that the PMAA brushes have been successful polymerized.</w:t>
      </w:r>
    </w:p>
    <w:p w14:paraId="39CB203C" w14:textId="40A08366" w:rsidR="0077131B" w:rsidRPr="00B6211C" w:rsidRDefault="0077131B" w:rsidP="0077131B">
      <w:pPr>
        <w:widowControl/>
        <w:jc w:val="left"/>
        <w:rPr>
          <w:szCs w:val="24"/>
        </w:rPr>
      </w:pPr>
      <w:r w:rsidRPr="00B6211C">
        <w:rPr>
          <w:szCs w:val="24"/>
        </w:rPr>
        <w:br w:type="page"/>
      </w:r>
    </w:p>
    <w:p w14:paraId="0146762C" w14:textId="77777777" w:rsidR="00243A2B" w:rsidRPr="00B6211C" w:rsidRDefault="00243A2B" w:rsidP="00D53458">
      <w:pPr>
        <w:pStyle w:val="a7"/>
        <w:adjustRightInd w:val="0"/>
        <w:spacing w:before="240"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5CCA9004" wp14:editId="5557097C">
            <wp:extent cx="5122692" cy="677075"/>
            <wp:effectExtent l="0" t="0" r="1905" b="889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5158480" cy="681805"/>
                    </a:xfrm>
                    <a:prstGeom prst="rect">
                      <a:avLst/>
                    </a:prstGeom>
                    <a:noFill/>
                  </pic:spPr>
                </pic:pic>
              </a:graphicData>
            </a:graphic>
          </wp:inline>
        </w:drawing>
      </w:r>
    </w:p>
    <w:p w14:paraId="07302365" w14:textId="457E787D" w:rsidR="004A1DD1" w:rsidRPr="00B6211C" w:rsidRDefault="00243A2B" w:rsidP="00243A2B">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The static water angle of the silicon wafers modified with different material</w:t>
      </w:r>
      <w:r w:rsidR="00E83BA7" w:rsidRPr="00B6211C">
        <w:rPr>
          <w:rFonts w:cs="Times New Roman"/>
          <w:szCs w:val="24"/>
        </w:rPr>
        <w:t>,</w:t>
      </w:r>
      <w:r w:rsidRPr="00B6211C">
        <w:rPr>
          <w:rFonts w:cs="Times New Roman"/>
          <w:szCs w:val="24"/>
        </w:rPr>
        <w:t xml:space="preserve"> including SiO</w:t>
      </w:r>
      <w:r w:rsidRPr="00B6211C">
        <w:rPr>
          <w:rFonts w:cs="Times New Roman"/>
          <w:szCs w:val="24"/>
          <w:vertAlign w:val="subscript"/>
        </w:rPr>
        <w:t>2</w:t>
      </w:r>
      <w:r w:rsidRPr="00B6211C">
        <w:rPr>
          <w:rFonts w:cs="Times New Roman"/>
          <w:szCs w:val="24"/>
        </w:rPr>
        <w:t>, SiO</w:t>
      </w:r>
      <w:r w:rsidRPr="00B6211C">
        <w:rPr>
          <w:rFonts w:cs="Times New Roman"/>
          <w:szCs w:val="24"/>
          <w:vertAlign w:val="subscript"/>
        </w:rPr>
        <w:t>2</w:t>
      </w:r>
      <w:r w:rsidRPr="00B6211C">
        <w:rPr>
          <w:rFonts w:cs="Times New Roman"/>
          <w:szCs w:val="24"/>
        </w:rPr>
        <w:t>-Br, PMAA brushes, Cu-PB, and Ag-PB.</w:t>
      </w:r>
    </w:p>
    <w:p w14:paraId="3654B91A" w14:textId="56E64188" w:rsidR="00243A2B" w:rsidRPr="00B6211C" w:rsidRDefault="004A1DD1" w:rsidP="004A1DD1">
      <w:pPr>
        <w:widowControl/>
        <w:jc w:val="left"/>
        <w:rPr>
          <w:rFonts w:cs="Times New Roman"/>
          <w:szCs w:val="24"/>
        </w:rPr>
      </w:pPr>
      <w:r w:rsidRPr="00B6211C">
        <w:rPr>
          <w:rFonts w:cs="Times New Roman"/>
          <w:szCs w:val="24"/>
        </w:rPr>
        <w:br w:type="page"/>
      </w:r>
    </w:p>
    <w:p w14:paraId="75FC04EF" w14:textId="3E466FE9" w:rsidR="00243A2B" w:rsidRPr="00B6211C" w:rsidRDefault="00CB2F1D" w:rsidP="00D948DA">
      <w:pPr>
        <w:spacing w:before="240"/>
        <w:jc w:val="center"/>
        <w:rPr>
          <w:szCs w:val="24"/>
        </w:rPr>
      </w:pPr>
      <w:r w:rsidRPr="00B6211C">
        <w:rPr>
          <w:noProof/>
          <w:szCs w:val="24"/>
        </w:rPr>
        <w:lastRenderedPageBreak/>
        <w:drawing>
          <wp:inline distT="0" distB="0" distL="0" distR="0" wp14:anchorId="04F8EDEF" wp14:editId="3422AACF">
            <wp:extent cx="5087177" cy="4313897"/>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7177" cy="4313897"/>
                    </a:xfrm>
                    <a:prstGeom prst="rect">
                      <a:avLst/>
                    </a:prstGeom>
                    <a:noFill/>
                  </pic:spPr>
                </pic:pic>
              </a:graphicData>
            </a:graphic>
          </wp:inline>
        </w:drawing>
      </w:r>
    </w:p>
    <w:p w14:paraId="2F400E02" w14:textId="5D797B8B" w:rsidR="0024764B" w:rsidRPr="00B6211C" w:rsidRDefault="00CB2F1D" w:rsidP="00CB2F1D">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(a) PMAA brush thicknesses were obtained by SI-Cu</w:t>
      </w:r>
      <w:r w:rsidRPr="00B6211C">
        <w:rPr>
          <w:rFonts w:cs="Times New Roman"/>
          <w:szCs w:val="24"/>
          <w:vertAlign w:val="superscript"/>
        </w:rPr>
        <w:t>0</w:t>
      </w:r>
      <w:r w:rsidRPr="00B6211C">
        <w:rPr>
          <w:rFonts w:cs="Times New Roman"/>
          <w:szCs w:val="24"/>
        </w:rPr>
        <w:t xml:space="preserve">CRP with different kinds of ligands fixed at 75 mmol in 0.5 ml MAA and 1.5 mL of deionized water/DMSO (1:3) mixture. (b) Structural formulae for different ligands </w:t>
      </w:r>
      <w:r w:rsidRPr="00B6211C">
        <w:rPr>
          <w:rFonts w:cs="Times New Roman" w:hint="eastAsia"/>
          <w:szCs w:val="24"/>
        </w:rPr>
        <w:t>including</w:t>
      </w:r>
      <w:r w:rsidRPr="00B6211C">
        <w:rPr>
          <w:rFonts w:cs="Times New Roman"/>
          <w:szCs w:val="24"/>
        </w:rPr>
        <w:t xml:space="preserve"> </w:t>
      </w:r>
      <w:r w:rsidR="001F0F9A" w:rsidRPr="00B6211C">
        <w:rPr>
          <w:rFonts w:cs="Times New Roman"/>
          <w:szCs w:val="24"/>
        </w:rPr>
        <w:t>1,1,4,7,10,10-hexamethyltriethylene-tetramine (HMTETA)</w:t>
      </w:r>
      <w:r w:rsidR="001F0F9A" w:rsidRPr="00B6211C">
        <w:rPr>
          <w:rFonts w:cs="Times New Roman" w:hint="eastAsia"/>
          <w:szCs w:val="24"/>
        </w:rPr>
        <w:t>,</w:t>
      </w:r>
      <w:r w:rsidR="001F0F9A" w:rsidRPr="00B6211C">
        <w:rPr>
          <w:rFonts w:cs="Times New Roman"/>
          <w:szCs w:val="24"/>
        </w:rPr>
        <w:t xml:space="preserve"> Tris(2-pyridylmethyl)amine (TPMA), Pentamethyl diethylenetriamine </w:t>
      </w:r>
      <w:r w:rsidR="001F0F9A" w:rsidRPr="00B6211C">
        <w:rPr>
          <w:rFonts w:cs="Times New Roman" w:hint="eastAsia"/>
          <w:szCs w:val="24"/>
        </w:rPr>
        <w:t>(</w:t>
      </w:r>
      <w:r w:rsidR="001F0F9A" w:rsidRPr="00B6211C">
        <w:rPr>
          <w:rFonts w:cs="Times New Roman"/>
          <w:szCs w:val="24"/>
        </w:rPr>
        <w:t xml:space="preserve">PMDETA), N,N,N',N'-Tetramethylethylenediamine </w:t>
      </w:r>
      <w:r w:rsidR="001F0F9A" w:rsidRPr="00B6211C">
        <w:rPr>
          <w:rFonts w:cs="Times New Roman" w:hint="eastAsia"/>
          <w:szCs w:val="24"/>
        </w:rPr>
        <w:t>(</w:t>
      </w:r>
      <w:r w:rsidR="001F0F9A" w:rsidRPr="00B6211C">
        <w:rPr>
          <w:rFonts w:cs="Times New Roman"/>
          <w:szCs w:val="24"/>
        </w:rPr>
        <w:t xml:space="preserve">TMEDA), Methenamine (HMTA), 2,2'-Bipyridine </w:t>
      </w:r>
      <w:r w:rsidR="001F0F9A" w:rsidRPr="00B6211C">
        <w:rPr>
          <w:rFonts w:cs="Times New Roman" w:hint="eastAsia"/>
          <w:szCs w:val="24"/>
        </w:rPr>
        <w:t>(</w:t>
      </w:r>
      <w:r w:rsidR="001F0F9A" w:rsidRPr="00B6211C">
        <w:rPr>
          <w:rFonts w:cs="Times New Roman"/>
          <w:szCs w:val="24"/>
        </w:rPr>
        <w:t xml:space="preserve">BIPY), and Ethylene Diamine Tetraacetic Acid </w:t>
      </w:r>
      <w:r w:rsidR="001F0F9A" w:rsidRPr="00B6211C">
        <w:rPr>
          <w:rFonts w:cs="Times New Roman" w:hint="eastAsia"/>
          <w:szCs w:val="24"/>
        </w:rPr>
        <w:t>(</w:t>
      </w:r>
      <w:r w:rsidR="001F0F9A" w:rsidRPr="00B6211C">
        <w:rPr>
          <w:rFonts w:cs="Times New Roman"/>
          <w:szCs w:val="24"/>
        </w:rPr>
        <w:t>EDTA).</w:t>
      </w:r>
      <w:r w:rsidR="00F749BC" w:rsidRPr="00B6211C">
        <w:rPr>
          <w:rFonts w:cs="Times New Roman"/>
          <w:szCs w:val="24"/>
        </w:rPr>
        <w:t xml:space="preserve"> (c) Relationship between the thickness of PMAA brushes and the deposition distance (d=0.05, 0.10, 0.20 mm). (d) Variation of the growth thickness of PMAA brushes with the monomer concentration (the polymerization time is 50 min). (i) 0.733 M, (ii) 1.96 M, (iii) 2.40 M, (iv) 3.744 M, and (v) 4.415 M.</w:t>
      </w:r>
      <w:r w:rsidR="00264569" w:rsidRPr="00B6211C">
        <w:rPr>
          <w:rFonts w:cs="Times New Roman"/>
          <w:szCs w:val="24"/>
        </w:rPr>
        <w:t xml:space="preserve"> </w:t>
      </w:r>
      <w:r w:rsidR="006A76D8" w:rsidRPr="00B6211C">
        <w:rPr>
          <w:rFonts w:cs="Times New Roman"/>
          <w:szCs w:val="24"/>
        </w:rPr>
        <w:t xml:space="preserve">Optical photographs of PMAA brushes of different thicknesses are </w:t>
      </w:r>
      <w:r w:rsidR="00C51B40" w:rsidRPr="00B6211C">
        <w:rPr>
          <w:rFonts w:cs="Times New Roman"/>
          <w:szCs w:val="24"/>
        </w:rPr>
        <w:t>shown</w:t>
      </w:r>
      <w:r w:rsidR="006A76D8" w:rsidRPr="00B6211C">
        <w:rPr>
          <w:rFonts w:cs="Times New Roman"/>
          <w:szCs w:val="24"/>
        </w:rPr>
        <w:t xml:space="preserve"> in </w:t>
      </w:r>
      <w:r w:rsidR="00E83BA7" w:rsidRPr="00B6211C">
        <w:rPr>
          <w:rFonts w:cs="Times New Roman"/>
          <w:szCs w:val="24"/>
        </w:rPr>
        <w:t>Figures</w:t>
      </w:r>
      <w:r w:rsidR="006A76D8" w:rsidRPr="00B6211C">
        <w:rPr>
          <w:rFonts w:cs="Times New Roman"/>
          <w:szCs w:val="24"/>
        </w:rPr>
        <w:t xml:space="preserve"> </w:t>
      </w:r>
      <w:r w:rsidR="00C51B40" w:rsidRPr="00B6211C">
        <w:rPr>
          <w:rFonts w:cs="Times New Roman"/>
          <w:szCs w:val="24"/>
        </w:rPr>
        <w:t>(a), (c), and (d).</w:t>
      </w:r>
    </w:p>
    <w:p w14:paraId="1F3F69AA" w14:textId="77777777" w:rsidR="0024764B" w:rsidRPr="00B6211C" w:rsidRDefault="0024764B">
      <w:pPr>
        <w:widowControl/>
        <w:jc w:val="left"/>
        <w:rPr>
          <w:rFonts w:cs="Times New Roman"/>
          <w:szCs w:val="24"/>
        </w:rPr>
      </w:pPr>
      <w:r w:rsidRPr="00B6211C">
        <w:rPr>
          <w:rFonts w:cs="Times New Roman"/>
          <w:szCs w:val="24"/>
        </w:rPr>
        <w:br w:type="page"/>
      </w:r>
    </w:p>
    <w:p w14:paraId="32B00C0C" w14:textId="0058B0B3" w:rsidR="00590079" w:rsidRPr="00B6211C" w:rsidRDefault="00FA1550" w:rsidP="00FA1550">
      <w:pPr>
        <w:pStyle w:val="a7"/>
        <w:adjustRightInd w:val="0"/>
        <w:spacing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79D5D524" wp14:editId="7278C17B">
            <wp:extent cx="5193323" cy="7599075"/>
            <wp:effectExtent l="0" t="0" r="7620" b="190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3906" cy="7614560"/>
                    </a:xfrm>
                    <a:prstGeom prst="rect">
                      <a:avLst/>
                    </a:prstGeom>
                    <a:noFill/>
                  </pic:spPr>
                </pic:pic>
              </a:graphicData>
            </a:graphic>
          </wp:inline>
        </w:drawing>
      </w:r>
    </w:p>
    <w:p w14:paraId="26CAF8E9" w14:textId="1F5F9004" w:rsidR="004A1DD1" w:rsidRPr="00B6211C" w:rsidRDefault="00590079" w:rsidP="00301384">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SPM micrographs (10 </w:t>
      </w:r>
      <w:r w:rsidRPr="00B6211C">
        <w:rPr>
          <w:rFonts w:cs="Times New Roman"/>
          <w:i/>
          <w:iCs/>
          <w:szCs w:val="24"/>
        </w:rPr>
        <w:t>μ</w:t>
      </w:r>
      <w:r w:rsidRPr="00B6211C">
        <w:rPr>
          <w:rFonts w:cs="Times New Roman"/>
          <w:szCs w:val="24"/>
        </w:rPr>
        <w:t xml:space="preserve">m ×10 </w:t>
      </w:r>
      <w:r w:rsidRPr="00B6211C">
        <w:rPr>
          <w:rFonts w:cs="Times New Roman"/>
          <w:i/>
          <w:iCs/>
          <w:szCs w:val="24"/>
        </w:rPr>
        <w:t>μ</w:t>
      </w:r>
      <w:r w:rsidRPr="00B6211C">
        <w:rPr>
          <w:rFonts w:cs="Times New Roman"/>
          <w:szCs w:val="24"/>
        </w:rPr>
        <w:t xml:space="preserve">m) of the thickness of PMAA brushes with different monomer concentration (the polymerization time is </w:t>
      </w:r>
      <w:r w:rsidRPr="00B6211C">
        <w:rPr>
          <w:rFonts w:cs="Times New Roman" w:hint="eastAsia"/>
          <w:szCs w:val="24"/>
        </w:rPr>
        <w:t>6</w:t>
      </w:r>
      <w:r w:rsidRPr="00B6211C">
        <w:rPr>
          <w:rFonts w:cs="Times New Roman"/>
          <w:szCs w:val="24"/>
        </w:rPr>
        <w:t>0 min)</w:t>
      </w:r>
      <w:r w:rsidR="00301384" w:rsidRPr="00B6211C">
        <w:rPr>
          <w:rFonts w:cs="Times New Roman"/>
          <w:szCs w:val="24"/>
        </w:rPr>
        <w:t xml:space="preserve"> (a) and different polymerization times (the monomer concentration is 3.744 M).</w:t>
      </w:r>
    </w:p>
    <w:p w14:paraId="1D7151E5" w14:textId="09AA90DC" w:rsidR="00590079" w:rsidRPr="00B6211C" w:rsidRDefault="004A1DD1" w:rsidP="004A1DD1">
      <w:pPr>
        <w:widowControl/>
        <w:jc w:val="left"/>
        <w:rPr>
          <w:rFonts w:cs="Times New Roman"/>
          <w:szCs w:val="24"/>
        </w:rPr>
      </w:pPr>
      <w:r w:rsidRPr="00B6211C">
        <w:rPr>
          <w:rFonts w:cs="Times New Roman"/>
          <w:szCs w:val="24"/>
        </w:rPr>
        <w:br w:type="page"/>
      </w:r>
    </w:p>
    <w:p w14:paraId="2E2E212D" w14:textId="0997FA8A" w:rsidR="00590079" w:rsidRPr="00B6211C" w:rsidRDefault="00590079" w:rsidP="00301384">
      <w:pPr>
        <w:pStyle w:val="a7"/>
        <w:widowControl/>
        <w:adjustRightInd w:val="0"/>
        <w:spacing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48712E75" wp14:editId="69AE7D23">
            <wp:extent cx="4149003" cy="1409700"/>
            <wp:effectExtent l="0" t="0" r="4445"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4178282" cy="1419648"/>
                    </a:xfrm>
                    <a:prstGeom prst="rect">
                      <a:avLst/>
                    </a:prstGeom>
                    <a:noFill/>
                  </pic:spPr>
                </pic:pic>
              </a:graphicData>
            </a:graphic>
          </wp:inline>
        </w:drawing>
      </w:r>
    </w:p>
    <w:p w14:paraId="134ACC71" w14:textId="2EF6750B" w:rsidR="00DD0E2A" w:rsidRPr="00B6211C" w:rsidRDefault="00590079" w:rsidP="00590079">
      <w:pPr>
        <w:pStyle w:val="a7"/>
        <w:numPr>
          <w:ilvl w:val="0"/>
          <w:numId w:val="2"/>
        </w:numPr>
        <w:adjustRightInd w:val="0"/>
        <w:spacing w:line="360" w:lineRule="auto"/>
        <w:ind w:firstLineChars="0"/>
        <w:rPr>
          <w:rFonts w:cs="Times New Roman"/>
          <w:szCs w:val="24"/>
        </w:rPr>
      </w:pPr>
      <w:r w:rsidRPr="00B6211C">
        <w:rPr>
          <w:rFonts w:cs="Times New Roman" w:hint="eastAsia"/>
          <w:szCs w:val="24"/>
        </w:rPr>
        <w:t xml:space="preserve"> </w:t>
      </w:r>
      <w:r w:rsidRPr="00B6211C">
        <w:rPr>
          <w:rFonts w:cs="Times New Roman"/>
          <w:szCs w:val="24"/>
        </w:rPr>
        <w:t xml:space="preserve">Optical photographs of blank glass </w:t>
      </w:r>
      <w:r w:rsidR="00213950" w:rsidRPr="00B6211C">
        <w:rPr>
          <w:rFonts w:cs="Times New Roman"/>
          <w:szCs w:val="24"/>
        </w:rPr>
        <w:t xml:space="preserve">metallization </w:t>
      </w:r>
      <w:r w:rsidRPr="00B6211C">
        <w:rPr>
          <w:rFonts w:cs="Times New Roman"/>
          <w:szCs w:val="24"/>
        </w:rPr>
        <w:t xml:space="preserve">and polymer brush-modified glass metallization. </w:t>
      </w:r>
    </w:p>
    <w:p w14:paraId="017B4FBA" w14:textId="0BE9E418" w:rsidR="004A1DD1" w:rsidRPr="00B6211C" w:rsidRDefault="00590079" w:rsidP="000A7F6D">
      <w:pPr>
        <w:pStyle w:val="a7"/>
        <w:adjustRightInd w:val="0"/>
        <w:spacing w:line="360" w:lineRule="auto"/>
        <w:ind w:firstLineChars="0" w:firstLine="0"/>
        <w:rPr>
          <w:rFonts w:cs="Times New Roman"/>
          <w:szCs w:val="24"/>
        </w:rPr>
      </w:pPr>
      <w:r w:rsidRPr="00B6211C">
        <w:rPr>
          <w:rFonts w:cs="Times New Roman"/>
          <w:szCs w:val="24"/>
        </w:rPr>
        <w:t>We split the glass in half, one half is blank glass</w:t>
      </w:r>
      <w:r w:rsidR="00E83BA7" w:rsidRPr="00B6211C">
        <w:rPr>
          <w:rFonts w:cs="Times New Roman"/>
          <w:szCs w:val="24"/>
        </w:rPr>
        <w:t>,</w:t>
      </w:r>
      <w:r w:rsidRPr="00B6211C">
        <w:rPr>
          <w:rFonts w:cs="Times New Roman"/>
          <w:szCs w:val="24"/>
        </w:rPr>
        <w:t xml:space="preserve"> and the other half is PMAA trimmed. Under Ag conditions, a layer of black particles was attached to the surface of the blank glass, which significantly affected the optical properties.</w:t>
      </w:r>
    </w:p>
    <w:p w14:paraId="3350A0BF" w14:textId="5924D74A" w:rsidR="00B109DF" w:rsidRPr="00B6211C" w:rsidRDefault="004A1DD1" w:rsidP="004A1DD1">
      <w:pPr>
        <w:widowControl/>
        <w:jc w:val="left"/>
        <w:rPr>
          <w:rFonts w:cs="Times New Roman"/>
          <w:szCs w:val="24"/>
        </w:rPr>
      </w:pPr>
      <w:r w:rsidRPr="00B6211C">
        <w:rPr>
          <w:rFonts w:cs="Times New Roman"/>
          <w:szCs w:val="24"/>
        </w:rPr>
        <w:br w:type="page"/>
      </w:r>
    </w:p>
    <w:p w14:paraId="40570E35" w14:textId="00585582" w:rsidR="00EC0079" w:rsidRPr="00B6211C" w:rsidRDefault="00EC0079" w:rsidP="00AA2A18">
      <w:pPr>
        <w:widowControl/>
        <w:jc w:val="center"/>
        <w:rPr>
          <w:szCs w:val="24"/>
        </w:rPr>
      </w:pPr>
      <w:r w:rsidRPr="00B6211C">
        <w:rPr>
          <w:noProof/>
          <w:szCs w:val="24"/>
        </w:rPr>
        <w:lastRenderedPageBreak/>
        <w:drawing>
          <wp:inline distT="0" distB="0" distL="0" distR="0" wp14:anchorId="4C14C3F3" wp14:editId="0A6E5EA1">
            <wp:extent cx="4994564" cy="2323396"/>
            <wp:effectExtent l="0" t="0" r="0" b="127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4924" cy="2332867"/>
                    </a:xfrm>
                    <a:prstGeom prst="rect">
                      <a:avLst/>
                    </a:prstGeom>
                    <a:noFill/>
                  </pic:spPr>
                </pic:pic>
              </a:graphicData>
            </a:graphic>
          </wp:inline>
        </w:drawing>
      </w:r>
    </w:p>
    <w:p w14:paraId="57D4FF24" w14:textId="38650A36" w:rsidR="00EC0079" w:rsidRPr="00B6211C" w:rsidRDefault="00EC0079" w:rsidP="00EC0079">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SEM images of Cu-PB at different reaction concentrations (the Cu(NO</w:t>
      </w:r>
      <w:r w:rsidRPr="00B6211C">
        <w:rPr>
          <w:rFonts w:cs="Times New Roman"/>
          <w:szCs w:val="24"/>
          <w:vertAlign w:val="subscript"/>
        </w:rPr>
        <w:t>3</w:t>
      </w:r>
      <w:r w:rsidRPr="00B6211C">
        <w:rPr>
          <w:rFonts w:cs="Times New Roman"/>
          <w:szCs w:val="24"/>
        </w:rPr>
        <w:t>)</w:t>
      </w:r>
      <w:r w:rsidRPr="00B6211C">
        <w:rPr>
          <w:rFonts w:cs="Times New Roman"/>
          <w:szCs w:val="24"/>
          <w:vertAlign w:val="subscript"/>
        </w:rPr>
        <w:t>2</w:t>
      </w:r>
      <w:r w:rsidRPr="00B6211C">
        <w:rPr>
          <w:rFonts w:cs="Times New Roman"/>
          <w:szCs w:val="24"/>
        </w:rPr>
        <w:t xml:space="preserve"> solution using DMF as the solvent).</w:t>
      </w:r>
    </w:p>
    <w:p w14:paraId="793B40F6" w14:textId="77777777" w:rsidR="00EC0079" w:rsidRPr="00B6211C" w:rsidRDefault="00EC0079" w:rsidP="00AA2A18">
      <w:pPr>
        <w:widowControl/>
        <w:jc w:val="center"/>
        <w:rPr>
          <w:szCs w:val="24"/>
        </w:rPr>
      </w:pPr>
      <w:r w:rsidRPr="00B6211C">
        <w:rPr>
          <w:noProof/>
          <w:szCs w:val="24"/>
        </w:rPr>
        <w:drawing>
          <wp:inline distT="0" distB="0" distL="0" distR="0" wp14:anchorId="04BB1520" wp14:editId="539D0C35">
            <wp:extent cx="5029200" cy="2339919"/>
            <wp:effectExtent l="0" t="0" r="0" b="381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0617" cy="2349883"/>
                    </a:xfrm>
                    <a:prstGeom prst="rect">
                      <a:avLst/>
                    </a:prstGeom>
                    <a:noFill/>
                  </pic:spPr>
                </pic:pic>
              </a:graphicData>
            </a:graphic>
          </wp:inline>
        </w:drawing>
      </w:r>
    </w:p>
    <w:p w14:paraId="23819D8E" w14:textId="12720A8A" w:rsidR="004A1DD1" w:rsidRPr="00B6211C" w:rsidRDefault="00EC0079" w:rsidP="00EC0079">
      <w:pPr>
        <w:pStyle w:val="a7"/>
        <w:numPr>
          <w:ilvl w:val="0"/>
          <w:numId w:val="2"/>
        </w:numPr>
        <w:adjustRightInd w:val="0"/>
        <w:spacing w:line="360" w:lineRule="auto"/>
        <w:ind w:firstLineChars="0"/>
        <w:rPr>
          <w:rFonts w:cs="Times New Roman"/>
          <w:szCs w:val="24"/>
        </w:rPr>
      </w:pPr>
      <w:r w:rsidRPr="00B6211C">
        <w:rPr>
          <w:rFonts w:cs="Times New Roman"/>
          <w:szCs w:val="24"/>
        </w:rPr>
        <w:t>SEM images of Ag-PB coating at different reaction concentrations (the AgNO</w:t>
      </w:r>
      <w:r w:rsidRPr="00B6211C">
        <w:rPr>
          <w:rFonts w:cs="Times New Roman"/>
          <w:szCs w:val="24"/>
          <w:vertAlign w:val="subscript"/>
        </w:rPr>
        <w:t>3</w:t>
      </w:r>
      <w:r w:rsidRPr="00B6211C">
        <w:rPr>
          <w:rFonts w:cs="Times New Roman"/>
          <w:szCs w:val="24"/>
        </w:rPr>
        <w:t xml:space="preserve"> solution using DMF as the solvent).</w:t>
      </w:r>
    </w:p>
    <w:p w14:paraId="1B89D9B7" w14:textId="0E28E2C0" w:rsidR="004B2970" w:rsidRPr="00B6211C" w:rsidRDefault="004A1DD1" w:rsidP="004A1DD1">
      <w:pPr>
        <w:widowControl/>
        <w:jc w:val="left"/>
        <w:rPr>
          <w:rFonts w:cs="Times New Roman"/>
          <w:szCs w:val="24"/>
        </w:rPr>
      </w:pPr>
      <w:r w:rsidRPr="00B6211C">
        <w:rPr>
          <w:rFonts w:cs="Times New Roman"/>
          <w:szCs w:val="24"/>
        </w:rPr>
        <w:br w:type="page"/>
      </w:r>
    </w:p>
    <w:p w14:paraId="0AC2C900" w14:textId="77777777" w:rsidR="00AA2A18" w:rsidRPr="00B6211C" w:rsidRDefault="00AA2A18" w:rsidP="00AA2A18">
      <w:pPr>
        <w:pStyle w:val="a7"/>
        <w:widowControl/>
        <w:adjustRightInd w:val="0"/>
        <w:spacing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084FC142" wp14:editId="1B310BDA">
            <wp:extent cx="4010891" cy="2814201"/>
            <wp:effectExtent l="0" t="0" r="8890" b="571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4027194" cy="2825640"/>
                    </a:xfrm>
                    <a:prstGeom prst="rect">
                      <a:avLst/>
                    </a:prstGeom>
                    <a:noFill/>
                  </pic:spPr>
                </pic:pic>
              </a:graphicData>
            </a:graphic>
          </wp:inline>
        </w:drawing>
      </w:r>
    </w:p>
    <w:p w14:paraId="6641F0E1" w14:textId="3C00BBE5" w:rsidR="00AA2A18" w:rsidRPr="00B6211C" w:rsidRDefault="00AA2A18" w:rsidP="00D51D52">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EDS elemental maps of Cu-PB (The elemental analysis encompasses C, O and Cu).</w:t>
      </w:r>
    </w:p>
    <w:p w14:paraId="24183A67" w14:textId="5C5A702F" w:rsidR="00AA2A18" w:rsidRPr="00B6211C" w:rsidRDefault="00C05396" w:rsidP="00AA2A18">
      <w:pPr>
        <w:pStyle w:val="a7"/>
        <w:widowControl/>
        <w:adjustRightInd w:val="0"/>
        <w:spacing w:before="240" w:line="360" w:lineRule="auto"/>
        <w:ind w:firstLineChars="0" w:firstLine="0"/>
        <w:jc w:val="center"/>
        <w:rPr>
          <w:rFonts w:cs="Times New Roman"/>
          <w:szCs w:val="24"/>
        </w:rPr>
      </w:pPr>
      <w:r>
        <w:rPr>
          <w:rFonts w:cs="Times New Roman"/>
          <w:noProof/>
          <w:szCs w:val="24"/>
        </w:rPr>
        <w:drawing>
          <wp:inline distT="0" distB="0" distL="0" distR="0" wp14:anchorId="68A8CC1B" wp14:editId="6368A09C">
            <wp:extent cx="3993938" cy="2811309"/>
            <wp:effectExtent l="0" t="0" r="6985"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2510" cy="2817343"/>
                    </a:xfrm>
                    <a:prstGeom prst="rect">
                      <a:avLst/>
                    </a:prstGeom>
                    <a:noFill/>
                  </pic:spPr>
                </pic:pic>
              </a:graphicData>
            </a:graphic>
          </wp:inline>
        </w:drawing>
      </w:r>
    </w:p>
    <w:p w14:paraId="03350548" w14:textId="2BA84A2D" w:rsidR="00AA2A18" w:rsidRPr="00B6211C" w:rsidRDefault="00AA2A18" w:rsidP="00D51D52">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EDS elemental maps of Ag-PB (The elemental analysis encompasses C, O and Ag).</w:t>
      </w:r>
    </w:p>
    <w:p w14:paraId="5C65F80C" w14:textId="14B45B44" w:rsidR="00B109DF" w:rsidRPr="00B6211C" w:rsidRDefault="0005502F" w:rsidP="0005502F">
      <w:pPr>
        <w:pStyle w:val="a7"/>
        <w:adjustRightInd w:val="0"/>
        <w:spacing w:line="360" w:lineRule="auto"/>
        <w:ind w:firstLineChars="0" w:firstLine="0"/>
        <w:jc w:val="center"/>
        <w:rPr>
          <w:szCs w:val="24"/>
        </w:rPr>
      </w:pPr>
      <w:r w:rsidRPr="00B6211C">
        <w:rPr>
          <w:rFonts w:cs="Times New Roman"/>
          <w:noProof/>
          <w:szCs w:val="24"/>
        </w:rPr>
        <w:lastRenderedPageBreak/>
        <w:drawing>
          <wp:inline distT="0" distB="0" distL="0" distR="0" wp14:anchorId="17BBE0A7" wp14:editId="0489EBE7">
            <wp:extent cx="4061460" cy="3389810"/>
            <wp:effectExtent l="0" t="0" r="0" b="127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4088056" cy="3412008"/>
                    </a:xfrm>
                    <a:prstGeom prst="rect">
                      <a:avLst/>
                    </a:prstGeom>
                    <a:noFill/>
                  </pic:spPr>
                </pic:pic>
              </a:graphicData>
            </a:graphic>
          </wp:inline>
        </w:drawing>
      </w:r>
    </w:p>
    <w:p w14:paraId="02452774" w14:textId="62FC2129" w:rsidR="000A7F6D" w:rsidRPr="00B6211C" w:rsidRDefault="0005502F" w:rsidP="0005502F">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The full-scan XPS spectra of (a) different coatings</w:t>
      </w:r>
      <w:r w:rsidRPr="00B6211C">
        <w:rPr>
          <w:rFonts w:cs="Times New Roman" w:hint="eastAsia"/>
          <w:szCs w:val="24"/>
        </w:rPr>
        <w:t>.</w:t>
      </w:r>
      <w:r w:rsidRPr="00B6211C">
        <w:rPr>
          <w:rFonts w:cs="Times New Roman"/>
          <w:szCs w:val="24"/>
        </w:rPr>
        <w:t xml:space="preserve"> High resolution XPS spectra of (b) Cu 2p</w:t>
      </w:r>
      <w:r w:rsidRPr="00B6211C">
        <w:rPr>
          <w:rFonts w:cs="Times New Roman" w:hint="eastAsia"/>
          <w:szCs w:val="24"/>
        </w:rPr>
        <w:t>,</w:t>
      </w:r>
      <w:r w:rsidRPr="00B6211C">
        <w:rPr>
          <w:rFonts w:cs="Times New Roman"/>
          <w:szCs w:val="24"/>
        </w:rPr>
        <w:t xml:space="preserve"> (c)</w:t>
      </w:r>
      <w:r w:rsidR="007C34F0" w:rsidRPr="00B6211C">
        <w:rPr>
          <w:rFonts w:cs="Times New Roman"/>
          <w:szCs w:val="24"/>
        </w:rPr>
        <w:t xml:space="preserve"> </w:t>
      </w:r>
      <w:r w:rsidRPr="00B6211C">
        <w:rPr>
          <w:rFonts w:cs="Times New Roman"/>
          <w:szCs w:val="24"/>
        </w:rPr>
        <w:t>C 1s</w:t>
      </w:r>
      <w:r w:rsidR="00E83BA7" w:rsidRPr="00B6211C">
        <w:rPr>
          <w:rFonts w:cs="Times New Roman"/>
          <w:szCs w:val="24"/>
        </w:rPr>
        <w:t>,</w:t>
      </w:r>
      <w:r w:rsidRPr="00B6211C">
        <w:rPr>
          <w:rFonts w:cs="Times New Roman"/>
          <w:szCs w:val="24"/>
        </w:rPr>
        <w:t xml:space="preserve"> and (d) O 1s of PMAA brushes</w:t>
      </w:r>
      <w:r w:rsidRPr="00B6211C">
        <w:rPr>
          <w:rFonts w:cs="Times New Roman" w:hint="eastAsia"/>
          <w:szCs w:val="24"/>
        </w:rPr>
        <w:t>.</w:t>
      </w:r>
      <w:r w:rsidRPr="00B6211C">
        <w:rPr>
          <w:rFonts w:cs="Times New Roman"/>
          <w:szCs w:val="24"/>
        </w:rPr>
        <w:t xml:space="preserve"> </w:t>
      </w:r>
    </w:p>
    <w:p w14:paraId="27D5C890" w14:textId="67CDE690" w:rsidR="0005502F" w:rsidRPr="00B6211C" w:rsidRDefault="0005502F" w:rsidP="000A7F6D">
      <w:pPr>
        <w:pStyle w:val="a7"/>
        <w:adjustRightInd w:val="0"/>
        <w:spacing w:line="360" w:lineRule="auto"/>
        <w:ind w:firstLineChars="0" w:firstLine="0"/>
        <w:rPr>
          <w:rFonts w:cs="Times New Roman"/>
          <w:szCs w:val="24"/>
        </w:rPr>
      </w:pPr>
      <w:r w:rsidRPr="00B6211C">
        <w:rPr>
          <w:rFonts w:cs="Times New Roman"/>
          <w:szCs w:val="24"/>
        </w:rPr>
        <w:t>The absence of Cu 2p in PMAA brushes indicates that there is no residual catalytic copper after the preparation of the polymer brushes by SI-Cu</w:t>
      </w:r>
      <w:r w:rsidRPr="00B6211C">
        <w:rPr>
          <w:rFonts w:cs="Times New Roman"/>
          <w:szCs w:val="24"/>
          <w:vertAlign w:val="superscript"/>
        </w:rPr>
        <w:t>0</w:t>
      </w:r>
      <w:r w:rsidRPr="00B6211C">
        <w:rPr>
          <w:rFonts w:cs="Times New Roman"/>
          <w:szCs w:val="24"/>
        </w:rPr>
        <w:t>CRP.</w:t>
      </w:r>
    </w:p>
    <w:p w14:paraId="7F189686" w14:textId="44BB7BDF" w:rsidR="00151005" w:rsidRPr="00B6211C" w:rsidRDefault="004A1DD1" w:rsidP="002B4263">
      <w:pPr>
        <w:widowControl/>
        <w:jc w:val="left"/>
        <w:rPr>
          <w:b/>
          <w:bCs/>
          <w:szCs w:val="24"/>
        </w:rPr>
      </w:pPr>
      <w:r w:rsidRPr="00B6211C">
        <w:rPr>
          <w:b/>
          <w:bCs/>
          <w:szCs w:val="24"/>
        </w:rPr>
        <w:br w:type="page"/>
      </w:r>
    </w:p>
    <w:p w14:paraId="52797D6D" w14:textId="77777777" w:rsidR="000A7F6D" w:rsidRPr="00B6211C" w:rsidRDefault="000A7F6D" w:rsidP="000A7F6D">
      <w:pPr>
        <w:pStyle w:val="a7"/>
        <w:adjustRightInd w:val="0"/>
        <w:spacing w:before="240" w:line="360" w:lineRule="auto"/>
        <w:ind w:firstLineChars="0" w:firstLine="0"/>
        <w:jc w:val="center"/>
        <w:rPr>
          <w:szCs w:val="24"/>
        </w:rPr>
      </w:pPr>
      <w:r w:rsidRPr="00B6211C">
        <w:rPr>
          <w:noProof/>
          <w:szCs w:val="24"/>
        </w:rPr>
        <w:lastRenderedPageBreak/>
        <w:drawing>
          <wp:inline distT="0" distB="0" distL="0" distR="0" wp14:anchorId="670E6A7F" wp14:editId="744B7B0A">
            <wp:extent cx="3606800" cy="1626657"/>
            <wp:effectExtent l="0" t="0" r="0" b="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3081" cy="1634000"/>
                    </a:xfrm>
                    <a:prstGeom prst="rect">
                      <a:avLst/>
                    </a:prstGeom>
                    <a:noFill/>
                  </pic:spPr>
                </pic:pic>
              </a:graphicData>
            </a:graphic>
          </wp:inline>
        </w:drawing>
      </w:r>
    </w:p>
    <w:p w14:paraId="19CD948B" w14:textId="77777777" w:rsidR="000A7F6D" w:rsidRPr="00B6211C" w:rsidRDefault="000A7F6D" w:rsidP="000A7F6D">
      <w:pPr>
        <w:pStyle w:val="a7"/>
        <w:numPr>
          <w:ilvl w:val="0"/>
          <w:numId w:val="2"/>
        </w:numPr>
        <w:adjustRightInd w:val="0"/>
        <w:spacing w:line="360" w:lineRule="auto"/>
        <w:ind w:firstLineChars="0"/>
        <w:rPr>
          <w:rFonts w:cs="Times New Roman"/>
          <w:szCs w:val="24"/>
        </w:rPr>
      </w:pPr>
      <w:r w:rsidRPr="00B6211C">
        <w:rPr>
          <w:rFonts w:cs="Times New Roman" w:hint="eastAsia"/>
          <w:szCs w:val="24"/>
        </w:rPr>
        <w:t xml:space="preserve"> </w:t>
      </w:r>
      <w:r w:rsidRPr="00B6211C">
        <w:rPr>
          <w:rFonts w:cs="Times New Roman"/>
          <w:szCs w:val="24"/>
        </w:rPr>
        <w:t xml:space="preserve">SPM 2D phase diagrams of Cu-PB coating (a) and Ag-PB coating (b). </w:t>
      </w:r>
    </w:p>
    <w:p w14:paraId="6E33C0D4" w14:textId="18C2FF13" w:rsidR="004A1DD1" w:rsidRPr="00B6211C" w:rsidRDefault="000A7F6D" w:rsidP="0049278A">
      <w:pPr>
        <w:pStyle w:val="a7"/>
        <w:adjustRightInd w:val="0"/>
        <w:spacing w:after="240" w:line="360" w:lineRule="auto"/>
        <w:ind w:firstLineChars="0" w:firstLine="0"/>
        <w:rPr>
          <w:rFonts w:cs="Times New Roman"/>
          <w:szCs w:val="24"/>
        </w:rPr>
      </w:pPr>
      <w:r w:rsidRPr="00B6211C">
        <w:rPr>
          <w:rFonts w:cs="Times New Roman"/>
          <w:szCs w:val="24"/>
        </w:rPr>
        <w:t xml:space="preserve">The yellow </w:t>
      </w:r>
      <w:bookmarkStart w:id="5" w:name="_Hlk193715726"/>
      <w:r w:rsidRPr="00B6211C">
        <w:rPr>
          <w:rFonts w:cs="Times New Roman"/>
          <w:szCs w:val="24"/>
        </w:rPr>
        <w:t xml:space="preserve">background </w:t>
      </w:r>
      <w:bookmarkEnd w:id="5"/>
      <w:r w:rsidRPr="00B6211C">
        <w:rPr>
          <w:rFonts w:cs="Times New Roman"/>
          <w:szCs w:val="24"/>
        </w:rPr>
        <w:t xml:space="preserve">indicates that the substrate is of a flexible nature, demonstrating </w:t>
      </w:r>
      <w:r w:rsidR="00E83BA7" w:rsidRPr="00B6211C">
        <w:rPr>
          <w:rFonts w:cs="Times New Roman"/>
          <w:szCs w:val="24"/>
        </w:rPr>
        <w:t>PMAA polymer brushes</w:t>
      </w:r>
      <w:r w:rsidRPr="00B6211C">
        <w:rPr>
          <w:rFonts w:cs="Times New Roman"/>
          <w:szCs w:val="24"/>
        </w:rPr>
        <w:t xml:space="preserve">, while the </w:t>
      </w:r>
      <w:bookmarkStart w:id="6" w:name="_Hlk193715500"/>
      <w:r w:rsidR="00583B50" w:rsidRPr="00B6211C">
        <w:rPr>
          <w:rFonts w:cs="Times New Roman"/>
          <w:szCs w:val="24"/>
        </w:rPr>
        <w:t>brown</w:t>
      </w:r>
      <w:bookmarkEnd w:id="6"/>
      <w:r w:rsidRPr="00B6211C">
        <w:rPr>
          <w:rFonts w:cs="Times New Roman"/>
          <w:szCs w:val="24"/>
        </w:rPr>
        <w:t xml:space="preserve"> spheres indicate</w:t>
      </w:r>
      <w:r w:rsidR="004041F8" w:rsidRPr="00B6211C">
        <w:rPr>
          <w:rFonts w:cs="Times New Roman"/>
          <w:szCs w:val="24"/>
        </w:rPr>
        <w:t xml:space="preserve"> C</w:t>
      </w:r>
      <w:r w:rsidR="004041F8" w:rsidRPr="00B6211C">
        <w:rPr>
          <w:rFonts w:cs="Times New Roman" w:hint="eastAsia"/>
          <w:szCs w:val="24"/>
        </w:rPr>
        <w:t>u,</w:t>
      </w:r>
      <w:r w:rsidR="004041F8" w:rsidRPr="00B6211C">
        <w:rPr>
          <w:rFonts w:cs="Times New Roman"/>
          <w:szCs w:val="24"/>
        </w:rPr>
        <w:t xml:space="preserve"> </w:t>
      </w:r>
      <w:r w:rsidRPr="00B6211C">
        <w:rPr>
          <w:rFonts w:cs="Times New Roman"/>
          <w:szCs w:val="24"/>
        </w:rPr>
        <w:t>CuO</w:t>
      </w:r>
      <w:r w:rsidR="004041F8" w:rsidRPr="00B6211C">
        <w:rPr>
          <w:rFonts w:cs="Times New Roman"/>
          <w:szCs w:val="24"/>
        </w:rPr>
        <w:t xml:space="preserve">, Ag, and </w:t>
      </w:r>
      <w:r w:rsidRPr="00B6211C">
        <w:rPr>
          <w:rFonts w:cs="Times New Roman"/>
          <w:szCs w:val="24"/>
        </w:rPr>
        <w:t>Ag</w:t>
      </w:r>
      <w:r w:rsidRPr="00B6211C">
        <w:rPr>
          <w:rFonts w:cs="Times New Roman"/>
          <w:szCs w:val="24"/>
          <w:vertAlign w:val="subscript"/>
        </w:rPr>
        <w:t>2</w:t>
      </w:r>
      <w:r w:rsidRPr="00B6211C">
        <w:rPr>
          <w:rFonts w:cs="Times New Roman"/>
          <w:szCs w:val="24"/>
        </w:rPr>
        <w:t>O inorganic material adhering to the surface, which is a rigid material.</w:t>
      </w:r>
    </w:p>
    <w:p w14:paraId="31036A5C" w14:textId="4721743E" w:rsidR="000A7F6D" w:rsidRPr="00B6211C" w:rsidRDefault="004A1DD1" w:rsidP="004A1DD1">
      <w:pPr>
        <w:widowControl/>
        <w:jc w:val="left"/>
        <w:rPr>
          <w:rFonts w:cs="Times New Roman"/>
          <w:szCs w:val="24"/>
        </w:rPr>
      </w:pPr>
      <w:r w:rsidRPr="00B6211C">
        <w:rPr>
          <w:rFonts w:cs="Times New Roman"/>
          <w:szCs w:val="24"/>
        </w:rPr>
        <w:br w:type="page"/>
      </w:r>
    </w:p>
    <w:p w14:paraId="605C12D2" w14:textId="4C54ECCB" w:rsidR="007E7DB5" w:rsidRPr="00B6211C" w:rsidRDefault="007E7DB5" w:rsidP="007E7DB5">
      <w:pPr>
        <w:pStyle w:val="a7"/>
        <w:adjustRightInd w:val="0"/>
        <w:spacing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362D74B6" wp14:editId="2CE30EFB">
            <wp:extent cx="5185410" cy="173551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14632" cy="1745296"/>
                    </a:xfrm>
                    <a:prstGeom prst="rect">
                      <a:avLst/>
                    </a:prstGeom>
                    <a:noFill/>
                  </pic:spPr>
                </pic:pic>
              </a:graphicData>
            </a:graphic>
          </wp:inline>
        </w:drawing>
      </w:r>
    </w:p>
    <w:p w14:paraId="25BF537B" w14:textId="55F323E3" w:rsidR="007E7DB5" w:rsidRPr="00B6211C" w:rsidRDefault="007E7DB5" w:rsidP="007E7DB5">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The bacterial concentration ((a) E. coil and (b) S. aureus) of </w:t>
      </w:r>
      <w:r w:rsidR="00E83BA7" w:rsidRPr="00B6211C">
        <w:rPr>
          <w:rFonts w:cs="Times New Roman"/>
          <w:szCs w:val="24"/>
        </w:rPr>
        <w:t xml:space="preserve">the </w:t>
      </w:r>
      <w:r w:rsidRPr="00B6211C">
        <w:rPr>
          <w:rFonts w:cs="Times New Roman"/>
          <w:szCs w:val="24"/>
        </w:rPr>
        <w:t>antibacterial experiment of blank glass, PMAA brushes, Cu-PB, and Ag-PB.</w:t>
      </w:r>
    </w:p>
    <w:p w14:paraId="38F0BE07" w14:textId="3955A6CC" w:rsidR="004A1DD1" w:rsidRPr="00B6211C" w:rsidRDefault="007E7DB5" w:rsidP="000A7F6D">
      <w:pPr>
        <w:pStyle w:val="a7"/>
        <w:adjustRightInd w:val="0"/>
        <w:spacing w:line="360" w:lineRule="auto"/>
        <w:ind w:firstLineChars="0" w:firstLine="0"/>
        <w:rPr>
          <w:rFonts w:cs="Times New Roman"/>
          <w:szCs w:val="24"/>
        </w:rPr>
      </w:pPr>
      <w:r w:rsidRPr="00B6211C">
        <w:rPr>
          <w:rFonts w:cs="Times New Roman"/>
          <w:szCs w:val="24"/>
        </w:rPr>
        <w:t>The antibacterial efficiency can be quantitatively determined based on the experimental data</w:t>
      </w:r>
      <w:r w:rsidR="009E1F7E" w:rsidRPr="00B6211C">
        <w:rPr>
          <w:rFonts w:cs="Times New Roman"/>
          <w:szCs w:val="24"/>
        </w:rPr>
        <w:t xml:space="preserve"> obtained</w:t>
      </w:r>
      <w:r w:rsidRPr="00B6211C">
        <w:rPr>
          <w:rFonts w:cs="Times New Roman"/>
          <w:szCs w:val="24"/>
        </w:rPr>
        <w:t xml:space="preserve"> through </w:t>
      </w:r>
      <w:r w:rsidR="00DB72C2" w:rsidRPr="00B6211C">
        <w:rPr>
          <w:rFonts w:cs="Times New Roman"/>
          <w:szCs w:val="24"/>
        </w:rPr>
        <w:t>Eq</w:t>
      </w:r>
      <w:r w:rsidR="000652F7" w:rsidRPr="00B6211C">
        <w:rPr>
          <w:rFonts w:cs="Times New Roman" w:hint="eastAsia"/>
          <w:szCs w:val="24"/>
        </w:rPr>
        <w:t>.</w:t>
      </w:r>
      <w:r w:rsidRPr="00B6211C">
        <w:rPr>
          <w:rFonts w:cs="Times New Roman"/>
          <w:szCs w:val="24"/>
        </w:rPr>
        <w:t xml:space="preserve"> 1</w:t>
      </w:r>
      <w:r w:rsidR="00416F28" w:rsidRPr="00B6211C">
        <w:rPr>
          <w:rFonts w:cs="Times New Roman"/>
          <w:szCs w:val="24"/>
        </w:rPr>
        <w:t xml:space="preserve"> in </w:t>
      </w:r>
      <w:r w:rsidR="00E83BA7" w:rsidRPr="00B6211C">
        <w:rPr>
          <w:rFonts w:cs="Times New Roman"/>
          <w:szCs w:val="24"/>
        </w:rPr>
        <w:t>Section</w:t>
      </w:r>
      <w:r w:rsidR="00BE30E6" w:rsidRPr="00B6211C">
        <w:rPr>
          <w:rFonts w:cs="Times New Roman"/>
          <w:szCs w:val="24"/>
        </w:rPr>
        <w:t xml:space="preserve"> </w:t>
      </w:r>
      <w:r w:rsidR="000652F7" w:rsidRPr="00B6211C">
        <w:rPr>
          <w:rFonts w:cs="Times New Roman"/>
          <w:szCs w:val="24"/>
        </w:rPr>
        <w:t>2</w:t>
      </w:r>
      <w:r w:rsidR="00416F28" w:rsidRPr="00B6211C">
        <w:rPr>
          <w:rFonts w:cs="Times New Roman"/>
          <w:szCs w:val="24"/>
        </w:rPr>
        <w:t>.5</w:t>
      </w:r>
      <w:r w:rsidR="00FF76E4" w:rsidRPr="00B6211C">
        <w:rPr>
          <w:rFonts w:cs="Times New Roman"/>
          <w:szCs w:val="24"/>
        </w:rPr>
        <w:t>.</w:t>
      </w:r>
    </w:p>
    <w:p w14:paraId="5548D3BB" w14:textId="13736152" w:rsidR="007E7DB5" w:rsidRPr="00B6211C" w:rsidRDefault="004A1DD1" w:rsidP="004A1DD1">
      <w:pPr>
        <w:widowControl/>
        <w:jc w:val="left"/>
        <w:rPr>
          <w:rFonts w:cs="Times New Roman"/>
          <w:szCs w:val="24"/>
        </w:rPr>
      </w:pPr>
      <w:r w:rsidRPr="00B6211C">
        <w:rPr>
          <w:rFonts w:cs="Times New Roman"/>
          <w:szCs w:val="24"/>
        </w:rPr>
        <w:br w:type="page"/>
      </w:r>
    </w:p>
    <w:p w14:paraId="63F19BFC" w14:textId="77777777" w:rsidR="00B4748E" w:rsidRPr="00B6211C" w:rsidRDefault="00B4748E" w:rsidP="00737A7A">
      <w:pPr>
        <w:pStyle w:val="a7"/>
        <w:widowControl/>
        <w:adjustRightInd w:val="0"/>
        <w:spacing w:before="240"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63C2914D" wp14:editId="3A4D34DB">
            <wp:extent cx="5294811" cy="1028039"/>
            <wp:effectExtent l="0" t="0" r="1270" b="127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5359193" cy="1040539"/>
                    </a:xfrm>
                    <a:prstGeom prst="rect">
                      <a:avLst/>
                    </a:prstGeom>
                    <a:noFill/>
                    <a:ln>
                      <a:noFill/>
                    </a:ln>
                    <a:extLst>
                      <a:ext uri="{53640926-AAD7-44D8-BBD7-CCE9431645EC}">
                        <a14:shadowObscured xmlns:a14="http://schemas.microsoft.com/office/drawing/2010/main"/>
                      </a:ext>
                    </a:extLst>
                  </pic:spPr>
                </pic:pic>
              </a:graphicData>
            </a:graphic>
          </wp:inline>
        </w:drawing>
      </w:r>
    </w:p>
    <w:p w14:paraId="46FA0543" w14:textId="07AD4B32" w:rsidR="004A1DD1" w:rsidRPr="00B6211C" w:rsidRDefault="00B4748E" w:rsidP="00B4748E">
      <w:pPr>
        <w:pStyle w:val="a7"/>
        <w:numPr>
          <w:ilvl w:val="0"/>
          <w:numId w:val="2"/>
        </w:numPr>
        <w:adjustRightInd w:val="0"/>
        <w:spacing w:line="360" w:lineRule="auto"/>
        <w:ind w:firstLineChars="0"/>
        <w:jc w:val="left"/>
        <w:rPr>
          <w:rFonts w:cs="Times New Roman"/>
          <w:szCs w:val="24"/>
        </w:rPr>
      </w:pPr>
      <w:r w:rsidRPr="00B6211C">
        <w:rPr>
          <w:rFonts w:cs="Times New Roman"/>
          <w:szCs w:val="24"/>
        </w:rPr>
        <w:t>Fluorescence microscope photos of anti-BSA adhesion tests on pure glass, initiator-functionalized glass (glass-Br), PMAA brushes, Cu-PB, and Ag-PB.</w:t>
      </w:r>
    </w:p>
    <w:p w14:paraId="3D01C347" w14:textId="5C9D7BD8" w:rsidR="00B4748E" w:rsidRPr="00B6211C" w:rsidRDefault="004A1DD1" w:rsidP="004A1DD1">
      <w:pPr>
        <w:widowControl/>
        <w:jc w:val="left"/>
        <w:rPr>
          <w:rFonts w:cs="Times New Roman"/>
          <w:szCs w:val="24"/>
        </w:rPr>
      </w:pPr>
      <w:r w:rsidRPr="00B6211C">
        <w:rPr>
          <w:rFonts w:cs="Times New Roman"/>
          <w:szCs w:val="24"/>
        </w:rPr>
        <w:br w:type="page"/>
      </w:r>
    </w:p>
    <w:p w14:paraId="11DB01D2" w14:textId="156BAAB9" w:rsidR="005A6C54" w:rsidRPr="00B6211C" w:rsidRDefault="005A6C54" w:rsidP="00FA7020">
      <w:pPr>
        <w:pStyle w:val="a7"/>
        <w:adjustRightInd w:val="0"/>
        <w:spacing w:before="240" w:after="240" w:line="360" w:lineRule="auto"/>
        <w:ind w:firstLineChars="0" w:firstLine="0"/>
        <w:jc w:val="center"/>
        <w:rPr>
          <w:rFonts w:cs="Times New Roman"/>
          <w:b/>
          <w:bCs/>
          <w:szCs w:val="24"/>
        </w:rPr>
      </w:pPr>
      <w:r w:rsidRPr="00B6211C">
        <w:rPr>
          <w:rFonts w:cs="Times New Roman"/>
          <w:b/>
          <w:noProof/>
          <w:szCs w:val="24"/>
        </w:rPr>
        <w:lastRenderedPageBreak/>
        <w:drawing>
          <wp:inline distT="0" distB="0" distL="0" distR="0" wp14:anchorId="47333091" wp14:editId="5F3BBBAA">
            <wp:extent cx="4318840" cy="1765979"/>
            <wp:effectExtent l="0" t="0" r="571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1783" cy="1767182"/>
                    </a:xfrm>
                    <a:prstGeom prst="rect">
                      <a:avLst/>
                    </a:prstGeom>
                    <a:noFill/>
                    <a:ln>
                      <a:noFill/>
                    </a:ln>
                  </pic:spPr>
                </pic:pic>
              </a:graphicData>
            </a:graphic>
          </wp:inline>
        </w:drawing>
      </w:r>
    </w:p>
    <w:p w14:paraId="292BE2B3" w14:textId="1F7C6566" w:rsidR="004A1DD1" w:rsidRPr="00B6211C" w:rsidRDefault="005A6C54" w:rsidP="000652F7">
      <w:pPr>
        <w:pStyle w:val="a7"/>
        <w:numPr>
          <w:ilvl w:val="0"/>
          <w:numId w:val="2"/>
        </w:numPr>
        <w:adjustRightInd w:val="0"/>
        <w:spacing w:after="240" w:line="360" w:lineRule="auto"/>
        <w:ind w:firstLineChars="0"/>
      </w:pPr>
      <w:r w:rsidRPr="00B6211C">
        <w:rPr>
          <w:rFonts w:cs="Times New Roman"/>
          <w:b/>
          <w:bCs/>
          <w:szCs w:val="24"/>
        </w:rPr>
        <w:t xml:space="preserve"> </w:t>
      </w:r>
      <w:r w:rsidRPr="00B6211C">
        <w:t xml:space="preserve">Schematic of </w:t>
      </w:r>
      <w:r w:rsidR="00D51D52" w:rsidRPr="00B6211C">
        <w:t xml:space="preserve">the </w:t>
      </w:r>
      <w:r w:rsidRPr="00B6211C">
        <w:t>preparation of patterned PMAA brushes with the photomask. (Wavelength</w:t>
      </w:r>
      <w:r w:rsidR="002E788B" w:rsidRPr="00B6211C">
        <w:t xml:space="preserve">: </w:t>
      </w:r>
      <w:r w:rsidR="005114D9" w:rsidRPr="00B6211C">
        <w:t>254 nm</w:t>
      </w:r>
      <w:r w:rsidRPr="00B6211C">
        <w:t>;</w:t>
      </w:r>
      <w:r w:rsidR="005114D9" w:rsidRPr="00B6211C">
        <w:t xml:space="preserve"> </w:t>
      </w:r>
      <w:r w:rsidRPr="00B6211C">
        <w:t>time</w:t>
      </w:r>
      <w:r w:rsidR="002E788B" w:rsidRPr="00B6211C">
        <w:t xml:space="preserve">: </w:t>
      </w:r>
      <w:r w:rsidRPr="00B6211C">
        <w:t>30 min)</w:t>
      </w:r>
      <w:r w:rsidR="00BF6F43" w:rsidRPr="00B6211C">
        <w:t xml:space="preserve"> The mask plate is </w:t>
      </w:r>
      <w:r w:rsidR="00D51D52" w:rsidRPr="00B6211C">
        <w:t>skeletonized</w:t>
      </w:r>
      <w:r w:rsidR="00BF6F43" w:rsidRPr="00B6211C">
        <w:t xml:space="preserve"> and can be in a variety of shapes, such as grids, pandas, and bamboo.</w:t>
      </w:r>
    </w:p>
    <w:p w14:paraId="73F99476" w14:textId="498F0062" w:rsidR="005A6C54" w:rsidRPr="00B6211C" w:rsidRDefault="004A1DD1" w:rsidP="004A1DD1">
      <w:pPr>
        <w:widowControl/>
        <w:jc w:val="left"/>
      </w:pPr>
      <w:r w:rsidRPr="00B6211C">
        <w:br w:type="page"/>
      </w:r>
    </w:p>
    <w:p w14:paraId="2226989B" w14:textId="0FAB8AB3" w:rsidR="00114DDC" w:rsidRPr="00B6211C" w:rsidRDefault="005D0800" w:rsidP="00114DDC">
      <w:pPr>
        <w:pStyle w:val="a7"/>
        <w:widowControl/>
        <w:adjustRightInd w:val="0"/>
        <w:spacing w:line="360" w:lineRule="auto"/>
        <w:ind w:firstLineChars="0" w:firstLine="0"/>
        <w:jc w:val="center"/>
        <w:rPr>
          <w:rFonts w:cs="Times New Roman"/>
          <w:szCs w:val="24"/>
        </w:rPr>
      </w:pPr>
      <w:r w:rsidRPr="00B6211C">
        <w:rPr>
          <w:rFonts w:cs="Times New Roman"/>
          <w:noProof/>
          <w:szCs w:val="24"/>
        </w:rPr>
        <w:lastRenderedPageBreak/>
        <w:drawing>
          <wp:inline distT="0" distB="0" distL="0" distR="0" wp14:anchorId="1603CF42" wp14:editId="1B4B6F2A">
            <wp:extent cx="4592782" cy="3471598"/>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2198" cy="3486274"/>
                    </a:xfrm>
                    <a:prstGeom prst="rect">
                      <a:avLst/>
                    </a:prstGeom>
                    <a:noFill/>
                  </pic:spPr>
                </pic:pic>
              </a:graphicData>
            </a:graphic>
          </wp:inline>
        </w:drawing>
      </w:r>
    </w:p>
    <w:p w14:paraId="4B656BC7" w14:textId="20CCFB69" w:rsidR="00AC235B" w:rsidRPr="00B6211C" w:rsidRDefault="00114DDC" w:rsidP="00D3460D">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Underwater photography equipment displays</w:t>
      </w:r>
      <w:r w:rsidRPr="00B6211C">
        <w:rPr>
          <w:rFonts w:cs="Times New Roman" w:hint="eastAsia"/>
          <w:szCs w:val="24"/>
        </w:rPr>
        <w:t xml:space="preserve"> </w:t>
      </w:r>
      <w:r w:rsidRPr="00B6211C">
        <w:rPr>
          <w:rFonts w:cs="Times New Roman"/>
          <w:szCs w:val="24"/>
        </w:rPr>
        <w:t xml:space="preserve">Equipment includes </w:t>
      </w:r>
      <w:r w:rsidR="00B938AB" w:rsidRPr="00B6211C">
        <w:rPr>
          <w:rFonts w:cs="Times New Roman"/>
          <w:szCs w:val="24"/>
        </w:rPr>
        <w:t xml:space="preserve">a </w:t>
      </w:r>
      <w:r w:rsidRPr="00B6211C">
        <w:rPr>
          <w:rFonts w:cs="Times New Roman"/>
          <w:szCs w:val="24"/>
        </w:rPr>
        <w:t xml:space="preserve">transmission line, display, </w:t>
      </w:r>
      <w:r w:rsidR="00B938AB" w:rsidRPr="00B6211C">
        <w:rPr>
          <w:rFonts w:cs="Times New Roman"/>
          <w:szCs w:val="24"/>
        </w:rPr>
        <w:t xml:space="preserve">an </w:t>
      </w:r>
      <w:r w:rsidRPr="00B6211C">
        <w:rPr>
          <w:rFonts w:cs="Times New Roman"/>
          <w:szCs w:val="24"/>
        </w:rPr>
        <w:t>underwater detector</w:t>
      </w:r>
      <w:r w:rsidR="00B938AB" w:rsidRPr="00B6211C">
        <w:rPr>
          <w:rFonts w:cs="Times New Roman"/>
          <w:szCs w:val="24"/>
        </w:rPr>
        <w:t>,</w:t>
      </w:r>
      <w:r w:rsidRPr="00B6211C">
        <w:rPr>
          <w:rFonts w:cs="Times New Roman"/>
          <w:szCs w:val="24"/>
        </w:rPr>
        <w:t xml:space="preserve"> and </w:t>
      </w:r>
      <w:r w:rsidR="00B938AB" w:rsidRPr="00B6211C">
        <w:rPr>
          <w:rFonts w:cs="Times New Roman"/>
          <w:szCs w:val="24"/>
        </w:rPr>
        <w:t xml:space="preserve">a </w:t>
      </w:r>
      <w:r w:rsidRPr="00B6211C">
        <w:rPr>
          <w:rFonts w:cs="Times New Roman"/>
          <w:szCs w:val="24"/>
        </w:rPr>
        <w:t>lens.</w:t>
      </w:r>
      <w:r w:rsidR="00D3460D" w:rsidRPr="00B6211C">
        <w:rPr>
          <w:rFonts w:cs="Times New Roman"/>
          <w:szCs w:val="24"/>
        </w:rPr>
        <w:t xml:space="preserve"> (The lens of the detector is coated with Cu-PB. The length of the wire is 5m. The display allows real-time observation of the underwater state, and the quality of the presentation reflects the attachment of contaminants to the surface of the lens.</w:t>
      </w:r>
      <w:r w:rsidR="00D3460D" w:rsidRPr="00B6211C">
        <w:rPr>
          <w:rFonts w:cs="Times New Roman" w:hint="eastAsia"/>
          <w:szCs w:val="24"/>
        </w:rPr>
        <w:t>)</w:t>
      </w:r>
    </w:p>
    <w:p w14:paraId="240004AF" w14:textId="6266E6DB" w:rsidR="00AC3A0F" w:rsidRPr="00B6211C" w:rsidRDefault="00AC3A0F">
      <w:pPr>
        <w:widowControl/>
        <w:jc w:val="left"/>
        <w:rPr>
          <w:rFonts w:cs="Times New Roman"/>
          <w:kern w:val="0"/>
          <w:szCs w:val="24"/>
        </w:rPr>
      </w:pPr>
      <w:r w:rsidRPr="00B6211C">
        <w:rPr>
          <w:rFonts w:cs="Times New Roman"/>
          <w:kern w:val="0"/>
          <w:szCs w:val="24"/>
        </w:rPr>
        <w:br w:type="page"/>
      </w:r>
    </w:p>
    <w:p w14:paraId="7FE84CB9" w14:textId="77777777" w:rsidR="00AC3A0F" w:rsidRPr="00B6211C" w:rsidRDefault="00AC3A0F" w:rsidP="00AC5FFA">
      <w:pPr>
        <w:widowControl/>
        <w:jc w:val="center"/>
        <w:rPr>
          <w:rFonts w:cs="Times New Roman"/>
          <w:szCs w:val="24"/>
        </w:rPr>
      </w:pPr>
      <w:r w:rsidRPr="00B6211C">
        <w:rPr>
          <w:rFonts w:cs="Times New Roman"/>
          <w:noProof/>
          <w:szCs w:val="24"/>
        </w:rPr>
        <w:lastRenderedPageBreak/>
        <w:drawing>
          <wp:inline distT="0" distB="0" distL="0" distR="0" wp14:anchorId="27A95A33" wp14:editId="15DE6791">
            <wp:extent cx="5206316" cy="2275529"/>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209119" cy="2276754"/>
                    </a:xfrm>
                    <a:prstGeom prst="rect">
                      <a:avLst/>
                    </a:prstGeom>
                    <a:noFill/>
                  </pic:spPr>
                </pic:pic>
              </a:graphicData>
            </a:graphic>
          </wp:inline>
        </w:drawing>
      </w:r>
    </w:p>
    <w:p w14:paraId="7559737D" w14:textId="72B2698D" w:rsidR="00AC235B" w:rsidRPr="00B6211C" w:rsidRDefault="00AC3A0F" w:rsidP="00BD2186">
      <w:pPr>
        <w:pStyle w:val="a7"/>
        <w:numPr>
          <w:ilvl w:val="0"/>
          <w:numId w:val="2"/>
        </w:numPr>
        <w:adjustRightInd w:val="0"/>
        <w:spacing w:line="360" w:lineRule="auto"/>
        <w:ind w:firstLineChars="0"/>
        <w:rPr>
          <w:rFonts w:cs="Times New Roman"/>
          <w:szCs w:val="24"/>
        </w:rPr>
      </w:pPr>
      <w:r w:rsidRPr="00B6211C">
        <w:rPr>
          <w:rFonts w:cs="Times New Roman"/>
          <w:szCs w:val="24"/>
        </w:rPr>
        <w:t xml:space="preserve"> </w:t>
      </w:r>
      <w:bookmarkStart w:id="7" w:name="_Hlk195449054"/>
      <w:r w:rsidR="00681749" w:rsidRPr="00B6211C">
        <w:rPr>
          <w:rFonts w:cs="Times New Roman"/>
          <w:szCs w:val="24"/>
        </w:rPr>
        <w:t>Optical transmission spectra in the visible light range (350-800 nm) of Cu-PB coated glass during 31 days underwater test in clear water and turbid water.</w:t>
      </w:r>
      <w:bookmarkEnd w:id="7"/>
    </w:p>
    <w:p w14:paraId="41884E4B" w14:textId="4062137F" w:rsidR="00D01082" w:rsidRPr="00B6211C" w:rsidRDefault="00D01082" w:rsidP="00D01082">
      <w:pPr>
        <w:pStyle w:val="a7"/>
        <w:adjustRightInd w:val="0"/>
        <w:spacing w:line="360" w:lineRule="auto"/>
        <w:ind w:firstLineChars="0" w:firstLine="0"/>
        <w:rPr>
          <w:rFonts w:cs="Times New Roman"/>
          <w:szCs w:val="24"/>
        </w:rPr>
      </w:pPr>
      <w:r w:rsidRPr="00B6211C">
        <w:rPr>
          <w:rFonts w:cs="Times New Roman"/>
          <w:szCs w:val="24"/>
        </w:rPr>
        <w:t>We conducted transparency tests of Cu-PB coated glass for different underwater test durations in both clear and turbid water at five time points (0 days, 1 day, 5 days, 10 days, and 30 days) to evaluate Mt-PB stability. In clear water, the optical transparency of the Cu-PB coated glass exhibited only minor variation from 86.70% to 85.13% (Δ=1.57%) between day 0 and day 31. Similarly, in muddy water, the transparency gradually decreased to 84.76%.</w:t>
      </w:r>
    </w:p>
    <w:p w14:paraId="599F03DA" w14:textId="77777777" w:rsidR="00B07B73" w:rsidRPr="00B6211C" w:rsidRDefault="00B07B73">
      <w:pPr>
        <w:widowControl/>
        <w:jc w:val="left"/>
        <w:rPr>
          <w:rFonts w:cs="Times New Roman"/>
          <w:noProof/>
          <w:szCs w:val="24"/>
        </w:rPr>
      </w:pPr>
      <w:r w:rsidRPr="00B6211C">
        <w:rPr>
          <w:rFonts w:cs="Times New Roman"/>
          <w:noProof/>
          <w:szCs w:val="24"/>
        </w:rPr>
        <w:br w:type="page"/>
      </w:r>
    </w:p>
    <w:p w14:paraId="521E1D09" w14:textId="7F757F3B" w:rsidR="00B07B73" w:rsidRPr="00B6211C" w:rsidRDefault="00B07B73" w:rsidP="00B07B73">
      <w:pPr>
        <w:widowControl/>
        <w:jc w:val="left"/>
        <w:rPr>
          <w:rFonts w:cs="Times New Roman"/>
          <w:szCs w:val="24"/>
        </w:rPr>
      </w:pPr>
      <w:r w:rsidRPr="00B6211C">
        <w:rPr>
          <w:rFonts w:cs="Times New Roman"/>
          <w:noProof/>
          <w:szCs w:val="24"/>
        </w:rPr>
        <w:lastRenderedPageBreak/>
        <w:drawing>
          <wp:inline distT="0" distB="0" distL="0" distR="0" wp14:anchorId="29F2FBE2" wp14:editId="69B5D33B">
            <wp:extent cx="5108575" cy="221932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08575" cy="2219325"/>
                    </a:xfrm>
                    <a:prstGeom prst="rect">
                      <a:avLst/>
                    </a:prstGeom>
                    <a:noFill/>
                  </pic:spPr>
                </pic:pic>
              </a:graphicData>
            </a:graphic>
          </wp:inline>
        </w:drawing>
      </w:r>
    </w:p>
    <w:p w14:paraId="684CCBC4" w14:textId="2D25DD70" w:rsidR="00B07B73" w:rsidRPr="00B6211C" w:rsidRDefault="00B07B73" w:rsidP="00B07B73">
      <w:pPr>
        <w:pStyle w:val="a7"/>
        <w:numPr>
          <w:ilvl w:val="0"/>
          <w:numId w:val="2"/>
        </w:numPr>
        <w:adjustRightInd w:val="0"/>
        <w:spacing w:line="360" w:lineRule="auto"/>
        <w:ind w:firstLineChars="0"/>
        <w:rPr>
          <w:rFonts w:cs="Times New Roman"/>
          <w:szCs w:val="24"/>
        </w:rPr>
      </w:pPr>
      <w:bookmarkStart w:id="8" w:name="_Hlk195449017"/>
      <w:r w:rsidRPr="00B6211C">
        <w:rPr>
          <w:rFonts w:cs="Times New Roman"/>
          <w:szCs w:val="24"/>
        </w:rPr>
        <w:t xml:space="preserve"> The full-scan XPS spectra of Cu-PB (a) and Ag-PB (b) before and after 31-day underwater exposure in clear water</w:t>
      </w:r>
      <w:bookmarkEnd w:id="8"/>
      <w:r w:rsidRPr="00B6211C">
        <w:rPr>
          <w:rFonts w:cs="Times New Roman"/>
          <w:szCs w:val="24"/>
        </w:rPr>
        <w:t>.</w:t>
      </w:r>
    </w:p>
    <w:p w14:paraId="20ACDBCB" w14:textId="77777777" w:rsidR="00065C93" w:rsidRPr="00B6211C" w:rsidRDefault="00065C93" w:rsidP="00065C93">
      <w:pPr>
        <w:pStyle w:val="a7"/>
        <w:adjustRightInd w:val="0"/>
        <w:spacing w:line="360" w:lineRule="auto"/>
        <w:ind w:firstLineChars="0" w:firstLine="0"/>
        <w:rPr>
          <w:rFonts w:cs="Times New Roman"/>
          <w:szCs w:val="24"/>
        </w:rPr>
      </w:pPr>
    </w:p>
    <w:p w14:paraId="6303C147" w14:textId="7DB253E6" w:rsidR="009355BF" w:rsidRPr="00B6211C" w:rsidRDefault="00B07B73">
      <w:pPr>
        <w:widowControl/>
        <w:jc w:val="left"/>
        <w:rPr>
          <w:rFonts w:cs="Times New Roman"/>
          <w:szCs w:val="24"/>
        </w:rPr>
      </w:pPr>
      <w:r w:rsidRPr="00B6211C">
        <w:rPr>
          <w:rFonts w:cs="Times New Roman"/>
          <w:szCs w:val="24"/>
        </w:rPr>
        <w:br w:type="page"/>
      </w:r>
    </w:p>
    <w:p w14:paraId="32AEC2C8" w14:textId="1DD600FB" w:rsidR="00FC17D4" w:rsidRPr="00B6211C" w:rsidRDefault="00FC17D4" w:rsidP="002B4263">
      <w:pPr>
        <w:spacing w:line="360" w:lineRule="auto"/>
        <w:rPr>
          <w:rFonts w:cs="Times New Roman"/>
          <w:b/>
          <w:bCs/>
          <w:sz w:val="28"/>
          <w:szCs w:val="28"/>
        </w:rPr>
      </w:pPr>
      <w:r w:rsidRPr="00B6211C">
        <w:rPr>
          <w:rFonts w:cs="Times New Roman"/>
          <w:b/>
          <w:bCs/>
          <w:sz w:val="28"/>
          <w:szCs w:val="28"/>
        </w:rPr>
        <w:lastRenderedPageBreak/>
        <w:t>Supplementary Tables</w:t>
      </w:r>
    </w:p>
    <w:p w14:paraId="1BB715D0" w14:textId="0C22ACF3" w:rsidR="00F23491" w:rsidRPr="00B6211C" w:rsidRDefault="00F23491" w:rsidP="002B4263">
      <w:pPr>
        <w:spacing w:line="360" w:lineRule="auto"/>
        <w:rPr>
          <w:szCs w:val="24"/>
        </w:rPr>
      </w:pPr>
      <w:r w:rsidRPr="00B6211C">
        <w:rPr>
          <w:b/>
          <w:bCs/>
          <w:szCs w:val="24"/>
        </w:rPr>
        <w:t>Table S1.</w:t>
      </w:r>
      <w:r w:rsidR="002B4263" w:rsidRPr="00B6211C">
        <w:rPr>
          <w:b/>
          <w:bCs/>
          <w:szCs w:val="24"/>
        </w:rPr>
        <w:t xml:space="preserve"> </w:t>
      </w:r>
      <w:bookmarkStart w:id="9" w:name="_Hlk195193793"/>
      <w:r w:rsidRPr="00B6211C">
        <w:rPr>
          <w:szCs w:val="24"/>
        </w:rPr>
        <w:t xml:space="preserve">The </w:t>
      </w:r>
      <w:r w:rsidR="000660C2" w:rsidRPr="00B6211C">
        <w:rPr>
          <w:szCs w:val="24"/>
        </w:rPr>
        <w:t xml:space="preserve">atomic ratio </w:t>
      </w:r>
      <w:r w:rsidRPr="00B6211C">
        <w:rPr>
          <w:szCs w:val="24"/>
        </w:rPr>
        <w:t xml:space="preserve">of different elements (C, O, Cu, and Ag) in PMAA brushes and Mt-PB via XPS </w:t>
      </w:r>
      <w:r w:rsidRPr="00B6211C">
        <w:rPr>
          <w:rFonts w:cs="Times New Roman"/>
          <w:szCs w:val="24"/>
        </w:rPr>
        <w:t>spectrum</w:t>
      </w:r>
      <w:r w:rsidRPr="00B6211C">
        <w:rPr>
          <w:szCs w:val="24"/>
        </w:rPr>
        <w:t>.</w:t>
      </w:r>
    </w:p>
    <w:tbl>
      <w:tblPr>
        <w:tblW w:w="0" w:type="auto"/>
        <w:tblLayout w:type="fixed"/>
        <w:tblCellMar>
          <w:left w:w="0" w:type="dxa"/>
          <w:right w:w="0" w:type="dxa"/>
        </w:tblCellMar>
        <w:tblLook w:val="0420" w:firstRow="1" w:lastRow="0" w:firstColumn="0" w:lastColumn="0" w:noHBand="0" w:noVBand="1"/>
      </w:tblPr>
      <w:tblGrid>
        <w:gridCol w:w="2351"/>
        <w:gridCol w:w="1422"/>
        <w:gridCol w:w="1422"/>
        <w:gridCol w:w="1568"/>
        <w:gridCol w:w="1543"/>
      </w:tblGrid>
      <w:tr w:rsidR="00B6211C" w:rsidRPr="00B6211C" w14:paraId="22AC7AF1" w14:textId="77777777" w:rsidTr="00DE6590">
        <w:trPr>
          <w:trHeight w:val="167"/>
        </w:trPr>
        <w:tc>
          <w:tcPr>
            <w:tcW w:w="2351" w:type="dxa"/>
            <w:tcBorders>
              <w:top w:val="single" w:sz="18" w:space="0" w:color="auto"/>
              <w:left w:val="nil"/>
              <w:bottom w:val="single" w:sz="18" w:space="0" w:color="auto"/>
              <w:right w:val="nil"/>
            </w:tcBorders>
            <w:shd w:val="clear" w:color="auto" w:fill="auto"/>
            <w:tcMar>
              <w:top w:w="72" w:type="dxa"/>
              <w:left w:w="144" w:type="dxa"/>
              <w:bottom w:w="72" w:type="dxa"/>
              <w:right w:w="144" w:type="dxa"/>
            </w:tcMar>
            <w:vAlign w:val="center"/>
            <w:hideMark/>
          </w:tcPr>
          <w:p w14:paraId="59CCA055" w14:textId="1EF084C8" w:rsidR="00F23491" w:rsidRPr="00B6211C" w:rsidRDefault="00F23491" w:rsidP="00DE6590">
            <w:pPr>
              <w:widowControl/>
              <w:jc w:val="center"/>
              <w:rPr>
                <w:rFonts w:ascii="Arial" w:hAnsi="Arial" w:cs="Arial"/>
                <w:kern w:val="0"/>
                <w:szCs w:val="24"/>
              </w:rPr>
            </w:pPr>
            <w:bookmarkStart w:id="10" w:name="_Hlk195193722"/>
            <w:bookmarkEnd w:id="9"/>
            <w:r w:rsidRPr="00B6211C">
              <w:rPr>
                <w:rFonts w:ascii="Arial" w:hAnsi="Arial" w:cs="Arial"/>
                <w:b/>
                <w:bCs/>
                <w:kern w:val="24"/>
                <w:szCs w:val="24"/>
              </w:rPr>
              <w:t>Atomic</w:t>
            </w:r>
            <w:r w:rsidR="000660C2" w:rsidRPr="00B6211C">
              <w:rPr>
                <w:rFonts w:ascii="Arial" w:hAnsi="Arial" w:cs="Arial"/>
                <w:b/>
                <w:bCs/>
                <w:kern w:val="24"/>
                <w:szCs w:val="24"/>
              </w:rPr>
              <w:t xml:space="preserve"> ratio</w:t>
            </w:r>
            <w:r w:rsidRPr="00B6211C">
              <w:rPr>
                <w:rFonts w:ascii="Arial" w:hAnsi="Arial" w:cs="Arial"/>
                <w:b/>
                <w:bCs/>
                <w:kern w:val="24"/>
                <w:szCs w:val="24"/>
              </w:rPr>
              <w:t>/%</w:t>
            </w:r>
          </w:p>
        </w:tc>
        <w:tc>
          <w:tcPr>
            <w:tcW w:w="1422" w:type="dxa"/>
            <w:tcBorders>
              <w:top w:val="single" w:sz="18" w:space="0" w:color="auto"/>
              <w:left w:val="nil"/>
              <w:bottom w:val="single" w:sz="18" w:space="0" w:color="auto"/>
              <w:right w:val="nil"/>
            </w:tcBorders>
            <w:shd w:val="clear" w:color="auto" w:fill="auto"/>
            <w:tcMar>
              <w:top w:w="72" w:type="dxa"/>
              <w:left w:w="144" w:type="dxa"/>
              <w:bottom w:w="72" w:type="dxa"/>
              <w:right w:w="144" w:type="dxa"/>
            </w:tcMar>
            <w:vAlign w:val="center"/>
            <w:hideMark/>
          </w:tcPr>
          <w:p w14:paraId="1A2FB991"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C 1s</w:t>
            </w:r>
          </w:p>
        </w:tc>
        <w:tc>
          <w:tcPr>
            <w:tcW w:w="1422" w:type="dxa"/>
            <w:tcBorders>
              <w:top w:val="single" w:sz="18" w:space="0" w:color="auto"/>
              <w:left w:val="nil"/>
              <w:bottom w:val="single" w:sz="18" w:space="0" w:color="auto"/>
              <w:right w:val="nil"/>
            </w:tcBorders>
            <w:shd w:val="clear" w:color="auto" w:fill="auto"/>
            <w:tcMar>
              <w:top w:w="72" w:type="dxa"/>
              <w:left w:w="144" w:type="dxa"/>
              <w:bottom w:w="72" w:type="dxa"/>
              <w:right w:w="144" w:type="dxa"/>
            </w:tcMar>
            <w:vAlign w:val="center"/>
            <w:hideMark/>
          </w:tcPr>
          <w:p w14:paraId="33EEBD9A"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O 1s</w:t>
            </w:r>
          </w:p>
        </w:tc>
        <w:tc>
          <w:tcPr>
            <w:tcW w:w="1568" w:type="dxa"/>
            <w:tcBorders>
              <w:top w:val="single" w:sz="18" w:space="0" w:color="auto"/>
              <w:left w:val="nil"/>
              <w:bottom w:val="single" w:sz="18" w:space="0" w:color="auto"/>
              <w:right w:val="nil"/>
            </w:tcBorders>
            <w:shd w:val="clear" w:color="auto" w:fill="auto"/>
            <w:tcMar>
              <w:top w:w="72" w:type="dxa"/>
              <w:left w:w="144" w:type="dxa"/>
              <w:bottom w:w="72" w:type="dxa"/>
              <w:right w:w="144" w:type="dxa"/>
            </w:tcMar>
            <w:vAlign w:val="center"/>
            <w:hideMark/>
          </w:tcPr>
          <w:p w14:paraId="68EC9330"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Cu 2p</w:t>
            </w:r>
          </w:p>
        </w:tc>
        <w:tc>
          <w:tcPr>
            <w:tcW w:w="1543" w:type="dxa"/>
            <w:tcBorders>
              <w:top w:val="single" w:sz="18" w:space="0" w:color="auto"/>
              <w:left w:val="nil"/>
              <w:bottom w:val="single" w:sz="18" w:space="0" w:color="auto"/>
              <w:right w:val="nil"/>
            </w:tcBorders>
            <w:shd w:val="clear" w:color="auto" w:fill="auto"/>
            <w:tcMar>
              <w:top w:w="72" w:type="dxa"/>
              <w:left w:w="144" w:type="dxa"/>
              <w:bottom w:w="72" w:type="dxa"/>
              <w:right w:w="144" w:type="dxa"/>
            </w:tcMar>
            <w:vAlign w:val="center"/>
            <w:hideMark/>
          </w:tcPr>
          <w:p w14:paraId="56D774E6"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Ag 3d</w:t>
            </w:r>
          </w:p>
        </w:tc>
      </w:tr>
      <w:tr w:rsidR="00B6211C" w:rsidRPr="00B6211C" w14:paraId="3B851A8A" w14:textId="77777777" w:rsidTr="00DE6590">
        <w:trPr>
          <w:trHeight w:val="259"/>
        </w:trPr>
        <w:tc>
          <w:tcPr>
            <w:tcW w:w="2351" w:type="dxa"/>
            <w:tcBorders>
              <w:top w:val="single" w:sz="18" w:space="0" w:color="auto"/>
              <w:left w:val="nil"/>
              <w:bottom w:val="nil"/>
              <w:right w:val="nil"/>
            </w:tcBorders>
            <w:shd w:val="clear" w:color="auto" w:fill="auto"/>
            <w:tcMar>
              <w:top w:w="72" w:type="dxa"/>
              <w:left w:w="144" w:type="dxa"/>
              <w:bottom w:w="72" w:type="dxa"/>
              <w:right w:w="144" w:type="dxa"/>
            </w:tcMar>
            <w:vAlign w:val="center"/>
            <w:hideMark/>
          </w:tcPr>
          <w:p w14:paraId="4DF52BCB"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PMAA</w:t>
            </w:r>
          </w:p>
        </w:tc>
        <w:tc>
          <w:tcPr>
            <w:tcW w:w="1422" w:type="dxa"/>
            <w:tcBorders>
              <w:top w:val="single" w:sz="18" w:space="0" w:color="auto"/>
              <w:left w:val="nil"/>
              <w:bottom w:val="nil"/>
              <w:right w:val="nil"/>
            </w:tcBorders>
            <w:shd w:val="clear" w:color="auto" w:fill="auto"/>
            <w:tcMar>
              <w:top w:w="72" w:type="dxa"/>
              <w:left w:w="144" w:type="dxa"/>
              <w:bottom w:w="72" w:type="dxa"/>
              <w:right w:w="144" w:type="dxa"/>
            </w:tcMar>
            <w:vAlign w:val="center"/>
            <w:hideMark/>
          </w:tcPr>
          <w:p w14:paraId="519DE615"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68.83</w:t>
            </w:r>
          </w:p>
        </w:tc>
        <w:tc>
          <w:tcPr>
            <w:tcW w:w="1422" w:type="dxa"/>
            <w:tcBorders>
              <w:top w:val="single" w:sz="18" w:space="0" w:color="auto"/>
              <w:left w:val="nil"/>
              <w:bottom w:val="nil"/>
              <w:right w:val="nil"/>
            </w:tcBorders>
            <w:shd w:val="clear" w:color="auto" w:fill="auto"/>
            <w:tcMar>
              <w:top w:w="72" w:type="dxa"/>
              <w:left w:w="144" w:type="dxa"/>
              <w:bottom w:w="72" w:type="dxa"/>
              <w:right w:w="144" w:type="dxa"/>
            </w:tcMar>
            <w:vAlign w:val="center"/>
            <w:hideMark/>
          </w:tcPr>
          <w:p w14:paraId="31909D94"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30.85</w:t>
            </w:r>
          </w:p>
        </w:tc>
        <w:tc>
          <w:tcPr>
            <w:tcW w:w="1568" w:type="dxa"/>
            <w:tcBorders>
              <w:top w:val="single" w:sz="18" w:space="0" w:color="auto"/>
              <w:left w:val="nil"/>
              <w:bottom w:val="nil"/>
              <w:right w:val="nil"/>
            </w:tcBorders>
            <w:shd w:val="clear" w:color="auto" w:fill="auto"/>
            <w:tcMar>
              <w:top w:w="72" w:type="dxa"/>
              <w:left w:w="144" w:type="dxa"/>
              <w:bottom w:w="72" w:type="dxa"/>
              <w:right w:w="144" w:type="dxa"/>
            </w:tcMar>
            <w:vAlign w:val="center"/>
            <w:hideMark/>
          </w:tcPr>
          <w:p w14:paraId="13FA0A77"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0.26</w:t>
            </w:r>
          </w:p>
        </w:tc>
        <w:tc>
          <w:tcPr>
            <w:tcW w:w="1543" w:type="dxa"/>
            <w:tcBorders>
              <w:top w:val="single" w:sz="18" w:space="0" w:color="auto"/>
              <w:left w:val="nil"/>
              <w:bottom w:val="nil"/>
              <w:right w:val="nil"/>
            </w:tcBorders>
            <w:shd w:val="clear" w:color="auto" w:fill="auto"/>
            <w:tcMar>
              <w:top w:w="72" w:type="dxa"/>
              <w:left w:w="144" w:type="dxa"/>
              <w:bottom w:w="72" w:type="dxa"/>
              <w:right w:w="144" w:type="dxa"/>
            </w:tcMar>
            <w:vAlign w:val="center"/>
            <w:hideMark/>
          </w:tcPr>
          <w:p w14:paraId="7A702695"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0.06</w:t>
            </w:r>
          </w:p>
        </w:tc>
      </w:tr>
      <w:tr w:rsidR="00B6211C" w:rsidRPr="00B6211C" w14:paraId="087245CC" w14:textId="77777777" w:rsidTr="00DE6590">
        <w:trPr>
          <w:trHeight w:val="283"/>
        </w:trPr>
        <w:tc>
          <w:tcPr>
            <w:tcW w:w="2351" w:type="dxa"/>
            <w:tcBorders>
              <w:top w:val="nil"/>
              <w:left w:val="nil"/>
              <w:bottom w:val="nil"/>
              <w:right w:val="nil"/>
            </w:tcBorders>
            <w:shd w:val="clear" w:color="auto" w:fill="auto"/>
            <w:tcMar>
              <w:top w:w="72" w:type="dxa"/>
              <w:left w:w="144" w:type="dxa"/>
              <w:bottom w:w="72" w:type="dxa"/>
              <w:right w:w="144" w:type="dxa"/>
            </w:tcMar>
            <w:vAlign w:val="center"/>
            <w:hideMark/>
          </w:tcPr>
          <w:p w14:paraId="7C57F612"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Cu-PB</w:t>
            </w:r>
          </w:p>
        </w:tc>
        <w:tc>
          <w:tcPr>
            <w:tcW w:w="1422" w:type="dxa"/>
            <w:tcBorders>
              <w:top w:val="nil"/>
              <w:left w:val="nil"/>
              <w:bottom w:val="nil"/>
              <w:right w:val="nil"/>
            </w:tcBorders>
            <w:shd w:val="clear" w:color="auto" w:fill="auto"/>
            <w:tcMar>
              <w:top w:w="72" w:type="dxa"/>
              <w:left w:w="144" w:type="dxa"/>
              <w:bottom w:w="72" w:type="dxa"/>
              <w:right w:w="144" w:type="dxa"/>
            </w:tcMar>
            <w:vAlign w:val="center"/>
            <w:hideMark/>
          </w:tcPr>
          <w:p w14:paraId="55881DDA"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65.86</w:t>
            </w:r>
          </w:p>
        </w:tc>
        <w:tc>
          <w:tcPr>
            <w:tcW w:w="1422" w:type="dxa"/>
            <w:tcBorders>
              <w:top w:val="nil"/>
              <w:left w:val="nil"/>
              <w:bottom w:val="nil"/>
              <w:right w:val="nil"/>
            </w:tcBorders>
            <w:shd w:val="clear" w:color="auto" w:fill="auto"/>
            <w:tcMar>
              <w:top w:w="72" w:type="dxa"/>
              <w:left w:w="144" w:type="dxa"/>
              <w:bottom w:w="72" w:type="dxa"/>
              <w:right w:w="144" w:type="dxa"/>
            </w:tcMar>
            <w:vAlign w:val="center"/>
            <w:hideMark/>
          </w:tcPr>
          <w:p w14:paraId="61EE2436"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26.59</w:t>
            </w:r>
          </w:p>
        </w:tc>
        <w:tc>
          <w:tcPr>
            <w:tcW w:w="1568" w:type="dxa"/>
            <w:tcBorders>
              <w:top w:val="nil"/>
              <w:left w:val="nil"/>
              <w:bottom w:val="nil"/>
              <w:right w:val="nil"/>
            </w:tcBorders>
            <w:shd w:val="clear" w:color="auto" w:fill="auto"/>
            <w:tcMar>
              <w:top w:w="72" w:type="dxa"/>
              <w:left w:w="144" w:type="dxa"/>
              <w:bottom w:w="72" w:type="dxa"/>
              <w:right w:w="144" w:type="dxa"/>
            </w:tcMar>
            <w:vAlign w:val="center"/>
            <w:hideMark/>
          </w:tcPr>
          <w:p w14:paraId="07F01AAA"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7.49</w:t>
            </w:r>
          </w:p>
        </w:tc>
        <w:tc>
          <w:tcPr>
            <w:tcW w:w="1543" w:type="dxa"/>
            <w:tcBorders>
              <w:top w:val="nil"/>
              <w:left w:val="nil"/>
              <w:bottom w:val="nil"/>
              <w:right w:val="nil"/>
            </w:tcBorders>
            <w:shd w:val="clear" w:color="auto" w:fill="auto"/>
            <w:tcMar>
              <w:top w:w="72" w:type="dxa"/>
              <w:left w:w="144" w:type="dxa"/>
              <w:bottom w:w="72" w:type="dxa"/>
              <w:right w:w="144" w:type="dxa"/>
            </w:tcMar>
            <w:vAlign w:val="center"/>
            <w:hideMark/>
          </w:tcPr>
          <w:p w14:paraId="213BA694"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0.07</w:t>
            </w:r>
          </w:p>
        </w:tc>
      </w:tr>
      <w:tr w:rsidR="00F23491" w:rsidRPr="00B6211C" w14:paraId="6FF7F3CA" w14:textId="77777777" w:rsidTr="00DE6590">
        <w:trPr>
          <w:trHeight w:val="24"/>
        </w:trPr>
        <w:tc>
          <w:tcPr>
            <w:tcW w:w="2351" w:type="dxa"/>
            <w:tcBorders>
              <w:top w:val="nil"/>
              <w:left w:val="nil"/>
              <w:bottom w:val="single" w:sz="18" w:space="0" w:color="auto"/>
              <w:right w:val="nil"/>
            </w:tcBorders>
            <w:shd w:val="clear" w:color="auto" w:fill="auto"/>
            <w:tcMar>
              <w:top w:w="72" w:type="dxa"/>
              <w:left w:w="144" w:type="dxa"/>
              <w:bottom w:w="72" w:type="dxa"/>
              <w:right w:w="144" w:type="dxa"/>
            </w:tcMar>
            <w:vAlign w:val="center"/>
            <w:hideMark/>
          </w:tcPr>
          <w:p w14:paraId="22EC6845"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Ag-PB</w:t>
            </w:r>
          </w:p>
        </w:tc>
        <w:tc>
          <w:tcPr>
            <w:tcW w:w="1422" w:type="dxa"/>
            <w:tcBorders>
              <w:top w:val="nil"/>
              <w:left w:val="nil"/>
              <w:bottom w:val="single" w:sz="18" w:space="0" w:color="auto"/>
              <w:right w:val="nil"/>
            </w:tcBorders>
            <w:shd w:val="clear" w:color="auto" w:fill="auto"/>
            <w:tcMar>
              <w:top w:w="72" w:type="dxa"/>
              <w:left w:w="144" w:type="dxa"/>
              <w:bottom w:w="72" w:type="dxa"/>
              <w:right w:w="144" w:type="dxa"/>
            </w:tcMar>
            <w:vAlign w:val="center"/>
            <w:hideMark/>
          </w:tcPr>
          <w:p w14:paraId="6268EBA4"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70.74</w:t>
            </w:r>
          </w:p>
        </w:tc>
        <w:tc>
          <w:tcPr>
            <w:tcW w:w="1422" w:type="dxa"/>
            <w:tcBorders>
              <w:top w:val="nil"/>
              <w:left w:val="nil"/>
              <w:bottom w:val="single" w:sz="18" w:space="0" w:color="auto"/>
              <w:right w:val="nil"/>
            </w:tcBorders>
            <w:shd w:val="clear" w:color="auto" w:fill="auto"/>
            <w:tcMar>
              <w:top w:w="72" w:type="dxa"/>
              <w:left w:w="144" w:type="dxa"/>
              <w:bottom w:w="72" w:type="dxa"/>
              <w:right w:w="144" w:type="dxa"/>
            </w:tcMar>
            <w:vAlign w:val="center"/>
            <w:hideMark/>
          </w:tcPr>
          <w:p w14:paraId="6E24E4D7"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21.70</w:t>
            </w:r>
          </w:p>
        </w:tc>
        <w:tc>
          <w:tcPr>
            <w:tcW w:w="1568" w:type="dxa"/>
            <w:tcBorders>
              <w:top w:val="nil"/>
              <w:left w:val="nil"/>
              <w:bottom w:val="single" w:sz="18" w:space="0" w:color="auto"/>
              <w:right w:val="nil"/>
            </w:tcBorders>
            <w:shd w:val="clear" w:color="auto" w:fill="auto"/>
            <w:tcMar>
              <w:top w:w="72" w:type="dxa"/>
              <w:left w:w="144" w:type="dxa"/>
              <w:bottom w:w="72" w:type="dxa"/>
              <w:right w:w="144" w:type="dxa"/>
            </w:tcMar>
            <w:vAlign w:val="center"/>
            <w:hideMark/>
          </w:tcPr>
          <w:p w14:paraId="186C0C63"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0.44</w:t>
            </w:r>
          </w:p>
        </w:tc>
        <w:tc>
          <w:tcPr>
            <w:tcW w:w="1543" w:type="dxa"/>
            <w:tcBorders>
              <w:top w:val="nil"/>
              <w:left w:val="nil"/>
              <w:bottom w:val="single" w:sz="18" w:space="0" w:color="auto"/>
              <w:right w:val="nil"/>
            </w:tcBorders>
            <w:shd w:val="clear" w:color="auto" w:fill="auto"/>
            <w:tcMar>
              <w:top w:w="72" w:type="dxa"/>
              <w:left w:w="144" w:type="dxa"/>
              <w:bottom w:w="72" w:type="dxa"/>
              <w:right w:w="144" w:type="dxa"/>
            </w:tcMar>
            <w:vAlign w:val="center"/>
            <w:hideMark/>
          </w:tcPr>
          <w:p w14:paraId="0423E43F"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7.12</w:t>
            </w:r>
          </w:p>
        </w:tc>
      </w:tr>
      <w:bookmarkEnd w:id="10"/>
    </w:tbl>
    <w:p w14:paraId="1670329A" w14:textId="458A7C4F" w:rsidR="002B4263" w:rsidRPr="00B6211C" w:rsidRDefault="002B4263">
      <w:pPr>
        <w:widowControl/>
        <w:jc w:val="left"/>
        <w:rPr>
          <w:rFonts w:cs="Times New Roman"/>
          <w:szCs w:val="24"/>
        </w:rPr>
      </w:pPr>
    </w:p>
    <w:p w14:paraId="6CCFC8F9" w14:textId="77777777" w:rsidR="002B4263" w:rsidRPr="00B6211C" w:rsidRDefault="002B4263">
      <w:pPr>
        <w:widowControl/>
        <w:jc w:val="left"/>
        <w:rPr>
          <w:rFonts w:cs="Times New Roman"/>
          <w:szCs w:val="24"/>
        </w:rPr>
      </w:pPr>
      <w:r w:rsidRPr="00B6211C">
        <w:rPr>
          <w:rFonts w:cs="Times New Roman"/>
          <w:szCs w:val="24"/>
        </w:rPr>
        <w:br w:type="page"/>
      </w:r>
    </w:p>
    <w:p w14:paraId="491B9798" w14:textId="42C1BC08" w:rsidR="00F23491" w:rsidRPr="00B6211C" w:rsidRDefault="00F23491" w:rsidP="002B426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Times New Roman"/>
          <w:kern w:val="0"/>
          <w:szCs w:val="24"/>
        </w:rPr>
      </w:pPr>
      <w:r w:rsidRPr="00B6211C">
        <w:rPr>
          <w:rFonts w:cs="Times New Roman"/>
          <w:b/>
          <w:bCs/>
          <w:kern w:val="0"/>
          <w:szCs w:val="24"/>
        </w:rPr>
        <w:lastRenderedPageBreak/>
        <w:t>Table S</w:t>
      </w:r>
      <w:r w:rsidRPr="00B6211C">
        <w:rPr>
          <w:rFonts w:cs="Times New Roman" w:hint="eastAsia"/>
          <w:b/>
          <w:bCs/>
          <w:kern w:val="0"/>
          <w:szCs w:val="24"/>
        </w:rPr>
        <w:t>2</w:t>
      </w:r>
      <w:r w:rsidRPr="00B6211C">
        <w:rPr>
          <w:rFonts w:cs="Times New Roman"/>
          <w:b/>
          <w:bCs/>
          <w:kern w:val="0"/>
          <w:szCs w:val="24"/>
        </w:rPr>
        <w:t>.</w:t>
      </w:r>
      <w:r w:rsidRPr="00B6211C">
        <w:rPr>
          <w:rFonts w:cs="Times New Roman"/>
          <w:kern w:val="0"/>
          <w:szCs w:val="24"/>
        </w:rPr>
        <w:t xml:space="preserve"> Summary of the Antibacterial performance of different polymer brushes.</w:t>
      </w:r>
    </w:p>
    <w:tbl>
      <w:tblPr>
        <w:tblStyle w:val="a9"/>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560"/>
        <w:gridCol w:w="1417"/>
        <w:gridCol w:w="1701"/>
        <w:gridCol w:w="1134"/>
        <w:gridCol w:w="793"/>
      </w:tblGrid>
      <w:tr w:rsidR="00B6211C" w:rsidRPr="00B6211C" w14:paraId="2C8C9B87" w14:textId="77777777" w:rsidTr="00DE6590">
        <w:tc>
          <w:tcPr>
            <w:tcW w:w="1701" w:type="dxa"/>
            <w:vMerge w:val="restart"/>
            <w:tcBorders>
              <w:top w:val="single" w:sz="12" w:space="0" w:color="auto"/>
            </w:tcBorders>
            <w:vAlign w:val="center"/>
          </w:tcPr>
          <w:p w14:paraId="429382E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Material</w:t>
            </w:r>
          </w:p>
        </w:tc>
        <w:tc>
          <w:tcPr>
            <w:tcW w:w="1560" w:type="dxa"/>
            <w:vMerge w:val="restart"/>
            <w:tcBorders>
              <w:top w:val="single" w:sz="12" w:space="0" w:color="auto"/>
            </w:tcBorders>
            <w:vAlign w:val="center"/>
          </w:tcPr>
          <w:p w14:paraId="3010B15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Antibacterial Time (h)</w:t>
            </w:r>
          </w:p>
        </w:tc>
        <w:tc>
          <w:tcPr>
            <w:tcW w:w="3118" w:type="dxa"/>
            <w:gridSpan w:val="2"/>
            <w:tcBorders>
              <w:top w:val="single" w:sz="12" w:space="0" w:color="auto"/>
              <w:bottom w:val="single" w:sz="4" w:space="0" w:color="auto"/>
            </w:tcBorders>
            <w:vAlign w:val="center"/>
          </w:tcPr>
          <w:p w14:paraId="0B70ABB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Inhibition rate (%)</w:t>
            </w:r>
          </w:p>
        </w:tc>
        <w:tc>
          <w:tcPr>
            <w:tcW w:w="1134" w:type="dxa"/>
            <w:vMerge w:val="restart"/>
            <w:tcBorders>
              <w:top w:val="single" w:sz="12" w:space="0" w:color="auto"/>
            </w:tcBorders>
            <w:vAlign w:val="center"/>
          </w:tcPr>
          <w:p w14:paraId="7C77E257"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Durability (days)</w:t>
            </w:r>
          </w:p>
        </w:tc>
        <w:tc>
          <w:tcPr>
            <w:tcW w:w="793" w:type="dxa"/>
            <w:vMerge w:val="restart"/>
            <w:tcBorders>
              <w:top w:val="single" w:sz="12" w:space="0" w:color="auto"/>
            </w:tcBorders>
            <w:vAlign w:val="center"/>
          </w:tcPr>
          <w:p w14:paraId="1E332E8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Ref.</w:t>
            </w:r>
          </w:p>
        </w:tc>
      </w:tr>
      <w:tr w:rsidR="00B6211C" w:rsidRPr="00B6211C" w14:paraId="4865A88B" w14:textId="77777777" w:rsidTr="00DE6590">
        <w:tc>
          <w:tcPr>
            <w:tcW w:w="1701" w:type="dxa"/>
            <w:vMerge/>
            <w:tcBorders>
              <w:bottom w:val="single" w:sz="12" w:space="0" w:color="auto"/>
            </w:tcBorders>
            <w:vAlign w:val="center"/>
          </w:tcPr>
          <w:p w14:paraId="2937638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c>
          <w:tcPr>
            <w:tcW w:w="1560" w:type="dxa"/>
            <w:vMerge/>
            <w:tcBorders>
              <w:bottom w:val="single" w:sz="12" w:space="0" w:color="auto"/>
            </w:tcBorders>
            <w:vAlign w:val="center"/>
          </w:tcPr>
          <w:p w14:paraId="4CF1476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c>
          <w:tcPr>
            <w:tcW w:w="1417" w:type="dxa"/>
            <w:tcBorders>
              <w:top w:val="single" w:sz="4" w:space="0" w:color="auto"/>
              <w:bottom w:val="single" w:sz="12" w:space="0" w:color="auto"/>
            </w:tcBorders>
            <w:vAlign w:val="center"/>
          </w:tcPr>
          <w:p w14:paraId="5F4DC1D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E. coli</w:t>
            </w:r>
          </w:p>
        </w:tc>
        <w:tc>
          <w:tcPr>
            <w:tcW w:w="1701" w:type="dxa"/>
            <w:tcBorders>
              <w:top w:val="single" w:sz="4" w:space="0" w:color="auto"/>
              <w:bottom w:val="single" w:sz="12" w:space="0" w:color="auto"/>
            </w:tcBorders>
            <w:vAlign w:val="center"/>
          </w:tcPr>
          <w:p w14:paraId="45132E0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S. aureus</w:t>
            </w:r>
          </w:p>
        </w:tc>
        <w:tc>
          <w:tcPr>
            <w:tcW w:w="1134" w:type="dxa"/>
            <w:vMerge/>
            <w:tcBorders>
              <w:bottom w:val="single" w:sz="12" w:space="0" w:color="auto"/>
            </w:tcBorders>
            <w:vAlign w:val="center"/>
          </w:tcPr>
          <w:p w14:paraId="0BD8935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c>
          <w:tcPr>
            <w:tcW w:w="793" w:type="dxa"/>
            <w:vMerge/>
            <w:tcBorders>
              <w:bottom w:val="single" w:sz="12" w:space="0" w:color="auto"/>
            </w:tcBorders>
            <w:vAlign w:val="center"/>
          </w:tcPr>
          <w:p w14:paraId="0E9A16B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1D60519D" w14:textId="77777777" w:rsidTr="00DE6590">
        <w:tc>
          <w:tcPr>
            <w:tcW w:w="1701" w:type="dxa"/>
            <w:tcBorders>
              <w:top w:val="single" w:sz="12" w:space="0" w:color="auto"/>
              <w:bottom w:val="single" w:sz="4" w:space="0" w:color="auto"/>
              <w:right w:val="single" w:sz="4" w:space="0" w:color="auto"/>
            </w:tcBorders>
            <w:vAlign w:val="center"/>
          </w:tcPr>
          <w:p w14:paraId="7EFFBC53"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PDMAEMA brushes</w:t>
            </w:r>
          </w:p>
        </w:tc>
        <w:tc>
          <w:tcPr>
            <w:tcW w:w="1560" w:type="dxa"/>
            <w:tcBorders>
              <w:top w:val="single" w:sz="12" w:space="0" w:color="auto"/>
              <w:left w:val="single" w:sz="4" w:space="0" w:color="auto"/>
              <w:bottom w:val="single" w:sz="4" w:space="0" w:color="auto"/>
              <w:right w:val="single" w:sz="4" w:space="0" w:color="auto"/>
            </w:tcBorders>
            <w:vAlign w:val="center"/>
          </w:tcPr>
          <w:p w14:paraId="33E8C89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3</w:t>
            </w:r>
          </w:p>
        </w:tc>
        <w:tc>
          <w:tcPr>
            <w:tcW w:w="1417" w:type="dxa"/>
            <w:tcBorders>
              <w:top w:val="single" w:sz="12" w:space="0" w:color="auto"/>
              <w:left w:val="single" w:sz="4" w:space="0" w:color="auto"/>
              <w:bottom w:val="single" w:sz="4" w:space="0" w:color="auto"/>
              <w:right w:val="single" w:sz="4" w:space="0" w:color="auto"/>
            </w:tcBorders>
            <w:vAlign w:val="center"/>
          </w:tcPr>
          <w:p w14:paraId="04634BC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~90</w:t>
            </w:r>
          </w:p>
        </w:tc>
        <w:tc>
          <w:tcPr>
            <w:tcW w:w="1701" w:type="dxa"/>
            <w:tcBorders>
              <w:top w:val="single" w:sz="12" w:space="0" w:color="auto"/>
              <w:left w:val="single" w:sz="4" w:space="0" w:color="auto"/>
              <w:bottom w:val="single" w:sz="4" w:space="0" w:color="auto"/>
              <w:right w:val="single" w:sz="4" w:space="0" w:color="auto"/>
            </w:tcBorders>
            <w:vAlign w:val="center"/>
          </w:tcPr>
          <w:p w14:paraId="705FCB3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1134" w:type="dxa"/>
            <w:tcBorders>
              <w:top w:val="single" w:sz="12" w:space="0" w:color="auto"/>
              <w:left w:val="single" w:sz="4" w:space="0" w:color="auto"/>
              <w:bottom w:val="single" w:sz="4" w:space="0" w:color="auto"/>
              <w:right w:val="single" w:sz="4" w:space="0" w:color="auto"/>
            </w:tcBorders>
            <w:vAlign w:val="center"/>
          </w:tcPr>
          <w:p w14:paraId="2604E63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tcBorders>
              <w:top w:val="single" w:sz="12" w:space="0" w:color="auto"/>
              <w:left w:val="single" w:sz="4" w:space="0" w:color="auto"/>
              <w:bottom w:val="single" w:sz="4" w:space="0" w:color="auto"/>
            </w:tcBorders>
            <w:vAlign w:val="center"/>
          </w:tcPr>
          <w:p w14:paraId="2500739F"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&lt;EndNote&gt;&lt;Cite&gt;&lt;Author&gt;Ko&lt;/Author&gt;&lt;Year&gt;2022&lt;/Year&gt;&lt;RecNum&gt;455&lt;/RecNum&gt;&lt;DisplayText&gt; [1]&lt;/DisplayText&gt;&lt;record&gt;&lt;rec-number&gt;455&lt;/rec-number&gt;&lt;foreign-keys&gt;&lt;key app="EN" db-id="p55psfa0aerpsvezs5d5t9wddreteewt209z" timestamp="1744548880"&gt;455&lt;/key&gt;&lt;/foreign-keys&gt;&lt;ref-type name="Journal Article"&gt;17&lt;/ref-type&gt;&lt;contributors&gt;&lt;authors&gt;&lt;author&gt;Ko, Yeongun&lt;/author&gt;&lt;author&gt;Truong, Vi Khanh&lt;/author&gt;&lt;author&gt;Woo, Sun Young&lt;/author&gt;&lt;author&gt;Dickey, Michael D.&lt;/author&gt;&lt;author&gt;Hsiao, Lilian&lt;/author&gt;&lt;author&gt;Genzer, Jan&lt;/author&gt;&lt;/authors&gt;&lt;/contributors&gt;&lt;titles&gt;&lt;title&gt;Counterpropagating Gradients of Antibacterial and Antifouling Polymer Brushes&lt;/title&gt;&lt;secondary-title&gt;Biomacromolecules&lt;/secondary-title&gt;&lt;/titles&gt;&lt;periodical&gt;&lt;full-title&gt;Biomacromolecules&lt;/full-title&gt;&lt;/periodical&gt;&lt;pages&gt;424-430&lt;/pages&gt;&lt;volume&gt;23&lt;/volume&gt;&lt;number&gt;1&lt;/number&gt;&lt;dates&gt;&lt;year&gt;2022&lt;/year&gt;&lt;pub-dates&gt;&lt;date&gt;2022/01/10&lt;/date&gt;&lt;/pub-dates&gt;&lt;/dates&gt;&lt;publisher&gt;American Chemical Society&lt;/publisher&gt;&lt;isbn&gt;1525-7797&lt;/isbn&gt;&lt;urls&gt;&lt;related-urls&gt;&lt;url&gt;https://doi.org/10.1021/acs.biomac.1c01386&lt;/url&gt;&lt;/related-urls&gt;&lt;/urls&gt;&lt;electronic-resource-num&gt;10.1021/acs.biomac.1c01386&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[1]</w:t>
            </w:r>
            <w:r w:rsidRPr="00B6211C">
              <w:rPr>
                <w:rFonts w:ascii="Arial" w:hAnsi="Arial" w:cs="Arial"/>
                <w:kern w:val="0"/>
                <w:szCs w:val="24"/>
              </w:rPr>
              <w:fldChar w:fldCharType="end"/>
            </w:r>
          </w:p>
        </w:tc>
      </w:tr>
      <w:tr w:rsidR="00B6211C" w:rsidRPr="00B6211C" w14:paraId="13892128" w14:textId="77777777" w:rsidTr="00DE6590">
        <w:tc>
          <w:tcPr>
            <w:tcW w:w="1701" w:type="dxa"/>
            <w:tcBorders>
              <w:top w:val="single" w:sz="4" w:space="0" w:color="auto"/>
              <w:bottom w:val="single" w:sz="4" w:space="0" w:color="auto"/>
              <w:right w:val="single" w:sz="4" w:space="0" w:color="auto"/>
            </w:tcBorders>
            <w:vAlign w:val="center"/>
          </w:tcPr>
          <w:p w14:paraId="1327A60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Si-g-PEGMA-QAC</w:t>
            </w:r>
            <w:r w:rsidRPr="00B6211C">
              <w:rPr>
                <w:rFonts w:ascii="Arial" w:hAnsi="Arial" w:cs="Arial"/>
                <w:kern w:val="0"/>
                <w:szCs w:val="24"/>
                <w:vertAlign w:val="subscript"/>
              </w:rPr>
              <w:t>2</w:t>
            </w:r>
          </w:p>
        </w:tc>
        <w:tc>
          <w:tcPr>
            <w:tcW w:w="1560" w:type="dxa"/>
            <w:tcBorders>
              <w:top w:val="single" w:sz="4" w:space="0" w:color="auto"/>
              <w:left w:val="single" w:sz="4" w:space="0" w:color="auto"/>
              <w:bottom w:val="single" w:sz="4" w:space="0" w:color="auto"/>
              <w:right w:val="single" w:sz="4" w:space="0" w:color="auto"/>
            </w:tcBorders>
            <w:vAlign w:val="center"/>
          </w:tcPr>
          <w:p w14:paraId="7318A0D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8</w:t>
            </w:r>
          </w:p>
        </w:tc>
        <w:tc>
          <w:tcPr>
            <w:tcW w:w="1417" w:type="dxa"/>
            <w:tcBorders>
              <w:top w:val="single" w:sz="4" w:space="0" w:color="auto"/>
              <w:left w:val="single" w:sz="4" w:space="0" w:color="auto"/>
              <w:bottom w:val="single" w:sz="4" w:space="0" w:color="auto"/>
              <w:right w:val="single" w:sz="4" w:space="0" w:color="auto"/>
            </w:tcBorders>
            <w:vAlign w:val="center"/>
          </w:tcPr>
          <w:p w14:paraId="12DF83E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hint="eastAsia"/>
                <w:kern w:val="0"/>
                <w:szCs w:val="24"/>
              </w:rPr>
              <w:t>~98</w:t>
            </w:r>
          </w:p>
        </w:tc>
        <w:tc>
          <w:tcPr>
            <w:tcW w:w="1701" w:type="dxa"/>
            <w:tcBorders>
              <w:top w:val="single" w:sz="4" w:space="0" w:color="auto"/>
              <w:left w:val="single" w:sz="4" w:space="0" w:color="auto"/>
              <w:bottom w:val="single" w:sz="4" w:space="0" w:color="auto"/>
              <w:right w:val="single" w:sz="4" w:space="0" w:color="auto"/>
            </w:tcBorders>
            <w:vAlign w:val="center"/>
          </w:tcPr>
          <w:p w14:paraId="23D4952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hint="eastAsia"/>
                <w:kern w:val="0"/>
                <w:szCs w:val="24"/>
              </w:rPr>
              <w:t>~98</w:t>
            </w:r>
          </w:p>
        </w:tc>
        <w:tc>
          <w:tcPr>
            <w:tcW w:w="1134" w:type="dxa"/>
            <w:tcBorders>
              <w:top w:val="single" w:sz="4" w:space="0" w:color="auto"/>
              <w:left w:val="single" w:sz="4" w:space="0" w:color="auto"/>
              <w:bottom w:val="single" w:sz="4" w:space="0" w:color="auto"/>
              <w:right w:val="single" w:sz="4" w:space="0" w:color="auto"/>
            </w:tcBorders>
            <w:vAlign w:val="center"/>
          </w:tcPr>
          <w:p w14:paraId="2D6BD22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7</w:t>
            </w:r>
          </w:p>
        </w:tc>
        <w:tc>
          <w:tcPr>
            <w:tcW w:w="793" w:type="dxa"/>
            <w:tcBorders>
              <w:top w:val="single" w:sz="4" w:space="0" w:color="auto"/>
              <w:left w:val="single" w:sz="4" w:space="0" w:color="auto"/>
              <w:bottom w:val="single" w:sz="4" w:space="0" w:color="auto"/>
            </w:tcBorders>
            <w:vAlign w:val="center"/>
          </w:tcPr>
          <w:p w14:paraId="1C696D0C"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&lt;EndNote&gt;&lt;Cite&gt;&lt;Author&gt;Yan&lt;/Author&gt;&lt;Year&gt;2017&lt;/Year&gt;&lt;RecNum&gt;456&lt;/RecNum&gt;&lt;DisplayText&gt; [2]&lt;/DisplayText&gt;&lt;record&gt;&lt;rec-number&gt;456&lt;/rec-number&gt;&lt;foreign-keys&gt;&lt;key app="EN" db-id="p55psfa0aerpsvezs5d5t9wddreteewt209z" timestamp="1744548911"&gt;456&lt;/key&gt;&lt;/foreign-keys&gt;&lt;ref-type name="Journal Article"&gt;17&lt;/ref-type&gt;&lt;contributors&gt;&lt;authors&gt;&lt;author&gt;Yan, Shunjie&lt;/author&gt;&lt;author&gt;Song, Lingjie&lt;/author&gt;&lt;author&gt;Luan, Shifang&lt;/author&gt;&lt;author&gt;Xin, Zhirong&lt;/author&gt;&lt;author&gt;Du, Shanshan&lt;/author&gt;&lt;author&gt;Shi, Hengchong&lt;/author&gt;&lt;author&gt;Yuan, Shuaishuai&lt;/author&gt;&lt;author&gt;Yang, Yuming&lt;/author&gt;&lt;author&gt;Yin, Jinghua&lt;/author&gt;&lt;/authors&gt;&lt;/contributors&gt;&lt;titles&gt;&lt;title&gt;A hierarchical polymer brush coating with dual-function antibacterial capability&lt;/title&gt;&lt;secondary-title&gt;Colloids and Surfaces B: Biointerfaces&lt;/secondary-title&gt;&lt;/titles&gt;&lt;periodical&gt;&lt;full-title&gt;Colloids and Surfaces B: Biointerfaces&lt;/full-title&gt;&lt;/periodical&gt;&lt;pages&gt;260-270&lt;/pages&gt;&lt;volume&gt;149&lt;/volume&gt;&lt;keywords&gt;&lt;keyword&gt;Surface-initiated photoiniferter-mediated polymerization&lt;/keyword&gt;&lt;keyword&gt;Hierarchical polymer brush&lt;/keyword&gt;&lt;keyword&gt;Dual-function antibacterial&lt;/keyword&gt;&lt;keyword&gt;Long-term antibacterial&lt;/keyword&gt;&lt;keyword&gt;Cytotoxicity&lt;/keyword&gt;&lt;/keywords&gt;&lt;dates&gt;&lt;year&gt;2017&lt;/year&gt;&lt;pub-dates&gt;&lt;date&gt;2017/01/01/&lt;/date&gt;&lt;/pub-dates&gt;&lt;/dates&gt;&lt;isbn&gt;0927-7765&lt;/isbn&gt;&lt;urls&gt;&lt;related-urls&gt;&lt;url&gt;https://www.sciencedirect.com/science/article/pii/S0927776516305896&lt;/url&gt;&lt;/related-urls&gt;&lt;/urls&gt;&lt;electronic-resource-num&gt;https://doi.org/10.1016/j.colsurfb.2016.08.012&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[2]</w:t>
            </w:r>
            <w:r w:rsidRPr="00B6211C">
              <w:rPr>
                <w:rFonts w:ascii="Arial" w:hAnsi="Arial" w:cs="Arial"/>
                <w:kern w:val="0"/>
                <w:szCs w:val="24"/>
              </w:rPr>
              <w:fldChar w:fldCharType="end"/>
            </w:r>
          </w:p>
        </w:tc>
      </w:tr>
      <w:tr w:rsidR="00B6211C" w:rsidRPr="00B6211C" w14:paraId="7FA53B6C" w14:textId="77777777" w:rsidTr="00DE6590">
        <w:tc>
          <w:tcPr>
            <w:tcW w:w="1701" w:type="dxa"/>
            <w:tcBorders>
              <w:top w:val="single" w:sz="4" w:space="0" w:color="auto"/>
              <w:bottom w:val="single" w:sz="4" w:space="0" w:color="auto"/>
              <w:right w:val="single" w:sz="4" w:space="0" w:color="auto"/>
            </w:tcBorders>
            <w:vAlign w:val="center"/>
          </w:tcPr>
          <w:p w14:paraId="0EC9AD1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CM-1</w:t>
            </w:r>
          </w:p>
        </w:tc>
        <w:tc>
          <w:tcPr>
            <w:tcW w:w="1560" w:type="dxa"/>
            <w:tcBorders>
              <w:top w:val="single" w:sz="4" w:space="0" w:color="auto"/>
              <w:left w:val="single" w:sz="4" w:space="0" w:color="auto"/>
              <w:bottom w:val="single" w:sz="4" w:space="0" w:color="auto"/>
              <w:right w:val="single" w:sz="4" w:space="0" w:color="auto"/>
            </w:tcBorders>
            <w:vAlign w:val="center"/>
          </w:tcPr>
          <w:p w14:paraId="6A00F4C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14:paraId="41BAAE4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90.5</w:t>
            </w:r>
          </w:p>
        </w:tc>
        <w:tc>
          <w:tcPr>
            <w:tcW w:w="1701" w:type="dxa"/>
            <w:tcBorders>
              <w:top w:val="single" w:sz="4" w:space="0" w:color="auto"/>
              <w:left w:val="single" w:sz="4" w:space="0" w:color="auto"/>
              <w:bottom w:val="single" w:sz="4" w:space="0" w:color="auto"/>
              <w:right w:val="single" w:sz="4" w:space="0" w:color="auto"/>
            </w:tcBorders>
            <w:vAlign w:val="center"/>
          </w:tcPr>
          <w:p w14:paraId="31BD115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95.1</w:t>
            </w:r>
          </w:p>
        </w:tc>
        <w:tc>
          <w:tcPr>
            <w:tcW w:w="1134" w:type="dxa"/>
            <w:tcBorders>
              <w:top w:val="single" w:sz="4" w:space="0" w:color="auto"/>
              <w:left w:val="single" w:sz="4" w:space="0" w:color="auto"/>
              <w:bottom w:val="single" w:sz="4" w:space="0" w:color="auto"/>
              <w:right w:val="single" w:sz="4" w:space="0" w:color="auto"/>
            </w:tcBorders>
            <w:vAlign w:val="center"/>
          </w:tcPr>
          <w:p w14:paraId="3D501DB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tcBorders>
              <w:top w:val="single" w:sz="4" w:space="0" w:color="auto"/>
              <w:left w:val="single" w:sz="4" w:space="0" w:color="auto"/>
              <w:bottom w:val="single" w:sz="4" w:space="0" w:color="auto"/>
            </w:tcBorders>
            <w:vAlign w:val="center"/>
          </w:tcPr>
          <w:p w14:paraId="4591A64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&lt;EndNote&gt;&lt;Cite&gt;&lt;Author&gt;Xu&lt;/Author&gt;&lt;Year&gt;2020&lt;/Year&gt;&lt;RecNum&gt;457&lt;/RecNum&gt;&lt;DisplayText&gt; [3]&lt;/DisplayText&gt;&lt;record&gt;&lt;rec-number&gt;457&lt;/rec-number&gt;&lt;foreign-keys&gt;&lt;key app="EN" db-id="p55psfa0aerpsvezs5d5t9wddreteewt209z" timestamp="1744548926"&gt;457&lt;/key&gt;&lt;/foreign-keys&gt;&lt;ref-type name="Journal Article"&gt;17&lt;/ref-type&gt;&lt;contributors&gt;&lt;authors&gt;&lt;author&gt;Xu, Chen&lt;/author&gt;&lt;author&gt;Jiang, Jungang&lt;/author&gt;&lt;author&gt;Oguzlu, Hale&lt;/author&gt;&lt;author&gt;Zheng, Yi&lt;/author&gt;&lt;author&gt;Jiang, Feng&lt;/author&gt;&lt;/authors&gt;&lt;/contributors&gt;&lt;titles&gt;&lt;title&gt;Antifouling, antibacterial and non-cytotoxic transparent cellulose membrane with grafted zwitterion and quaternary ammonium copolymers&lt;/title&gt;&lt;secondary-title&gt;Carbohydrate Polymers&lt;/secondary-title&gt;&lt;/titles&gt;&lt;periodical&gt;&lt;full-title&gt;Carbohydrate Polymers&lt;/full-title&gt;&lt;abbr-1&gt;Carbohydr. Polym.&lt;/abbr-1&gt;&lt;abbr-2&gt;Carbohydr Polym&lt;/abbr-2&gt;&lt;/periodical&gt;&lt;pages&gt;116960&lt;/pages&gt;&lt;volume&gt;250&lt;/volume&gt;&lt;keywords&gt;&lt;keyword&gt;Cellulose membrane&lt;/keyword&gt;&lt;keyword&gt;Antifouling&lt;/keyword&gt;&lt;keyword&gt;Antibacterial&lt;/keyword&gt;&lt;keyword&gt;Atom transfer radical polymerization (ATRP)&lt;/keyword&gt;&lt;keyword&gt;Zwitterion&lt;/keyword&gt;&lt;keyword&gt;Quaternary ammonium compound&lt;/keyword&gt;&lt;/keywords&gt;&lt;dates&gt;&lt;year&gt;2020&lt;/year&gt;&lt;pub-dates&gt;&lt;date&gt;2020/12/15/&lt;/date&gt;&lt;/pub-dates&gt;&lt;/dates&gt;&lt;isbn&gt;0144-8617&lt;/isbn&gt;&lt;urls&gt;&lt;related-urls&gt;&lt;url&gt;https://www.sciencedirect.com/science/article/pii/S0144861720311334&lt;/url&gt;&lt;/related-urls&gt;&lt;/urls&gt;&lt;electronic-resource-num&gt;https://doi.org/10.1016/j.carbpol.2020.116960&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[3]</w:t>
            </w:r>
            <w:r w:rsidRPr="00B6211C">
              <w:rPr>
                <w:rFonts w:ascii="Arial" w:hAnsi="Arial" w:cs="Arial"/>
                <w:kern w:val="0"/>
                <w:szCs w:val="24"/>
              </w:rPr>
              <w:fldChar w:fldCharType="end"/>
            </w:r>
          </w:p>
        </w:tc>
      </w:tr>
      <w:tr w:rsidR="00B6211C" w:rsidRPr="00B6211C" w14:paraId="2B68866A" w14:textId="77777777" w:rsidTr="00DE6590">
        <w:tc>
          <w:tcPr>
            <w:tcW w:w="1701" w:type="dxa"/>
            <w:tcBorders>
              <w:top w:val="single" w:sz="4" w:space="0" w:color="auto"/>
              <w:bottom w:val="single" w:sz="4" w:space="0" w:color="auto"/>
              <w:right w:val="single" w:sz="4" w:space="0" w:color="auto"/>
            </w:tcBorders>
            <w:vAlign w:val="center"/>
          </w:tcPr>
          <w:p w14:paraId="00E59693"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HSF-NPA</w:t>
            </w:r>
          </w:p>
        </w:tc>
        <w:tc>
          <w:tcPr>
            <w:tcW w:w="1560" w:type="dxa"/>
            <w:tcBorders>
              <w:top w:val="single" w:sz="4" w:space="0" w:color="auto"/>
              <w:left w:val="single" w:sz="4" w:space="0" w:color="auto"/>
              <w:bottom w:val="single" w:sz="4" w:space="0" w:color="auto"/>
              <w:right w:val="single" w:sz="4" w:space="0" w:color="auto"/>
            </w:tcBorders>
            <w:vAlign w:val="center"/>
          </w:tcPr>
          <w:p w14:paraId="02CE2E1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14:paraId="3ACAF40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99.9</w:t>
            </w:r>
          </w:p>
        </w:tc>
        <w:tc>
          <w:tcPr>
            <w:tcW w:w="1701" w:type="dxa"/>
            <w:tcBorders>
              <w:top w:val="single" w:sz="4" w:space="0" w:color="auto"/>
              <w:left w:val="single" w:sz="4" w:space="0" w:color="auto"/>
              <w:bottom w:val="single" w:sz="4" w:space="0" w:color="auto"/>
              <w:right w:val="single" w:sz="4" w:space="0" w:color="auto"/>
            </w:tcBorders>
            <w:vAlign w:val="center"/>
          </w:tcPr>
          <w:p w14:paraId="1700CDC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99.5</w:t>
            </w:r>
          </w:p>
        </w:tc>
        <w:tc>
          <w:tcPr>
            <w:tcW w:w="1134" w:type="dxa"/>
            <w:tcBorders>
              <w:top w:val="single" w:sz="4" w:space="0" w:color="auto"/>
              <w:left w:val="single" w:sz="4" w:space="0" w:color="auto"/>
              <w:bottom w:val="single" w:sz="4" w:space="0" w:color="auto"/>
              <w:right w:val="single" w:sz="4" w:space="0" w:color="auto"/>
            </w:tcBorders>
            <w:vAlign w:val="center"/>
          </w:tcPr>
          <w:p w14:paraId="14E327F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bookmarkStart w:id="11" w:name="OLE_LINK1"/>
            <w:r w:rsidRPr="00B6211C">
              <w:rPr>
                <w:rFonts w:ascii="Arial" w:hAnsi="Arial" w:cs="Arial"/>
                <w:kern w:val="0"/>
                <w:szCs w:val="24"/>
              </w:rPr>
              <w:t>None</w:t>
            </w:r>
            <w:bookmarkEnd w:id="11"/>
          </w:p>
        </w:tc>
        <w:tc>
          <w:tcPr>
            <w:tcW w:w="793" w:type="dxa"/>
            <w:tcBorders>
              <w:top w:val="single" w:sz="4" w:space="0" w:color="auto"/>
              <w:left w:val="single" w:sz="4" w:space="0" w:color="auto"/>
              <w:bottom w:val="single" w:sz="4" w:space="0" w:color="auto"/>
            </w:tcBorders>
            <w:vAlign w:val="center"/>
          </w:tcPr>
          <w:p w14:paraId="6981961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&lt;EndNote&gt;&lt;Cite&gt;&lt;Author&gt;Li&lt;/Author&gt;&lt;Year&gt;2021&lt;/Year&gt;&lt;RecNum&gt;458&lt;/RecNum&gt;&lt;DisplayText&gt; [4]&lt;/DisplayText&gt;&lt;record&gt;&lt;rec-number&gt;458&lt;/rec-number&gt;&lt;foreign-keys&gt;&lt;key app="EN" db-id="p55psfa0aerpsvezs5d5t9wddreteewt209z" timestamp="1744548933"&gt;458&lt;/key&gt;&lt;/foreign-keys&gt;&lt;ref-type name="Journal Article"&gt;17&lt;/ref-type&gt;&lt;contributors&gt;&lt;authors&gt;&lt;author&gt;Li, Kai&lt;/author&gt;&lt;author&gt;Chen, Jun&lt;/author&gt;&lt;author&gt;Xue, Yang&lt;/author&gt;&lt;author&gt;Ding, Tiexin&lt;/author&gt;&lt;author&gt;Zhu, Shengbo&lt;/author&gt;&lt;author&gt;Mao, Mengting&lt;/author&gt;&lt;author&gt;Zhang, Lan&lt;/author&gt;&lt;author&gt;Han, Yong&lt;/author&gt;&lt;/authors&gt;&lt;/contributors&gt;&lt;titles&gt;&lt;title&gt;Polymer brush grafted antimicrobial peptide on hydroxyapatite nanorods for highly effective antibacterial performance&lt;/title&gt;&lt;secondary-title&gt;Chemical Engineering Journal&lt;/secondary-title&gt;&lt;/titles&gt;&lt;periodical&gt;&lt;full-title&gt;Chemical Engineering Journal&lt;/full-title&gt;&lt;abbr-1&gt;Chem. Eng. J.&lt;/abbr-1&gt;&lt;abbr-2&gt;Chem Eng J&lt;/abbr-2&gt;&lt;/periodical&gt;&lt;pages&gt;130133&lt;/pages&gt;&lt;volume&gt;423&lt;/volume&gt;&lt;keywords&gt;&lt;keyword&gt;Antibacterial property&lt;/keyword&gt;&lt;keyword&gt;Antimicrobial peptides&lt;/keyword&gt;&lt;keyword&gt;Hydroxyapatite nanorods&lt;/keyword&gt;&lt;keyword&gt;Polymer brushes&lt;/keyword&gt;&lt;/keywords&gt;&lt;dates&gt;&lt;year&gt;2021&lt;/year&gt;&lt;pub-dates&gt;&lt;date&gt;2021/11/01/&lt;/date&gt;&lt;/pub-dates&gt;&lt;/dates&gt;&lt;isbn&gt;1385-8947&lt;/isbn&gt;&lt;urls&gt;&lt;related-urls&gt;&lt;url&gt;https://www.sciencedirect.com/science/article/pii/S1385894721017186&lt;/url&gt;&lt;/related-urls&gt;&lt;/urls&gt;&lt;electronic-resource-num&gt;https://doi.org/10.1016/j.cej.2021.130133&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[4]</w:t>
            </w:r>
            <w:r w:rsidRPr="00B6211C">
              <w:rPr>
                <w:rFonts w:ascii="Arial" w:hAnsi="Arial" w:cs="Arial"/>
                <w:kern w:val="0"/>
                <w:szCs w:val="24"/>
              </w:rPr>
              <w:fldChar w:fldCharType="end"/>
            </w:r>
          </w:p>
        </w:tc>
      </w:tr>
      <w:tr w:rsidR="00B6211C" w:rsidRPr="00B6211C" w14:paraId="15AFC016" w14:textId="77777777" w:rsidTr="00DE6590">
        <w:tc>
          <w:tcPr>
            <w:tcW w:w="1701" w:type="dxa"/>
            <w:tcBorders>
              <w:top w:val="single" w:sz="4" w:space="0" w:color="auto"/>
              <w:bottom w:val="single" w:sz="4" w:space="0" w:color="auto"/>
              <w:right w:val="single" w:sz="4" w:space="0" w:color="auto"/>
            </w:tcBorders>
            <w:vAlign w:val="center"/>
          </w:tcPr>
          <w:p w14:paraId="63F96CF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CB-75</w:t>
            </w:r>
          </w:p>
        </w:tc>
        <w:tc>
          <w:tcPr>
            <w:tcW w:w="1560" w:type="dxa"/>
            <w:tcBorders>
              <w:top w:val="single" w:sz="4" w:space="0" w:color="auto"/>
              <w:left w:val="single" w:sz="4" w:space="0" w:color="auto"/>
              <w:bottom w:val="single" w:sz="4" w:space="0" w:color="auto"/>
              <w:right w:val="single" w:sz="4" w:space="0" w:color="auto"/>
            </w:tcBorders>
            <w:vAlign w:val="center"/>
          </w:tcPr>
          <w:p w14:paraId="72D6457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21343BE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96</w:t>
            </w:r>
          </w:p>
        </w:tc>
        <w:tc>
          <w:tcPr>
            <w:tcW w:w="1701" w:type="dxa"/>
            <w:tcBorders>
              <w:top w:val="single" w:sz="4" w:space="0" w:color="auto"/>
              <w:left w:val="single" w:sz="4" w:space="0" w:color="auto"/>
              <w:bottom w:val="single" w:sz="4" w:space="0" w:color="auto"/>
              <w:right w:val="single" w:sz="4" w:space="0" w:color="auto"/>
            </w:tcBorders>
            <w:vAlign w:val="center"/>
          </w:tcPr>
          <w:p w14:paraId="6BEBCE6F"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91</w:t>
            </w:r>
          </w:p>
        </w:tc>
        <w:tc>
          <w:tcPr>
            <w:tcW w:w="1134" w:type="dxa"/>
            <w:tcBorders>
              <w:top w:val="single" w:sz="4" w:space="0" w:color="auto"/>
              <w:left w:val="single" w:sz="4" w:space="0" w:color="auto"/>
              <w:bottom w:val="single" w:sz="4" w:space="0" w:color="auto"/>
              <w:right w:val="single" w:sz="4" w:space="0" w:color="auto"/>
            </w:tcBorders>
            <w:vAlign w:val="center"/>
          </w:tcPr>
          <w:p w14:paraId="505B624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tcBorders>
              <w:top w:val="single" w:sz="4" w:space="0" w:color="auto"/>
              <w:left w:val="single" w:sz="4" w:space="0" w:color="auto"/>
              <w:bottom w:val="single" w:sz="4" w:space="0" w:color="auto"/>
            </w:tcBorders>
            <w:vAlign w:val="center"/>
          </w:tcPr>
          <w:p w14:paraId="5CD5EB4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&lt;EndNote&gt;&lt;Cite&gt;&lt;Author&gt;Kinali-Demirci&lt;/Author&gt;&lt;Year&gt;2021&lt;/Year&gt;&lt;RecNum&gt;459&lt;/RecNum&gt;&lt;DisplayText&gt; [5]&lt;/DisplayText&gt;&lt;record&gt;&lt;rec-number&gt;459&lt;/rec-number&gt;&lt;foreign-keys&gt;&lt;key app="EN" db-id="p55psfa0aerpsvezs5d5t9wddreteewt209z" timestamp="1744548952"&gt;459&lt;/key&gt;&lt;/foreign-keys&gt;&lt;ref-type name="Journal Article"&gt;17&lt;/ref-type&gt;&lt;contributors&gt;&lt;authors&gt;&lt;author&gt;Kinali-Demirci, Selin&lt;/author&gt;&lt;/authors&gt;&lt;/contributors&gt;&lt;titles&gt;&lt;title&gt;Cross-Linked Polymer Brushes Containing N-Halamine Groups for Antibacterial Surface Applications&lt;/title&gt;&lt;secondary-title&gt;Polymers&lt;/secondary-title&gt;&lt;/titles&gt;&lt;periodical&gt;&lt;full-title&gt;Polymers&lt;/full-title&gt;&lt;/periodical&gt;&lt;pages&gt;1269&lt;/pages&gt;&lt;volume&gt;13&lt;/volume&gt;&lt;number&gt;8&lt;/number&gt;&lt;dates&gt;&lt;year&gt;2021&lt;/year&gt;&lt;/dates&gt;&lt;isbn&gt;2073-4360&lt;/isbn&gt;&lt;accession-num&gt;doi:10.3390/polym13081269&lt;/accession-num&gt;&lt;urls&gt;&lt;related-urls&gt;&lt;url&gt;https://www.mdpi.com/2073-4360/13/8/1269&lt;/url&gt;&lt;/related-urls&gt;&lt;/urls&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[5]</w:t>
            </w:r>
            <w:r w:rsidRPr="00B6211C">
              <w:rPr>
                <w:rFonts w:ascii="Arial" w:hAnsi="Arial" w:cs="Arial"/>
                <w:kern w:val="0"/>
                <w:szCs w:val="24"/>
              </w:rPr>
              <w:fldChar w:fldCharType="end"/>
            </w:r>
          </w:p>
        </w:tc>
      </w:tr>
      <w:tr w:rsidR="00B6211C" w:rsidRPr="00B6211C" w14:paraId="731EE8FD" w14:textId="77777777" w:rsidTr="00DE6590">
        <w:tc>
          <w:tcPr>
            <w:tcW w:w="1701" w:type="dxa"/>
            <w:tcBorders>
              <w:top w:val="single" w:sz="4" w:space="0" w:color="auto"/>
              <w:bottom w:val="single" w:sz="4" w:space="0" w:color="auto"/>
              <w:right w:val="single" w:sz="4" w:space="0" w:color="auto"/>
            </w:tcBorders>
            <w:vAlign w:val="center"/>
          </w:tcPr>
          <w:p w14:paraId="1268D5C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CA-PLL2.5</w:t>
            </w:r>
          </w:p>
        </w:tc>
        <w:tc>
          <w:tcPr>
            <w:tcW w:w="1560" w:type="dxa"/>
            <w:tcBorders>
              <w:top w:val="single" w:sz="4" w:space="0" w:color="auto"/>
              <w:left w:val="single" w:sz="4" w:space="0" w:color="auto"/>
              <w:bottom w:val="single" w:sz="4" w:space="0" w:color="auto"/>
              <w:right w:val="single" w:sz="4" w:space="0" w:color="auto"/>
            </w:tcBorders>
            <w:vAlign w:val="center"/>
          </w:tcPr>
          <w:p w14:paraId="5ADEC9B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2FEDBD83"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99.99</w:t>
            </w:r>
          </w:p>
        </w:tc>
        <w:tc>
          <w:tcPr>
            <w:tcW w:w="1701" w:type="dxa"/>
            <w:tcBorders>
              <w:top w:val="single" w:sz="4" w:space="0" w:color="auto"/>
              <w:left w:val="single" w:sz="4" w:space="0" w:color="auto"/>
              <w:bottom w:val="single" w:sz="4" w:space="0" w:color="auto"/>
              <w:right w:val="single" w:sz="4" w:space="0" w:color="auto"/>
            </w:tcBorders>
            <w:vAlign w:val="center"/>
          </w:tcPr>
          <w:p w14:paraId="4E8C155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99.99</w:t>
            </w:r>
          </w:p>
        </w:tc>
        <w:tc>
          <w:tcPr>
            <w:tcW w:w="1134" w:type="dxa"/>
            <w:tcBorders>
              <w:top w:val="single" w:sz="4" w:space="0" w:color="auto"/>
              <w:left w:val="single" w:sz="4" w:space="0" w:color="auto"/>
              <w:bottom w:val="single" w:sz="4" w:space="0" w:color="auto"/>
              <w:right w:val="single" w:sz="4" w:space="0" w:color="auto"/>
            </w:tcBorders>
            <w:vAlign w:val="center"/>
          </w:tcPr>
          <w:p w14:paraId="6F1C9BA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65</w:t>
            </w:r>
          </w:p>
        </w:tc>
        <w:tc>
          <w:tcPr>
            <w:tcW w:w="793" w:type="dxa"/>
            <w:tcBorders>
              <w:top w:val="single" w:sz="4" w:space="0" w:color="auto"/>
              <w:left w:val="single" w:sz="4" w:space="0" w:color="auto"/>
              <w:bottom w:val="single" w:sz="4" w:space="0" w:color="auto"/>
            </w:tcBorders>
            <w:vAlign w:val="center"/>
          </w:tcPr>
          <w:p w14:paraId="378B393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&lt;EndNote&gt;&lt;Cite&gt;&lt;Author&gt;Liu&lt;/Author&gt;&lt;Year&gt;2023&lt;/Year&gt;&lt;RecNum&gt;460&lt;/RecNum&gt;&lt;DisplayText&gt; [6]&lt;/DisplayText&gt;&lt;record&gt;&lt;rec-number&gt;460&lt;/rec-number&gt;&lt;foreign-keys&gt;&lt;key app="EN" db-id="p55psfa0aerpsvezs5d5t9wddreteewt209z" timestamp="1744548982"&gt;460&lt;/key&gt;&lt;/foreign-keys&gt;&lt;ref-type name="Journal Article"&gt;17&lt;/ref-type&gt;&lt;contributors&gt;&lt;authors&gt;&lt;author&gt;Liu, Jun&lt;/author&gt;&lt;author&gt;Xu, Yangyang&lt;/author&gt;&lt;author&gt;Lin, Xiangyun&lt;/author&gt;&lt;author&gt;Ma, Nan&lt;/author&gt;&lt;author&gt;Zhu, Qiongqiong&lt;/author&gt;&lt;author&gt;Yang, Kunlin&lt;/author&gt;&lt;author&gt;Li, Xinfei&lt;/author&gt;&lt;author&gt;Liu, Chang&lt;/author&gt;&lt;author&gt;Feng, Ninghan&lt;/author&gt;&lt;author&gt;Zhao, Yuxia&lt;/author&gt;&lt;author&gt;Li, Xuesong&lt;/author&gt;&lt;author&gt;Zhang, Wei&lt;/author&gt;&lt;/authors&gt;&lt;/contributors&gt;&lt;titles&gt;&lt;title&gt;Immobilization of poly-L-lysine brush via surface initiated polymerization for the development of long-term antibacterial coating for silicone catheter&lt;/title&gt;&lt;secondary-title&gt;Colloids and Surfaces B: Biointerfaces&lt;/secondary-title&gt;&lt;/titles&gt;&lt;periodical&gt;&lt;full-title&gt;Colloids and Surfaces B: Biointerfaces&lt;/full-title&gt;&lt;/periodical&gt;&lt;pages&gt;113015&lt;/pages&gt;&lt;volume&gt;221&lt;/volume&gt;&lt;keywords&gt;&lt;keyword&gt;Poly-L-lysine&lt;/keyword&gt;&lt;keyword&gt;Surface initiated polymerization&lt;/keyword&gt;&lt;keyword&gt;Long-term antibacterial coating&lt;/keyword&gt;&lt;keyword&gt;Catheter-associated infections&lt;/keyword&gt;&lt;/keywords&gt;&lt;dates&gt;&lt;year&gt;2023&lt;/year&gt;&lt;pub-dates&gt;&lt;date&gt;2023/01/01/&lt;/date&gt;&lt;/pub-dates&gt;&lt;/dates&gt;&lt;isbn&gt;0927-7765&lt;/isbn&gt;&lt;urls&gt;&lt;related-urls&gt;&lt;url&gt;https://www.sciencedirect.com/science/article/pii/S0927776522006993&lt;/url&gt;&lt;/related-urls&gt;&lt;/urls&gt;&lt;electronic-resource-num&gt;https://doi.org/10.1016/j.colsurfb.2022.113015&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[6]</w:t>
            </w:r>
            <w:r w:rsidRPr="00B6211C">
              <w:rPr>
                <w:rFonts w:ascii="Arial" w:hAnsi="Arial" w:cs="Arial"/>
                <w:kern w:val="0"/>
                <w:szCs w:val="24"/>
              </w:rPr>
              <w:fldChar w:fldCharType="end"/>
            </w:r>
          </w:p>
        </w:tc>
      </w:tr>
      <w:tr w:rsidR="00B6211C" w:rsidRPr="00B6211C" w14:paraId="277E499C" w14:textId="77777777" w:rsidTr="00DE6590">
        <w:tc>
          <w:tcPr>
            <w:tcW w:w="1701" w:type="dxa"/>
            <w:tcBorders>
              <w:top w:val="single" w:sz="4" w:space="0" w:color="auto"/>
              <w:bottom w:val="single" w:sz="4" w:space="0" w:color="auto"/>
              <w:right w:val="single" w:sz="4" w:space="0" w:color="auto"/>
            </w:tcBorders>
            <w:vAlign w:val="center"/>
          </w:tcPr>
          <w:p w14:paraId="03DD3557"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P2-g-PMETA</w:t>
            </w:r>
          </w:p>
        </w:tc>
        <w:tc>
          <w:tcPr>
            <w:tcW w:w="1560" w:type="dxa"/>
            <w:tcBorders>
              <w:top w:val="single" w:sz="4" w:space="0" w:color="auto"/>
              <w:left w:val="single" w:sz="4" w:space="0" w:color="auto"/>
              <w:bottom w:val="single" w:sz="4" w:space="0" w:color="auto"/>
              <w:right w:val="single" w:sz="4" w:space="0" w:color="auto"/>
            </w:tcBorders>
            <w:vAlign w:val="center"/>
          </w:tcPr>
          <w:p w14:paraId="5853EEC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26FCD7AF"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~96</w:t>
            </w:r>
          </w:p>
        </w:tc>
        <w:tc>
          <w:tcPr>
            <w:tcW w:w="1701" w:type="dxa"/>
            <w:tcBorders>
              <w:top w:val="single" w:sz="4" w:space="0" w:color="auto"/>
              <w:left w:val="single" w:sz="4" w:space="0" w:color="auto"/>
              <w:bottom w:val="single" w:sz="4" w:space="0" w:color="auto"/>
              <w:right w:val="single" w:sz="4" w:space="0" w:color="auto"/>
            </w:tcBorders>
            <w:vAlign w:val="center"/>
          </w:tcPr>
          <w:p w14:paraId="4CEB2AA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~97</w:t>
            </w:r>
          </w:p>
        </w:tc>
        <w:tc>
          <w:tcPr>
            <w:tcW w:w="1134" w:type="dxa"/>
            <w:tcBorders>
              <w:top w:val="single" w:sz="4" w:space="0" w:color="auto"/>
              <w:left w:val="single" w:sz="4" w:space="0" w:color="auto"/>
              <w:bottom w:val="single" w:sz="4" w:space="0" w:color="auto"/>
              <w:right w:val="single" w:sz="4" w:space="0" w:color="auto"/>
            </w:tcBorders>
            <w:vAlign w:val="center"/>
          </w:tcPr>
          <w:p w14:paraId="74D0B0A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tcBorders>
              <w:top w:val="single" w:sz="4" w:space="0" w:color="auto"/>
              <w:left w:val="single" w:sz="4" w:space="0" w:color="auto"/>
              <w:bottom w:val="single" w:sz="4" w:space="0" w:color="auto"/>
            </w:tcBorders>
            <w:vAlign w:val="center"/>
          </w:tcPr>
          <w:p w14:paraId="0515919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&lt;EndNote&gt;&lt;Cite&gt;&lt;Author&gt;Dhingra&lt;/Author&gt;&lt;Year&gt;2021&lt;/Year&gt;&lt;RecNum&gt;461&lt;/RecNum&gt;&lt;DisplayText&gt; [7]&lt;/DisplayText&gt;&lt;record&gt;&lt;rec-number&gt;461&lt;/rec-number&gt;&lt;foreign-keys&gt;&lt;key app="EN" db-id="p55psfa0aerpsvezs5d5t9wddreteewt209z" timestamp="1744548992"&gt;461&lt;/key&gt;&lt;/foreign-keys&gt;&lt;ref-type name="Journal Article"&gt;17&lt;/ref-type&gt;&lt;contributors&gt;&lt;authors&gt;&lt;author&gt;Dhingra, Shaifali&lt;/author&gt;&lt;author&gt;Joshi, Akshay&lt;/author&gt;&lt;author&gt;Singh, Neetu&lt;/author&gt;&lt;author&gt;Saha, Sampa&lt;/author&gt;&lt;/authors&gt;&lt;/contributors&gt;&lt;titles&gt;&lt;title&gt;Infection resistant polymer brush coating on the surface of biodegradable polyester&lt;/title&gt;&lt;secondary-title&gt;Materials Science and Engineering: C&lt;/secondary-title&gt;&lt;/titles&gt;&lt;periodical&gt;&lt;full-title&gt;Materials Science and Engineering: C&lt;/full-title&gt;&lt;/periodical&gt;&lt;pages&gt;111465&lt;/pages&gt;&lt;volume&gt;118&lt;/volume&gt;&lt;keywords&gt;&lt;keyword&gt;Tartaric acid based aliphatic polyester&lt;/keyword&gt;&lt;keyword&gt;Polylactic acid&lt;/keyword&gt;&lt;keyword&gt;Surface initiated atom transfer radical polymerization&lt;/keyword&gt;&lt;keyword&gt;Antibacterial&lt;/keyword&gt;&lt;keyword&gt;Cytocompatibility&lt;/keyword&gt;&lt;keyword&gt;3D printed scaffold&lt;/keyword&gt;&lt;/keywords&gt;&lt;dates&gt;&lt;year&gt;2021&lt;/year&gt;&lt;pub-dates&gt;&lt;date&gt;2021/01/01/&lt;/date&gt;&lt;/pub-dates&gt;&lt;/dates&gt;&lt;isbn&gt;0928-4931&lt;/isbn&gt;&lt;urls&gt;&lt;related-urls&gt;&lt;url&gt;https://www.sciencedirect.com/science/article/pii/S092849312033383X&lt;/url&gt;&lt;/related-urls&gt;&lt;/urls&gt;&lt;electronic-resource-num&gt;https://doi.org/10.1016/j.msec.2020.111465&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[7]</w:t>
            </w:r>
            <w:r w:rsidRPr="00B6211C">
              <w:rPr>
                <w:rFonts w:ascii="Arial" w:hAnsi="Arial" w:cs="Arial"/>
                <w:kern w:val="0"/>
                <w:szCs w:val="24"/>
              </w:rPr>
              <w:fldChar w:fldCharType="end"/>
            </w:r>
          </w:p>
        </w:tc>
      </w:tr>
      <w:tr w:rsidR="00B6211C" w:rsidRPr="00B6211C" w14:paraId="1E203CEE" w14:textId="77777777" w:rsidTr="00DE6590">
        <w:tc>
          <w:tcPr>
            <w:tcW w:w="1701" w:type="dxa"/>
            <w:tcBorders>
              <w:top w:val="single" w:sz="4" w:space="0" w:color="auto"/>
              <w:bottom w:val="single" w:sz="4" w:space="0" w:color="auto"/>
              <w:right w:val="single" w:sz="4" w:space="0" w:color="auto"/>
            </w:tcBorders>
            <w:vAlign w:val="center"/>
          </w:tcPr>
          <w:p w14:paraId="32DAA8A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PSBMA/PQA4C-10%</w:t>
            </w:r>
          </w:p>
        </w:tc>
        <w:tc>
          <w:tcPr>
            <w:tcW w:w="1560" w:type="dxa"/>
            <w:tcBorders>
              <w:top w:val="single" w:sz="4" w:space="0" w:color="auto"/>
              <w:left w:val="single" w:sz="4" w:space="0" w:color="auto"/>
              <w:bottom w:val="single" w:sz="4" w:space="0" w:color="auto"/>
              <w:right w:val="single" w:sz="4" w:space="0" w:color="auto"/>
            </w:tcBorders>
            <w:vAlign w:val="center"/>
          </w:tcPr>
          <w:p w14:paraId="09851DB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52D1791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1701" w:type="dxa"/>
            <w:tcBorders>
              <w:top w:val="single" w:sz="4" w:space="0" w:color="auto"/>
              <w:left w:val="single" w:sz="4" w:space="0" w:color="auto"/>
              <w:bottom w:val="single" w:sz="4" w:space="0" w:color="auto"/>
              <w:right w:val="single" w:sz="4" w:space="0" w:color="auto"/>
            </w:tcBorders>
            <w:vAlign w:val="center"/>
          </w:tcPr>
          <w:p w14:paraId="491EC35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91.9</w:t>
            </w:r>
          </w:p>
        </w:tc>
        <w:tc>
          <w:tcPr>
            <w:tcW w:w="1134" w:type="dxa"/>
            <w:tcBorders>
              <w:top w:val="single" w:sz="4" w:space="0" w:color="auto"/>
              <w:left w:val="single" w:sz="4" w:space="0" w:color="auto"/>
              <w:bottom w:val="single" w:sz="4" w:space="0" w:color="auto"/>
              <w:right w:val="single" w:sz="4" w:space="0" w:color="auto"/>
            </w:tcBorders>
            <w:vAlign w:val="center"/>
          </w:tcPr>
          <w:p w14:paraId="3C37C61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val="restart"/>
            <w:tcBorders>
              <w:top w:val="single" w:sz="4" w:space="0" w:color="auto"/>
              <w:left w:val="single" w:sz="4" w:space="0" w:color="auto"/>
              <w:bottom w:val="single" w:sz="4" w:space="0" w:color="auto"/>
            </w:tcBorders>
            <w:vAlign w:val="center"/>
          </w:tcPr>
          <w:p w14:paraId="42B7BED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&lt;EndNote&gt;&lt;Cite&gt;&lt;Author&gt;He&lt;/Author&gt;&lt;Year&gt;2019&lt;/Year&gt;&lt;RecNum&gt;462&lt;/RecNum&gt;&lt;DisplayText&gt; [8]&lt;/DisplayText&gt;&lt;record&gt;&lt;rec-number&gt;462&lt;/rec-number&gt;&lt;foreign-keys&gt;&lt;key app="EN" db-id="p55psfa0aerpsvezs5d5t9wddreteewt209z" timestamp="1744549000"&gt;462&lt;/key&gt;&lt;/foreign-keys&gt;&lt;ref-type name="Journal Article"&gt;17&lt;/ref-type&gt;&lt;contributors&gt;&lt;authors&gt;&lt;author&gt;He, Yuanyuan&lt;/author&gt;&lt;author&gt;Wan, Xinyuan&lt;/author&gt;&lt;author&gt;Xiao, Kecen&lt;/author&gt;&lt;author&gt;Lin, Weiwei&lt;/author&gt;&lt;author&gt;Li, Jiehua&lt;/author&gt;&lt;author&gt;Li, Zhen&lt;/author&gt;&lt;author&gt;Luo, Feng&lt;/author&gt;&lt;author&gt;Tan, Hong&lt;/author&gt;&lt;author&gt;Li, Jianshu&lt;/author&gt;&lt;author&gt;Fu, Qiang&lt;/author&gt;&lt;/authors&gt;&lt;/contributors&gt;&lt;titles&gt;&lt;title&gt;Anti-biofilm surfaces from mixed dopamine-modified polymer brushes: synergistic role of cationic and zwitterionic chains to resist staphyloccocus aureus&lt;/title&gt;&lt;secondary-title&gt;Biomaterials Science&lt;/secondary-title&gt;&lt;/titles&gt;&lt;periodical&gt;&lt;full-title&gt;Biomaterials Science&lt;/full-title&gt;&lt;/periodical&gt;&lt;pages&gt;5369-5382&lt;/pages&gt;&lt;volume&gt;7&lt;/volume&gt;&lt;number&gt;12&lt;/number&gt;&lt;dates&gt;&lt;year&gt;2019&lt;/year&gt;&lt;/dates&gt;&lt;publisher&gt;The Royal Society of Chemistry&lt;/publisher&gt;&lt;isbn&gt;2047-4830&lt;/isbn&gt;&lt;work-type&gt;10.1039/C9BM01275C&lt;/work-type&gt;&lt;urls&gt;&lt;related-urls&gt;&lt;url&gt;http://dx.doi.org/10.1039/C9BM01275C&lt;/url&gt;&lt;/related-urls&gt;&lt;/urls&gt;&lt;electronic-resource-num&gt;10.1039/C9BM01275C&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[8]</w:t>
            </w:r>
            <w:r w:rsidRPr="00B6211C">
              <w:rPr>
                <w:rFonts w:ascii="Arial" w:hAnsi="Arial" w:cs="Arial"/>
                <w:kern w:val="0"/>
                <w:szCs w:val="24"/>
              </w:rPr>
              <w:fldChar w:fldCharType="end"/>
            </w:r>
          </w:p>
        </w:tc>
      </w:tr>
      <w:tr w:rsidR="00B6211C" w:rsidRPr="00B6211C" w14:paraId="380F7B08" w14:textId="77777777" w:rsidTr="00DE6590">
        <w:tc>
          <w:tcPr>
            <w:tcW w:w="1701" w:type="dxa"/>
            <w:tcBorders>
              <w:top w:val="single" w:sz="4" w:space="0" w:color="auto"/>
              <w:bottom w:val="single" w:sz="4" w:space="0" w:color="auto"/>
              <w:right w:val="single" w:sz="4" w:space="0" w:color="auto"/>
            </w:tcBorders>
            <w:vAlign w:val="center"/>
          </w:tcPr>
          <w:p w14:paraId="55CE4A9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PSBMA/PQA4C-30%</w:t>
            </w:r>
          </w:p>
        </w:tc>
        <w:tc>
          <w:tcPr>
            <w:tcW w:w="1560" w:type="dxa"/>
            <w:tcBorders>
              <w:top w:val="single" w:sz="4" w:space="0" w:color="auto"/>
              <w:left w:val="single" w:sz="4" w:space="0" w:color="auto"/>
              <w:bottom w:val="single" w:sz="4" w:space="0" w:color="auto"/>
              <w:right w:val="single" w:sz="4" w:space="0" w:color="auto"/>
            </w:tcBorders>
            <w:vAlign w:val="center"/>
          </w:tcPr>
          <w:p w14:paraId="6610F57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33A602A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1701" w:type="dxa"/>
            <w:tcBorders>
              <w:top w:val="single" w:sz="4" w:space="0" w:color="auto"/>
              <w:left w:val="single" w:sz="4" w:space="0" w:color="auto"/>
              <w:bottom w:val="single" w:sz="4" w:space="0" w:color="auto"/>
              <w:right w:val="single" w:sz="4" w:space="0" w:color="auto"/>
            </w:tcBorders>
            <w:vAlign w:val="center"/>
          </w:tcPr>
          <w:p w14:paraId="02C025B3"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94.9</w:t>
            </w:r>
          </w:p>
        </w:tc>
        <w:tc>
          <w:tcPr>
            <w:tcW w:w="1134" w:type="dxa"/>
            <w:tcBorders>
              <w:top w:val="single" w:sz="4" w:space="0" w:color="auto"/>
              <w:left w:val="single" w:sz="4" w:space="0" w:color="auto"/>
              <w:bottom w:val="single" w:sz="4" w:space="0" w:color="auto"/>
              <w:right w:val="single" w:sz="4" w:space="0" w:color="auto"/>
            </w:tcBorders>
            <w:vAlign w:val="center"/>
          </w:tcPr>
          <w:p w14:paraId="2072E88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734EFB6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459846D8" w14:textId="77777777" w:rsidTr="00DE6590">
        <w:tc>
          <w:tcPr>
            <w:tcW w:w="1701" w:type="dxa"/>
            <w:tcBorders>
              <w:top w:val="single" w:sz="4" w:space="0" w:color="auto"/>
              <w:bottom w:val="single" w:sz="4" w:space="0" w:color="auto"/>
              <w:right w:val="single" w:sz="4" w:space="0" w:color="auto"/>
            </w:tcBorders>
            <w:vAlign w:val="center"/>
          </w:tcPr>
          <w:p w14:paraId="44EFA8D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PSBMA/PQA</w:t>
            </w:r>
            <w:r w:rsidRPr="00B6211C">
              <w:rPr>
                <w:rFonts w:ascii="Arial" w:hAnsi="Arial" w:cs="Arial"/>
                <w:kern w:val="0"/>
                <w:szCs w:val="24"/>
                <w:vertAlign w:val="subscript"/>
              </w:rPr>
              <w:t>8</w:t>
            </w:r>
            <w:r w:rsidRPr="00B6211C">
              <w:rPr>
                <w:rFonts w:ascii="Arial" w:hAnsi="Arial" w:cs="Arial"/>
                <w:kern w:val="0"/>
                <w:szCs w:val="24"/>
              </w:rPr>
              <w:t>C-10%</w:t>
            </w:r>
          </w:p>
        </w:tc>
        <w:tc>
          <w:tcPr>
            <w:tcW w:w="1560" w:type="dxa"/>
            <w:tcBorders>
              <w:top w:val="single" w:sz="4" w:space="0" w:color="auto"/>
              <w:left w:val="single" w:sz="4" w:space="0" w:color="auto"/>
              <w:bottom w:val="single" w:sz="4" w:space="0" w:color="auto"/>
              <w:right w:val="single" w:sz="4" w:space="0" w:color="auto"/>
            </w:tcBorders>
            <w:vAlign w:val="center"/>
          </w:tcPr>
          <w:p w14:paraId="392E00A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34DBBC6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1701" w:type="dxa"/>
            <w:tcBorders>
              <w:top w:val="single" w:sz="4" w:space="0" w:color="auto"/>
              <w:left w:val="single" w:sz="4" w:space="0" w:color="auto"/>
              <w:bottom w:val="single" w:sz="4" w:space="0" w:color="auto"/>
              <w:right w:val="single" w:sz="4" w:space="0" w:color="auto"/>
            </w:tcBorders>
            <w:vAlign w:val="center"/>
          </w:tcPr>
          <w:p w14:paraId="6CD72B3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93.6</w:t>
            </w:r>
          </w:p>
        </w:tc>
        <w:tc>
          <w:tcPr>
            <w:tcW w:w="1134" w:type="dxa"/>
            <w:tcBorders>
              <w:top w:val="single" w:sz="4" w:space="0" w:color="auto"/>
              <w:left w:val="single" w:sz="4" w:space="0" w:color="auto"/>
              <w:bottom w:val="single" w:sz="4" w:space="0" w:color="auto"/>
              <w:right w:val="single" w:sz="4" w:space="0" w:color="auto"/>
            </w:tcBorders>
            <w:vAlign w:val="center"/>
          </w:tcPr>
          <w:p w14:paraId="15A26DA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13552C7C"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5FC5674A" w14:textId="77777777" w:rsidTr="00DE6590">
        <w:trPr>
          <w:trHeight w:val="60"/>
        </w:trPr>
        <w:tc>
          <w:tcPr>
            <w:tcW w:w="1701" w:type="dxa"/>
            <w:tcBorders>
              <w:top w:val="single" w:sz="4" w:space="0" w:color="auto"/>
              <w:bottom w:val="single" w:sz="4" w:space="0" w:color="auto"/>
              <w:right w:val="single" w:sz="4" w:space="0" w:color="auto"/>
            </w:tcBorders>
            <w:vAlign w:val="center"/>
          </w:tcPr>
          <w:p w14:paraId="7DE2B657"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PVC-PFMC-IL</w:t>
            </w:r>
          </w:p>
        </w:tc>
        <w:tc>
          <w:tcPr>
            <w:tcW w:w="1560" w:type="dxa"/>
            <w:tcBorders>
              <w:top w:val="single" w:sz="4" w:space="0" w:color="auto"/>
              <w:left w:val="single" w:sz="4" w:space="0" w:color="auto"/>
              <w:bottom w:val="single" w:sz="4" w:space="0" w:color="auto"/>
              <w:right w:val="single" w:sz="4" w:space="0" w:color="auto"/>
            </w:tcBorders>
            <w:vAlign w:val="center"/>
          </w:tcPr>
          <w:p w14:paraId="7D7A1AB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14:paraId="505EF88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93.7</w:t>
            </w:r>
          </w:p>
        </w:tc>
        <w:tc>
          <w:tcPr>
            <w:tcW w:w="1701" w:type="dxa"/>
            <w:tcBorders>
              <w:top w:val="single" w:sz="4" w:space="0" w:color="auto"/>
              <w:left w:val="single" w:sz="4" w:space="0" w:color="auto"/>
              <w:bottom w:val="single" w:sz="4" w:space="0" w:color="auto"/>
              <w:right w:val="single" w:sz="4" w:space="0" w:color="auto"/>
            </w:tcBorders>
            <w:vAlign w:val="center"/>
          </w:tcPr>
          <w:p w14:paraId="66703E9C"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92.5</w:t>
            </w:r>
          </w:p>
        </w:tc>
        <w:tc>
          <w:tcPr>
            <w:tcW w:w="1134" w:type="dxa"/>
            <w:tcBorders>
              <w:top w:val="single" w:sz="4" w:space="0" w:color="auto"/>
              <w:left w:val="single" w:sz="4" w:space="0" w:color="auto"/>
              <w:bottom w:val="single" w:sz="4" w:space="0" w:color="auto"/>
              <w:right w:val="single" w:sz="4" w:space="0" w:color="auto"/>
            </w:tcBorders>
            <w:vAlign w:val="center"/>
          </w:tcPr>
          <w:p w14:paraId="7B1EC707"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tcBorders>
              <w:top w:val="single" w:sz="4" w:space="0" w:color="auto"/>
              <w:left w:val="single" w:sz="4" w:space="0" w:color="auto"/>
              <w:bottom w:val="single" w:sz="4" w:space="0" w:color="auto"/>
            </w:tcBorders>
            <w:vAlign w:val="center"/>
          </w:tcPr>
          <w:p w14:paraId="66C6480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&lt;EndNote&gt;&lt;Cite&gt;&lt;Author&gt;Yu&lt;/Author&gt;&lt;Year&gt;2023&lt;/Year&gt;&lt;RecNum&gt;463&lt;/RecNum&gt;&lt;DisplayText&gt; [9]&lt;/DisplayText&gt;&lt;record&gt;&lt;rec-number&gt;463&lt;/rec-number&gt;&lt;foreign-keys&gt;&lt;key app="EN" db-id="p55psfa0aerpsvezs5d5t9wddreteewt209z" timestamp="1744549008"&gt;463&lt;/key&gt;&lt;/foreign-keys&gt;&lt;ref-type name="Journal Article"&gt;17&lt;/ref-type&gt;&lt;contributors&gt;&lt;authors&gt;&lt;author&gt;Yu, Yijia&lt;/author&gt;&lt;author&gt;Liu, Shengjie&lt;/author&gt;&lt;author&gt;Xia, Wenjuan&lt;/author&gt;&lt;author&gt;Zhu, Zhichen&lt;/author&gt;&lt;author&gt;Wang, Wenjin&lt;/author&gt;&lt;author&gt;Zhou, Chuanjiang&lt;/author&gt;&lt;author&gt;Wu, Zhaoqiang&lt;/author&gt;&lt;author&gt;Chen, Hong&lt;/author&gt;&lt;/authors&gt;&lt;/contributors&gt;&lt;titles&gt;&lt;title&gt;Fabrication of ionic liquid-functionalized aliphatic polycarbonate brushes for self-polishing antibacterial application&lt;/title&gt;&lt;secondary-title&gt;Applied Surface Science&lt;/secondary-title&gt;&lt;/titles&gt;&lt;periodical&gt;&lt;full-title&gt;Applied Surface Science&lt;/full-title&gt;&lt;abbr-1&gt;Appl. Surf. Sci.&lt;/abbr-1&gt;&lt;abbr-2&gt;Appl Surf Sci&lt;/abbr-2&gt;&lt;/periodical&gt;&lt;pages&gt;158157&lt;/pages&gt;&lt;volume&gt;639&lt;/volume&gt;&lt;keywords&gt;&lt;keyword&gt;Antibacterial surface&lt;/keyword&gt;&lt;keyword&gt;Ring-opening polymerization&lt;/keyword&gt;&lt;keyword&gt;Aliphatic polycarbonates&lt;/keyword&gt;&lt;keyword&gt;SuFEx reaction&lt;/keyword&gt;&lt;keyword&gt;Self-polishing surface&lt;/keyword&gt;&lt;/keywords&gt;&lt;dates&gt;&lt;year&gt;2023&lt;/year&gt;&lt;pub-dates&gt;&lt;date&gt;2023/12/01/&lt;/date&gt;&lt;/pub-dates&gt;&lt;/dates&gt;&lt;isbn&gt;0169-4332&lt;/isbn&gt;&lt;urls&gt;&lt;related-urls&gt;&lt;url&gt;https://www.sciencedirect.com/science/article/pii/S0169433223018378&lt;/url&gt;&lt;/related-urls&gt;&lt;/urls&gt;&lt;electronic-resource-num&gt;https://doi.org/10.1016/j.apsusc.2023.158157&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[9]</w:t>
            </w:r>
            <w:r w:rsidRPr="00B6211C">
              <w:rPr>
                <w:rFonts w:ascii="Arial" w:hAnsi="Arial" w:cs="Arial"/>
                <w:kern w:val="0"/>
                <w:szCs w:val="24"/>
              </w:rPr>
              <w:fldChar w:fldCharType="end"/>
            </w:r>
          </w:p>
        </w:tc>
      </w:tr>
      <w:tr w:rsidR="00B6211C" w:rsidRPr="00B6211C" w14:paraId="5C1346FF" w14:textId="77777777" w:rsidTr="00DE6590">
        <w:tc>
          <w:tcPr>
            <w:tcW w:w="1701" w:type="dxa"/>
            <w:tcBorders>
              <w:top w:val="single" w:sz="4" w:space="0" w:color="auto"/>
              <w:bottom w:val="single" w:sz="4" w:space="0" w:color="auto"/>
              <w:right w:val="single" w:sz="4" w:space="0" w:color="auto"/>
            </w:tcBorders>
            <w:vAlign w:val="center"/>
          </w:tcPr>
          <w:p w14:paraId="331877AC"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Si-pSBMA</w:t>
            </w:r>
          </w:p>
        </w:tc>
        <w:tc>
          <w:tcPr>
            <w:tcW w:w="1560" w:type="dxa"/>
            <w:tcBorders>
              <w:top w:val="single" w:sz="4" w:space="0" w:color="auto"/>
              <w:left w:val="single" w:sz="4" w:space="0" w:color="auto"/>
              <w:bottom w:val="single" w:sz="4" w:space="0" w:color="auto"/>
              <w:right w:val="single" w:sz="4" w:space="0" w:color="auto"/>
            </w:tcBorders>
            <w:vAlign w:val="center"/>
          </w:tcPr>
          <w:p w14:paraId="4CB3C9A4" w14:textId="77777777" w:rsidR="00F23491" w:rsidRPr="00B6211C" w:rsidRDefault="00F23491" w:rsidP="00DE6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0.5</w:t>
            </w:r>
          </w:p>
        </w:tc>
        <w:tc>
          <w:tcPr>
            <w:tcW w:w="1417" w:type="dxa"/>
            <w:tcBorders>
              <w:top w:val="single" w:sz="4" w:space="0" w:color="auto"/>
              <w:left w:val="single" w:sz="4" w:space="0" w:color="auto"/>
              <w:bottom w:val="single" w:sz="4" w:space="0" w:color="auto"/>
              <w:right w:val="single" w:sz="4" w:space="0" w:color="auto"/>
            </w:tcBorders>
            <w:vAlign w:val="center"/>
          </w:tcPr>
          <w:p w14:paraId="284B6F5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70FB69D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78186C5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val="restart"/>
            <w:tcBorders>
              <w:top w:val="single" w:sz="4" w:space="0" w:color="auto"/>
              <w:left w:val="single" w:sz="4" w:space="0" w:color="auto"/>
              <w:bottom w:val="single" w:sz="4" w:space="0" w:color="auto"/>
            </w:tcBorders>
            <w:vAlign w:val="center"/>
          </w:tcPr>
          <w:p w14:paraId="5C023760" w14:textId="77777777" w:rsidR="00F23491" w:rsidRPr="00B6211C" w:rsidRDefault="00F23491" w:rsidP="00DE6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&lt;EndNote&gt;&lt;Cite&gt;&lt;Author&gt;Chen&lt;/Author&gt;&lt;Year&gt;2020&lt;/Year&gt;&lt;RecNum&gt;464&lt;/RecNum&gt;&lt;DisplayText&gt; [10]&lt;/DisplayText&gt;&lt;record&gt;&lt;rec-number&gt;464&lt;/rec-number&gt;&lt;foreign-keys&gt;&lt;key app="EN" db-id="p55psfa0aerpsvezs5d5t9wddreteewt209z" timestamp="1744549016"&gt;464&lt;/key&gt;&lt;/foreign-keys&gt;&lt;ref-type name="Journal Article"&gt;17&lt;/ref-type&gt;&lt;contributors&gt;&lt;authors&gt;&lt;author&gt;Chen, Ting&lt;/author&gt;&lt;author&gt;Zhao, Lianyu&lt;/author&gt;&lt;author&gt;Wang, Ziyuan&lt;/author&gt;&lt;author&gt;Zhao, Jishi&lt;/author&gt;&lt;author&gt;Li, Yan&lt;/author&gt;&lt;author&gt;Long, Hangyu&lt;/author&gt;&lt;author&gt;Yu, Danfeng&lt;/author&gt;&lt;author&gt;Wu, Xu&lt;/author&gt;&lt;author&gt;Yang, Hui&lt;/author&gt;&lt;/authors&gt;&lt;/contributors&gt;&lt;titles&gt;&lt;title&gt;Hierarchical Surface Inspired by Geminized Cationic Amphiphilic Polymer Brushes for Super-Antibacterial and Self-Cleaning Properties&lt;/title&gt;&lt;secondary-title&gt;Biomacromolecules&lt;/secondary-title&gt;&lt;/titles&gt;&lt;periodical&gt;&lt;full-title&gt;Biomacromolecules&lt;/full-title&gt;&lt;/periodical&gt;&lt;pages&gt;5213-5221&lt;/pages&gt;&lt;volume&gt;21&lt;/volume&gt;&lt;number&gt;12&lt;/number&gt;&lt;dates&gt;&lt;year&gt;2020&lt;/year&gt;&lt;pub-dates&gt;&lt;date&gt;2020/12/14&lt;/date&gt;&lt;/pub-dates&gt;&lt;/dates&gt;&lt;publisher&gt;American Chemical Society&lt;/publisher&gt;&lt;isbn&gt;1525-7797&lt;/isbn&gt;&lt;urls&gt;&lt;related-urls&gt;&lt;url&gt;https://doi.org/10.1021/acs.biomac.0c01295&lt;/url&gt;&lt;/related-urls&gt;&lt;/urls&gt;&lt;electronic-resource-num&gt;10.1021/acs.biomac.0c01295&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[10]</w:t>
            </w:r>
            <w:r w:rsidRPr="00B6211C">
              <w:rPr>
                <w:rFonts w:ascii="Arial" w:hAnsi="Arial" w:cs="Arial"/>
                <w:kern w:val="0"/>
                <w:szCs w:val="24"/>
              </w:rPr>
              <w:fldChar w:fldCharType="end"/>
            </w:r>
          </w:p>
        </w:tc>
      </w:tr>
      <w:tr w:rsidR="00B6211C" w:rsidRPr="00B6211C" w14:paraId="50B304BB" w14:textId="77777777" w:rsidTr="00DE6590">
        <w:tc>
          <w:tcPr>
            <w:tcW w:w="1701" w:type="dxa"/>
            <w:tcBorders>
              <w:top w:val="single" w:sz="4" w:space="0" w:color="auto"/>
              <w:bottom w:val="single" w:sz="4" w:space="0" w:color="auto"/>
              <w:right w:val="single" w:sz="4" w:space="0" w:color="auto"/>
            </w:tcBorders>
            <w:vAlign w:val="center"/>
          </w:tcPr>
          <w:p w14:paraId="6A979EC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Si-pAG</w:t>
            </w:r>
            <w:r w:rsidRPr="00B6211C">
              <w:rPr>
                <w:rFonts w:ascii="Arial" w:hAnsi="Arial" w:cs="Arial"/>
                <w:kern w:val="0"/>
                <w:szCs w:val="24"/>
                <w:vertAlign w:val="subscript"/>
              </w:rPr>
              <w:t>8</w:t>
            </w:r>
          </w:p>
        </w:tc>
        <w:tc>
          <w:tcPr>
            <w:tcW w:w="1560" w:type="dxa"/>
            <w:tcBorders>
              <w:top w:val="single" w:sz="4" w:space="0" w:color="auto"/>
              <w:left w:val="single" w:sz="4" w:space="0" w:color="auto"/>
              <w:bottom w:val="single" w:sz="4" w:space="0" w:color="auto"/>
              <w:right w:val="single" w:sz="4" w:space="0" w:color="auto"/>
            </w:tcBorders>
            <w:vAlign w:val="center"/>
          </w:tcPr>
          <w:p w14:paraId="55B2C840" w14:textId="77777777" w:rsidR="00F23491" w:rsidRPr="00B6211C" w:rsidRDefault="00F23491" w:rsidP="00DE6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0.5</w:t>
            </w:r>
          </w:p>
        </w:tc>
        <w:tc>
          <w:tcPr>
            <w:tcW w:w="1417" w:type="dxa"/>
            <w:tcBorders>
              <w:top w:val="single" w:sz="4" w:space="0" w:color="auto"/>
              <w:left w:val="single" w:sz="4" w:space="0" w:color="auto"/>
              <w:bottom w:val="single" w:sz="4" w:space="0" w:color="auto"/>
              <w:right w:val="single" w:sz="4" w:space="0" w:color="auto"/>
            </w:tcBorders>
            <w:vAlign w:val="center"/>
          </w:tcPr>
          <w:p w14:paraId="46B9338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~100</w:t>
            </w:r>
          </w:p>
        </w:tc>
        <w:tc>
          <w:tcPr>
            <w:tcW w:w="1701" w:type="dxa"/>
            <w:tcBorders>
              <w:top w:val="single" w:sz="4" w:space="0" w:color="auto"/>
              <w:left w:val="single" w:sz="4" w:space="0" w:color="auto"/>
              <w:bottom w:val="single" w:sz="4" w:space="0" w:color="auto"/>
              <w:right w:val="single" w:sz="4" w:space="0" w:color="auto"/>
            </w:tcBorders>
            <w:vAlign w:val="center"/>
          </w:tcPr>
          <w:p w14:paraId="49FB0B6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EF03E5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219448A1" w14:textId="77777777" w:rsidR="00F23491" w:rsidRPr="00B6211C" w:rsidRDefault="00F23491" w:rsidP="00DE6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1C050499" w14:textId="77777777" w:rsidTr="00DE6590">
        <w:tc>
          <w:tcPr>
            <w:tcW w:w="1701" w:type="dxa"/>
            <w:tcBorders>
              <w:top w:val="single" w:sz="4" w:space="0" w:color="auto"/>
              <w:bottom w:val="single" w:sz="4" w:space="0" w:color="auto"/>
              <w:right w:val="single" w:sz="4" w:space="0" w:color="auto"/>
            </w:tcBorders>
            <w:vAlign w:val="center"/>
          </w:tcPr>
          <w:p w14:paraId="7EC9554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Si-pSBMA-pAGC</w:t>
            </w:r>
            <w:r w:rsidRPr="00B6211C">
              <w:rPr>
                <w:rFonts w:ascii="Arial" w:hAnsi="Arial" w:cs="Arial"/>
                <w:kern w:val="0"/>
                <w:szCs w:val="24"/>
                <w:vertAlign w:val="subscript"/>
              </w:rPr>
              <w:t>8</w:t>
            </w:r>
          </w:p>
        </w:tc>
        <w:tc>
          <w:tcPr>
            <w:tcW w:w="1560" w:type="dxa"/>
            <w:tcBorders>
              <w:top w:val="single" w:sz="4" w:space="0" w:color="auto"/>
              <w:left w:val="single" w:sz="4" w:space="0" w:color="auto"/>
              <w:bottom w:val="single" w:sz="4" w:space="0" w:color="auto"/>
              <w:right w:val="single" w:sz="4" w:space="0" w:color="auto"/>
            </w:tcBorders>
            <w:vAlign w:val="center"/>
          </w:tcPr>
          <w:p w14:paraId="0CD9220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0.5</w:t>
            </w:r>
          </w:p>
        </w:tc>
        <w:tc>
          <w:tcPr>
            <w:tcW w:w="1417" w:type="dxa"/>
            <w:tcBorders>
              <w:top w:val="single" w:sz="4" w:space="0" w:color="auto"/>
              <w:left w:val="single" w:sz="4" w:space="0" w:color="auto"/>
              <w:bottom w:val="single" w:sz="4" w:space="0" w:color="auto"/>
              <w:right w:val="single" w:sz="4" w:space="0" w:color="auto"/>
            </w:tcBorders>
            <w:vAlign w:val="center"/>
          </w:tcPr>
          <w:p w14:paraId="00FAC74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~100</w:t>
            </w:r>
          </w:p>
        </w:tc>
        <w:tc>
          <w:tcPr>
            <w:tcW w:w="1701" w:type="dxa"/>
            <w:tcBorders>
              <w:top w:val="single" w:sz="4" w:space="0" w:color="auto"/>
              <w:left w:val="single" w:sz="4" w:space="0" w:color="auto"/>
              <w:bottom w:val="single" w:sz="4" w:space="0" w:color="auto"/>
              <w:right w:val="single" w:sz="4" w:space="0" w:color="auto"/>
            </w:tcBorders>
            <w:vAlign w:val="center"/>
          </w:tcPr>
          <w:p w14:paraId="2FBC924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044048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7C6DD15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70D553B3" w14:textId="77777777" w:rsidTr="00DE6590">
        <w:tc>
          <w:tcPr>
            <w:tcW w:w="1701" w:type="dxa"/>
            <w:tcBorders>
              <w:top w:val="single" w:sz="4" w:space="0" w:color="auto"/>
              <w:bottom w:val="single" w:sz="4" w:space="0" w:color="auto"/>
              <w:right w:val="single" w:sz="4" w:space="0" w:color="auto"/>
            </w:tcBorders>
            <w:vAlign w:val="center"/>
          </w:tcPr>
          <w:p w14:paraId="078E1D27"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vertAlign w:val="subscript"/>
              </w:rPr>
            </w:pPr>
            <w:r w:rsidRPr="00B6211C">
              <w:rPr>
                <w:rFonts w:ascii="Arial" w:hAnsi="Arial" w:cs="Arial"/>
                <w:kern w:val="0"/>
                <w:szCs w:val="24"/>
              </w:rPr>
              <w:t>PIL-BF</w:t>
            </w:r>
            <w:r w:rsidRPr="00B6211C">
              <w:rPr>
                <w:rFonts w:ascii="Arial" w:hAnsi="Arial" w:cs="Arial"/>
                <w:kern w:val="0"/>
                <w:szCs w:val="24"/>
                <w:vertAlign w:val="subscript"/>
              </w:rPr>
              <w:t>4</w:t>
            </w:r>
          </w:p>
        </w:tc>
        <w:tc>
          <w:tcPr>
            <w:tcW w:w="1560" w:type="dxa"/>
            <w:tcBorders>
              <w:top w:val="single" w:sz="4" w:space="0" w:color="auto"/>
              <w:left w:val="single" w:sz="4" w:space="0" w:color="auto"/>
              <w:bottom w:val="single" w:sz="4" w:space="0" w:color="auto"/>
              <w:right w:val="single" w:sz="4" w:space="0" w:color="auto"/>
            </w:tcBorders>
            <w:vAlign w:val="center"/>
          </w:tcPr>
          <w:p w14:paraId="72012427"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30D4D4D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99.2</w:t>
            </w:r>
          </w:p>
        </w:tc>
        <w:tc>
          <w:tcPr>
            <w:tcW w:w="1701" w:type="dxa"/>
            <w:tcBorders>
              <w:top w:val="single" w:sz="4" w:space="0" w:color="auto"/>
              <w:left w:val="single" w:sz="4" w:space="0" w:color="auto"/>
              <w:bottom w:val="single" w:sz="4" w:space="0" w:color="auto"/>
              <w:right w:val="single" w:sz="4" w:space="0" w:color="auto"/>
            </w:tcBorders>
            <w:vAlign w:val="center"/>
          </w:tcPr>
          <w:p w14:paraId="6FF632D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88.1</w:t>
            </w:r>
          </w:p>
          <w:p w14:paraId="530A44A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(B. subtilis)</w:t>
            </w:r>
          </w:p>
        </w:tc>
        <w:tc>
          <w:tcPr>
            <w:tcW w:w="1134" w:type="dxa"/>
            <w:tcBorders>
              <w:top w:val="single" w:sz="4" w:space="0" w:color="auto"/>
              <w:left w:val="single" w:sz="4" w:space="0" w:color="auto"/>
              <w:bottom w:val="single" w:sz="4" w:space="0" w:color="auto"/>
              <w:right w:val="single" w:sz="4" w:space="0" w:color="auto"/>
            </w:tcBorders>
            <w:vAlign w:val="center"/>
          </w:tcPr>
          <w:p w14:paraId="4BF91BA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val="restart"/>
            <w:tcBorders>
              <w:top w:val="single" w:sz="4" w:space="0" w:color="auto"/>
              <w:left w:val="single" w:sz="4" w:space="0" w:color="auto"/>
              <w:bottom w:val="single" w:sz="4" w:space="0" w:color="auto"/>
            </w:tcBorders>
            <w:vAlign w:val="center"/>
          </w:tcPr>
          <w:p w14:paraId="2EA7A79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&lt;EndNote&gt;&lt;Cite&gt;&lt;Author&gt;Wu&lt;/Author&gt;&lt;Year&gt;2024&lt;/Year&gt;&lt;RecNum&gt;465&lt;/RecNum&gt;&lt;DisplayText&gt; [11]&lt;/DisplayText&gt;&lt;record&gt;&lt;rec-number&gt;465&lt;/rec-number&gt;&lt;foreign-keys&gt;&lt;key app="EN" db-id="p55psfa0aerpsvezs5d5t9wddreteewt209z" timestamp="1744549023"&gt;465&lt;/key&gt;&lt;/foreign-keys&gt;&lt;ref-type name="Journal Article"&gt;17&lt;/ref-type&gt;&lt;contributors&gt;&lt;authors&gt;&lt;author&gt;Wu, Daheng&lt;/author&gt;&lt;author&gt;Wang, Jianing&lt;/author&gt;&lt;author&gt;Yin, Xiaodong&lt;/author&gt;&lt;author&gt;Tan, Runxiang&lt;/author&gt;&lt;author&gt;Zhang, Tao&lt;/author&gt;&lt;/authors&gt;&lt;/contributors&gt;&lt;titles&gt;&lt;title&gt;Grafting of Poly(ionic liquid) Brushes through Fe0-Mediated Surface-Initiated Atom Transfer Radical Polymerization for Marine Antifouling&lt;/title&gt;&lt;secondary-title&gt;Langmuir&lt;/secondary-title&gt;&lt;/titles&gt;&lt;periodical&gt;&lt;full-title&gt;Langmuir&lt;/full-title&gt;&lt;/periodical&gt;&lt;pages&gt;8393-8399&lt;/pages&gt;&lt;volume&gt;40&lt;/volume&gt;&lt;number&gt;16&lt;/number&gt;&lt;dates&gt;&lt;year&gt;2024&lt;/year&gt;&lt;pub-dates&gt;&lt;date&gt;2024/04/23&lt;/date&gt;&lt;/pub-dates&gt;&lt;/dates&gt;&lt;publisher&gt;American Chemical Society&lt;/publisher&gt;&lt;isbn&gt;0743-7463&lt;/isbn&gt;&lt;urls&gt;&lt;related-urls&gt;&lt;url&gt;https://doi.org/10.1021/acs.langmuir.3c03852&lt;/url&gt;&lt;/related-urls&gt;&lt;/urls&gt;&lt;electronic-resource-num&gt;10.1021/acs.langmuir.3c03852&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[11]</w:t>
            </w:r>
            <w:r w:rsidRPr="00B6211C">
              <w:rPr>
                <w:rFonts w:ascii="Arial" w:hAnsi="Arial" w:cs="Arial"/>
                <w:kern w:val="0"/>
                <w:szCs w:val="24"/>
              </w:rPr>
              <w:fldChar w:fldCharType="end"/>
            </w:r>
          </w:p>
        </w:tc>
      </w:tr>
      <w:tr w:rsidR="00B6211C" w:rsidRPr="00B6211C" w14:paraId="5396D13D" w14:textId="77777777" w:rsidTr="00DE6590">
        <w:tc>
          <w:tcPr>
            <w:tcW w:w="1701" w:type="dxa"/>
            <w:tcBorders>
              <w:top w:val="single" w:sz="4" w:space="0" w:color="auto"/>
              <w:bottom w:val="single" w:sz="4" w:space="0" w:color="auto"/>
              <w:right w:val="single" w:sz="4" w:space="0" w:color="auto"/>
            </w:tcBorders>
            <w:vAlign w:val="center"/>
          </w:tcPr>
          <w:p w14:paraId="42F8DFE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PIL-Br</w:t>
            </w:r>
          </w:p>
        </w:tc>
        <w:tc>
          <w:tcPr>
            <w:tcW w:w="1560" w:type="dxa"/>
            <w:tcBorders>
              <w:top w:val="single" w:sz="4" w:space="0" w:color="auto"/>
              <w:left w:val="single" w:sz="4" w:space="0" w:color="auto"/>
              <w:bottom w:val="single" w:sz="4" w:space="0" w:color="auto"/>
              <w:right w:val="single" w:sz="4" w:space="0" w:color="auto"/>
            </w:tcBorders>
            <w:vAlign w:val="center"/>
          </w:tcPr>
          <w:p w14:paraId="60B3887F"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62886493"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99.2</w:t>
            </w:r>
          </w:p>
        </w:tc>
        <w:tc>
          <w:tcPr>
            <w:tcW w:w="1701" w:type="dxa"/>
            <w:tcBorders>
              <w:top w:val="single" w:sz="4" w:space="0" w:color="auto"/>
              <w:left w:val="single" w:sz="4" w:space="0" w:color="auto"/>
              <w:bottom w:val="single" w:sz="4" w:space="0" w:color="auto"/>
              <w:right w:val="single" w:sz="4" w:space="0" w:color="auto"/>
            </w:tcBorders>
            <w:vAlign w:val="center"/>
          </w:tcPr>
          <w:p w14:paraId="25873F9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86.6</w:t>
            </w:r>
          </w:p>
          <w:p w14:paraId="509F0B5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(B. subtilis)</w:t>
            </w:r>
          </w:p>
        </w:tc>
        <w:tc>
          <w:tcPr>
            <w:tcW w:w="1134" w:type="dxa"/>
            <w:tcBorders>
              <w:top w:val="single" w:sz="4" w:space="0" w:color="auto"/>
              <w:left w:val="single" w:sz="4" w:space="0" w:color="auto"/>
              <w:bottom w:val="single" w:sz="4" w:space="0" w:color="auto"/>
              <w:right w:val="single" w:sz="4" w:space="0" w:color="auto"/>
            </w:tcBorders>
            <w:vAlign w:val="center"/>
          </w:tcPr>
          <w:p w14:paraId="0083357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44A6F1C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478FF5B5" w14:textId="77777777" w:rsidTr="00DE6590">
        <w:tc>
          <w:tcPr>
            <w:tcW w:w="1701" w:type="dxa"/>
            <w:tcBorders>
              <w:top w:val="single" w:sz="4" w:space="0" w:color="auto"/>
              <w:bottom w:val="single" w:sz="4" w:space="0" w:color="auto"/>
              <w:right w:val="single" w:sz="4" w:space="0" w:color="auto"/>
            </w:tcBorders>
            <w:vAlign w:val="center"/>
          </w:tcPr>
          <w:p w14:paraId="5BE5E3F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C</w:t>
            </w:r>
            <w:r w:rsidRPr="00B6211C">
              <w:rPr>
                <w:rFonts w:ascii="Arial" w:hAnsi="Arial" w:cs="Arial"/>
                <w:kern w:val="0"/>
                <w:szCs w:val="24"/>
                <w:vertAlign w:val="subscript"/>
              </w:rPr>
              <w:t>12</w:t>
            </w:r>
            <w:r w:rsidRPr="00B6211C">
              <w:rPr>
                <w:rFonts w:ascii="Arial" w:hAnsi="Arial" w:cs="Arial"/>
                <w:kern w:val="0"/>
                <w:szCs w:val="24"/>
              </w:rPr>
              <w:t>-M</w:t>
            </w:r>
          </w:p>
        </w:tc>
        <w:tc>
          <w:tcPr>
            <w:tcW w:w="1560" w:type="dxa"/>
            <w:tcBorders>
              <w:top w:val="single" w:sz="4" w:space="0" w:color="auto"/>
              <w:left w:val="single" w:sz="4" w:space="0" w:color="auto"/>
              <w:bottom w:val="single" w:sz="4" w:space="0" w:color="auto"/>
              <w:right w:val="single" w:sz="4" w:space="0" w:color="auto"/>
            </w:tcBorders>
            <w:vAlign w:val="center"/>
          </w:tcPr>
          <w:p w14:paraId="1D66FCD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14:paraId="12FE2E2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81.2</w:t>
            </w:r>
          </w:p>
        </w:tc>
        <w:tc>
          <w:tcPr>
            <w:tcW w:w="1701" w:type="dxa"/>
            <w:tcBorders>
              <w:top w:val="single" w:sz="4" w:space="0" w:color="auto"/>
              <w:left w:val="single" w:sz="4" w:space="0" w:color="auto"/>
              <w:bottom w:val="single" w:sz="4" w:space="0" w:color="auto"/>
              <w:right w:val="single" w:sz="4" w:space="0" w:color="auto"/>
            </w:tcBorders>
            <w:vAlign w:val="center"/>
          </w:tcPr>
          <w:p w14:paraId="3C3D5F8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64.3</w:t>
            </w:r>
          </w:p>
          <w:p w14:paraId="1987150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(E. faecalis)</w:t>
            </w:r>
          </w:p>
        </w:tc>
        <w:tc>
          <w:tcPr>
            <w:tcW w:w="1134" w:type="dxa"/>
            <w:tcBorders>
              <w:top w:val="single" w:sz="4" w:space="0" w:color="auto"/>
              <w:left w:val="single" w:sz="4" w:space="0" w:color="auto"/>
              <w:bottom w:val="single" w:sz="4" w:space="0" w:color="auto"/>
              <w:right w:val="single" w:sz="4" w:space="0" w:color="auto"/>
            </w:tcBorders>
            <w:vAlign w:val="center"/>
          </w:tcPr>
          <w:p w14:paraId="6E3DF2CC"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val="restart"/>
            <w:tcBorders>
              <w:top w:val="single" w:sz="4" w:space="0" w:color="auto"/>
              <w:left w:val="single" w:sz="4" w:space="0" w:color="auto"/>
              <w:bottom w:val="single" w:sz="4" w:space="0" w:color="auto"/>
            </w:tcBorders>
            <w:vAlign w:val="center"/>
          </w:tcPr>
          <w:p w14:paraId="59986CB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fldChar w:fldCharType="begin"/>
            </w:r>
            <w:r w:rsidRPr="00B6211C">
              <w:rPr>
                <w:rFonts w:ascii="Arial" w:hAnsi="Arial" w:cs="Arial"/>
                <w:kern w:val="0"/>
                <w:szCs w:val="24"/>
              </w:rPr>
              <w:instrText xml:space="preserve"> ADDIN EN.CITE &lt;EndNote&gt;&lt;Cite&gt;&lt;Author&gt;Xie&lt;/Author&gt;&lt;Year&gt;2023&lt;/Year&gt;&lt;RecNum&gt;466&lt;/RecNum&gt;&lt;DisplayText&gt; [12]&lt;/DisplayText&gt;&lt;record&gt;&lt;rec-number&gt;466&lt;/rec-number&gt;&lt;foreign-keys&gt;&lt;key app="EN" db-id="p55psfa0aerpsvezs5d5t9wddreteewt209z" timestamp="1744549031"&gt;466&lt;/key&gt;&lt;/foreign-keys&gt;&lt;ref-type name="Journal Article"&gt;17&lt;/ref-type&gt;&lt;contributors&gt;&lt;authors&gt;&lt;author&gt;Xie, Daosen&lt;/author&gt;&lt;author&gt;Zhao, He&lt;/author&gt;&lt;author&gt;Dilxat, Dilnur&lt;/author&gt;&lt;author&gt;Ren, Shaojie&lt;/author&gt;&lt;author&gt;Wang, Yunkun&lt;/author&gt;&lt;/authors&gt;&lt;/contributors&gt;&lt;titles&gt;&lt;title&gt;Antibiofouling Polyvinylidene Fluoride Membrane Functionalized by Diblock Copoly(ionic liquid) Brushes&lt;/title&gt;&lt;secondary-title&gt;ACS ES&amp;amp;T Engineering&lt;/secondary-title&gt;&lt;/titles&gt;&lt;periodical&gt;&lt;full-title&gt;ACS ES&amp;amp;T Engineering&lt;/full-title&gt;&lt;/periodical&gt;&lt;pages&gt;1330-1338&lt;/pages&gt;&lt;volume&gt;3&lt;/volume&gt;&lt;number&gt;9&lt;/number&gt;&lt;dates&gt;&lt;year&gt;2023&lt;/year&gt;&lt;pub-dates&gt;&lt;date&gt;2023/09/08&lt;/date&gt;&lt;/pub-dates&gt;&lt;/dates&gt;&lt;publisher&gt;American Chemical Society&lt;/publisher&gt;&lt;urls&gt;&lt;related-urls&gt;&lt;url&gt;https://doi.org/10.1021/acsestengg.3c00105&lt;/url&gt;&lt;/related-urls&gt;&lt;/urls&gt;&lt;electronic-resource-num&gt;10.1021/acsestengg.3c00105&lt;/electronic-resource-num&gt;&lt;/record&gt;&lt;/Cite&gt;&lt;/EndNote&gt;</w:instrText>
            </w:r>
            <w:r w:rsidRPr="00B6211C">
              <w:rPr>
                <w:rFonts w:ascii="Arial" w:hAnsi="Arial" w:cs="Arial"/>
                <w:kern w:val="0"/>
                <w:szCs w:val="24"/>
              </w:rPr>
              <w:fldChar w:fldCharType="separate"/>
            </w:r>
            <w:r w:rsidRPr="00B6211C">
              <w:rPr>
                <w:rFonts w:ascii="Arial" w:hAnsi="Arial" w:cs="Arial"/>
                <w:noProof/>
                <w:kern w:val="0"/>
                <w:szCs w:val="24"/>
              </w:rPr>
              <w:t xml:space="preserve"> [12]</w:t>
            </w:r>
            <w:r w:rsidRPr="00B6211C">
              <w:rPr>
                <w:rFonts w:ascii="Arial" w:hAnsi="Arial" w:cs="Arial"/>
                <w:kern w:val="0"/>
                <w:szCs w:val="24"/>
              </w:rPr>
              <w:fldChar w:fldCharType="end"/>
            </w:r>
          </w:p>
        </w:tc>
      </w:tr>
      <w:tr w:rsidR="00B6211C" w:rsidRPr="00B6211C" w14:paraId="18FF8D8F" w14:textId="77777777" w:rsidTr="00DE6590">
        <w:tc>
          <w:tcPr>
            <w:tcW w:w="1701" w:type="dxa"/>
            <w:tcBorders>
              <w:top w:val="single" w:sz="4" w:space="0" w:color="auto"/>
              <w:bottom w:val="single" w:sz="4" w:space="0" w:color="auto"/>
              <w:right w:val="single" w:sz="4" w:space="0" w:color="auto"/>
            </w:tcBorders>
            <w:vAlign w:val="center"/>
          </w:tcPr>
          <w:p w14:paraId="78D20E4C"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TA-C</w:t>
            </w:r>
            <w:r w:rsidRPr="00B6211C">
              <w:rPr>
                <w:rFonts w:ascii="Arial" w:hAnsi="Arial" w:cs="Arial"/>
                <w:kern w:val="0"/>
                <w:szCs w:val="24"/>
                <w:vertAlign w:val="subscript"/>
              </w:rPr>
              <w:t>12</w:t>
            </w:r>
            <w:r w:rsidRPr="00B6211C">
              <w:rPr>
                <w:rFonts w:ascii="Arial" w:hAnsi="Arial" w:cs="Arial"/>
                <w:kern w:val="0"/>
                <w:szCs w:val="24"/>
              </w:rPr>
              <w:t>-M</w:t>
            </w:r>
          </w:p>
        </w:tc>
        <w:tc>
          <w:tcPr>
            <w:tcW w:w="1560" w:type="dxa"/>
            <w:tcBorders>
              <w:top w:val="single" w:sz="4" w:space="0" w:color="auto"/>
              <w:left w:val="single" w:sz="4" w:space="0" w:color="auto"/>
              <w:bottom w:val="single" w:sz="4" w:space="0" w:color="auto"/>
              <w:right w:val="single" w:sz="4" w:space="0" w:color="auto"/>
            </w:tcBorders>
            <w:vAlign w:val="center"/>
          </w:tcPr>
          <w:p w14:paraId="2D7B68E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14:paraId="72734F8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87.2</w:t>
            </w:r>
          </w:p>
        </w:tc>
        <w:tc>
          <w:tcPr>
            <w:tcW w:w="1701" w:type="dxa"/>
            <w:tcBorders>
              <w:top w:val="single" w:sz="4" w:space="0" w:color="auto"/>
              <w:left w:val="single" w:sz="4" w:space="0" w:color="auto"/>
              <w:bottom w:val="single" w:sz="4" w:space="0" w:color="auto"/>
              <w:right w:val="single" w:sz="4" w:space="0" w:color="auto"/>
            </w:tcBorders>
            <w:vAlign w:val="center"/>
          </w:tcPr>
          <w:p w14:paraId="4CBF25C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67.9</w:t>
            </w:r>
          </w:p>
          <w:p w14:paraId="5C18B8B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(E. faecalis)</w:t>
            </w:r>
          </w:p>
        </w:tc>
        <w:tc>
          <w:tcPr>
            <w:tcW w:w="1134" w:type="dxa"/>
            <w:tcBorders>
              <w:top w:val="single" w:sz="4" w:space="0" w:color="auto"/>
              <w:left w:val="single" w:sz="4" w:space="0" w:color="auto"/>
              <w:bottom w:val="single" w:sz="4" w:space="0" w:color="auto"/>
              <w:right w:val="single" w:sz="4" w:space="0" w:color="auto"/>
            </w:tcBorders>
            <w:vAlign w:val="center"/>
          </w:tcPr>
          <w:p w14:paraId="3B73A05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5DDA4114"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5052CA20" w14:textId="77777777" w:rsidTr="00DE6590">
        <w:tc>
          <w:tcPr>
            <w:tcW w:w="1701" w:type="dxa"/>
            <w:tcBorders>
              <w:top w:val="single" w:sz="4" w:space="0" w:color="auto"/>
              <w:bottom w:val="single" w:sz="4" w:space="0" w:color="auto"/>
              <w:right w:val="single" w:sz="4" w:space="0" w:color="auto"/>
            </w:tcBorders>
            <w:vAlign w:val="center"/>
          </w:tcPr>
          <w:p w14:paraId="1EE6730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TA-M</w:t>
            </w:r>
          </w:p>
        </w:tc>
        <w:tc>
          <w:tcPr>
            <w:tcW w:w="1560" w:type="dxa"/>
            <w:tcBorders>
              <w:top w:val="single" w:sz="4" w:space="0" w:color="auto"/>
              <w:left w:val="single" w:sz="4" w:space="0" w:color="auto"/>
              <w:bottom w:val="single" w:sz="4" w:space="0" w:color="auto"/>
              <w:right w:val="single" w:sz="4" w:space="0" w:color="auto"/>
            </w:tcBorders>
            <w:vAlign w:val="center"/>
          </w:tcPr>
          <w:p w14:paraId="09D6AED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14:paraId="0BFEB199"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63.2</w:t>
            </w:r>
          </w:p>
        </w:tc>
        <w:tc>
          <w:tcPr>
            <w:tcW w:w="1701" w:type="dxa"/>
            <w:tcBorders>
              <w:top w:val="single" w:sz="4" w:space="0" w:color="auto"/>
              <w:left w:val="single" w:sz="4" w:space="0" w:color="auto"/>
              <w:bottom w:val="single" w:sz="4" w:space="0" w:color="auto"/>
              <w:right w:val="single" w:sz="4" w:space="0" w:color="auto"/>
            </w:tcBorders>
            <w:vAlign w:val="center"/>
          </w:tcPr>
          <w:p w14:paraId="44EFEA3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54.6</w:t>
            </w:r>
          </w:p>
          <w:p w14:paraId="42F9EDB8"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(E. faecalis)</w:t>
            </w:r>
          </w:p>
        </w:tc>
        <w:tc>
          <w:tcPr>
            <w:tcW w:w="1134" w:type="dxa"/>
            <w:tcBorders>
              <w:top w:val="single" w:sz="4" w:space="0" w:color="auto"/>
              <w:left w:val="single" w:sz="4" w:space="0" w:color="auto"/>
              <w:bottom w:val="single" w:sz="4" w:space="0" w:color="auto"/>
              <w:right w:val="single" w:sz="4" w:space="0" w:color="auto"/>
            </w:tcBorders>
            <w:vAlign w:val="center"/>
          </w:tcPr>
          <w:p w14:paraId="0921713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63019F8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1F0F294F" w14:textId="77777777" w:rsidTr="00DE6590">
        <w:tc>
          <w:tcPr>
            <w:tcW w:w="1701" w:type="dxa"/>
            <w:tcBorders>
              <w:top w:val="single" w:sz="4" w:space="0" w:color="auto"/>
              <w:bottom w:val="single" w:sz="4" w:space="0" w:color="auto"/>
              <w:right w:val="single" w:sz="4" w:space="0" w:color="auto"/>
            </w:tcBorders>
            <w:vAlign w:val="center"/>
          </w:tcPr>
          <w:p w14:paraId="132108A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C</w:t>
            </w:r>
            <w:r w:rsidRPr="00B6211C">
              <w:rPr>
                <w:rFonts w:ascii="Arial" w:hAnsi="Arial" w:cs="Arial"/>
                <w:kern w:val="0"/>
                <w:szCs w:val="24"/>
                <w:vertAlign w:val="subscript"/>
              </w:rPr>
              <w:t>12</w:t>
            </w:r>
            <w:r w:rsidRPr="00B6211C">
              <w:rPr>
                <w:rFonts w:ascii="Arial" w:hAnsi="Arial" w:cs="Arial"/>
                <w:kern w:val="0"/>
                <w:szCs w:val="24"/>
              </w:rPr>
              <w:t>-TA-M</w:t>
            </w:r>
          </w:p>
        </w:tc>
        <w:tc>
          <w:tcPr>
            <w:tcW w:w="1560" w:type="dxa"/>
            <w:tcBorders>
              <w:top w:val="single" w:sz="4" w:space="0" w:color="auto"/>
              <w:left w:val="single" w:sz="4" w:space="0" w:color="auto"/>
              <w:bottom w:val="single" w:sz="4" w:space="0" w:color="auto"/>
              <w:right w:val="single" w:sz="4" w:space="0" w:color="auto"/>
            </w:tcBorders>
            <w:vAlign w:val="center"/>
          </w:tcPr>
          <w:p w14:paraId="75562FD5"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14:paraId="0675E29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92.0</w:t>
            </w:r>
          </w:p>
        </w:tc>
        <w:tc>
          <w:tcPr>
            <w:tcW w:w="1701" w:type="dxa"/>
            <w:tcBorders>
              <w:top w:val="single" w:sz="4" w:space="0" w:color="auto"/>
              <w:left w:val="single" w:sz="4" w:space="0" w:color="auto"/>
              <w:bottom w:val="single" w:sz="4" w:space="0" w:color="auto"/>
              <w:right w:val="single" w:sz="4" w:space="0" w:color="auto"/>
            </w:tcBorders>
            <w:vAlign w:val="center"/>
          </w:tcPr>
          <w:p w14:paraId="73815C3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77.6</w:t>
            </w:r>
          </w:p>
          <w:p w14:paraId="44BC9DA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(E. faecalis)</w:t>
            </w:r>
          </w:p>
        </w:tc>
        <w:tc>
          <w:tcPr>
            <w:tcW w:w="1134" w:type="dxa"/>
            <w:tcBorders>
              <w:top w:val="single" w:sz="4" w:space="0" w:color="auto"/>
              <w:left w:val="single" w:sz="4" w:space="0" w:color="auto"/>
              <w:bottom w:val="single" w:sz="4" w:space="0" w:color="auto"/>
              <w:right w:val="single" w:sz="4" w:space="0" w:color="auto"/>
            </w:tcBorders>
            <w:vAlign w:val="center"/>
          </w:tcPr>
          <w:p w14:paraId="12F7DA9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tcBorders>
              <w:top w:val="single" w:sz="4" w:space="0" w:color="auto"/>
              <w:left w:val="single" w:sz="4" w:space="0" w:color="auto"/>
              <w:bottom w:val="single" w:sz="4" w:space="0" w:color="auto"/>
            </w:tcBorders>
            <w:vAlign w:val="center"/>
          </w:tcPr>
          <w:p w14:paraId="4988C58A"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r w:rsidR="00B6211C" w:rsidRPr="00B6211C" w14:paraId="57BB5211" w14:textId="77777777" w:rsidTr="00DE6590">
        <w:tc>
          <w:tcPr>
            <w:tcW w:w="1701" w:type="dxa"/>
            <w:tcBorders>
              <w:top w:val="single" w:sz="4" w:space="0" w:color="auto"/>
              <w:bottom w:val="single" w:sz="4" w:space="0" w:color="auto"/>
              <w:right w:val="single" w:sz="4" w:space="0" w:color="auto"/>
            </w:tcBorders>
            <w:vAlign w:val="center"/>
          </w:tcPr>
          <w:p w14:paraId="23B07DF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PMAA brushes</w:t>
            </w:r>
          </w:p>
        </w:tc>
        <w:tc>
          <w:tcPr>
            <w:tcW w:w="1560" w:type="dxa"/>
            <w:tcBorders>
              <w:top w:val="single" w:sz="4" w:space="0" w:color="auto"/>
              <w:left w:val="single" w:sz="4" w:space="0" w:color="auto"/>
              <w:bottom w:val="single" w:sz="4" w:space="0" w:color="auto"/>
              <w:right w:val="single" w:sz="4" w:space="0" w:color="auto"/>
            </w:tcBorders>
            <w:vAlign w:val="center"/>
          </w:tcPr>
          <w:p w14:paraId="44DC298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4" w:space="0" w:color="auto"/>
              <w:right w:val="single" w:sz="4" w:space="0" w:color="auto"/>
            </w:tcBorders>
            <w:vAlign w:val="center"/>
          </w:tcPr>
          <w:p w14:paraId="4D328CA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88.11</w:t>
            </w:r>
          </w:p>
        </w:tc>
        <w:tc>
          <w:tcPr>
            <w:tcW w:w="1701" w:type="dxa"/>
            <w:tcBorders>
              <w:top w:val="single" w:sz="4" w:space="0" w:color="auto"/>
              <w:left w:val="single" w:sz="4" w:space="0" w:color="auto"/>
              <w:bottom w:val="single" w:sz="4" w:space="0" w:color="auto"/>
              <w:right w:val="single" w:sz="4" w:space="0" w:color="auto"/>
            </w:tcBorders>
            <w:vAlign w:val="center"/>
          </w:tcPr>
          <w:p w14:paraId="274B476D"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48.30</w:t>
            </w:r>
          </w:p>
        </w:tc>
        <w:tc>
          <w:tcPr>
            <w:tcW w:w="1134" w:type="dxa"/>
            <w:tcBorders>
              <w:top w:val="single" w:sz="4" w:space="0" w:color="auto"/>
              <w:left w:val="single" w:sz="4" w:space="0" w:color="auto"/>
              <w:bottom w:val="single" w:sz="4" w:space="0" w:color="auto"/>
              <w:right w:val="single" w:sz="4" w:space="0" w:color="auto"/>
            </w:tcBorders>
            <w:vAlign w:val="center"/>
          </w:tcPr>
          <w:p w14:paraId="0DFFE922"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None</w:t>
            </w:r>
          </w:p>
        </w:tc>
        <w:tc>
          <w:tcPr>
            <w:tcW w:w="793" w:type="dxa"/>
            <w:vMerge w:val="restart"/>
            <w:tcBorders>
              <w:top w:val="single" w:sz="4" w:space="0" w:color="auto"/>
              <w:left w:val="single" w:sz="4" w:space="0" w:color="auto"/>
              <w:bottom w:val="single" w:sz="4" w:space="0" w:color="auto"/>
            </w:tcBorders>
            <w:vAlign w:val="center"/>
          </w:tcPr>
          <w:p w14:paraId="2D9F6A3C" w14:textId="77777777" w:rsidR="00F23491" w:rsidRPr="00B6211C" w:rsidRDefault="00F23491" w:rsidP="00DE6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This work</w:t>
            </w:r>
          </w:p>
        </w:tc>
      </w:tr>
      <w:tr w:rsidR="00B6211C" w:rsidRPr="00B6211C" w14:paraId="2C489B8C" w14:textId="77777777" w:rsidTr="00DE6590">
        <w:tc>
          <w:tcPr>
            <w:tcW w:w="1701" w:type="dxa"/>
            <w:tcBorders>
              <w:top w:val="single" w:sz="4" w:space="0" w:color="auto"/>
              <w:bottom w:val="single" w:sz="12" w:space="0" w:color="auto"/>
              <w:right w:val="single" w:sz="4" w:space="0" w:color="auto"/>
            </w:tcBorders>
            <w:vAlign w:val="center"/>
          </w:tcPr>
          <w:p w14:paraId="484840F3"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Mt-PB</w:t>
            </w:r>
          </w:p>
        </w:tc>
        <w:tc>
          <w:tcPr>
            <w:tcW w:w="1560" w:type="dxa"/>
            <w:tcBorders>
              <w:top w:val="single" w:sz="4" w:space="0" w:color="auto"/>
              <w:left w:val="single" w:sz="4" w:space="0" w:color="auto"/>
              <w:bottom w:val="single" w:sz="12" w:space="0" w:color="auto"/>
              <w:right w:val="single" w:sz="4" w:space="0" w:color="auto"/>
            </w:tcBorders>
            <w:vAlign w:val="center"/>
          </w:tcPr>
          <w:p w14:paraId="16F07DE6"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24</w:t>
            </w:r>
          </w:p>
        </w:tc>
        <w:tc>
          <w:tcPr>
            <w:tcW w:w="1417" w:type="dxa"/>
            <w:tcBorders>
              <w:top w:val="single" w:sz="4" w:space="0" w:color="auto"/>
              <w:left w:val="single" w:sz="4" w:space="0" w:color="auto"/>
              <w:bottom w:val="single" w:sz="12" w:space="0" w:color="auto"/>
              <w:right w:val="single" w:sz="4" w:space="0" w:color="auto"/>
            </w:tcBorders>
            <w:vAlign w:val="center"/>
          </w:tcPr>
          <w:p w14:paraId="231AAF4E"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99.99</w:t>
            </w:r>
          </w:p>
        </w:tc>
        <w:tc>
          <w:tcPr>
            <w:tcW w:w="1701" w:type="dxa"/>
            <w:tcBorders>
              <w:top w:val="single" w:sz="4" w:space="0" w:color="auto"/>
              <w:left w:val="single" w:sz="4" w:space="0" w:color="auto"/>
              <w:bottom w:val="single" w:sz="12" w:space="0" w:color="auto"/>
              <w:right w:val="single" w:sz="4" w:space="0" w:color="auto"/>
            </w:tcBorders>
            <w:vAlign w:val="center"/>
          </w:tcPr>
          <w:p w14:paraId="51C41981"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99.99</w:t>
            </w:r>
          </w:p>
        </w:tc>
        <w:tc>
          <w:tcPr>
            <w:tcW w:w="1134" w:type="dxa"/>
            <w:tcBorders>
              <w:top w:val="single" w:sz="4" w:space="0" w:color="auto"/>
              <w:left w:val="single" w:sz="4" w:space="0" w:color="auto"/>
              <w:bottom w:val="single" w:sz="12" w:space="0" w:color="auto"/>
              <w:right w:val="single" w:sz="4" w:space="0" w:color="auto"/>
            </w:tcBorders>
            <w:vAlign w:val="center"/>
          </w:tcPr>
          <w:p w14:paraId="6B133F5B"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r w:rsidRPr="00B6211C">
              <w:rPr>
                <w:rFonts w:ascii="Arial" w:hAnsi="Arial" w:cs="Arial"/>
                <w:kern w:val="0"/>
                <w:szCs w:val="24"/>
              </w:rPr>
              <w:t>31</w:t>
            </w:r>
          </w:p>
        </w:tc>
        <w:tc>
          <w:tcPr>
            <w:tcW w:w="793" w:type="dxa"/>
            <w:vMerge/>
            <w:tcBorders>
              <w:top w:val="single" w:sz="4" w:space="0" w:color="auto"/>
              <w:left w:val="single" w:sz="4" w:space="0" w:color="auto"/>
              <w:bottom w:val="single" w:sz="12" w:space="0" w:color="auto"/>
            </w:tcBorders>
            <w:vAlign w:val="center"/>
          </w:tcPr>
          <w:p w14:paraId="5C726990" w14:textId="77777777" w:rsidR="00F23491" w:rsidRPr="00B6211C" w:rsidRDefault="00F23491" w:rsidP="00DE65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kern w:val="0"/>
                <w:szCs w:val="24"/>
              </w:rPr>
            </w:pPr>
          </w:p>
        </w:tc>
      </w:tr>
    </w:tbl>
    <w:p w14:paraId="7884025A" w14:textId="77777777" w:rsidR="00F23491" w:rsidRPr="00B6211C" w:rsidRDefault="00F23491" w:rsidP="00F234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Times New Roman"/>
          <w:kern w:val="0"/>
          <w:szCs w:val="24"/>
        </w:rPr>
      </w:pPr>
      <w:r w:rsidRPr="00B6211C">
        <w:rPr>
          <w:rFonts w:cs="Times New Roman" w:hint="eastAsia"/>
          <w:b/>
          <w:bCs/>
          <w:kern w:val="0"/>
          <w:szCs w:val="24"/>
        </w:rPr>
        <w:t>Notes:</w:t>
      </w:r>
      <w:r w:rsidRPr="00B6211C">
        <w:rPr>
          <w:rFonts w:cs="Times New Roman"/>
          <w:kern w:val="0"/>
          <w:szCs w:val="24"/>
        </w:rPr>
        <w:t xml:space="preserve"> Since some articles lack specific value labels, the '~' symbol denotes estimated values based on article images. ‘</w:t>
      </w:r>
      <w:r w:rsidRPr="00B6211C">
        <w:rPr>
          <w:rFonts w:cs="Times New Roman" w:hint="eastAsia"/>
          <w:kern w:val="0"/>
          <w:szCs w:val="24"/>
        </w:rPr>
        <w:t>(</w:t>
      </w:r>
      <w:r w:rsidRPr="00B6211C">
        <w:rPr>
          <w:rFonts w:cs="Times New Roman"/>
          <w:kern w:val="0"/>
          <w:szCs w:val="24"/>
        </w:rPr>
        <w:t>)’</w:t>
      </w:r>
      <w:r w:rsidRPr="00B6211C">
        <w:rPr>
          <w:rFonts w:cs="Times New Roman" w:hint="eastAsia"/>
          <w:kern w:val="0"/>
          <w:szCs w:val="24"/>
        </w:rPr>
        <w:t xml:space="preserve"> indicates the antibacterial strain</w:t>
      </w:r>
      <w:r w:rsidRPr="00B6211C">
        <w:rPr>
          <w:rFonts w:cs="Times New Roman"/>
          <w:kern w:val="0"/>
          <w:szCs w:val="24"/>
        </w:rPr>
        <w:t xml:space="preserve"> rather than S. aureus</w:t>
      </w:r>
      <w:r w:rsidRPr="00B6211C">
        <w:rPr>
          <w:rFonts w:cs="Times New Roman" w:hint="eastAsia"/>
          <w:kern w:val="0"/>
          <w:szCs w:val="24"/>
        </w:rPr>
        <w:t>.</w:t>
      </w:r>
    </w:p>
    <w:p w14:paraId="7B5B353F" w14:textId="1A242FAB" w:rsidR="00F23491" w:rsidRPr="00B6211C" w:rsidRDefault="00F23491">
      <w:pPr>
        <w:widowControl/>
        <w:jc w:val="left"/>
        <w:rPr>
          <w:rFonts w:cs="Times New Roman"/>
          <w:szCs w:val="24"/>
        </w:rPr>
      </w:pPr>
      <w:r w:rsidRPr="00B6211C">
        <w:rPr>
          <w:rFonts w:cs="Times New Roman"/>
          <w:szCs w:val="24"/>
        </w:rPr>
        <w:br w:type="page"/>
      </w:r>
    </w:p>
    <w:p w14:paraId="00BC435B" w14:textId="051C262E" w:rsidR="00F23491" w:rsidRPr="00B6211C" w:rsidRDefault="00F23491" w:rsidP="002B4263">
      <w:pPr>
        <w:pStyle w:val="a7"/>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0" w:firstLine="0"/>
        <w:rPr>
          <w:rFonts w:cs="Times New Roman"/>
          <w:kern w:val="0"/>
          <w:szCs w:val="24"/>
        </w:rPr>
      </w:pPr>
      <w:r w:rsidRPr="00B6211C">
        <w:rPr>
          <w:rFonts w:cs="Times New Roman"/>
          <w:b/>
          <w:bCs/>
          <w:kern w:val="0"/>
          <w:szCs w:val="24"/>
        </w:rPr>
        <w:lastRenderedPageBreak/>
        <w:t>Table S</w:t>
      </w:r>
      <w:r w:rsidRPr="00B6211C">
        <w:rPr>
          <w:rFonts w:cs="Times New Roman" w:hint="eastAsia"/>
          <w:b/>
          <w:bCs/>
          <w:kern w:val="0"/>
          <w:szCs w:val="24"/>
        </w:rPr>
        <w:t>3</w:t>
      </w:r>
      <w:r w:rsidRPr="00B6211C">
        <w:rPr>
          <w:rFonts w:cs="Times New Roman"/>
          <w:b/>
          <w:bCs/>
          <w:kern w:val="0"/>
          <w:szCs w:val="24"/>
        </w:rPr>
        <w:t>.</w:t>
      </w:r>
      <w:r w:rsidRPr="00B6211C">
        <w:rPr>
          <w:rFonts w:cs="Times New Roman"/>
          <w:kern w:val="0"/>
          <w:szCs w:val="24"/>
        </w:rPr>
        <w:t xml:space="preserve"> The </w:t>
      </w:r>
      <w:r w:rsidR="000134AD" w:rsidRPr="00B6211C">
        <w:rPr>
          <w:rFonts w:cs="Times New Roman"/>
          <w:kern w:val="0"/>
          <w:szCs w:val="24"/>
        </w:rPr>
        <w:t xml:space="preserve">atomic ratio </w:t>
      </w:r>
      <w:r w:rsidRPr="00B6211C">
        <w:rPr>
          <w:rFonts w:cs="Times New Roman"/>
          <w:kern w:val="0"/>
          <w:szCs w:val="24"/>
        </w:rPr>
        <w:t>of different elements (C, O, Cu, and Ag) in PMAA brushes and Mt-PB before and after 31-day underwater exposure via XPS spectrum.</w:t>
      </w:r>
    </w:p>
    <w:tbl>
      <w:tblPr>
        <w:tblW w:w="0" w:type="auto"/>
        <w:tblLayout w:type="fixed"/>
        <w:tblCellMar>
          <w:left w:w="0" w:type="dxa"/>
          <w:right w:w="0" w:type="dxa"/>
        </w:tblCellMar>
        <w:tblLook w:val="0420" w:firstRow="1" w:lastRow="0" w:firstColumn="0" w:lastColumn="0" w:noHBand="0" w:noVBand="1"/>
      </w:tblPr>
      <w:tblGrid>
        <w:gridCol w:w="1175"/>
        <w:gridCol w:w="1176"/>
        <w:gridCol w:w="1422"/>
        <w:gridCol w:w="1422"/>
        <w:gridCol w:w="1568"/>
        <w:gridCol w:w="1543"/>
      </w:tblGrid>
      <w:tr w:rsidR="00B6211C" w:rsidRPr="00B6211C" w14:paraId="72E92E05" w14:textId="77777777" w:rsidTr="00DE6590">
        <w:trPr>
          <w:trHeight w:val="291"/>
        </w:trPr>
        <w:tc>
          <w:tcPr>
            <w:tcW w:w="2351" w:type="dxa"/>
            <w:gridSpan w:val="2"/>
            <w:tcBorders>
              <w:top w:val="single" w:sz="12" w:space="0" w:color="auto"/>
              <w:left w:val="nil"/>
              <w:bottom w:val="single" w:sz="12" w:space="0" w:color="auto"/>
              <w:right w:val="nil"/>
            </w:tcBorders>
            <w:shd w:val="clear" w:color="auto" w:fill="auto"/>
            <w:tcMar>
              <w:top w:w="72" w:type="dxa"/>
              <w:left w:w="144" w:type="dxa"/>
              <w:bottom w:w="72" w:type="dxa"/>
              <w:right w:w="144" w:type="dxa"/>
            </w:tcMar>
            <w:vAlign w:val="center"/>
            <w:hideMark/>
          </w:tcPr>
          <w:p w14:paraId="5170A3CB" w14:textId="2B597AF0"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Atomic</w:t>
            </w:r>
            <w:r w:rsidR="000134AD" w:rsidRPr="00B6211C">
              <w:rPr>
                <w:rFonts w:ascii="Arial" w:hAnsi="Arial" w:cs="Arial"/>
                <w:b/>
                <w:bCs/>
                <w:kern w:val="24"/>
                <w:szCs w:val="24"/>
              </w:rPr>
              <w:t xml:space="preserve"> ratio</w:t>
            </w:r>
            <w:r w:rsidRPr="00B6211C">
              <w:rPr>
                <w:rFonts w:ascii="Arial" w:hAnsi="Arial" w:cs="Arial"/>
                <w:b/>
                <w:bCs/>
                <w:kern w:val="24"/>
                <w:szCs w:val="24"/>
              </w:rPr>
              <w:t>/%</w:t>
            </w:r>
          </w:p>
        </w:tc>
        <w:tc>
          <w:tcPr>
            <w:tcW w:w="1422" w:type="dxa"/>
            <w:tcBorders>
              <w:top w:val="single" w:sz="12" w:space="0" w:color="auto"/>
              <w:left w:val="nil"/>
              <w:bottom w:val="single" w:sz="12" w:space="0" w:color="auto"/>
              <w:right w:val="nil"/>
            </w:tcBorders>
            <w:shd w:val="clear" w:color="auto" w:fill="auto"/>
            <w:tcMar>
              <w:top w:w="72" w:type="dxa"/>
              <w:left w:w="144" w:type="dxa"/>
              <w:bottom w:w="72" w:type="dxa"/>
              <w:right w:w="144" w:type="dxa"/>
            </w:tcMar>
            <w:vAlign w:val="center"/>
            <w:hideMark/>
          </w:tcPr>
          <w:p w14:paraId="69488341"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C 1s</w:t>
            </w:r>
          </w:p>
        </w:tc>
        <w:tc>
          <w:tcPr>
            <w:tcW w:w="1422" w:type="dxa"/>
            <w:tcBorders>
              <w:top w:val="single" w:sz="12" w:space="0" w:color="auto"/>
              <w:left w:val="nil"/>
              <w:bottom w:val="single" w:sz="12" w:space="0" w:color="auto"/>
              <w:right w:val="nil"/>
            </w:tcBorders>
            <w:shd w:val="clear" w:color="auto" w:fill="auto"/>
            <w:tcMar>
              <w:top w:w="72" w:type="dxa"/>
              <w:left w:w="144" w:type="dxa"/>
              <w:bottom w:w="72" w:type="dxa"/>
              <w:right w:w="144" w:type="dxa"/>
            </w:tcMar>
            <w:vAlign w:val="center"/>
            <w:hideMark/>
          </w:tcPr>
          <w:p w14:paraId="1DE0381F"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O 1s</w:t>
            </w:r>
          </w:p>
        </w:tc>
        <w:tc>
          <w:tcPr>
            <w:tcW w:w="1568" w:type="dxa"/>
            <w:tcBorders>
              <w:top w:val="single" w:sz="12" w:space="0" w:color="auto"/>
              <w:left w:val="nil"/>
              <w:bottom w:val="single" w:sz="12" w:space="0" w:color="auto"/>
              <w:right w:val="nil"/>
            </w:tcBorders>
            <w:shd w:val="clear" w:color="auto" w:fill="auto"/>
            <w:tcMar>
              <w:top w:w="72" w:type="dxa"/>
              <w:left w:w="144" w:type="dxa"/>
              <w:bottom w:w="72" w:type="dxa"/>
              <w:right w:w="144" w:type="dxa"/>
            </w:tcMar>
            <w:vAlign w:val="center"/>
            <w:hideMark/>
          </w:tcPr>
          <w:p w14:paraId="3DD5B921"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Cu 2p</w:t>
            </w:r>
          </w:p>
        </w:tc>
        <w:tc>
          <w:tcPr>
            <w:tcW w:w="1543" w:type="dxa"/>
            <w:tcBorders>
              <w:top w:val="single" w:sz="12" w:space="0" w:color="auto"/>
              <w:left w:val="nil"/>
              <w:bottom w:val="single" w:sz="12" w:space="0" w:color="auto"/>
              <w:right w:val="nil"/>
            </w:tcBorders>
            <w:shd w:val="clear" w:color="auto" w:fill="auto"/>
            <w:tcMar>
              <w:top w:w="72" w:type="dxa"/>
              <w:left w:w="144" w:type="dxa"/>
              <w:bottom w:w="72" w:type="dxa"/>
              <w:right w:w="144" w:type="dxa"/>
            </w:tcMar>
            <w:vAlign w:val="center"/>
            <w:hideMark/>
          </w:tcPr>
          <w:p w14:paraId="4B2C05D9" w14:textId="77777777" w:rsidR="00F23491" w:rsidRPr="00B6211C" w:rsidRDefault="00F23491" w:rsidP="00DE6590">
            <w:pPr>
              <w:widowControl/>
              <w:jc w:val="center"/>
              <w:rPr>
                <w:rFonts w:ascii="Arial" w:hAnsi="Arial" w:cs="Arial"/>
                <w:kern w:val="0"/>
                <w:szCs w:val="24"/>
              </w:rPr>
            </w:pPr>
            <w:r w:rsidRPr="00B6211C">
              <w:rPr>
                <w:rFonts w:ascii="Arial" w:hAnsi="Arial" w:cs="Arial"/>
                <w:b/>
                <w:bCs/>
                <w:kern w:val="24"/>
                <w:szCs w:val="24"/>
              </w:rPr>
              <w:t>Ag 3d</w:t>
            </w:r>
          </w:p>
        </w:tc>
      </w:tr>
      <w:tr w:rsidR="00B6211C" w:rsidRPr="00B6211C" w14:paraId="320F2594" w14:textId="77777777" w:rsidTr="00DE6590">
        <w:trPr>
          <w:trHeight w:val="283"/>
        </w:trPr>
        <w:tc>
          <w:tcPr>
            <w:tcW w:w="1175" w:type="dxa"/>
            <w:vMerge w:val="restart"/>
            <w:tcBorders>
              <w:top w:val="single" w:sz="12" w:space="0" w:color="auto"/>
              <w:left w:val="nil"/>
              <w:right w:val="nil"/>
            </w:tcBorders>
            <w:shd w:val="clear" w:color="auto" w:fill="auto"/>
            <w:tcMar>
              <w:top w:w="72" w:type="dxa"/>
              <w:left w:w="144" w:type="dxa"/>
              <w:bottom w:w="72" w:type="dxa"/>
              <w:right w:w="144" w:type="dxa"/>
            </w:tcMar>
            <w:vAlign w:val="center"/>
            <w:hideMark/>
          </w:tcPr>
          <w:p w14:paraId="76976E00" w14:textId="77777777" w:rsidR="00F23491" w:rsidRPr="00B6211C" w:rsidRDefault="00F23491" w:rsidP="00DE6590">
            <w:pPr>
              <w:widowControl/>
              <w:jc w:val="center"/>
              <w:rPr>
                <w:rFonts w:ascii="Arial" w:hAnsi="Arial" w:cs="Arial"/>
                <w:kern w:val="0"/>
                <w:szCs w:val="24"/>
              </w:rPr>
            </w:pPr>
            <w:r w:rsidRPr="00B6211C">
              <w:rPr>
                <w:rFonts w:ascii="Arial" w:hAnsi="Arial" w:cs="Arial"/>
                <w:kern w:val="0"/>
                <w:szCs w:val="24"/>
              </w:rPr>
              <w:t>0 day</w:t>
            </w:r>
          </w:p>
        </w:tc>
        <w:tc>
          <w:tcPr>
            <w:tcW w:w="1176" w:type="dxa"/>
            <w:tcBorders>
              <w:top w:val="single" w:sz="12" w:space="0" w:color="auto"/>
              <w:left w:val="nil"/>
              <w:right w:val="nil"/>
            </w:tcBorders>
            <w:shd w:val="clear" w:color="auto" w:fill="auto"/>
            <w:vAlign w:val="center"/>
          </w:tcPr>
          <w:p w14:paraId="2A63DD54" w14:textId="77777777" w:rsidR="00F23491" w:rsidRPr="00B6211C" w:rsidRDefault="00F23491" w:rsidP="00DE6590">
            <w:pPr>
              <w:jc w:val="center"/>
              <w:rPr>
                <w:rFonts w:ascii="Arial" w:hAnsi="Arial" w:cs="Arial"/>
                <w:kern w:val="0"/>
                <w:szCs w:val="24"/>
              </w:rPr>
            </w:pPr>
            <w:r w:rsidRPr="00B6211C">
              <w:rPr>
                <w:rFonts w:ascii="Arial" w:hAnsi="Arial" w:cs="Arial"/>
                <w:kern w:val="24"/>
                <w:szCs w:val="24"/>
              </w:rPr>
              <w:t>Cu-PB</w:t>
            </w:r>
          </w:p>
        </w:tc>
        <w:tc>
          <w:tcPr>
            <w:tcW w:w="1422" w:type="dxa"/>
            <w:tcBorders>
              <w:top w:val="single" w:sz="12" w:space="0" w:color="auto"/>
              <w:left w:val="nil"/>
              <w:bottom w:val="nil"/>
              <w:right w:val="nil"/>
            </w:tcBorders>
            <w:shd w:val="clear" w:color="auto" w:fill="auto"/>
            <w:tcMar>
              <w:top w:w="72" w:type="dxa"/>
              <w:left w:w="144" w:type="dxa"/>
              <w:bottom w:w="72" w:type="dxa"/>
              <w:right w:w="144" w:type="dxa"/>
            </w:tcMar>
            <w:vAlign w:val="center"/>
            <w:hideMark/>
          </w:tcPr>
          <w:p w14:paraId="542EA593"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65.86</w:t>
            </w:r>
          </w:p>
        </w:tc>
        <w:tc>
          <w:tcPr>
            <w:tcW w:w="1422" w:type="dxa"/>
            <w:tcBorders>
              <w:top w:val="single" w:sz="12" w:space="0" w:color="auto"/>
              <w:left w:val="nil"/>
              <w:bottom w:val="nil"/>
              <w:right w:val="nil"/>
            </w:tcBorders>
            <w:shd w:val="clear" w:color="auto" w:fill="auto"/>
            <w:tcMar>
              <w:top w:w="72" w:type="dxa"/>
              <w:left w:w="144" w:type="dxa"/>
              <w:bottom w:w="72" w:type="dxa"/>
              <w:right w:w="144" w:type="dxa"/>
            </w:tcMar>
            <w:vAlign w:val="center"/>
            <w:hideMark/>
          </w:tcPr>
          <w:p w14:paraId="1C92CBE0"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26.59</w:t>
            </w:r>
          </w:p>
        </w:tc>
        <w:tc>
          <w:tcPr>
            <w:tcW w:w="1568" w:type="dxa"/>
            <w:tcBorders>
              <w:top w:val="single" w:sz="12" w:space="0" w:color="auto"/>
              <w:left w:val="nil"/>
              <w:bottom w:val="nil"/>
              <w:right w:val="nil"/>
            </w:tcBorders>
            <w:shd w:val="clear" w:color="auto" w:fill="auto"/>
            <w:tcMar>
              <w:top w:w="72" w:type="dxa"/>
              <w:left w:w="144" w:type="dxa"/>
              <w:bottom w:w="72" w:type="dxa"/>
              <w:right w:w="144" w:type="dxa"/>
            </w:tcMar>
            <w:vAlign w:val="center"/>
            <w:hideMark/>
          </w:tcPr>
          <w:p w14:paraId="46A41130" w14:textId="77777777" w:rsidR="00F23491" w:rsidRPr="00B6211C" w:rsidRDefault="00F23491" w:rsidP="00DE6590">
            <w:pPr>
              <w:widowControl/>
              <w:jc w:val="center"/>
              <w:rPr>
                <w:rFonts w:ascii="Arial" w:hAnsi="Arial" w:cs="Arial"/>
                <w:b/>
                <w:bCs/>
                <w:kern w:val="0"/>
                <w:szCs w:val="24"/>
              </w:rPr>
            </w:pPr>
            <w:r w:rsidRPr="00B6211C">
              <w:rPr>
                <w:rFonts w:ascii="Arial" w:hAnsi="Arial" w:cs="Arial"/>
                <w:b/>
                <w:bCs/>
                <w:kern w:val="24"/>
                <w:szCs w:val="24"/>
              </w:rPr>
              <w:t>7.49</w:t>
            </w:r>
          </w:p>
        </w:tc>
        <w:tc>
          <w:tcPr>
            <w:tcW w:w="1543" w:type="dxa"/>
            <w:tcBorders>
              <w:top w:val="single" w:sz="12" w:space="0" w:color="auto"/>
              <w:left w:val="nil"/>
              <w:bottom w:val="nil"/>
              <w:right w:val="nil"/>
            </w:tcBorders>
            <w:shd w:val="clear" w:color="auto" w:fill="auto"/>
            <w:tcMar>
              <w:top w:w="72" w:type="dxa"/>
              <w:left w:w="144" w:type="dxa"/>
              <w:bottom w:w="72" w:type="dxa"/>
              <w:right w:w="144" w:type="dxa"/>
            </w:tcMar>
            <w:vAlign w:val="center"/>
            <w:hideMark/>
          </w:tcPr>
          <w:p w14:paraId="1F343CD9"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0.07</w:t>
            </w:r>
          </w:p>
        </w:tc>
      </w:tr>
      <w:tr w:rsidR="00B6211C" w:rsidRPr="00B6211C" w14:paraId="152FD2BF" w14:textId="77777777" w:rsidTr="00DE6590">
        <w:trPr>
          <w:trHeight w:val="24"/>
        </w:trPr>
        <w:tc>
          <w:tcPr>
            <w:tcW w:w="1175" w:type="dxa"/>
            <w:vMerge/>
            <w:tcBorders>
              <w:left w:val="nil"/>
              <w:right w:val="nil"/>
            </w:tcBorders>
            <w:shd w:val="clear" w:color="auto" w:fill="auto"/>
            <w:tcMar>
              <w:top w:w="72" w:type="dxa"/>
              <w:left w:w="144" w:type="dxa"/>
              <w:bottom w:w="72" w:type="dxa"/>
              <w:right w:w="144" w:type="dxa"/>
            </w:tcMar>
            <w:vAlign w:val="center"/>
            <w:hideMark/>
          </w:tcPr>
          <w:p w14:paraId="0A2162F4" w14:textId="77777777" w:rsidR="00F23491" w:rsidRPr="00B6211C" w:rsidRDefault="00F23491" w:rsidP="00DE6590">
            <w:pPr>
              <w:widowControl/>
              <w:jc w:val="center"/>
              <w:rPr>
                <w:rFonts w:ascii="Arial" w:hAnsi="Arial" w:cs="Arial"/>
                <w:kern w:val="0"/>
                <w:szCs w:val="24"/>
              </w:rPr>
            </w:pPr>
          </w:p>
        </w:tc>
        <w:tc>
          <w:tcPr>
            <w:tcW w:w="1176" w:type="dxa"/>
            <w:tcBorders>
              <w:left w:val="nil"/>
              <w:right w:val="nil"/>
            </w:tcBorders>
            <w:shd w:val="clear" w:color="auto" w:fill="auto"/>
            <w:vAlign w:val="center"/>
          </w:tcPr>
          <w:p w14:paraId="3DDDE95B"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Ag-PB</w:t>
            </w:r>
          </w:p>
        </w:tc>
        <w:tc>
          <w:tcPr>
            <w:tcW w:w="1422" w:type="dxa"/>
            <w:tcBorders>
              <w:top w:val="nil"/>
              <w:left w:val="nil"/>
              <w:bottom w:val="nil"/>
              <w:right w:val="nil"/>
            </w:tcBorders>
            <w:shd w:val="clear" w:color="auto" w:fill="auto"/>
            <w:tcMar>
              <w:top w:w="72" w:type="dxa"/>
              <w:left w:w="144" w:type="dxa"/>
              <w:bottom w:w="72" w:type="dxa"/>
              <w:right w:w="144" w:type="dxa"/>
            </w:tcMar>
            <w:vAlign w:val="center"/>
            <w:hideMark/>
          </w:tcPr>
          <w:p w14:paraId="054E232D"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70.74</w:t>
            </w:r>
          </w:p>
        </w:tc>
        <w:tc>
          <w:tcPr>
            <w:tcW w:w="1422" w:type="dxa"/>
            <w:tcBorders>
              <w:top w:val="nil"/>
              <w:left w:val="nil"/>
              <w:bottom w:val="nil"/>
              <w:right w:val="nil"/>
            </w:tcBorders>
            <w:shd w:val="clear" w:color="auto" w:fill="auto"/>
            <w:tcMar>
              <w:top w:w="72" w:type="dxa"/>
              <w:left w:w="144" w:type="dxa"/>
              <w:bottom w:w="72" w:type="dxa"/>
              <w:right w:w="144" w:type="dxa"/>
            </w:tcMar>
            <w:vAlign w:val="center"/>
            <w:hideMark/>
          </w:tcPr>
          <w:p w14:paraId="21A82408"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21.70</w:t>
            </w:r>
          </w:p>
        </w:tc>
        <w:tc>
          <w:tcPr>
            <w:tcW w:w="1568" w:type="dxa"/>
            <w:tcBorders>
              <w:top w:val="nil"/>
              <w:left w:val="nil"/>
              <w:bottom w:val="nil"/>
              <w:right w:val="nil"/>
            </w:tcBorders>
            <w:shd w:val="clear" w:color="auto" w:fill="auto"/>
            <w:tcMar>
              <w:top w:w="72" w:type="dxa"/>
              <w:left w:w="144" w:type="dxa"/>
              <w:bottom w:w="72" w:type="dxa"/>
              <w:right w:w="144" w:type="dxa"/>
            </w:tcMar>
            <w:vAlign w:val="center"/>
            <w:hideMark/>
          </w:tcPr>
          <w:p w14:paraId="4A7B009A" w14:textId="77777777" w:rsidR="00F23491" w:rsidRPr="00B6211C" w:rsidRDefault="00F23491" w:rsidP="00DE6590">
            <w:pPr>
              <w:widowControl/>
              <w:jc w:val="center"/>
              <w:rPr>
                <w:rFonts w:ascii="Arial" w:hAnsi="Arial" w:cs="Arial"/>
                <w:kern w:val="0"/>
                <w:szCs w:val="24"/>
              </w:rPr>
            </w:pPr>
            <w:r w:rsidRPr="00B6211C">
              <w:rPr>
                <w:rFonts w:ascii="Arial" w:hAnsi="Arial" w:cs="Arial"/>
                <w:kern w:val="24"/>
                <w:szCs w:val="24"/>
              </w:rPr>
              <w:t>0.44</w:t>
            </w:r>
          </w:p>
        </w:tc>
        <w:tc>
          <w:tcPr>
            <w:tcW w:w="1543" w:type="dxa"/>
            <w:tcBorders>
              <w:top w:val="nil"/>
              <w:left w:val="nil"/>
              <w:bottom w:val="nil"/>
              <w:right w:val="nil"/>
            </w:tcBorders>
            <w:shd w:val="clear" w:color="auto" w:fill="auto"/>
            <w:tcMar>
              <w:top w:w="72" w:type="dxa"/>
              <w:left w:w="144" w:type="dxa"/>
              <w:bottom w:w="72" w:type="dxa"/>
              <w:right w:w="144" w:type="dxa"/>
            </w:tcMar>
            <w:vAlign w:val="center"/>
            <w:hideMark/>
          </w:tcPr>
          <w:p w14:paraId="6BD2E889" w14:textId="77777777" w:rsidR="00F23491" w:rsidRPr="00B6211C" w:rsidRDefault="00F23491" w:rsidP="00DE6590">
            <w:pPr>
              <w:widowControl/>
              <w:jc w:val="center"/>
              <w:rPr>
                <w:rFonts w:ascii="Arial" w:hAnsi="Arial" w:cs="Arial"/>
                <w:b/>
                <w:bCs/>
                <w:kern w:val="0"/>
                <w:szCs w:val="24"/>
              </w:rPr>
            </w:pPr>
            <w:r w:rsidRPr="00B6211C">
              <w:rPr>
                <w:rFonts w:ascii="Arial" w:hAnsi="Arial" w:cs="Arial"/>
                <w:b/>
                <w:bCs/>
                <w:kern w:val="24"/>
                <w:szCs w:val="24"/>
              </w:rPr>
              <w:t>7.12</w:t>
            </w:r>
          </w:p>
        </w:tc>
      </w:tr>
      <w:tr w:rsidR="00B6211C" w:rsidRPr="00B6211C" w14:paraId="0ED0F1DC" w14:textId="77777777" w:rsidTr="00DE6590">
        <w:trPr>
          <w:trHeight w:val="24"/>
        </w:trPr>
        <w:tc>
          <w:tcPr>
            <w:tcW w:w="1175" w:type="dxa"/>
            <w:vMerge w:val="restart"/>
            <w:tcBorders>
              <w:left w:val="nil"/>
              <w:right w:val="nil"/>
            </w:tcBorders>
            <w:shd w:val="clear" w:color="auto" w:fill="auto"/>
            <w:tcMar>
              <w:top w:w="72" w:type="dxa"/>
              <w:left w:w="144" w:type="dxa"/>
              <w:bottom w:w="72" w:type="dxa"/>
              <w:right w:w="144" w:type="dxa"/>
            </w:tcMar>
            <w:vAlign w:val="center"/>
          </w:tcPr>
          <w:p w14:paraId="66B4B057"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0"/>
                <w:szCs w:val="24"/>
              </w:rPr>
              <w:t>31 days</w:t>
            </w:r>
          </w:p>
        </w:tc>
        <w:tc>
          <w:tcPr>
            <w:tcW w:w="1176" w:type="dxa"/>
            <w:tcBorders>
              <w:left w:val="nil"/>
              <w:right w:val="nil"/>
            </w:tcBorders>
            <w:shd w:val="clear" w:color="auto" w:fill="auto"/>
            <w:vAlign w:val="center"/>
          </w:tcPr>
          <w:p w14:paraId="3CDDFA55"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Cu-PB</w:t>
            </w:r>
          </w:p>
        </w:tc>
        <w:tc>
          <w:tcPr>
            <w:tcW w:w="1422" w:type="dxa"/>
            <w:tcBorders>
              <w:top w:val="nil"/>
              <w:left w:val="nil"/>
              <w:bottom w:val="nil"/>
              <w:right w:val="nil"/>
            </w:tcBorders>
            <w:shd w:val="clear" w:color="auto" w:fill="auto"/>
            <w:tcMar>
              <w:top w:w="72" w:type="dxa"/>
              <w:left w:w="144" w:type="dxa"/>
              <w:bottom w:w="72" w:type="dxa"/>
              <w:right w:w="144" w:type="dxa"/>
            </w:tcMar>
            <w:vAlign w:val="center"/>
          </w:tcPr>
          <w:p w14:paraId="2AD96AF8"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65.18</w:t>
            </w:r>
          </w:p>
        </w:tc>
        <w:tc>
          <w:tcPr>
            <w:tcW w:w="1422" w:type="dxa"/>
            <w:tcBorders>
              <w:top w:val="nil"/>
              <w:left w:val="nil"/>
              <w:bottom w:val="nil"/>
              <w:right w:val="nil"/>
            </w:tcBorders>
            <w:shd w:val="clear" w:color="auto" w:fill="auto"/>
            <w:tcMar>
              <w:top w:w="72" w:type="dxa"/>
              <w:left w:w="144" w:type="dxa"/>
              <w:bottom w:w="72" w:type="dxa"/>
              <w:right w:w="144" w:type="dxa"/>
            </w:tcMar>
            <w:vAlign w:val="center"/>
          </w:tcPr>
          <w:p w14:paraId="71E968A2"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27.97</w:t>
            </w:r>
          </w:p>
        </w:tc>
        <w:tc>
          <w:tcPr>
            <w:tcW w:w="1568" w:type="dxa"/>
            <w:tcBorders>
              <w:top w:val="nil"/>
              <w:left w:val="nil"/>
              <w:bottom w:val="nil"/>
              <w:right w:val="nil"/>
            </w:tcBorders>
            <w:shd w:val="clear" w:color="auto" w:fill="auto"/>
            <w:tcMar>
              <w:top w:w="72" w:type="dxa"/>
              <w:left w:w="144" w:type="dxa"/>
              <w:bottom w:w="72" w:type="dxa"/>
              <w:right w:w="144" w:type="dxa"/>
            </w:tcMar>
            <w:vAlign w:val="center"/>
          </w:tcPr>
          <w:p w14:paraId="22600611" w14:textId="77777777" w:rsidR="00F23491" w:rsidRPr="00B6211C" w:rsidRDefault="00F23491" w:rsidP="00DE6590">
            <w:pPr>
              <w:widowControl/>
              <w:jc w:val="center"/>
              <w:rPr>
                <w:rFonts w:ascii="Arial" w:hAnsi="Arial" w:cs="Arial"/>
                <w:b/>
                <w:bCs/>
                <w:kern w:val="24"/>
                <w:szCs w:val="24"/>
              </w:rPr>
            </w:pPr>
            <w:r w:rsidRPr="00B6211C">
              <w:rPr>
                <w:rFonts w:ascii="Arial" w:hAnsi="Arial" w:cs="Arial"/>
                <w:b/>
                <w:bCs/>
                <w:kern w:val="24"/>
                <w:szCs w:val="24"/>
              </w:rPr>
              <w:t>6.76</w:t>
            </w:r>
          </w:p>
        </w:tc>
        <w:tc>
          <w:tcPr>
            <w:tcW w:w="1543" w:type="dxa"/>
            <w:tcBorders>
              <w:top w:val="nil"/>
              <w:left w:val="nil"/>
              <w:bottom w:val="nil"/>
              <w:right w:val="nil"/>
            </w:tcBorders>
            <w:shd w:val="clear" w:color="auto" w:fill="auto"/>
            <w:tcMar>
              <w:top w:w="72" w:type="dxa"/>
              <w:left w:w="144" w:type="dxa"/>
              <w:bottom w:w="72" w:type="dxa"/>
              <w:right w:w="144" w:type="dxa"/>
            </w:tcMar>
            <w:vAlign w:val="center"/>
          </w:tcPr>
          <w:p w14:paraId="58D56D5A"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0.09</w:t>
            </w:r>
          </w:p>
        </w:tc>
      </w:tr>
      <w:tr w:rsidR="00F23491" w:rsidRPr="00B6211C" w14:paraId="56999AB0" w14:textId="77777777" w:rsidTr="00DE6590">
        <w:trPr>
          <w:trHeight w:val="24"/>
        </w:trPr>
        <w:tc>
          <w:tcPr>
            <w:tcW w:w="1175" w:type="dxa"/>
            <w:vMerge/>
            <w:tcBorders>
              <w:left w:val="nil"/>
              <w:bottom w:val="single" w:sz="12" w:space="0" w:color="auto"/>
              <w:right w:val="nil"/>
            </w:tcBorders>
            <w:shd w:val="clear" w:color="auto" w:fill="auto"/>
            <w:tcMar>
              <w:top w:w="72" w:type="dxa"/>
              <w:left w:w="144" w:type="dxa"/>
              <w:bottom w:w="72" w:type="dxa"/>
              <w:right w:w="144" w:type="dxa"/>
            </w:tcMar>
            <w:vAlign w:val="center"/>
          </w:tcPr>
          <w:p w14:paraId="00DB4870" w14:textId="77777777" w:rsidR="00F23491" w:rsidRPr="00B6211C" w:rsidRDefault="00F23491" w:rsidP="00DE6590">
            <w:pPr>
              <w:widowControl/>
              <w:jc w:val="center"/>
              <w:rPr>
                <w:rFonts w:ascii="Arial" w:hAnsi="Arial" w:cs="Arial"/>
                <w:kern w:val="24"/>
                <w:szCs w:val="24"/>
              </w:rPr>
            </w:pPr>
          </w:p>
        </w:tc>
        <w:tc>
          <w:tcPr>
            <w:tcW w:w="1176" w:type="dxa"/>
            <w:tcBorders>
              <w:left w:val="nil"/>
              <w:bottom w:val="single" w:sz="12" w:space="0" w:color="auto"/>
              <w:right w:val="nil"/>
            </w:tcBorders>
            <w:shd w:val="clear" w:color="auto" w:fill="auto"/>
            <w:vAlign w:val="center"/>
          </w:tcPr>
          <w:p w14:paraId="7776970C"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Ag-PB</w:t>
            </w:r>
          </w:p>
        </w:tc>
        <w:tc>
          <w:tcPr>
            <w:tcW w:w="1422" w:type="dxa"/>
            <w:tcBorders>
              <w:top w:val="nil"/>
              <w:left w:val="nil"/>
              <w:bottom w:val="single" w:sz="12" w:space="0" w:color="auto"/>
              <w:right w:val="nil"/>
            </w:tcBorders>
            <w:shd w:val="clear" w:color="auto" w:fill="auto"/>
            <w:tcMar>
              <w:top w:w="72" w:type="dxa"/>
              <w:left w:w="144" w:type="dxa"/>
              <w:bottom w:w="72" w:type="dxa"/>
              <w:right w:w="144" w:type="dxa"/>
            </w:tcMar>
            <w:vAlign w:val="center"/>
          </w:tcPr>
          <w:p w14:paraId="1B8DA791"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63.45</w:t>
            </w:r>
          </w:p>
        </w:tc>
        <w:tc>
          <w:tcPr>
            <w:tcW w:w="1422" w:type="dxa"/>
            <w:tcBorders>
              <w:top w:val="nil"/>
              <w:left w:val="nil"/>
              <w:bottom w:val="single" w:sz="12" w:space="0" w:color="auto"/>
              <w:right w:val="nil"/>
            </w:tcBorders>
            <w:shd w:val="clear" w:color="auto" w:fill="auto"/>
            <w:tcMar>
              <w:top w:w="72" w:type="dxa"/>
              <w:left w:w="144" w:type="dxa"/>
              <w:bottom w:w="72" w:type="dxa"/>
              <w:right w:w="144" w:type="dxa"/>
            </w:tcMar>
            <w:vAlign w:val="center"/>
          </w:tcPr>
          <w:p w14:paraId="24621C9A"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30.58</w:t>
            </w:r>
          </w:p>
        </w:tc>
        <w:tc>
          <w:tcPr>
            <w:tcW w:w="1568" w:type="dxa"/>
            <w:tcBorders>
              <w:top w:val="nil"/>
              <w:left w:val="nil"/>
              <w:bottom w:val="single" w:sz="12" w:space="0" w:color="auto"/>
              <w:right w:val="nil"/>
            </w:tcBorders>
            <w:shd w:val="clear" w:color="auto" w:fill="auto"/>
            <w:tcMar>
              <w:top w:w="72" w:type="dxa"/>
              <w:left w:w="144" w:type="dxa"/>
              <w:bottom w:w="72" w:type="dxa"/>
              <w:right w:w="144" w:type="dxa"/>
            </w:tcMar>
            <w:vAlign w:val="center"/>
          </w:tcPr>
          <w:p w14:paraId="62EFF8E4" w14:textId="77777777" w:rsidR="00F23491" w:rsidRPr="00B6211C" w:rsidRDefault="00F23491" w:rsidP="00DE6590">
            <w:pPr>
              <w:widowControl/>
              <w:jc w:val="center"/>
              <w:rPr>
                <w:rFonts w:ascii="Arial" w:hAnsi="Arial" w:cs="Arial"/>
                <w:kern w:val="24"/>
                <w:szCs w:val="24"/>
              </w:rPr>
            </w:pPr>
            <w:r w:rsidRPr="00B6211C">
              <w:rPr>
                <w:rFonts w:ascii="Arial" w:hAnsi="Arial" w:cs="Arial"/>
                <w:kern w:val="24"/>
                <w:szCs w:val="24"/>
              </w:rPr>
              <w:t>0.26</w:t>
            </w:r>
          </w:p>
        </w:tc>
        <w:tc>
          <w:tcPr>
            <w:tcW w:w="1543" w:type="dxa"/>
            <w:tcBorders>
              <w:top w:val="nil"/>
              <w:left w:val="nil"/>
              <w:bottom w:val="single" w:sz="12" w:space="0" w:color="auto"/>
              <w:right w:val="nil"/>
            </w:tcBorders>
            <w:shd w:val="clear" w:color="auto" w:fill="auto"/>
            <w:tcMar>
              <w:top w:w="72" w:type="dxa"/>
              <w:left w:w="144" w:type="dxa"/>
              <w:bottom w:w="72" w:type="dxa"/>
              <w:right w:w="144" w:type="dxa"/>
            </w:tcMar>
            <w:vAlign w:val="center"/>
          </w:tcPr>
          <w:p w14:paraId="2B2C1E78" w14:textId="77777777" w:rsidR="00F23491" w:rsidRPr="00B6211C" w:rsidRDefault="00F23491" w:rsidP="00DE6590">
            <w:pPr>
              <w:widowControl/>
              <w:jc w:val="center"/>
              <w:rPr>
                <w:rFonts w:ascii="Arial" w:hAnsi="Arial" w:cs="Arial"/>
                <w:b/>
                <w:bCs/>
                <w:kern w:val="24"/>
                <w:szCs w:val="24"/>
              </w:rPr>
            </w:pPr>
            <w:r w:rsidRPr="00B6211C">
              <w:rPr>
                <w:rFonts w:ascii="Arial" w:hAnsi="Arial" w:cs="Arial"/>
                <w:b/>
                <w:bCs/>
                <w:kern w:val="24"/>
                <w:szCs w:val="24"/>
              </w:rPr>
              <w:t>5.71</w:t>
            </w:r>
          </w:p>
        </w:tc>
      </w:tr>
    </w:tbl>
    <w:p w14:paraId="5DD03B83" w14:textId="77777777" w:rsidR="00F23491" w:rsidRPr="00B6211C" w:rsidRDefault="00F23491" w:rsidP="00F23491">
      <w:pPr>
        <w:pStyle w:val="a7"/>
        <w:adjustRightInd w:val="0"/>
        <w:spacing w:line="360" w:lineRule="auto"/>
        <w:ind w:firstLineChars="0" w:firstLine="0"/>
        <w:rPr>
          <w:rFonts w:cs="Times New Roman"/>
          <w:szCs w:val="24"/>
        </w:rPr>
      </w:pPr>
    </w:p>
    <w:p w14:paraId="30D4B429" w14:textId="6B105911" w:rsidR="00F23491" w:rsidRPr="00B6211C" w:rsidRDefault="00F23491">
      <w:pPr>
        <w:widowControl/>
        <w:jc w:val="left"/>
        <w:rPr>
          <w:rFonts w:cs="Times New Roman"/>
          <w:szCs w:val="24"/>
        </w:rPr>
      </w:pPr>
      <w:r w:rsidRPr="00B6211C">
        <w:rPr>
          <w:rFonts w:cs="Times New Roman"/>
          <w:szCs w:val="24"/>
        </w:rPr>
        <w:br w:type="page"/>
      </w:r>
    </w:p>
    <w:p w14:paraId="7C50CC2F" w14:textId="1613AE9E" w:rsidR="00BF6271" w:rsidRPr="00B6211C" w:rsidRDefault="00101A4E" w:rsidP="00AC235B">
      <w:pPr>
        <w:pStyle w:val="a7"/>
        <w:adjustRightInd w:val="0"/>
        <w:spacing w:line="360" w:lineRule="auto"/>
        <w:ind w:firstLineChars="0" w:firstLine="0"/>
        <w:rPr>
          <w:rFonts w:cs="Times New Roman"/>
          <w:b/>
          <w:bCs/>
          <w:szCs w:val="24"/>
        </w:rPr>
      </w:pPr>
      <w:r w:rsidRPr="00B6211C">
        <w:rPr>
          <w:rFonts w:cs="Times New Roman" w:hint="eastAsia"/>
          <w:b/>
          <w:bCs/>
          <w:szCs w:val="24"/>
        </w:rPr>
        <w:lastRenderedPageBreak/>
        <w:t>References</w:t>
      </w:r>
    </w:p>
    <w:p w14:paraId="61366F88" w14:textId="77777777" w:rsidR="00704844" w:rsidRPr="00B6211C" w:rsidRDefault="00704844" w:rsidP="00704844">
      <w:pPr>
        <w:pStyle w:val="EndNoteBibliography"/>
        <w:spacing w:line="360" w:lineRule="auto"/>
        <w:ind w:left="240" w:hangingChars="100" w:hanging="240"/>
        <w:rPr>
          <w:szCs w:val="24"/>
        </w:rPr>
      </w:pPr>
      <w:bookmarkStart w:id="12" w:name="_Hlk195473234"/>
      <w:r w:rsidRPr="00B6211C">
        <w:rPr>
          <w:szCs w:val="24"/>
        </w:rPr>
        <w:t>1. Y. Ko, V. K. Truong, S. Y. Woo, M. D. Dickey, L. Hsiao and J. Genzer. Counterpropagating Gradients of Antibacterial and Antifouling Polymer Brushes. Biomacromolecules. 2022, 23(1): 424-430.</w:t>
      </w:r>
    </w:p>
    <w:p w14:paraId="0061A4BA" w14:textId="77777777" w:rsidR="00704844" w:rsidRPr="00B6211C" w:rsidRDefault="00704844" w:rsidP="00704844">
      <w:pPr>
        <w:pStyle w:val="EndNoteBibliography"/>
        <w:spacing w:line="360" w:lineRule="auto"/>
        <w:ind w:left="240" w:hangingChars="100" w:hanging="240"/>
        <w:rPr>
          <w:szCs w:val="24"/>
        </w:rPr>
      </w:pPr>
      <w:r w:rsidRPr="00B6211C">
        <w:rPr>
          <w:szCs w:val="24"/>
        </w:rPr>
        <w:t>2. S. Yan, L. Song, S. Luan, Z. Xin, S. Du, H. Shi, S. Yuan, Y. Yang and J. Yin. A hierarchical polymer brush coating with dual-function antibacterial capability. Colloids and Surfaces B: Biointerfaces. 2017, 149: 260-270.</w:t>
      </w:r>
    </w:p>
    <w:p w14:paraId="3CF931C3" w14:textId="77777777" w:rsidR="00704844" w:rsidRPr="00B6211C" w:rsidRDefault="00704844" w:rsidP="00704844">
      <w:pPr>
        <w:pStyle w:val="EndNoteBibliography"/>
        <w:spacing w:line="360" w:lineRule="auto"/>
        <w:ind w:left="240" w:hangingChars="100" w:hanging="240"/>
        <w:rPr>
          <w:szCs w:val="24"/>
        </w:rPr>
      </w:pPr>
      <w:r w:rsidRPr="00B6211C">
        <w:rPr>
          <w:szCs w:val="24"/>
        </w:rPr>
        <w:t>3. C. Xu, J. Jiang, H. Oguzlu, Y. Zheng and F. Jiang. Antifouling, antibacterial and non-cytotoxic transparent cellulose membrane with grafted zwitterion and quaternary ammonium copolymers. Carbohydrate Polymers. 2020, 250: 116960.</w:t>
      </w:r>
    </w:p>
    <w:p w14:paraId="3EF6D68A" w14:textId="77777777" w:rsidR="00704844" w:rsidRPr="00B6211C" w:rsidRDefault="00704844" w:rsidP="00704844">
      <w:pPr>
        <w:pStyle w:val="EndNoteBibliography"/>
        <w:spacing w:line="360" w:lineRule="auto"/>
        <w:ind w:left="240" w:hangingChars="100" w:hanging="240"/>
        <w:rPr>
          <w:szCs w:val="24"/>
        </w:rPr>
      </w:pPr>
      <w:r w:rsidRPr="00B6211C">
        <w:rPr>
          <w:szCs w:val="24"/>
        </w:rPr>
        <w:t>4. K. Li, J. Chen, Y. Xue, T. Ding, S. Zhu, M. Mao, L. Zhang and Y. Han. Polymer brush grafted antimicrobial peptide on hydroxyapatite nanorods for highly effective antibacterial performance. Chemical Engineering Journal. 2021, 423: 130133.</w:t>
      </w:r>
    </w:p>
    <w:p w14:paraId="1E91460D" w14:textId="77777777" w:rsidR="00704844" w:rsidRPr="00B6211C" w:rsidRDefault="00704844" w:rsidP="00704844">
      <w:pPr>
        <w:pStyle w:val="EndNoteBibliography"/>
        <w:spacing w:line="360" w:lineRule="auto"/>
        <w:ind w:left="240" w:hangingChars="100" w:hanging="240"/>
        <w:rPr>
          <w:szCs w:val="24"/>
        </w:rPr>
      </w:pPr>
      <w:r w:rsidRPr="00B6211C">
        <w:rPr>
          <w:szCs w:val="24"/>
        </w:rPr>
        <w:t>5. S. Kinali-Demirci. Cross-Linked Polymer Brushes Containing N-Halamine Groups for Antibacterial Surface Applications. Polymers. 2021, 13(8): 1269.</w:t>
      </w:r>
    </w:p>
    <w:p w14:paraId="46391300" w14:textId="77777777" w:rsidR="00704844" w:rsidRPr="00B6211C" w:rsidRDefault="00704844" w:rsidP="00704844">
      <w:pPr>
        <w:pStyle w:val="EndNoteBibliography"/>
        <w:spacing w:line="360" w:lineRule="auto"/>
        <w:ind w:left="240" w:hangingChars="100" w:hanging="240"/>
        <w:rPr>
          <w:szCs w:val="24"/>
        </w:rPr>
      </w:pPr>
      <w:r w:rsidRPr="00B6211C">
        <w:rPr>
          <w:szCs w:val="24"/>
        </w:rPr>
        <w:t>6. J. Liu, Y. Xu, X. Lin, N. Ma, Q. Zhu, K. Yang, X. Li, C. Liu, N. Feng, Y. Zhao, X. Li and W. Zhang. Immobilization of poly-L-lysine brush via surface initiated polymerization for the development of long-term antibacterial coating for silicone catheter. Colloids and Surfaces B: Biointerfaces. 2023, 221: 113015.</w:t>
      </w:r>
    </w:p>
    <w:p w14:paraId="169ABC45" w14:textId="77777777" w:rsidR="00704844" w:rsidRPr="00B6211C" w:rsidRDefault="00704844" w:rsidP="00704844">
      <w:pPr>
        <w:pStyle w:val="EndNoteBibliography"/>
        <w:spacing w:line="360" w:lineRule="auto"/>
        <w:ind w:left="240" w:hangingChars="100" w:hanging="240"/>
        <w:rPr>
          <w:szCs w:val="24"/>
        </w:rPr>
      </w:pPr>
      <w:r w:rsidRPr="00B6211C">
        <w:rPr>
          <w:szCs w:val="24"/>
        </w:rPr>
        <w:t>7. S. Dhingra, A. Joshi, N. Singh and S. Saha. Infection resistant polymer brush coating on the surface of biodegradable polyester. Materials Science and Engineering: C. 2021, 118: 111465.</w:t>
      </w:r>
    </w:p>
    <w:p w14:paraId="493571AA" w14:textId="77777777" w:rsidR="00704844" w:rsidRPr="00B6211C" w:rsidRDefault="00704844" w:rsidP="00704844">
      <w:pPr>
        <w:pStyle w:val="EndNoteBibliography"/>
        <w:spacing w:line="360" w:lineRule="auto"/>
        <w:ind w:left="240" w:hangingChars="100" w:hanging="240"/>
        <w:rPr>
          <w:szCs w:val="24"/>
        </w:rPr>
      </w:pPr>
      <w:r w:rsidRPr="00B6211C">
        <w:rPr>
          <w:szCs w:val="24"/>
        </w:rPr>
        <w:t>8. Y. He, X. Wan, K. Xiao, W. Lin, J. Li, Z. Li, F. Luo, H. Tan, J. Li and Q. Fu. Anti-biofilm surfaces from mixed dopamine-modified polymer brushes: synergistic role of cationic and zwitterionic chains to resist staphyloccocus aureus. Biomaterials Science. 2019, 7(12): 5369-5382.</w:t>
      </w:r>
    </w:p>
    <w:p w14:paraId="2256755B" w14:textId="77777777" w:rsidR="00704844" w:rsidRPr="00B6211C" w:rsidRDefault="00704844" w:rsidP="00704844">
      <w:pPr>
        <w:pStyle w:val="EndNoteBibliography"/>
        <w:spacing w:line="360" w:lineRule="auto"/>
        <w:ind w:left="240" w:hangingChars="100" w:hanging="240"/>
        <w:rPr>
          <w:szCs w:val="24"/>
        </w:rPr>
      </w:pPr>
      <w:r w:rsidRPr="00B6211C">
        <w:rPr>
          <w:szCs w:val="24"/>
        </w:rPr>
        <w:t>9. Y. Yu, S. Liu, W. Xia, Z. Zhu, W. Wang, C. Zhou, Z. Wu and H. Chen. Fabrication of ionic liquid-functionalized aliphatic polycarbonate brushes for self-polishing antibacterial application. Applied Surface Science. 2023, 639: 158157.</w:t>
      </w:r>
    </w:p>
    <w:p w14:paraId="69E0DB6E" w14:textId="77777777" w:rsidR="00704844" w:rsidRPr="00B6211C" w:rsidRDefault="00704844" w:rsidP="00704844">
      <w:pPr>
        <w:pStyle w:val="EndNoteBibliography"/>
        <w:spacing w:line="360" w:lineRule="auto"/>
        <w:ind w:left="240" w:hangingChars="100" w:hanging="240"/>
        <w:rPr>
          <w:szCs w:val="24"/>
        </w:rPr>
      </w:pPr>
      <w:r w:rsidRPr="00B6211C">
        <w:rPr>
          <w:szCs w:val="24"/>
        </w:rPr>
        <w:t xml:space="preserve">10. T. Chen, L. Zhao, Z. Wang, J. Zhao, Y. Li, H. Long, D. Yu, X. Wu and H. Yang. </w:t>
      </w:r>
      <w:r w:rsidRPr="00B6211C">
        <w:rPr>
          <w:szCs w:val="24"/>
        </w:rPr>
        <w:lastRenderedPageBreak/>
        <w:t>Hierarchical Surface Inspired by Geminized Cationic Amphiphilic Polymer Brushes for Super-Antibacterial and Self-Cleaning Properties. Biomacromolecules. 2020, 21(12): 5213-5221.</w:t>
      </w:r>
    </w:p>
    <w:p w14:paraId="724EEDB7" w14:textId="77777777" w:rsidR="00704844" w:rsidRPr="00B6211C" w:rsidRDefault="00704844" w:rsidP="00704844">
      <w:pPr>
        <w:pStyle w:val="EndNoteBibliography"/>
        <w:spacing w:line="360" w:lineRule="auto"/>
        <w:ind w:left="240" w:hangingChars="100" w:hanging="240"/>
        <w:rPr>
          <w:szCs w:val="24"/>
        </w:rPr>
      </w:pPr>
      <w:r w:rsidRPr="00B6211C">
        <w:rPr>
          <w:szCs w:val="24"/>
        </w:rPr>
        <w:t>11. D. Wu, J. Wang, X. Yin, R. Tan and T. Zhang. Grafting of Poly(ionic liquid) Brushes through Fe0-Mediated Surface-Initiated Atom Transfer Radical Polymerization for Marine Antifouling. Langmuir. 2024, 40(16): 8393-8399.</w:t>
      </w:r>
    </w:p>
    <w:p w14:paraId="7E3DADD4" w14:textId="68BE3153" w:rsidR="00101A4E" w:rsidRPr="00B6211C" w:rsidRDefault="00704844" w:rsidP="009B50C3">
      <w:pPr>
        <w:pStyle w:val="EndNoteBibliography"/>
        <w:spacing w:line="360" w:lineRule="auto"/>
        <w:ind w:left="240" w:hangingChars="100" w:hanging="240"/>
        <w:rPr>
          <w:szCs w:val="24"/>
        </w:rPr>
      </w:pPr>
      <w:r w:rsidRPr="00B6211C">
        <w:rPr>
          <w:szCs w:val="24"/>
        </w:rPr>
        <w:t>12. D. Xie, H. Zhao, D. Dilxat, S. Ren and Y. Wang. Antibiofouling Polyvinylidene Fluoride Membrane Functionalized by Diblock Copoly(ionic liquid) Brushes. ACS ES&amp;T Engineering. 2023, 3(9): 1330-1338.</w:t>
      </w:r>
      <w:bookmarkEnd w:id="12"/>
    </w:p>
    <w:sectPr w:rsidR="00101A4E" w:rsidRPr="00B621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36D91" w14:textId="77777777" w:rsidR="00A24750" w:rsidRDefault="00A24750" w:rsidP="00243A2B">
      <w:r>
        <w:separator/>
      </w:r>
    </w:p>
  </w:endnote>
  <w:endnote w:type="continuationSeparator" w:id="0">
    <w:p w14:paraId="1EB0F3B8" w14:textId="77777777" w:rsidR="00A24750" w:rsidRDefault="00A24750" w:rsidP="00243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9E5BB" w14:textId="77777777" w:rsidR="00A24750" w:rsidRDefault="00A24750" w:rsidP="00243A2B">
      <w:r>
        <w:separator/>
      </w:r>
    </w:p>
  </w:footnote>
  <w:footnote w:type="continuationSeparator" w:id="0">
    <w:p w14:paraId="18AD17A3" w14:textId="77777777" w:rsidR="00A24750" w:rsidRDefault="00A24750" w:rsidP="00243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85D4D"/>
    <w:multiLevelType w:val="hybridMultilevel"/>
    <w:tmpl w:val="2B5E129E"/>
    <w:lvl w:ilvl="0" w:tplc="CDE42F3E">
      <w:start w:val="1"/>
      <w:numFmt w:val="decimal"/>
      <w:suff w:val="nothing"/>
      <w:lvlText w:val="Figure S%1."/>
      <w:lvlJc w:val="left"/>
      <w:pPr>
        <w:ind w:left="0" w:firstLine="0"/>
      </w:pPr>
      <w:rPr>
        <w:rFonts w:ascii="Times New Roman" w:hAnsi="Times New Roman" w:hint="default"/>
        <w:b/>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CF345E8"/>
    <w:multiLevelType w:val="multilevel"/>
    <w:tmpl w:val="8A5EDF50"/>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fc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55psfa0aerpsvezs5d5t9wddreteewt209z&quot;&gt;我的EndNote数据库&lt;record-ids&gt;&lt;item&gt;455&lt;/item&gt;&lt;item&gt;456&lt;/item&gt;&lt;item&gt;457&lt;/item&gt;&lt;item&gt;458&lt;/item&gt;&lt;item&gt;459&lt;/item&gt;&lt;item&gt;460&lt;/item&gt;&lt;item&gt;461&lt;/item&gt;&lt;item&gt;462&lt;/item&gt;&lt;item&gt;463&lt;/item&gt;&lt;item&gt;464&lt;/item&gt;&lt;item&gt;465&lt;/item&gt;&lt;item&gt;466&lt;/item&gt;&lt;/record-ids&gt;&lt;/item&gt;&lt;/Libraries&gt;"/>
  </w:docVars>
  <w:rsids>
    <w:rsidRoot w:val="00D16875"/>
    <w:rsid w:val="000079A1"/>
    <w:rsid w:val="000134AD"/>
    <w:rsid w:val="00035A95"/>
    <w:rsid w:val="00052955"/>
    <w:rsid w:val="0005502F"/>
    <w:rsid w:val="000637CB"/>
    <w:rsid w:val="000652F7"/>
    <w:rsid w:val="00065C93"/>
    <w:rsid w:val="000660C2"/>
    <w:rsid w:val="00085A81"/>
    <w:rsid w:val="00086A51"/>
    <w:rsid w:val="000921CC"/>
    <w:rsid w:val="000A7F6D"/>
    <w:rsid w:val="000E5F3D"/>
    <w:rsid w:val="000F1636"/>
    <w:rsid w:val="00101A4E"/>
    <w:rsid w:val="00114DDC"/>
    <w:rsid w:val="00146BF1"/>
    <w:rsid w:val="00151005"/>
    <w:rsid w:val="0018537F"/>
    <w:rsid w:val="001905A8"/>
    <w:rsid w:val="001C5AD2"/>
    <w:rsid w:val="001F0F9A"/>
    <w:rsid w:val="00213950"/>
    <w:rsid w:val="00243A2B"/>
    <w:rsid w:val="0024764B"/>
    <w:rsid w:val="00264569"/>
    <w:rsid w:val="00295BA4"/>
    <w:rsid w:val="002A1723"/>
    <w:rsid w:val="002B4263"/>
    <w:rsid w:val="002E788B"/>
    <w:rsid w:val="00301384"/>
    <w:rsid w:val="00301F3F"/>
    <w:rsid w:val="00364DC2"/>
    <w:rsid w:val="00372B30"/>
    <w:rsid w:val="003A15EF"/>
    <w:rsid w:val="003C4686"/>
    <w:rsid w:val="003D187B"/>
    <w:rsid w:val="003E2A58"/>
    <w:rsid w:val="003E4AD1"/>
    <w:rsid w:val="003F3F65"/>
    <w:rsid w:val="004041F8"/>
    <w:rsid w:val="00416F28"/>
    <w:rsid w:val="004246C1"/>
    <w:rsid w:val="0046012C"/>
    <w:rsid w:val="0046384B"/>
    <w:rsid w:val="0049278A"/>
    <w:rsid w:val="004A1DD1"/>
    <w:rsid w:val="004B2970"/>
    <w:rsid w:val="004E5626"/>
    <w:rsid w:val="005114D9"/>
    <w:rsid w:val="00523909"/>
    <w:rsid w:val="00535F36"/>
    <w:rsid w:val="00583B50"/>
    <w:rsid w:val="00590079"/>
    <w:rsid w:val="005A6C54"/>
    <w:rsid w:val="005B665E"/>
    <w:rsid w:val="005C6F95"/>
    <w:rsid w:val="005D0800"/>
    <w:rsid w:val="005E3CD0"/>
    <w:rsid w:val="005E74C0"/>
    <w:rsid w:val="00651326"/>
    <w:rsid w:val="00672A82"/>
    <w:rsid w:val="00681749"/>
    <w:rsid w:val="006A76D8"/>
    <w:rsid w:val="006D7DD5"/>
    <w:rsid w:val="006E6B77"/>
    <w:rsid w:val="0070049A"/>
    <w:rsid w:val="00704844"/>
    <w:rsid w:val="00735BDB"/>
    <w:rsid w:val="00737A7A"/>
    <w:rsid w:val="00743F09"/>
    <w:rsid w:val="0074593A"/>
    <w:rsid w:val="0075162E"/>
    <w:rsid w:val="0077131B"/>
    <w:rsid w:val="007B7BF9"/>
    <w:rsid w:val="007C2A5F"/>
    <w:rsid w:val="007C34F0"/>
    <w:rsid w:val="007C4166"/>
    <w:rsid w:val="007D67E1"/>
    <w:rsid w:val="007E3203"/>
    <w:rsid w:val="007E39D0"/>
    <w:rsid w:val="007E7DB5"/>
    <w:rsid w:val="007F522E"/>
    <w:rsid w:val="00805F49"/>
    <w:rsid w:val="00807D8C"/>
    <w:rsid w:val="00810D71"/>
    <w:rsid w:val="00841341"/>
    <w:rsid w:val="00846610"/>
    <w:rsid w:val="008615B7"/>
    <w:rsid w:val="008842A0"/>
    <w:rsid w:val="00887BAE"/>
    <w:rsid w:val="008B21D0"/>
    <w:rsid w:val="008D2824"/>
    <w:rsid w:val="0090259D"/>
    <w:rsid w:val="00910AD4"/>
    <w:rsid w:val="009355BF"/>
    <w:rsid w:val="00945792"/>
    <w:rsid w:val="009901F7"/>
    <w:rsid w:val="009B50C3"/>
    <w:rsid w:val="009D5DE5"/>
    <w:rsid w:val="009E1F7E"/>
    <w:rsid w:val="009E2E4A"/>
    <w:rsid w:val="00A24750"/>
    <w:rsid w:val="00A825CC"/>
    <w:rsid w:val="00AA2A18"/>
    <w:rsid w:val="00AC235B"/>
    <w:rsid w:val="00AC3A0F"/>
    <w:rsid w:val="00AC5FFA"/>
    <w:rsid w:val="00AD4821"/>
    <w:rsid w:val="00AD6EEF"/>
    <w:rsid w:val="00B07B73"/>
    <w:rsid w:val="00B109DF"/>
    <w:rsid w:val="00B14DAD"/>
    <w:rsid w:val="00B25EC3"/>
    <w:rsid w:val="00B4748E"/>
    <w:rsid w:val="00B53640"/>
    <w:rsid w:val="00B6211C"/>
    <w:rsid w:val="00B938AB"/>
    <w:rsid w:val="00BD2186"/>
    <w:rsid w:val="00BE30E6"/>
    <w:rsid w:val="00BF6271"/>
    <w:rsid w:val="00BF6F43"/>
    <w:rsid w:val="00C05367"/>
    <w:rsid w:val="00C05396"/>
    <w:rsid w:val="00C51B40"/>
    <w:rsid w:val="00C61291"/>
    <w:rsid w:val="00C77ACB"/>
    <w:rsid w:val="00CB2F1D"/>
    <w:rsid w:val="00CC6CC5"/>
    <w:rsid w:val="00D01082"/>
    <w:rsid w:val="00D1087B"/>
    <w:rsid w:val="00D16875"/>
    <w:rsid w:val="00D3460D"/>
    <w:rsid w:val="00D51D52"/>
    <w:rsid w:val="00D53458"/>
    <w:rsid w:val="00D621FE"/>
    <w:rsid w:val="00D948DA"/>
    <w:rsid w:val="00DB72C2"/>
    <w:rsid w:val="00DC465E"/>
    <w:rsid w:val="00DD0E2A"/>
    <w:rsid w:val="00DE6024"/>
    <w:rsid w:val="00DF0DBA"/>
    <w:rsid w:val="00E048EE"/>
    <w:rsid w:val="00E27A73"/>
    <w:rsid w:val="00E4137A"/>
    <w:rsid w:val="00E41E6F"/>
    <w:rsid w:val="00E75B76"/>
    <w:rsid w:val="00E83BA7"/>
    <w:rsid w:val="00E8725C"/>
    <w:rsid w:val="00EC0079"/>
    <w:rsid w:val="00ED7327"/>
    <w:rsid w:val="00F23491"/>
    <w:rsid w:val="00F26F1E"/>
    <w:rsid w:val="00F67AA4"/>
    <w:rsid w:val="00F749BC"/>
    <w:rsid w:val="00FA1550"/>
    <w:rsid w:val="00FA7020"/>
    <w:rsid w:val="00FB1E44"/>
    <w:rsid w:val="00FC17D4"/>
    <w:rsid w:val="00FD14D3"/>
    <w:rsid w:val="00FF7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B11CB0"/>
  <w14:defaultImageDpi w14:val="32767"/>
  <w15:chartTrackingRefBased/>
  <w15:docId w15:val="{8BC92275-7B52-49B8-ACAD-68A73461B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A2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3A2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43A2B"/>
    <w:rPr>
      <w:sz w:val="18"/>
      <w:szCs w:val="18"/>
    </w:rPr>
  </w:style>
  <w:style w:type="paragraph" w:styleId="a5">
    <w:name w:val="footer"/>
    <w:basedOn w:val="a"/>
    <w:link w:val="a6"/>
    <w:uiPriority w:val="99"/>
    <w:unhideWhenUsed/>
    <w:rsid w:val="00243A2B"/>
    <w:pPr>
      <w:tabs>
        <w:tab w:val="center" w:pos="4153"/>
        <w:tab w:val="right" w:pos="8306"/>
      </w:tabs>
      <w:snapToGrid w:val="0"/>
      <w:jc w:val="left"/>
    </w:pPr>
    <w:rPr>
      <w:sz w:val="18"/>
      <w:szCs w:val="18"/>
    </w:rPr>
  </w:style>
  <w:style w:type="character" w:customStyle="1" w:styleId="a6">
    <w:name w:val="页脚 字符"/>
    <w:basedOn w:val="a0"/>
    <w:link w:val="a5"/>
    <w:uiPriority w:val="99"/>
    <w:rsid w:val="00243A2B"/>
    <w:rPr>
      <w:sz w:val="18"/>
      <w:szCs w:val="18"/>
    </w:rPr>
  </w:style>
  <w:style w:type="paragraph" w:styleId="a7">
    <w:name w:val="List Paragraph"/>
    <w:basedOn w:val="a"/>
    <w:link w:val="a8"/>
    <w:uiPriority w:val="34"/>
    <w:qFormat/>
    <w:rsid w:val="00243A2B"/>
    <w:pPr>
      <w:ind w:firstLineChars="200" w:firstLine="420"/>
    </w:pPr>
  </w:style>
  <w:style w:type="character" w:customStyle="1" w:styleId="a8">
    <w:name w:val="列表段落 字符"/>
    <w:basedOn w:val="a0"/>
    <w:link w:val="a7"/>
    <w:uiPriority w:val="34"/>
    <w:rsid w:val="00243A2B"/>
  </w:style>
  <w:style w:type="paragraph" w:customStyle="1" w:styleId="EndNoteBibliography">
    <w:name w:val="EndNote Bibliography"/>
    <w:basedOn w:val="a"/>
    <w:link w:val="EndNoteBibliography0"/>
    <w:rsid w:val="00114DDC"/>
    <w:rPr>
      <w:rFonts w:cs="Times New Roman"/>
      <w:noProof/>
    </w:rPr>
  </w:style>
  <w:style w:type="character" w:customStyle="1" w:styleId="EndNoteBibliography0">
    <w:name w:val="EndNote Bibliography 字符"/>
    <w:basedOn w:val="a0"/>
    <w:link w:val="EndNoteBibliography"/>
    <w:rsid w:val="00114DDC"/>
    <w:rPr>
      <w:rFonts w:cs="Times New Roman"/>
      <w:noProof/>
    </w:rPr>
  </w:style>
  <w:style w:type="paragraph" w:customStyle="1" w:styleId="EndNoteBibliographyTitle">
    <w:name w:val="EndNote Bibliography Title"/>
    <w:basedOn w:val="a"/>
    <w:link w:val="EndNoteBibliographyTitle0"/>
    <w:rsid w:val="005D0800"/>
    <w:pPr>
      <w:jc w:val="center"/>
    </w:pPr>
    <w:rPr>
      <w:rFonts w:cs="Times New Roman"/>
      <w:noProof/>
    </w:rPr>
  </w:style>
  <w:style w:type="character" w:customStyle="1" w:styleId="EndNoteBibliographyTitle0">
    <w:name w:val="EndNote Bibliography Title 字符"/>
    <w:basedOn w:val="a8"/>
    <w:link w:val="EndNoteBibliographyTitle"/>
    <w:rsid w:val="005D0800"/>
    <w:rPr>
      <w:rFonts w:cs="Times New Roman"/>
      <w:noProof/>
    </w:rPr>
  </w:style>
  <w:style w:type="table" w:styleId="a9">
    <w:name w:val="Table Grid"/>
    <w:basedOn w:val="a1"/>
    <w:uiPriority w:val="39"/>
    <w:rsid w:val="0093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61105">
      <w:bodyDiv w:val="1"/>
      <w:marLeft w:val="0"/>
      <w:marRight w:val="0"/>
      <w:marTop w:val="0"/>
      <w:marBottom w:val="0"/>
      <w:divBdr>
        <w:top w:val="none" w:sz="0" w:space="0" w:color="auto"/>
        <w:left w:val="none" w:sz="0" w:space="0" w:color="auto"/>
        <w:bottom w:val="none" w:sz="0" w:space="0" w:color="auto"/>
        <w:right w:val="none" w:sz="0" w:space="0" w:color="auto"/>
      </w:divBdr>
    </w:div>
    <w:div w:id="28469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22</Pages>
  <Words>3914</Words>
  <Characters>22314</Characters>
  <Application>Microsoft Office Word</Application>
  <DocSecurity>0</DocSecurity>
  <Lines>185</Lines>
  <Paragraphs>52</Paragraphs>
  <ScaleCrop>false</ScaleCrop>
  <Company/>
  <LinksUpToDate>false</LinksUpToDate>
  <CharactersWithSpaces>26176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羚 尹</dc:creator>
  <cp:keywords/>
  <dc:description/>
  <cp:lastModifiedBy>羚 尹</cp:lastModifiedBy>
  <cp:revision>95</cp:revision>
  <dcterms:created xsi:type="dcterms:W3CDTF">2025-03-20T02:32:00Z</dcterms:created>
  <dcterms:modified xsi:type="dcterms:W3CDTF">2025-06-18T09:21:00Z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8e9a4861e66934a093a8b56a0af6afa771d47d4e71f75a5901969b854f3d2234</vt:lpwstr>
  </property>
</Properties>
</file>