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wmf" ContentType="image/x-wmf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EBD5D8">
      <w:pPr>
        <w:spacing w:beforeLines="0" w:afterLines="0"/>
        <w:ind w:firstLine="0" w:firstLineChars="0"/>
        <w:jc w:val="center"/>
        <w:rPr>
          <w:rFonts w:hint="eastAsia" w:cstheme="minorBidi"/>
          <w:b/>
          <w:sz w:val="24"/>
          <w:szCs w:val="24"/>
          <w:lang w:val="en-US" w:eastAsia="zh-CN" w:bidi="en-US"/>
        </w:rPr>
      </w:pPr>
      <w:bookmarkStart w:id="0" w:name="_Hlk151926355"/>
      <w:r>
        <w:rPr>
          <w:rFonts w:hint="eastAsia" w:cstheme="minorBidi"/>
          <w:b/>
          <w:sz w:val="24"/>
          <w:szCs w:val="24"/>
          <w:lang w:val="en-US" w:eastAsia="zh-CN" w:bidi="en-US"/>
        </w:rPr>
        <w:t>Electronic Supplementary Material</w:t>
      </w:r>
    </w:p>
    <w:p w14:paraId="5685B7BC">
      <w:pPr>
        <w:spacing w:beforeLines="0" w:afterLines="0"/>
        <w:ind w:firstLine="0" w:firstLineChars="0"/>
        <w:jc w:val="center"/>
        <w:rPr>
          <w:rFonts w:cstheme="minorBidi"/>
          <w:b/>
          <w:sz w:val="24"/>
          <w:szCs w:val="24"/>
          <w:lang w:val="en-US" w:eastAsia="zh-CN" w:bidi="en-US"/>
        </w:rPr>
      </w:pPr>
    </w:p>
    <w:p w14:paraId="44251D26">
      <w:pPr>
        <w:spacing w:beforeLines="0" w:afterLines="0"/>
        <w:ind w:firstLine="0" w:firstLineChars="0"/>
        <w:jc w:val="center"/>
        <w:rPr>
          <w:rFonts w:cstheme="minorBidi"/>
          <w:b/>
          <w:sz w:val="24"/>
          <w:szCs w:val="24"/>
          <w:lang w:val="en-US" w:eastAsia="zh-CN" w:bidi="en-US"/>
        </w:rPr>
      </w:pPr>
    </w:p>
    <w:bookmarkEnd w:id="0"/>
    <w:p w14:paraId="7785A524">
      <w:pPr>
        <w:spacing w:beforeLines="0" w:afterLines="0"/>
        <w:ind w:firstLine="0" w:firstLineChars="0"/>
        <w:jc w:val="center"/>
        <w:rPr>
          <w:rFonts w:cstheme="minorBidi"/>
          <w:b/>
          <w:sz w:val="24"/>
          <w:szCs w:val="24"/>
          <w:lang w:val="en-US" w:bidi="en-US"/>
        </w:rPr>
      </w:pPr>
      <w:r>
        <w:rPr>
          <w:rFonts w:cstheme="minorBidi"/>
          <w:b/>
          <w:sz w:val="24"/>
          <w:szCs w:val="24"/>
          <w:lang w:val="en-US" w:bidi="en-US"/>
        </w:rPr>
        <w:t>Fe/Ru synthesized by hydrothermal deposition on hyper-crosslinked polystyrene as promising Fischer-Tropsch catalyst</w:t>
      </w:r>
    </w:p>
    <w:p w14:paraId="5D1D47D1">
      <w:pPr>
        <w:spacing w:beforeLines="0" w:afterLines="0"/>
        <w:ind w:firstLine="0" w:firstLineChars="0"/>
        <w:jc w:val="center"/>
        <w:rPr>
          <w:rFonts w:cstheme="minorBidi"/>
          <w:sz w:val="24"/>
          <w:szCs w:val="24"/>
          <w:vertAlign w:val="superscript"/>
          <w:lang w:val="it-IT"/>
        </w:rPr>
      </w:pPr>
      <w:r>
        <w:rPr>
          <w:rFonts w:cstheme="minorBidi"/>
          <w:sz w:val="24"/>
          <w:szCs w:val="24"/>
          <w:lang w:val="it-IT"/>
        </w:rPr>
        <w:t>Mariia E. Markova</w:t>
      </w:r>
      <w:r>
        <w:rPr>
          <w:rFonts w:cstheme="minorBidi"/>
          <w:sz w:val="24"/>
          <w:szCs w:val="24"/>
          <w:vertAlign w:val="superscript"/>
          <w:lang w:val="it-IT"/>
        </w:rPr>
        <w:t>1</w:t>
      </w:r>
      <w:r>
        <w:rPr>
          <w:rFonts w:cstheme="minorBidi"/>
          <w:sz w:val="24"/>
          <w:szCs w:val="24"/>
          <w:lang w:val="it-IT"/>
        </w:rPr>
        <w:t xml:space="preserve">, Antonina A. Stepacheva </w:t>
      </w:r>
      <w:r>
        <w:rPr>
          <w:rFonts w:cstheme="minorBidi"/>
          <w:b/>
          <w:sz w:val="24"/>
          <w:szCs w:val="24"/>
          <w:lang w:val="it-IT"/>
        </w:rPr>
        <w:t>(</w:t>
      </w:r>
      <w:r>
        <w:rPr>
          <w:rFonts w:cstheme="minorBidi"/>
          <w:b/>
          <w:sz w:val="24"/>
          <w:szCs w:val="24"/>
          <w:lang w:val="it-IT"/>
        </w:rPr>
        <w:sym w:font="Wingdings" w:char="F02A"/>
      </w:r>
      <w:r>
        <w:rPr>
          <w:rFonts w:cstheme="minorBidi"/>
          <w:b/>
          <w:sz w:val="24"/>
          <w:szCs w:val="24"/>
          <w:lang w:val="it-IT"/>
        </w:rPr>
        <w:t>)</w:t>
      </w:r>
      <w:r>
        <w:rPr>
          <w:rFonts w:cstheme="minorBidi"/>
          <w:sz w:val="24"/>
          <w:szCs w:val="24"/>
          <w:vertAlign w:val="superscript"/>
          <w:lang w:val="it-IT"/>
        </w:rPr>
        <w:t>1</w:t>
      </w:r>
      <w:r>
        <w:rPr>
          <w:rFonts w:cstheme="minorBidi"/>
          <w:sz w:val="24"/>
          <w:szCs w:val="24"/>
          <w:lang w:val="it-IT"/>
        </w:rPr>
        <w:t>, Alexey V. Bykov</w:t>
      </w:r>
      <w:r>
        <w:rPr>
          <w:rFonts w:cstheme="minorBidi"/>
          <w:sz w:val="24"/>
          <w:szCs w:val="24"/>
          <w:vertAlign w:val="superscript"/>
          <w:lang w:val="it-IT"/>
        </w:rPr>
        <w:t>1</w:t>
      </w:r>
      <w:r>
        <w:rPr>
          <w:rFonts w:cstheme="minorBidi"/>
          <w:sz w:val="24"/>
          <w:szCs w:val="24"/>
          <w:lang w:val="it-IT"/>
        </w:rPr>
        <w:t>, Yur</w:t>
      </w:r>
      <w:r>
        <w:rPr>
          <w:rFonts w:cstheme="minorBidi"/>
          <w:sz w:val="24"/>
          <w:szCs w:val="24"/>
          <w:lang w:val="en-US"/>
        </w:rPr>
        <w:t>ii</w:t>
      </w:r>
      <w:r>
        <w:rPr>
          <w:rFonts w:cstheme="minorBidi"/>
          <w:sz w:val="24"/>
          <w:szCs w:val="24"/>
          <w:lang w:val="it-IT"/>
        </w:rPr>
        <w:t xml:space="preserve"> V. Larichev</w:t>
      </w:r>
      <w:r>
        <w:rPr>
          <w:rFonts w:cstheme="minorBidi"/>
          <w:sz w:val="24"/>
          <w:szCs w:val="24"/>
          <w:vertAlign w:val="superscript"/>
          <w:lang w:val="it-IT"/>
        </w:rPr>
        <w:t>2</w:t>
      </w:r>
      <w:r>
        <w:rPr>
          <w:rFonts w:cstheme="minorBidi"/>
          <w:sz w:val="24"/>
          <w:szCs w:val="24"/>
          <w:lang w:val="it-IT"/>
        </w:rPr>
        <w:t>, Valentin Y. Doluda</w:t>
      </w:r>
      <w:r>
        <w:rPr>
          <w:rFonts w:cstheme="minorBidi"/>
          <w:sz w:val="24"/>
          <w:szCs w:val="24"/>
          <w:vertAlign w:val="superscript"/>
          <w:lang w:val="it-IT"/>
        </w:rPr>
        <w:t>1</w:t>
      </w:r>
      <w:r>
        <w:rPr>
          <w:rFonts w:cstheme="minorBidi"/>
          <w:sz w:val="24"/>
          <w:szCs w:val="24"/>
          <w:lang w:val="it-IT"/>
        </w:rPr>
        <w:t>, Mikhail G. Sulman</w:t>
      </w:r>
      <w:r>
        <w:rPr>
          <w:rFonts w:cstheme="minorBidi"/>
          <w:sz w:val="24"/>
          <w:szCs w:val="24"/>
          <w:vertAlign w:val="superscript"/>
          <w:lang w:val="it-IT"/>
        </w:rPr>
        <w:t>1</w:t>
      </w:r>
      <w:r>
        <w:rPr>
          <w:rFonts w:cstheme="minorBidi"/>
          <w:sz w:val="24"/>
          <w:szCs w:val="24"/>
          <w:lang w:val="it-IT"/>
        </w:rPr>
        <w:t>, Lioubov Kiwi-Minsker</w:t>
      </w:r>
      <w:r>
        <w:rPr>
          <w:rFonts w:cstheme="minorBidi"/>
          <w:sz w:val="24"/>
          <w:szCs w:val="24"/>
          <w:vertAlign w:val="superscript"/>
          <w:lang w:val="it-IT"/>
        </w:rPr>
        <w:t>1,3</w:t>
      </w:r>
    </w:p>
    <w:p w14:paraId="475912F0">
      <w:pPr>
        <w:spacing w:beforeLines="0" w:afterLines="0"/>
        <w:ind w:firstLine="0" w:firstLineChars="0"/>
        <w:rPr>
          <w:rFonts w:cstheme="minorBidi"/>
          <w:sz w:val="24"/>
          <w:szCs w:val="24"/>
          <w:lang w:val="en-US" w:bidi="en-US"/>
        </w:rPr>
      </w:pPr>
      <w:r>
        <w:rPr>
          <w:rFonts w:cstheme="minorBidi"/>
          <w:sz w:val="24"/>
          <w:szCs w:val="24"/>
          <w:lang w:val="en-US" w:bidi="en-US"/>
        </w:rPr>
        <w:t>1 Tver State Technical University, Tver 170026, Russia</w:t>
      </w:r>
    </w:p>
    <w:p w14:paraId="3F385E40">
      <w:pPr>
        <w:spacing w:beforeLines="0" w:afterLines="0"/>
        <w:ind w:firstLine="0" w:firstLineChars="0"/>
        <w:rPr>
          <w:rFonts w:cstheme="minorBidi"/>
          <w:sz w:val="24"/>
          <w:szCs w:val="24"/>
          <w:lang w:val="en-US" w:bidi="en-US"/>
        </w:rPr>
      </w:pPr>
      <w:r>
        <w:rPr>
          <w:rFonts w:cstheme="minorBidi"/>
          <w:sz w:val="24"/>
          <w:szCs w:val="24"/>
          <w:lang w:val="en-US" w:bidi="en-US"/>
        </w:rPr>
        <w:t xml:space="preserve">2 Boreskov Institute of Catalysis SB RAS, Novosibirsk </w:t>
      </w:r>
      <w:r>
        <w:rPr>
          <w:rFonts w:cstheme="minorBidi"/>
          <w:sz w:val="24"/>
          <w:szCs w:val="24"/>
          <w:lang w:val="en-US"/>
        </w:rPr>
        <w:t>630090</w:t>
      </w:r>
      <w:r>
        <w:rPr>
          <w:rFonts w:cstheme="minorBidi"/>
          <w:sz w:val="24"/>
          <w:szCs w:val="24"/>
          <w:lang w:val="en-US" w:bidi="en-US"/>
        </w:rPr>
        <w:t>, Russia</w:t>
      </w:r>
    </w:p>
    <w:p w14:paraId="708487A7">
      <w:pPr>
        <w:spacing w:beforeLines="0" w:afterLines="0"/>
        <w:ind w:firstLine="0" w:firstLineChars="0"/>
        <w:rPr>
          <w:rFonts w:cstheme="minorBidi"/>
          <w:sz w:val="24"/>
          <w:szCs w:val="24"/>
          <w:lang w:val="fr-CH"/>
        </w:rPr>
      </w:pPr>
      <w:r>
        <w:rPr>
          <w:rFonts w:cstheme="minorBidi"/>
          <w:sz w:val="24"/>
          <w:szCs w:val="24"/>
          <w:lang w:val="en-US"/>
        </w:rPr>
        <w:t xml:space="preserve">3 </w:t>
      </w:r>
      <w:r>
        <w:rPr>
          <w:rFonts w:cstheme="minorBidi"/>
          <w:sz w:val="24"/>
          <w:szCs w:val="24"/>
          <w:lang w:val="fr-CH"/>
        </w:rPr>
        <w:t xml:space="preserve">Ecole Polytechnique Fédérale de Lausanne, ISIC-EPFL, </w:t>
      </w:r>
      <w:bookmarkStart w:id="5" w:name="_GoBack"/>
      <w:bookmarkEnd w:id="5"/>
      <w:r>
        <w:rPr>
          <w:rFonts w:cstheme="minorBidi"/>
          <w:sz w:val="24"/>
          <w:szCs w:val="24"/>
          <w:lang w:val="fr-CH"/>
        </w:rPr>
        <w:t>Lausanne</w:t>
      </w:r>
      <w:r>
        <w:rPr>
          <w:rFonts w:hint="eastAsia" w:cstheme="minorBidi"/>
          <w:sz w:val="24"/>
          <w:szCs w:val="24"/>
          <w:lang w:val="en-US" w:eastAsia="zh-CN"/>
        </w:rPr>
        <w:t xml:space="preserve"> </w:t>
      </w:r>
      <w:r>
        <w:rPr>
          <w:rFonts w:cstheme="minorBidi"/>
          <w:sz w:val="24"/>
          <w:szCs w:val="24"/>
          <w:lang w:val="fr-CH"/>
        </w:rPr>
        <w:t>CH-1015, Switzerland</w:t>
      </w:r>
    </w:p>
    <w:p w14:paraId="01FAF376">
      <w:pPr>
        <w:spacing w:beforeLines="0" w:afterLines="0"/>
        <w:ind w:firstLine="0" w:firstLineChars="0"/>
        <w:rPr>
          <w:rFonts w:hint="eastAsia"/>
          <w:sz w:val="24"/>
          <w:szCs w:val="24"/>
          <w:lang w:val="fr-CH" w:eastAsia="zh-CN"/>
        </w:rPr>
      </w:pPr>
    </w:p>
    <w:p w14:paraId="135A9D48">
      <w:pPr>
        <w:spacing w:beforeLines="0" w:afterLines="0"/>
        <w:ind w:firstLine="0" w:firstLineChars="0"/>
        <w:rPr>
          <w:rFonts w:cstheme="minorBidi"/>
          <w:sz w:val="24"/>
          <w:szCs w:val="24"/>
          <w:lang w:val="en-US"/>
        </w:rPr>
      </w:pPr>
      <w:r>
        <w:rPr>
          <w:rFonts w:cstheme="minorBidi"/>
          <w:sz w:val="24"/>
          <w:szCs w:val="24"/>
          <w:lang w:val="en-US"/>
        </w:rPr>
        <w:t>E-mail: a.a.stepacheva@mail.ru</w:t>
      </w:r>
    </w:p>
    <w:p w14:paraId="031E80A7">
      <w:pPr>
        <w:spacing w:beforeLines="0" w:afterLines="0"/>
        <w:ind w:firstLine="0" w:firstLineChars="0"/>
        <w:rPr>
          <w:sz w:val="24"/>
          <w:szCs w:val="24"/>
          <w:lang w:val="en-US"/>
        </w:rPr>
      </w:pPr>
    </w:p>
    <w:p w14:paraId="69EB67E8">
      <w:pPr>
        <w:spacing w:beforeLines="0" w:afterLines="0" w:line="240" w:lineRule="auto"/>
        <w:ind w:firstLine="0" w:firstLineChars="0"/>
        <w:jc w:val="center"/>
        <w:rPr>
          <w:sz w:val="24"/>
          <w:szCs w:val="24"/>
        </w:rPr>
      </w:pPr>
      <w:r>
        <w:rPr>
          <w:sz w:val="24"/>
          <w:szCs w:val="24"/>
        </w:rPr>
        <w:object>
          <v:shape id="_x0000_i1025" o:spt="75" type="#_x0000_t75" style="height:255.55pt;width:316.3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SigmaPlotGraphicObject.11" ShapeID="_x0000_i1025" DrawAspect="Content" ObjectID="_1468075725" r:id="rId12">
            <o:LockedField>false</o:LockedField>
          </o:OLEObject>
        </w:object>
      </w:r>
    </w:p>
    <w:p w14:paraId="06FE1B1B">
      <w:pPr>
        <w:spacing w:beforeLines="0" w:afterLines="0" w:line="240" w:lineRule="auto"/>
        <w:ind w:firstLine="0" w:firstLineChars="0"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Figure S1</w:t>
      </w:r>
      <w:r>
        <w:rPr>
          <w:sz w:val="24"/>
          <w:szCs w:val="24"/>
          <w:lang w:val="en-US"/>
        </w:rPr>
        <w:t>. FTIR-spectra of the initial HPS and the polymer treated in catalyst synthesis conditions</w:t>
      </w:r>
    </w:p>
    <w:p w14:paraId="67536000">
      <w:pPr>
        <w:spacing w:beforeLines="0" w:afterLines="0" w:line="240" w:lineRule="auto"/>
        <w:ind w:firstLine="0" w:firstLineChars="0"/>
        <w:jc w:val="left"/>
        <w:rPr>
          <w:sz w:val="24"/>
          <w:szCs w:val="24"/>
          <w:lang w:val="en-US"/>
        </w:rPr>
      </w:pPr>
    </w:p>
    <w:p w14:paraId="29BF8C9A">
      <w:pPr>
        <w:spacing w:beforeLines="0" w:afterLines="0"/>
        <w:ind w:firstLine="0" w:firstLineChars="0"/>
        <w:rPr>
          <w:sz w:val="24"/>
          <w:szCs w:val="24"/>
          <w:lang w:val="en-US"/>
        </w:rPr>
      </w:pPr>
    </w:p>
    <w:tbl>
      <w:tblPr>
        <w:tblStyle w:val="32"/>
        <w:tblW w:w="9686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0"/>
        <w:gridCol w:w="4956"/>
      </w:tblGrid>
      <w:tr w14:paraId="46392E9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5" w:hRule="atLeast"/>
          <w:jc w:val="center"/>
        </w:trPr>
        <w:tc>
          <w:tcPr>
            <w:tcW w:w="4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A301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eastAsia="de-DE" w:bidi="en-US"/>
              </w:rPr>
            </w:pPr>
            <w:r>
              <w:rPr>
                <w:rFonts w:eastAsia="Calibri"/>
                <w:sz w:val="24"/>
                <w:szCs w:val="24"/>
              </w:rPr>
              <w:object>
                <v:shape id="_x0000_i1026" o:spt="75" type="#_x0000_t75" style="height:191.85pt;width:233.05pt;" o:ole="t" filled="f" o:preferrelative="t" stroked="f" coordsize="21600,21600">
                  <v:path/>
                  <v:fill on="f" focussize="0,0"/>
                  <v:stroke on="f" joinstyle="miter"/>
                  <v:imagedata r:id="rId15" o:title=""/>
                  <o:lock v:ext="edit" aspectratio="t"/>
                  <w10:wrap type="none"/>
                  <w10:anchorlock/>
                </v:shape>
                <o:OLEObject Type="Embed" ProgID="SigmaPlotGraphicObject.11" ShapeID="_x0000_i1026" DrawAspect="Content" ObjectID="_1468075726" r:id="rId14">
                  <o:LockedField>false</o:LockedField>
                </o:OLEObject>
              </w:objec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44073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eastAsia="de-DE" w:bidi="en-US"/>
              </w:rPr>
            </w:pPr>
            <w:r>
              <w:rPr>
                <w:rFonts w:eastAsia="Calibri"/>
                <w:sz w:val="24"/>
                <w:szCs w:val="24"/>
              </w:rPr>
              <w:object>
                <v:shape id="_x0000_i1027" o:spt="75" type="#_x0000_t75" style="height:185.2pt;width:229.75pt;" o:ole="t" filled="f" o:preferrelative="t" stroked="f" coordsize="21600,21600">
                  <v:path/>
                  <v:fill on="f" focussize="0,0"/>
                  <v:stroke on="f" joinstyle="miter"/>
                  <v:imagedata r:id="rId17" o:title=""/>
                  <o:lock v:ext="edit" aspectratio="t"/>
                  <w10:wrap type="none"/>
                  <w10:anchorlock/>
                </v:shape>
                <o:OLEObject Type="Embed" ProgID="SigmaPlotGraphicObject.11" ShapeID="_x0000_i1027" DrawAspect="Content" ObjectID="_1468075727" r:id="rId16">
                  <o:LockedField>false</o:LockedField>
                </o:OLEObject>
              </w:object>
            </w:r>
          </w:p>
        </w:tc>
      </w:tr>
      <w:tr w14:paraId="431A1E0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  <w:jc w:val="center"/>
        </w:trPr>
        <w:tc>
          <w:tcPr>
            <w:tcW w:w="4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CC374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</w:t>
            </w:r>
            <w:r>
              <w:rPr>
                <w:rFonts w:eastAsia="Times New Roman"/>
                <w:b/>
                <w:bCs/>
                <w:snapToGrid w:val="0"/>
                <w:sz w:val="24"/>
                <w:szCs w:val="24"/>
                <w:lang w:val="en-US" w:eastAsia="de-DE" w:bidi="en-US"/>
              </w:rPr>
              <w:t>a</w:t>
            </w: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)</w: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2EAE4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</w:t>
            </w:r>
            <w:r>
              <w:rPr>
                <w:rFonts w:eastAsia="Times New Roman"/>
                <w:b/>
                <w:bCs/>
                <w:snapToGrid w:val="0"/>
                <w:sz w:val="24"/>
                <w:szCs w:val="24"/>
                <w:lang w:val="en-US" w:eastAsia="de-DE" w:bidi="en-US"/>
              </w:rPr>
              <w:t>b</w:t>
            </w: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)</w:t>
            </w:r>
          </w:p>
        </w:tc>
      </w:tr>
      <w:tr w14:paraId="330821E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  <w:jc w:val="center"/>
        </w:trPr>
        <w:tc>
          <w:tcPr>
            <w:tcW w:w="4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9D596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Calibri"/>
                <w:sz w:val="24"/>
                <w:szCs w:val="24"/>
              </w:rPr>
              <w:object>
                <v:shape id="_x0000_i1028" o:spt="75" type="#_x0000_t75" style="height:200.6pt;width:243.9pt;" o:ole="t" filled="f" o:preferrelative="t" stroked="f" coordsize="21600,21600">
                  <v:path/>
                  <v:fill on="f" focussize="0,0"/>
                  <v:stroke on="f" joinstyle="miter"/>
                  <v:imagedata r:id="rId19" o:title=""/>
                  <o:lock v:ext="edit" aspectratio="t"/>
                  <w10:wrap type="none"/>
                  <w10:anchorlock/>
                </v:shape>
                <o:OLEObject Type="Embed" ProgID="SigmaPlotGraphicObject.11" ShapeID="_x0000_i1028" DrawAspect="Content" ObjectID="_1468075728" r:id="rId18">
                  <o:LockedField>false</o:LockedField>
                </o:OLEObject>
              </w:objec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3AAB1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Calibri"/>
                <w:sz w:val="24"/>
                <w:szCs w:val="24"/>
              </w:rPr>
              <w:object>
                <v:shape id="_x0000_i1029" o:spt="75" type="#_x0000_t75" style="height:191.85pt;width:237.65pt;" o:ole="t" filled="f" o:preferrelative="t" stroked="f" coordsize="21600,21600">
                  <v:path/>
                  <v:fill on="f" focussize="0,0"/>
                  <v:stroke on="f" joinstyle="miter"/>
                  <v:imagedata r:id="rId21" o:title=""/>
                  <o:lock v:ext="edit" aspectratio="t"/>
                  <w10:wrap type="none"/>
                  <w10:anchorlock/>
                </v:shape>
                <o:OLEObject Type="Embed" ProgID="SigmaPlotGraphicObject.11" ShapeID="_x0000_i1029" DrawAspect="Content" ObjectID="_1468075729" r:id="rId20">
                  <o:LockedField>false</o:LockedField>
                </o:OLEObject>
              </w:object>
            </w:r>
          </w:p>
        </w:tc>
      </w:tr>
      <w:tr w14:paraId="143B379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  <w:jc w:val="center"/>
        </w:trPr>
        <w:tc>
          <w:tcPr>
            <w:tcW w:w="4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C915B1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(c)</w: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223FC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(d)</w:t>
            </w:r>
          </w:p>
        </w:tc>
      </w:tr>
      <w:tr w14:paraId="0F27780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  <w:jc w:val="center"/>
        </w:trPr>
        <w:tc>
          <w:tcPr>
            <w:tcW w:w="4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3EBAC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Calibri"/>
                <w:sz w:val="24"/>
                <w:szCs w:val="24"/>
              </w:rPr>
              <w:object>
                <v:shape id="_x0000_i1030" o:spt="75" type="#_x0000_t75" style="height:186.05pt;width:227.25pt;" o:ole="t" filled="f" o:preferrelative="t" stroked="f" coordsize="21600,21600">
                  <v:path/>
                  <v:fill on="f" focussize="0,0"/>
                  <v:stroke on="f" joinstyle="miter"/>
                  <v:imagedata r:id="rId23" o:title=""/>
                  <o:lock v:ext="edit" aspectratio="t"/>
                  <w10:wrap type="none"/>
                  <w10:anchorlock/>
                </v:shape>
                <o:OLEObject Type="Embed" ProgID="SigmaPlotGraphicObject.11" ShapeID="_x0000_i1030" DrawAspect="Content" ObjectID="_1468075730" r:id="rId22">
                  <o:LockedField>false</o:LockedField>
                </o:OLEObject>
              </w:objec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4FAD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Calibri"/>
                <w:sz w:val="24"/>
                <w:szCs w:val="24"/>
              </w:rPr>
              <w:object>
                <v:shape id="_x0000_i1031" o:spt="75" type="#_x0000_t75" style="height:188.1pt;width:232.25pt;" o:ole="t" filled="f" o:preferrelative="t" stroked="f" coordsize="21600,21600">
                  <v:path/>
                  <v:fill on="f" focussize="0,0"/>
                  <v:stroke on="f" joinstyle="miter"/>
                  <v:imagedata r:id="rId25" o:title=""/>
                  <o:lock v:ext="edit" aspectratio="t"/>
                  <w10:wrap type="none"/>
                  <w10:anchorlock/>
                </v:shape>
                <o:OLEObject Type="Embed" ProgID="SigmaPlotGraphicObject.11" ShapeID="_x0000_i1031" DrawAspect="Content" ObjectID="_1468075731" r:id="rId24">
                  <o:LockedField>false</o:LockedField>
                </o:OLEObject>
              </w:object>
            </w:r>
          </w:p>
        </w:tc>
      </w:tr>
      <w:tr w14:paraId="51B269E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  <w:jc w:val="center"/>
        </w:trPr>
        <w:tc>
          <w:tcPr>
            <w:tcW w:w="4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EDB168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(e)</w: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BD3A0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(f)</w:t>
            </w:r>
          </w:p>
        </w:tc>
      </w:tr>
    </w:tbl>
    <w:p w14:paraId="5BFF7771">
      <w:pPr>
        <w:adjustRightInd w:val="0"/>
        <w:snapToGrid w:val="0"/>
        <w:spacing w:beforeLines="0" w:afterLines="0" w:line="228" w:lineRule="auto"/>
        <w:ind w:firstLine="0" w:firstLineChars="0"/>
        <w:jc w:val="center"/>
        <w:outlineLvl w:val="1"/>
        <w:rPr>
          <w:rFonts w:eastAsia="Times New Roman"/>
          <w:snapToGrid w:val="0"/>
          <w:sz w:val="24"/>
          <w:szCs w:val="24"/>
          <w:lang w:val="en-US" w:eastAsia="de-DE" w:bidi="en-US"/>
        </w:rPr>
      </w:pPr>
      <w:r>
        <w:rPr>
          <w:rFonts w:eastAsia="Times New Roman"/>
          <w:b/>
          <w:bCs/>
          <w:snapToGrid w:val="0"/>
          <w:sz w:val="24"/>
          <w:szCs w:val="24"/>
          <w:lang w:val="it-IT" w:eastAsia="de-DE" w:bidi="en-US"/>
        </w:rPr>
        <w:t>Figure S2.</w:t>
      </w:r>
      <w:r>
        <w:rPr>
          <w:rFonts w:eastAsia="Times New Roman"/>
          <w:snapToGrid w:val="0"/>
          <w:sz w:val="24"/>
          <w:szCs w:val="24"/>
          <w:lang w:val="en-US" w:eastAsia="de-DE" w:bidi="en-US"/>
        </w:rPr>
        <w:t xml:space="preserve"> </w:t>
      </w:r>
      <w:bookmarkStart w:id="1" w:name="_Hlk151927525"/>
      <w:r>
        <w:rPr>
          <w:rFonts w:eastAsia="Times New Roman"/>
          <w:snapToGrid w:val="0"/>
          <w:sz w:val="24"/>
          <w:szCs w:val="24"/>
          <w:lang w:val="en-US" w:eastAsia="de-DE" w:bidi="en-US"/>
        </w:rPr>
        <w:t>Nitrogen adsorption-desorption isotherms and differential curve of pore size distribution for 2%-Fe-HPS (a, b), 1%-Ru-HPS (c, d), and 2%-Fe-1%-Ru-HPS (e, f)</w:t>
      </w:r>
      <w:bookmarkEnd w:id="1"/>
    </w:p>
    <w:p w14:paraId="72961605">
      <w:pPr>
        <w:spacing w:beforeLines="0" w:afterLines="0" w:line="240" w:lineRule="auto"/>
        <w:ind w:firstLine="0" w:firstLineChars="0"/>
        <w:jc w:val="left"/>
        <w:rPr>
          <w:rFonts w:eastAsia="Times New Roman"/>
          <w:snapToGrid w:val="0"/>
          <w:sz w:val="24"/>
          <w:szCs w:val="24"/>
          <w:lang w:val="en-US" w:eastAsia="de-DE" w:bidi="en-US"/>
        </w:rPr>
      </w:pPr>
    </w:p>
    <w:tbl>
      <w:tblPr>
        <w:tblStyle w:val="1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6"/>
        <w:gridCol w:w="4762"/>
      </w:tblGrid>
      <w:tr w14:paraId="7463AFE2">
        <w:tc>
          <w:tcPr>
            <w:tcW w:w="4626" w:type="dxa"/>
            <w:vMerge w:val="restart"/>
          </w:tcPr>
          <w:p w14:paraId="70931DC7">
            <w:pPr>
              <w:spacing w:beforeLines="0" w:afterLines="0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2362200" cy="23622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</w:tcPr>
          <w:p w14:paraId="56EA44F1">
            <w:pPr>
              <w:spacing w:beforeLines="0" w:afterLines="0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1657350" cy="1295400"/>
                  <wp:effectExtent l="19050" t="1905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73" t="28055" r="20267" b="26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9540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FFC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35A40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vAlign w:val="center"/>
          </w:tcPr>
          <w:p w14:paraId="2F5F653E">
            <w:pPr>
              <w:spacing w:beforeLines="0" w:afterLines="0" w:line="256" w:lineRule="auto"/>
              <w:ind w:firstLine="0" w:firstLineChars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762" w:type="dxa"/>
          </w:tcPr>
          <w:p w14:paraId="79BBC3FA">
            <w:pPr>
              <w:spacing w:beforeLines="0" w:afterLines="0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1676400" cy="923925"/>
                  <wp:effectExtent l="19050" t="1905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65" t="38203" r="29556" b="403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92392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1A347F">
      <w:pPr>
        <w:adjustRightInd w:val="0"/>
        <w:snapToGrid w:val="0"/>
        <w:spacing w:beforeLines="0" w:afterLines="0" w:line="228" w:lineRule="auto"/>
        <w:ind w:firstLine="0" w:firstLineChars="0"/>
        <w:jc w:val="center"/>
        <w:outlineLvl w:val="1"/>
        <w:rPr>
          <w:rFonts w:eastAsia="Times New Roman"/>
          <w:snapToGrid w:val="0"/>
          <w:sz w:val="24"/>
          <w:szCs w:val="24"/>
          <w:lang w:val="en-US" w:eastAsia="de-DE" w:bidi="en-US"/>
        </w:rPr>
      </w:pPr>
      <w:r>
        <w:rPr>
          <w:rFonts w:eastAsia="Times New Roman"/>
          <w:b/>
          <w:bCs/>
          <w:snapToGrid w:val="0"/>
          <w:sz w:val="24"/>
          <w:szCs w:val="24"/>
          <w:lang w:val="it-IT" w:eastAsia="de-DE" w:bidi="en-US"/>
        </w:rPr>
        <w:t>Figure S3.</w:t>
      </w:r>
      <w:r>
        <w:rPr>
          <w:rFonts w:eastAsia="Times New Roman"/>
          <w:snapToGrid w:val="0"/>
          <w:sz w:val="24"/>
          <w:szCs w:val="24"/>
          <w:lang w:val="en-US" w:eastAsia="de-DE" w:bidi="en-US"/>
        </w:rPr>
        <w:t xml:space="preserve"> </w:t>
      </w:r>
      <w:bookmarkStart w:id="2" w:name="_Hlk151927546"/>
      <w:r>
        <w:rPr>
          <w:rFonts w:eastAsia="Times New Roman"/>
          <w:snapToGrid w:val="0"/>
          <w:sz w:val="24"/>
          <w:szCs w:val="24"/>
          <w:lang w:val="en-US" w:eastAsia="de-DE" w:bidi="en-US"/>
        </w:rPr>
        <w:t>TSM image, two-dimentiona Fourier spectra and electronogramm for 2%-Fe-HPS</w:t>
      </w:r>
      <w:bookmarkEnd w:id="2"/>
    </w:p>
    <w:p w14:paraId="166DC463">
      <w:pPr>
        <w:adjustRightInd w:val="0"/>
        <w:snapToGrid w:val="0"/>
        <w:spacing w:beforeLines="0" w:afterLines="0" w:line="228" w:lineRule="auto"/>
        <w:ind w:firstLine="0" w:firstLineChars="0"/>
        <w:outlineLvl w:val="1"/>
        <w:rPr>
          <w:rFonts w:eastAsia="Times New Roman"/>
          <w:iCs/>
          <w:snapToGrid w:val="0"/>
          <w:sz w:val="24"/>
          <w:szCs w:val="24"/>
          <w:lang w:val="en-US" w:eastAsia="de-DE" w:bidi="en-US"/>
        </w:rPr>
      </w:pPr>
    </w:p>
    <w:p w14:paraId="49A05415">
      <w:pPr>
        <w:spacing w:beforeLines="0" w:afterLines="0" w:line="240" w:lineRule="auto"/>
        <w:ind w:firstLine="0" w:firstLineChars="0"/>
        <w:jc w:val="left"/>
        <w:rPr>
          <w:rFonts w:eastAsia="Times New Roman"/>
          <w:iCs/>
          <w:snapToGrid w:val="0"/>
          <w:sz w:val="24"/>
          <w:szCs w:val="24"/>
          <w:lang w:val="en-US" w:eastAsia="de-DE" w:bidi="en-US"/>
        </w:rPr>
      </w:pPr>
    </w:p>
    <w:p w14:paraId="265E3EE9">
      <w:pPr>
        <w:adjustRightInd w:val="0"/>
        <w:snapToGrid w:val="0"/>
        <w:spacing w:beforeLines="0" w:afterLines="0" w:line="228" w:lineRule="auto"/>
        <w:ind w:firstLine="0" w:firstLineChars="0"/>
        <w:outlineLvl w:val="1"/>
        <w:rPr>
          <w:rFonts w:eastAsia="Times New Roman"/>
          <w:iCs/>
          <w:snapToGrid w:val="0"/>
          <w:sz w:val="24"/>
          <w:szCs w:val="24"/>
          <w:lang w:val="en-US" w:eastAsia="de-DE" w:bidi="en-US"/>
        </w:rPr>
      </w:pPr>
    </w:p>
    <w:tbl>
      <w:tblPr>
        <w:tblStyle w:val="1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692F3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630CAA0">
            <w:pPr>
              <w:spacing w:beforeLines="0" w:afterLines="0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2819400" cy="19145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75" b="43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78DA48FE">
            <w:pPr>
              <w:spacing w:beforeLines="0" w:afterLines="0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2714625" cy="19050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656" b="4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94B0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801D900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(a)</w:t>
            </w:r>
          </w:p>
        </w:tc>
        <w:tc>
          <w:tcPr>
            <w:tcW w:w="4786" w:type="dxa"/>
          </w:tcPr>
          <w:p w14:paraId="29EECD69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(b)</w:t>
            </w:r>
          </w:p>
        </w:tc>
      </w:tr>
      <w:tr w14:paraId="0C266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53265709">
            <w:pPr>
              <w:spacing w:beforeLines="0" w:afterLines="0"/>
              <w:ind w:firstLine="0" w:firstLineChars="0"/>
              <w:jc w:val="center"/>
              <w:rPr>
                <w:sz w:val="24"/>
                <w:szCs w:val="24"/>
              </w:rPr>
            </w:pPr>
            <w:r>
              <w:drawing>
                <wp:inline distT="0" distB="0" distL="0" distR="0">
                  <wp:extent cx="2876550" cy="1971675"/>
                  <wp:effectExtent l="0" t="0" r="0" b="9525"/>
                  <wp:docPr id="2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/>
                        </pic:nvPicPr>
                        <pic:blipFill>
                          <a:blip r:embed="rId31"/>
                          <a:srcRect t="5746" b="37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00E5D4EE">
            <w:pPr>
              <w:spacing w:beforeLines="0" w:afterLines="0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2714625" cy="1914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643" b="38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262C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19FFD066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(c)</w:t>
            </w:r>
          </w:p>
        </w:tc>
        <w:tc>
          <w:tcPr>
            <w:tcW w:w="4786" w:type="dxa"/>
          </w:tcPr>
          <w:p w14:paraId="05EAA0C4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(d)</w:t>
            </w:r>
          </w:p>
        </w:tc>
      </w:tr>
    </w:tbl>
    <w:p w14:paraId="4E63C4B0">
      <w:pPr>
        <w:adjustRightInd w:val="0"/>
        <w:snapToGrid w:val="0"/>
        <w:spacing w:beforeLines="0" w:afterLines="0" w:line="228" w:lineRule="auto"/>
        <w:ind w:firstLine="0" w:firstLineChars="0"/>
        <w:jc w:val="center"/>
        <w:outlineLvl w:val="1"/>
        <w:rPr>
          <w:rFonts w:eastAsia="Times New Roman"/>
          <w:snapToGrid w:val="0"/>
          <w:sz w:val="24"/>
          <w:szCs w:val="24"/>
          <w:lang w:val="en-US" w:eastAsia="de-DE" w:bidi="en-US"/>
        </w:rPr>
      </w:pPr>
      <w:r>
        <w:rPr>
          <w:rFonts w:eastAsia="Times New Roman"/>
          <w:b/>
          <w:bCs/>
          <w:snapToGrid w:val="0"/>
          <w:sz w:val="24"/>
          <w:szCs w:val="24"/>
          <w:lang w:val="it-IT" w:eastAsia="de-DE" w:bidi="en-US"/>
        </w:rPr>
        <w:t>Figure S4.</w:t>
      </w:r>
      <w:r>
        <w:rPr>
          <w:rFonts w:eastAsia="Times New Roman"/>
          <w:snapToGrid w:val="0"/>
          <w:sz w:val="24"/>
          <w:szCs w:val="24"/>
          <w:lang w:val="en-US" w:eastAsia="de-DE" w:bidi="en-US"/>
        </w:rPr>
        <w:t xml:space="preserve"> </w:t>
      </w:r>
      <w:bookmarkStart w:id="3" w:name="_Hlk151927568"/>
      <w:r>
        <w:rPr>
          <w:rFonts w:eastAsia="Times New Roman"/>
          <w:snapToGrid w:val="0"/>
          <w:sz w:val="24"/>
          <w:szCs w:val="24"/>
          <w:lang w:val="en-US" w:eastAsia="de-DE" w:bidi="en-US"/>
        </w:rPr>
        <w:t>The survey spectra of the samples of initial HPS (a), 2%-Fe-HPS (b), 1%-Ru-HPS (c), and 2%-Fe-1%-Ru-HPS (d)</w:t>
      </w:r>
      <w:bookmarkEnd w:id="3"/>
    </w:p>
    <w:p w14:paraId="5E4DF365">
      <w:pPr>
        <w:adjustRightInd w:val="0"/>
        <w:snapToGrid w:val="0"/>
        <w:spacing w:beforeLines="0" w:afterLines="0" w:line="228" w:lineRule="auto"/>
        <w:ind w:firstLine="0" w:firstLineChars="0"/>
        <w:outlineLvl w:val="1"/>
        <w:rPr>
          <w:rFonts w:eastAsia="Times New Roman"/>
          <w:snapToGrid w:val="0"/>
          <w:sz w:val="24"/>
          <w:szCs w:val="24"/>
          <w:lang w:val="en-US" w:eastAsia="de-DE" w:bidi="en-US"/>
        </w:rPr>
      </w:pPr>
    </w:p>
    <w:p w14:paraId="01B2FA0C">
      <w:pPr>
        <w:spacing w:beforeLines="0" w:afterLines="0" w:line="240" w:lineRule="auto"/>
        <w:ind w:firstLine="0" w:firstLineChars="0"/>
        <w:jc w:val="left"/>
        <w:rPr>
          <w:rFonts w:eastAsia="Times New Roman"/>
          <w:b/>
          <w:snapToGrid w:val="0"/>
          <w:sz w:val="24"/>
          <w:szCs w:val="24"/>
          <w:lang w:val="en-US" w:eastAsia="de-DE" w:bidi="en-US"/>
        </w:rPr>
      </w:pPr>
      <w:r>
        <w:rPr>
          <w:b/>
          <w:sz w:val="24"/>
          <w:szCs w:val="24"/>
          <w:lang w:val="en-US"/>
        </w:rPr>
        <w:br w:type="page"/>
      </w:r>
    </w:p>
    <w:p w14:paraId="0A27E2B2">
      <w:pPr>
        <w:pStyle w:val="33"/>
        <w:ind w:left="0" w:firstLine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Table S1.</w:t>
      </w:r>
      <w:r>
        <w:rPr>
          <w:rFonts w:ascii="Times New Roman" w:hAnsi="Times New Roman"/>
          <w:color w:val="auto"/>
          <w:sz w:val="24"/>
          <w:szCs w:val="24"/>
        </w:rPr>
        <w:t xml:space="preserve"> Surface composition of the catalyst samples</w:t>
      </w:r>
    </w:p>
    <w:tbl>
      <w:tblPr>
        <w:tblStyle w:val="1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9"/>
        <w:gridCol w:w="1869"/>
        <w:gridCol w:w="1869"/>
        <w:gridCol w:w="1869"/>
        <w:gridCol w:w="1869"/>
      </w:tblGrid>
      <w:tr w14:paraId="476DE4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1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662B10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Element </w:t>
            </w:r>
          </w:p>
        </w:tc>
        <w:tc>
          <w:tcPr>
            <w:tcW w:w="74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8EDAD5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Surface concentration, at. % </w:t>
            </w:r>
          </w:p>
        </w:tc>
      </w:tr>
      <w:tr w14:paraId="3EBE87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F49092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5B1286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HPS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E25E38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2%-Fe-HPS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456562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1%Ru-HPS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4F2EAC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2%Fe-1%Ru-HPS</w:t>
            </w:r>
          </w:p>
        </w:tc>
      </w:tr>
      <w:tr w14:paraId="3AC20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4EEBD7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C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BA57D8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79.17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C8D0EA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92.63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035383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91.20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A78C66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90.15</w:t>
            </w:r>
          </w:p>
        </w:tc>
      </w:tr>
      <w:tr w14:paraId="7A7217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92C664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O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D1B46F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17.68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03D274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6.80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AD7498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6.94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5EDDDC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7.32</w:t>
            </w:r>
          </w:p>
        </w:tc>
      </w:tr>
      <w:tr w14:paraId="07B5C8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FB0235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Cl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9053F2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1.35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F1103C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086C71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35100E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</w:tr>
      <w:tr w14:paraId="41526D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E125CF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Si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746B89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0.43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4E51D8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A6949A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9F9635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</w:tr>
      <w:tr w14:paraId="38F125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375114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S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2E31A6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0.32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338EC9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F99B00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BC0AA5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</w:tr>
      <w:tr w14:paraId="1ACCA8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47A6BF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N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D4BE15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1.04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8D1D85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B254C1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6A3700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</w:tr>
      <w:tr w14:paraId="1DB5E1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571B1D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Na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B80A12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67028C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0.21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D97C92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0.12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8CA580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0.16</w:t>
            </w:r>
          </w:p>
        </w:tc>
      </w:tr>
      <w:tr w14:paraId="485754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868A47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Fe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73C398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239D72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0.36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5C08BC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C80AE8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0.72</w:t>
            </w:r>
          </w:p>
        </w:tc>
      </w:tr>
      <w:tr w14:paraId="56EBA6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5D133D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 xml:space="preserve">Ru 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B7F209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CD2C2B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-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2452D9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1.74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8B37E1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1.65</w:t>
            </w:r>
          </w:p>
        </w:tc>
      </w:tr>
    </w:tbl>
    <w:p w14:paraId="786E594E">
      <w:pPr>
        <w:spacing w:beforeLines="0" w:afterLines="0"/>
        <w:ind w:firstLine="0" w:firstLineChars="0"/>
        <w:rPr>
          <w:sz w:val="24"/>
          <w:szCs w:val="24"/>
          <w:lang w:val="en-US"/>
        </w:rPr>
      </w:pPr>
    </w:p>
    <w:tbl>
      <w:tblPr>
        <w:tblStyle w:val="1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9"/>
        <w:gridCol w:w="4672"/>
      </w:tblGrid>
      <w:tr w14:paraId="6DB779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9" w:type="dxa"/>
          </w:tcPr>
          <w:p w14:paraId="0AA9D008">
            <w:pPr>
              <w:spacing w:beforeLines="0" w:afterLines="0"/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drawing>
                <wp:inline distT="0" distB="0" distL="0" distR="0">
                  <wp:extent cx="2640965" cy="1856105"/>
                  <wp:effectExtent l="0" t="0" r="6985" b="0"/>
                  <wp:docPr id="68" name="Рисунок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Рисунок 68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22" b="4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</w:tcPr>
          <w:p w14:paraId="2F9E79E8">
            <w:pPr>
              <w:spacing w:beforeLines="0" w:afterLines="0"/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2783840" cy="1951990"/>
                  <wp:effectExtent l="0" t="0" r="0" b="0"/>
                  <wp:docPr id="77" name="Рисунок 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Рисунок 77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11" b="42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3840" cy="195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D50FF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9" w:type="dxa"/>
          </w:tcPr>
          <w:p w14:paraId="31E5A014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(a)</w:t>
            </w:r>
          </w:p>
        </w:tc>
        <w:tc>
          <w:tcPr>
            <w:tcW w:w="4672" w:type="dxa"/>
          </w:tcPr>
          <w:p w14:paraId="513AF189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(b)</w:t>
            </w:r>
          </w:p>
        </w:tc>
      </w:tr>
    </w:tbl>
    <w:p w14:paraId="457C2C61">
      <w:pPr>
        <w:adjustRightInd w:val="0"/>
        <w:snapToGrid w:val="0"/>
        <w:spacing w:beforeLines="0" w:afterLines="0" w:line="228" w:lineRule="auto"/>
        <w:ind w:firstLine="0" w:firstLineChars="0"/>
        <w:jc w:val="center"/>
        <w:outlineLvl w:val="1"/>
        <w:rPr>
          <w:rFonts w:eastAsia="Times New Roman"/>
          <w:snapToGrid w:val="0"/>
          <w:sz w:val="24"/>
          <w:szCs w:val="24"/>
          <w:lang w:val="en-US" w:eastAsia="de-DE" w:bidi="en-US"/>
        </w:rPr>
      </w:pPr>
      <w:r>
        <w:rPr>
          <w:rFonts w:eastAsia="Times New Roman"/>
          <w:b/>
          <w:bCs/>
          <w:snapToGrid w:val="0"/>
          <w:sz w:val="24"/>
          <w:szCs w:val="24"/>
          <w:lang w:val="it-IT" w:eastAsia="de-DE" w:bidi="en-US"/>
        </w:rPr>
        <w:t>Figure S5.</w:t>
      </w:r>
      <w:r>
        <w:rPr>
          <w:rFonts w:eastAsia="Times New Roman"/>
          <w:snapToGrid w:val="0"/>
          <w:sz w:val="24"/>
          <w:szCs w:val="24"/>
          <w:lang w:val="en-US" w:eastAsia="de-DE" w:bidi="en-US"/>
        </w:rPr>
        <w:t xml:space="preserve"> </w:t>
      </w:r>
      <w:bookmarkStart w:id="4" w:name="_Hlk151927592"/>
      <w:r>
        <w:rPr>
          <w:rFonts w:eastAsia="Times New Roman"/>
          <w:snapToGrid w:val="0"/>
          <w:sz w:val="24"/>
          <w:szCs w:val="24"/>
          <w:lang w:val="en-US" w:eastAsia="de-DE" w:bidi="en-US"/>
        </w:rPr>
        <w:t>High-resolution spectra of O 1s sublevel for 2%-Fe-HPS (a), and 2%-Fe-1%-Ru-HPS (b)</w:t>
      </w:r>
      <w:bookmarkEnd w:id="4"/>
    </w:p>
    <w:p w14:paraId="3782B3C6">
      <w:pPr>
        <w:spacing w:beforeLines="0" w:afterLines="0"/>
        <w:ind w:firstLine="0" w:firstLineChars="0"/>
        <w:rPr>
          <w:sz w:val="24"/>
          <w:szCs w:val="24"/>
          <w:lang w:val="en-US"/>
        </w:rPr>
      </w:pPr>
    </w:p>
    <w:tbl>
      <w:tblPr>
        <w:tblStyle w:val="1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5"/>
        <w:gridCol w:w="4686"/>
      </w:tblGrid>
      <w:tr w14:paraId="48D9E8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9" w:type="dxa"/>
          </w:tcPr>
          <w:p w14:paraId="4A7019E2">
            <w:pPr>
              <w:spacing w:beforeLines="0" w:afterLines="0"/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2464435" cy="1981200"/>
                  <wp:effectExtent l="0" t="0" r="0" b="0"/>
                  <wp:docPr id="76" name="Рисунок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Рисунок 76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76" b="39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292" cy="1989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</w:tcPr>
          <w:p w14:paraId="499DE152">
            <w:pPr>
              <w:spacing w:beforeLines="0" w:afterLines="0"/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inline distT="0" distB="0" distL="0" distR="0">
                  <wp:extent cx="2834640" cy="1981200"/>
                  <wp:effectExtent l="0" t="0" r="3810" b="0"/>
                  <wp:docPr id="42" name="Рисунок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18"/>
                          <pic:cNvPicPr/>
                        </pic:nvPicPr>
                        <pic:blipFill>
                          <a:blip r:embed="rId36"/>
                          <a:srcRect t="49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076" cy="201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1226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99" w:type="dxa"/>
          </w:tcPr>
          <w:p w14:paraId="6AA7E55B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(a)</w:t>
            </w:r>
          </w:p>
        </w:tc>
        <w:tc>
          <w:tcPr>
            <w:tcW w:w="4672" w:type="dxa"/>
          </w:tcPr>
          <w:p w14:paraId="4616BB76">
            <w:pPr>
              <w:adjustRightInd w:val="0"/>
              <w:snapToGrid w:val="0"/>
              <w:spacing w:beforeLines="0" w:afterLines="0" w:line="240" w:lineRule="auto"/>
              <w:ind w:firstLine="0" w:firstLineChars="0"/>
              <w:jc w:val="center"/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</w:pPr>
            <w:r>
              <w:rPr>
                <w:rFonts w:eastAsia="Times New Roman"/>
                <w:snapToGrid w:val="0"/>
                <w:sz w:val="24"/>
                <w:szCs w:val="24"/>
                <w:lang w:val="en-US" w:eastAsia="de-DE" w:bidi="en-US"/>
              </w:rPr>
              <w:t>(b)</w:t>
            </w:r>
          </w:p>
        </w:tc>
      </w:tr>
    </w:tbl>
    <w:p w14:paraId="5068C2AB">
      <w:pPr>
        <w:adjustRightInd w:val="0"/>
        <w:snapToGrid w:val="0"/>
        <w:spacing w:beforeLines="0" w:afterLines="0" w:line="228" w:lineRule="auto"/>
        <w:ind w:firstLine="0" w:firstLineChars="0"/>
        <w:jc w:val="center"/>
        <w:outlineLvl w:val="1"/>
        <w:rPr>
          <w:rFonts w:eastAsia="Times New Roman"/>
          <w:snapToGrid w:val="0"/>
          <w:sz w:val="24"/>
          <w:szCs w:val="24"/>
          <w:lang w:val="en-US" w:eastAsia="de-DE" w:bidi="en-US"/>
        </w:rPr>
      </w:pPr>
      <w:r>
        <w:rPr>
          <w:rFonts w:eastAsia="Times New Roman"/>
          <w:b/>
          <w:bCs/>
          <w:snapToGrid w:val="0"/>
          <w:sz w:val="24"/>
          <w:szCs w:val="24"/>
          <w:lang w:val="it-IT" w:eastAsia="de-DE" w:bidi="en-US"/>
        </w:rPr>
        <w:t>Figure S6.</w:t>
      </w:r>
      <w:r>
        <w:rPr>
          <w:rFonts w:eastAsia="Times New Roman"/>
          <w:snapToGrid w:val="0"/>
          <w:sz w:val="24"/>
          <w:szCs w:val="24"/>
          <w:lang w:val="en-US" w:eastAsia="de-DE" w:bidi="en-US"/>
        </w:rPr>
        <w:t xml:space="preserve"> </w:t>
      </w:r>
      <w:r>
        <w:rPr>
          <w:sz w:val="24"/>
          <w:szCs w:val="24"/>
          <w:lang w:val="en-US" w:bidi="en-US"/>
        </w:rPr>
        <w:t>High-resolution spectra for Fe 2p, C1s, and Ru 3d sublevels for as-synthesized 2%-Fe-HPS (a), and 1%-Ru-HPS (b)</w:t>
      </w:r>
    </w:p>
    <w:p w14:paraId="72087B53">
      <w:pPr>
        <w:spacing w:beforeLines="0" w:afterLines="0"/>
        <w:ind w:firstLine="0" w:firstLineChars="0"/>
        <w:rPr>
          <w:sz w:val="24"/>
          <w:szCs w:val="24"/>
          <w:lang w:val="en-US"/>
        </w:rPr>
      </w:pPr>
    </w:p>
    <w:p w14:paraId="1D6FA0D7">
      <w:pPr>
        <w:spacing w:beforeLines="0" w:afterLines="0"/>
        <w:ind w:firstLine="0" w:firstLineChars="0"/>
        <w:rPr>
          <w:sz w:val="24"/>
          <w:szCs w:val="24"/>
          <w:lang w:val="en-US"/>
        </w:rPr>
      </w:pPr>
      <w:r>
        <w:object>
          <v:shape id="_x0000_i1032" o:spt="75" type="#_x0000_t75" style="height:209.35pt;width:467.4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ChemWindow.Document" ShapeID="_x0000_i1032" DrawAspect="Content" ObjectID="_1468075732" r:id="rId37">
            <o:LockedField>false</o:LockedField>
          </o:OLEObject>
        </w:object>
      </w:r>
    </w:p>
    <w:p w14:paraId="3B584C9D">
      <w:pPr>
        <w:adjustRightInd w:val="0"/>
        <w:snapToGrid w:val="0"/>
        <w:spacing w:beforeLines="0" w:afterLines="0" w:line="228" w:lineRule="auto"/>
        <w:ind w:firstLine="0" w:firstLineChars="0"/>
        <w:jc w:val="center"/>
        <w:outlineLvl w:val="1"/>
        <w:rPr>
          <w:rFonts w:eastAsia="Times New Roman"/>
          <w:snapToGrid w:val="0"/>
          <w:sz w:val="24"/>
          <w:szCs w:val="24"/>
          <w:lang w:val="en-US" w:eastAsia="de-DE" w:bidi="en-US"/>
        </w:rPr>
      </w:pPr>
      <w:r>
        <w:rPr>
          <w:rFonts w:eastAsia="Times New Roman"/>
          <w:b/>
          <w:bCs/>
          <w:snapToGrid w:val="0"/>
          <w:sz w:val="24"/>
          <w:szCs w:val="24"/>
          <w:lang w:val="it-IT" w:eastAsia="de-DE" w:bidi="en-US"/>
        </w:rPr>
        <w:t>Figure S7.</w:t>
      </w:r>
      <w:r>
        <w:rPr>
          <w:rFonts w:eastAsia="Times New Roman"/>
          <w:snapToGrid w:val="0"/>
          <w:sz w:val="24"/>
          <w:szCs w:val="24"/>
          <w:lang w:val="en-US" w:eastAsia="de-DE" w:bidi="en-US"/>
        </w:rPr>
        <w:t xml:space="preserve"> </w:t>
      </w:r>
      <w:r>
        <w:rPr>
          <w:sz w:val="24"/>
          <w:szCs w:val="24"/>
          <w:lang w:val="en-US" w:bidi="en-US"/>
        </w:rPr>
        <w:t>Possible reaction scheme of the liquid-phase FTS over Ru-Fe-HPS</w:t>
      </w:r>
    </w:p>
    <w:p w14:paraId="6ACCF9F3">
      <w:pPr>
        <w:spacing w:beforeLines="0" w:afterLines="0"/>
        <w:ind w:firstLine="0" w:firstLineChars="0"/>
        <w:rPr>
          <w:sz w:val="24"/>
          <w:szCs w:val="24"/>
          <w:lang w:val="en-US"/>
        </w:rPr>
      </w:pPr>
    </w:p>
    <w:p w14:paraId="37970220">
      <w:pPr>
        <w:spacing w:beforeLines="0" w:afterLines="0"/>
        <w:ind w:firstLine="0" w:firstLineChars="0"/>
        <w:jc w:val="center"/>
        <w:rPr>
          <w:sz w:val="24"/>
          <w:szCs w:val="24"/>
          <w:lang w:val="en-US"/>
        </w:rPr>
      </w:pPr>
      <w:r>
        <w:drawing>
          <wp:inline distT="0" distB="0" distL="0" distR="0">
            <wp:extent cx="3704590" cy="2762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1901" cy="276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FE546">
      <w:pPr>
        <w:adjustRightInd w:val="0"/>
        <w:snapToGrid w:val="0"/>
        <w:spacing w:beforeLines="0" w:afterLines="0" w:line="228" w:lineRule="auto"/>
        <w:ind w:firstLine="0" w:firstLineChars="0"/>
        <w:jc w:val="center"/>
        <w:outlineLvl w:val="1"/>
        <w:rPr>
          <w:rFonts w:eastAsia="Times New Roman"/>
          <w:snapToGrid w:val="0"/>
          <w:sz w:val="24"/>
          <w:szCs w:val="24"/>
          <w:lang w:val="en-US" w:eastAsia="de-DE" w:bidi="en-US"/>
        </w:rPr>
      </w:pPr>
      <w:r>
        <w:rPr>
          <w:rFonts w:eastAsia="Times New Roman"/>
          <w:b/>
          <w:bCs/>
          <w:snapToGrid w:val="0"/>
          <w:sz w:val="24"/>
          <w:szCs w:val="24"/>
          <w:lang w:val="it-IT" w:eastAsia="de-DE" w:bidi="en-US"/>
        </w:rPr>
        <w:t>Figure S8.</w:t>
      </w:r>
      <w:r>
        <w:rPr>
          <w:rFonts w:eastAsia="Times New Roman"/>
          <w:snapToGrid w:val="0"/>
          <w:sz w:val="24"/>
          <w:szCs w:val="24"/>
          <w:lang w:val="en-US" w:eastAsia="de-DE" w:bidi="en-US"/>
        </w:rPr>
        <w:t xml:space="preserve"> </w:t>
      </w:r>
      <w:r>
        <w:rPr>
          <w:sz w:val="24"/>
          <w:szCs w:val="24"/>
          <w:lang w:val="en-US" w:bidi="en-US"/>
        </w:rPr>
        <w:t>Particle-size distribution obtained by SAXS for 2%-Fe-HPS, 2%Fe-1%Ru-HPS, and 10%-Fe-1%-Ru-HPS</w:t>
      </w:r>
    </w:p>
    <w:p w14:paraId="0F56D40C">
      <w:pPr>
        <w:spacing w:beforeLines="0" w:afterLines="0"/>
        <w:ind w:firstLine="0" w:firstLineChars="0"/>
        <w:rPr>
          <w:sz w:val="24"/>
          <w:szCs w:val="24"/>
          <w:lang w:val="en-US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1587"/>
      </w:pPr>
      <w:r>
        <w:separator/>
      </w:r>
    </w:p>
  </w:endnote>
  <w:endnote w:type="continuationSeparator" w:id="1">
    <w:p>
      <w:pPr>
        <w:spacing w:line="240" w:lineRule="auto"/>
        <w:ind w:firstLine="158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2ECE5">
    <w:pPr>
      <w:pStyle w:val="9"/>
      <w:spacing w:before="60" w:after="60"/>
      <w:ind w:firstLine="102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37BC49">
    <w:pPr>
      <w:pStyle w:val="9"/>
      <w:spacing w:before="60" w:after="60"/>
      <w:ind w:firstLine="102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2446B2">
    <w:pPr>
      <w:pStyle w:val="9"/>
      <w:spacing w:before="60" w:after="60"/>
      <w:ind w:firstLine="102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1587"/>
      </w:pPr>
      <w:r>
        <w:separator/>
      </w:r>
    </w:p>
  </w:footnote>
  <w:footnote w:type="continuationSeparator" w:id="1">
    <w:p>
      <w:pPr>
        <w:spacing w:before="0" w:after="0" w:line="360" w:lineRule="auto"/>
        <w:ind w:firstLine="1587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88C7EF">
    <w:pPr>
      <w:pStyle w:val="10"/>
      <w:spacing w:before="60" w:after="60"/>
      <w:ind w:firstLine="102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6978ED">
    <w:pPr>
      <w:pStyle w:val="10"/>
      <w:spacing w:before="60" w:after="60"/>
      <w:ind w:firstLine="102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98815">
    <w:pPr>
      <w:pStyle w:val="10"/>
      <w:spacing w:before="60" w:after="60"/>
      <w:ind w:firstLine="102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EE9"/>
    <w:rsid w:val="00091F86"/>
    <w:rsid w:val="00094DAC"/>
    <w:rsid w:val="00140BA2"/>
    <w:rsid w:val="001C3141"/>
    <w:rsid w:val="00247756"/>
    <w:rsid w:val="00270BC1"/>
    <w:rsid w:val="00293A8E"/>
    <w:rsid w:val="003179C5"/>
    <w:rsid w:val="00366F12"/>
    <w:rsid w:val="003A5600"/>
    <w:rsid w:val="003D0EAF"/>
    <w:rsid w:val="0045726D"/>
    <w:rsid w:val="00486E42"/>
    <w:rsid w:val="005707AA"/>
    <w:rsid w:val="00592A52"/>
    <w:rsid w:val="005A6E2B"/>
    <w:rsid w:val="005B23E2"/>
    <w:rsid w:val="006040B5"/>
    <w:rsid w:val="006A3F6B"/>
    <w:rsid w:val="006D1D53"/>
    <w:rsid w:val="007256CC"/>
    <w:rsid w:val="00780587"/>
    <w:rsid w:val="00792ED6"/>
    <w:rsid w:val="007C4859"/>
    <w:rsid w:val="00940EE9"/>
    <w:rsid w:val="009B3EEF"/>
    <w:rsid w:val="009E1DF0"/>
    <w:rsid w:val="00A12056"/>
    <w:rsid w:val="00A80AE4"/>
    <w:rsid w:val="00B05B6B"/>
    <w:rsid w:val="00BA568B"/>
    <w:rsid w:val="00C06C98"/>
    <w:rsid w:val="00C93B2B"/>
    <w:rsid w:val="00DA5CE7"/>
    <w:rsid w:val="00DD220C"/>
    <w:rsid w:val="00E23768"/>
    <w:rsid w:val="00F33B90"/>
    <w:rsid w:val="00F56195"/>
    <w:rsid w:val="00F809E5"/>
    <w:rsid w:val="00FB0524"/>
    <w:rsid w:val="00FF2DE0"/>
    <w:rsid w:val="4CF9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Lines="25" w:afterLines="25" w:line="360" w:lineRule="auto"/>
      <w:ind w:firstLine="567" w:firstLineChars="567"/>
      <w:jc w:val="both"/>
    </w:pPr>
    <w:rPr>
      <w:rFonts w:ascii="Times New Roman" w:hAnsi="Times New Roman" w:cs="Times New Roman" w:eastAsiaTheme="minorEastAsia"/>
      <w:sz w:val="28"/>
      <w:szCs w:val="28"/>
      <w:lang w:val="ru-RU" w:eastAsia="en-US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Lines="0" w:afterLines="0"/>
      <w:outlineLvl w:val="0"/>
    </w:pPr>
    <w:rPr>
      <w:rFonts w:eastAsia="Times New Roman"/>
      <w:sz w:val="20"/>
      <w:szCs w:val="32"/>
      <w:lang w:eastAsia="ru-RU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Lines="0" w:afterLines="0"/>
      <w:ind w:firstLine="709" w:firstLineChars="0"/>
      <w:outlineLvl w:val="1"/>
    </w:pPr>
    <w:rPr>
      <w:rFonts w:eastAsia="Times New Roman"/>
      <w:sz w:val="20"/>
      <w:lang w:eastAsia="ru-RU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Lines="0" w:afterLines="0"/>
      <w:ind w:firstLine="709" w:firstLineChars="0"/>
      <w:outlineLvl w:val="2"/>
    </w:pPr>
    <w:rPr>
      <w:rFonts w:eastAsia="Times New Roman"/>
      <w:color w:val="000000"/>
      <w:sz w:val="20"/>
      <w:szCs w:val="24"/>
      <w:lang w:eastAsia="ru-RU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40"/>
      <w:outlineLvl w:val="3"/>
    </w:pPr>
    <w:rPr>
      <w:rFonts w:ascii="Calibri Light" w:hAnsi="Calibri Light" w:eastAsia="Times New Roman"/>
      <w:i/>
      <w:iCs/>
      <w:color w:val="2F5496"/>
      <w:sz w:val="20"/>
      <w:lang w:eastAsia="ru-RU"/>
    </w:rPr>
  </w:style>
  <w:style w:type="paragraph" w:styleId="6">
    <w:name w:val="heading 5"/>
    <w:basedOn w:val="1"/>
    <w:next w:val="1"/>
    <w:link w:val="22"/>
    <w:unhideWhenUsed/>
    <w:qFormat/>
    <w:uiPriority w:val="9"/>
    <w:pPr>
      <w:keepNext/>
      <w:keepLines/>
      <w:spacing w:before="40"/>
      <w:outlineLvl w:val="4"/>
    </w:pPr>
    <w:rPr>
      <w:rFonts w:ascii="Calibri Light" w:hAnsi="Calibri Light" w:eastAsia="Times New Roman"/>
      <w:color w:val="2F5496"/>
      <w:sz w:val="20"/>
      <w:lang w:eastAsia="ru-RU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c 3"/>
    <w:basedOn w:val="1"/>
    <w:next w:val="1"/>
    <w:autoRedefine/>
    <w:unhideWhenUsed/>
    <w:qFormat/>
    <w:uiPriority w:val="39"/>
    <w:pPr>
      <w:spacing w:after="100"/>
      <w:ind w:left="560"/>
    </w:pPr>
  </w:style>
  <w:style w:type="paragraph" w:styleId="8">
    <w:name w:val="Balloon Text"/>
    <w:basedOn w:val="1"/>
    <w:link w:val="31"/>
    <w:semiHidden/>
    <w:unhideWhenUsed/>
    <w:uiPriority w:val="99"/>
    <w:pPr>
      <w:spacing w:line="240" w:lineRule="auto"/>
    </w:pPr>
    <w:rPr>
      <w:rFonts w:ascii="Tahoma" w:hAnsi="Tahoma" w:cs="Tahoma"/>
      <w:sz w:val="16"/>
      <w:szCs w:val="16"/>
    </w:rPr>
  </w:style>
  <w:style w:type="paragraph" w:styleId="9">
    <w:name w:val="footer"/>
    <w:basedOn w:val="1"/>
    <w:link w:val="35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0">
    <w:name w:val="header"/>
    <w:basedOn w:val="1"/>
    <w:link w:val="34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tabs>
        <w:tab w:val="right" w:leader="dot" w:pos="9345"/>
      </w:tabs>
      <w:spacing w:before="60" w:after="60"/>
      <w:ind w:firstLine="1594"/>
    </w:pPr>
    <w:rPr>
      <w:bCs/>
    </w:rPr>
  </w:style>
  <w:style w:type="paragraph" w:styleId="12">
    <w:name w:val="toc 2"/>
    <w:basedOn w:val="1"/>
    <w:next w:val="1"/>
    <w:autoRedefine/>
    <w:unhideWhenUsed/>
    <w:qFormat/>
    <w:uiPriority w:val="39"/>
    <w:pPr>
      <w:spacing w:after="100"/>
      <w:ind w:left="280"/>
    </w:pPr>
  </w:style>
  <w:style w:type="paragraph" w:styleId="13">
    <w:name w:val="Normal (Web)"/>
    <w:basedOn w:val="1"/>
    <w:link w:val="23"/>
    <w:unhideWhenUsed/>
    <w:qFormat/>
    <w:uiPriority w:val="99"/>
    <w:pPr>
      <w:spacing w:beforeLines="0" w:beforeAutospacing="1" w:afterLines="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Emphasis"/>
    <w:basedOn w:val="15"/>
    <w:qFormat/>
    <w:uiPriority w:val="20"/>
    <w:rPr>
      <w:i/>
      <w:iCs/>
    </w:rPr>
  </w:style>
  <w:style w:type="character" w:customStyle="1" w:styleId="18">
    <w:name w:val="标题 1 字符"/>
    <w:basedOn w:val="15"/>
    <w:link w:val="2"/>
    <w:uiPriority w:val="9"/>
    <w:rPr>
      <w:rFonts w:eastAsia="Times New Roman" w:cs="Times New Roman"/>
      <w:szCs w:val="32"/>
    </w:rPr>
  </w:style>
  <w:style w:type="character" w:customStyle="1" w:styleId="19">
    <w:name w:val="标题 2 字符"/>
    <w:basedOn w:val="15"/>
    <w:link w:val="3"/>
    <w:uiPriority w:val="9"/>
    <w:rPr>
      <w:rFonts w:eastAsia="Times New Roman" w:cs="Times New Roman"/>
      <w:szCs w:val="28"/>
    </w:rPr>
  </w:style>
  <w:style w:type="character" w:customStyle="1" w:styleId="20">
    <w:name w:val="标题 3 字符"/>
    <w:basedOn w:val="15"/>
    <w:link w:val="4"/>
    <w:uiPriority w:val="9"/>
    <w:rPr>
      <w:rFonts w:eastAsia="Times New Roman" w:cs="Times New Roman"/>
      <w:color w:val="000000"/>
      <w:szCs w:val="24"/>
    </w:rPr>
  </w:style>
  <w:style w:type="character" w:customStyle="1" w:styleId="21">
    <w:name w:val="标题 4 字符"/>
    <w:basedOn w:val="15"/>
    <w:link w:val="5"/>
    <w:uiPriority w:val="9"/>
    <w:rPr>
      <w:rFonts w:ascii="Calibri Light" w:hAnsi="Calibri Light" w:eastAsia="Times New Roman" w:cs="Times New Roman"/>
      <w:i/>
      <w:iCs/>
      <w:color w:val="2F5496"/>
      <w:szCs w:val="28"/>
    </w:rPr>
  </w:style>
  <w:style w:type="character" w:customStyle="1" w:styleId="22">
    <w:name w:val="标题 5 字符"/>
    <w:basedOn w:val="15"/>
    <w:link w:val="6"/>
    <w:uiPriority w:val="9"/>
    <w:rPr>
      <w:rFonts w:ascii="Calibri Light" w:hAnsi="Calibri Light" w:eastAsia="Times New Roman" w:cs="Times New Roman"/>
      <w:color w:val="2F5496"/>
      <w:szCs w:val="28"/>
    </w:rPr>
  </w:style>
  <w:style w:type="character" w:customStyle="1" w:styleId="23">
    <w:name w:val="普通(网站) 字符"/>
    <w:link w:val="13"/>
    <w:uiPriority w:val="99"/>
    <w:rPr>
      <w:rFonts w:eastAsia="Times New Roman"/>
      <w:sz w:val="24"/>
      <w:szCs w:val="24"/>
    </w:rPr>
  </w:style>
  <w:style w:type="paragraph" w:styleId="24">
    <w:name w:val="No Spacing"/>
    <w:qFormat/>
    <w:uiPriority w:val="1"/>
    <w:rPr>
      <w:rFonts w:ascii="Times New Roman" w:hAnsi="Times New Roman" w:cs="Times New Roman" w:eastAsiaTheme="minorEastAsia"/>
      <w:sz w:val="28"/>
      <w:szCs w:val="22"/>
      <w:lang w:val="ru-RU" w:eastAsia="en-US" w:bidi="ar-SA"/>
    </w:rPr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paragraph" w:customStyle="1" w:styleId="26">
    <w:name w:val="TOC Heading"/>
    <w:basedOn w:val="2"/>
    <w:next w:val="1"/>
    <w:unhideWhenUsed/>
    <w:qFormat/>
    <w:uiPriority w:val="39"/>
    <w:pPr>
      <w:spacing w:before="240" w:line="259" w:lineRule="auto"/>
      <w:ind w:firstLine="0" w:firstLineChars="0"/>
      <w:jc w:val="left"/>
      <w:outlineLvl w:val="9"/>
    </w:pPr>
    <w:rPr>
      <w:rFonts w:ascii="Calibri Light" w:hAnsi="Calibri Light"/>
      <w:color w:val="2F5496"/>
      <w:sz w:val="32"/>
    </w:rPr>
  </w:style>
  <w:style w:type="paragraph" w:customStyle="1" w:styleId="27">
    <w:name w:val="Заголовок 31"/>
    <w:basedOn w:val="1"/>
    <w:next w:val="1"/>
    <w:unhideWhenUsed/>
    <w:qFormat/>
    <w:uiPriority w:val="9"/>
    <w:pPr>
      <w:keepNext/>
      <w:keepLines/>
      <w:spacing w:beforeLines="0" w:afterLines="0" w:line="480" w:lineRule="auto"/>
      <w:ind w:firstLine="0" w:firstLineChars="0"/>
      <w:outlineLvl w:val="2"/>
    </w:pPr>
    <w:rPr>
      <w:rFonts w:eastAsia="Times New Roman"/>
      <w:bCs/>
      <w:szCs w:val="22"/>
    </w:rPr>
  </w:style>
  <w:style w:type="paragraph" w:customStyle="1" w:styleId="28">
    <w:name w:val="Заголовок оглавления1"/>
    <w:basedOn w:val="2"/>
    <w:next w:val="1"/>
    <w:unhideWhenUsed/>
    <w:qFormat/>
    <w:uiPriority w:val="39"/>
    <w:pPr>
      <w:spacing w:before="480" w:line="276" w:lineRule="auto"/>
      <w:ind w:firstLine="0" w:firstLineChars="0"/>
      <w:jc w:val="left"/>
      <w:outlineLvl w:val="9"/>
    </w:pPr>
    <w:rPr>
      <w:rFonts w:ascii="Calibri Light" w:hAnsi="Calibri Light"/>
      <w:b/>
      <w:bCs/>
      <w:color w:val="2F5496"/>
      <w:sz w:val="28"/>
      <w:szCs w:val="28"/>
    </w:rPr>
  </w:style>
  <w:style w:type="paragraph" w:customStyle="1" w:styleId="29">
    <w:name w:val="ЗАГОЛОВОК"/>
    <w:basedOn w:val="2"/>
    <w:link w:val="30"/>
    <w:autoRedefine/>
    <w:qFormat/>
    <w:uiPriority w:val="0"/>
    <w:pPr>
      <w:tabs>
        <w:tab w:val="left" w:pos="0"/>
      </w:tabs>
      <w:suppressAutoHyphens/>
      <w:spacing w:before="480"/>
      <w:ind w:firstLine="0" w:firstLineChars="0"/>
      <w:jc w:val="center"/>
    </w:pPr>
    <w:rPr>
      <w:rFonts w:ascii="Cambria" w:hAnsi="Cambria" w:cs="Cambria"/>
      <w:bCs/>
      <w:color w:val="365F91"/>
      <w:sz w:val="28"/>
      <w:szCs w:val="28"/>
      <w:lang w:eastAsia="zh-CN"/>
    </w:rPr>
  </w:style>
  <w:style w:type="character" w:customStyle="1" w:styleId="30">
    <w:name w:val="ЗАГОЛОВОК Знак"/>
    <w:basedOn w:val="18"/>
    <w:link w:val="29"/>
    <w:uiPriority w:val="0"/>
    <w:rPr>
      <w:rFonts w:ascii="Cambria" w:hAnsi="Cambria" w:eastAsia="Times New Roman" w:cs="Cambria"/>
      <w:bCs/>
      <w:color w:val="365F91"/>
      <w:sz w:val="28"/>
      <w:szCs w:val="28"/>
      <w:lang w:eastAsia="zh-CN"/>
    </w:rPr>
  </w:style>
  <w:style w:type="character" w:customStyle="1" w:styleId="31">
    <w:name w:val="批注框文本 字符"/>
    <w:basedOn w:val="15"/>
    <w:link w:val="8"/>
    <w:semiHidden/>
    <w:uiPriority w:val="99"/>
    <w:rPr>
      <w:rFonts w:ascii="Tahoma" w:hAnsi="Tahoma" w:cs="Tahoma"/>
      <w:sz w:val="16"/>
      <w:szCs w:val="16"/>
      <w:lang w:eastAsia="en-US"/>
    </w:rPr>
  </w:style>
  <w:style w:type="table" w:customStyle="1" w:styleId="32">
    <w:name w:val="Table Normal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eastAsia="Arial Unicode M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3">
    <w:name w:val="MDPI_3.1_text"/>
    <w:qFormat/>
    <w:uiPriority w:val="0"/>
    <w:pPr>
      <w:adjustRightInd w:val="0"/>
      <w:snapToGrid w:val="0"/>
      <w:spacing w:line="228" w:lineRule="auto"/>
      <w:ind w:left="2608" w:firstLine="425"/>
      <w:jc w:val="both"/>
    </w:pPr>
    <w:rPr>
      <w:rFonts w:ascii="Palatino Linotype" w:hAnsi="Palatino Linotype" w:eastAsia="Times New Roman" w:cs="Times New Roman"/>
      <w:snapToGrid w:val="0"/>
      <w:color w:val="000000"/>
      <w:szCs w:val="22"/>
      <w:lang w:val="en-US" w:eastAsia="de-DE" w:bidi="en-US"/>
    </w:rPr>
  </w:style>
  <w:style w:type="character" w:customStyle="1" w:styleId="34">
    <w:name w:val="页眉 字符"/>
    <w:basedOn w:val="15"/>
    <w:link w:val="10"/>
    <w:uiPriority w:val="99"/>
    <w:rPr>
      <w:sz w:val="18"/>
      <w:szCs w:val="18"/>
      <w:lang w:eastAsia="en-US"/>
    </w:rPr>
  </w:style>
  <w:style w:type="character" w:customStyle="1" w:styleId="35">
    <w:name w:val="页脚 字符"/>
    <w:basedOn w:val="15"/>
    <w:link w:val="9"/>
    <w:uiPriority w:val="99"/>
    <w:rPr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0" Type="http://schemas.openxmlformats.org/officeDocument/2006/relationships/fontTable" Target="fontTable.xml"/><Relationship Id="rId4" Type="http://schemas.openxmlformats.org/officeDocument/2006/relationships/endnotes" Target="endnotes.xml"/><Relationship Id="rId39" Type="http://schemas.openxmlformats.org/officeDocument/2006/relationships/image" Target="media/image20.png"/><Relationship Id="rId38" Type="http://schemas.openxmlformats.org/officeDocument/2006/relationships/image" Target="media/image19.wmf"/><Relationship Id="rId37" Type="http://schemas.openxmlformats.org/officeDocument/2006/relationships/oleObject" Target="embeddings/oleObject8.bin"/><Relationship Id="rId36" Type="http://schemas.openxmlformats.org/officeDocument/2006/relationships/image" Target="media/image18.emf"/><Relationship Id="rId35" Type="http://schemas.openxmlformats.org/officeDocument/2006/relationships/image" Target="media/image17.emf"/><Relationship Id="rId34" Type="http://schemas.openxmlformats.org/officeDocument/2006/relationships/image" Target="media/image16.emf"/><Relationship Id="rId33" Type="http://schemas.openxmlformats.org/officeDocument/2006/relationships/image" Target="media/image15.emf"/><Relationship Id="rId32" Type="http://schemas.openxmlformats.org/officeDocument/2006/relationships/image" Target="media/image14.emf"/><Relationship Id="rId31" Type="http://schemas.openxmlformats.org/officeDocument/2006/relationships/image" Target="media/image13.emf"/><Relationship Id="rId30" Type="http://schemas.openxmlformats.org/officeDocument/2006/relationships/image" Target="media/image12.emf"/><Relationship Id="rId3" Type="http://schemas.openxmlformats.org/officeDocument/2006/relationships/footnotes" Target="footnotes.xml"/><Relationship Id="rId29" Type="http://schemas.openxmlformats.org/officeDocument/2006/relationships/image" Target="media/image11.emf"/><Relationship Id="rId28" Type="http://schemas.openxmlformats.org/officeDocument/2006/relationships/image" Target="media/image10.png"/><Relationship Id="rId27" Type="http://schemas.openxmlformats.org/officeDocument/2006/relationships/image" Target="media/image9.jpeg"/><Relationship Id="rId26" Type="http://schemas.openxmlformats.org/officeDocument/2006/relationships/image" Target="media/image8.jpeg"/><Relationship Id="rId25" Type="http://schemas.openxmlformats.org/officeDocument/2006/relationships/image" Target="media/image7.emf"/><Relationship Id="rId24" Type="http://schemas.openxmlformats.org/officeDocument/2006/relationships/oleObject" Target="embeddings/oleObject7.bin"/><Relationship Id="rId23" Type="http://schemas.openxmlformats.org/officeDocument/2006/relationships/image" Target="media/image6.emf"/><Relationship Id="rId22" Type="http://schemas.openxmlformats.org/officeDocument/2006/relationships/oleObject" Target="embeddings/oleObject6.bin"/><Relationship Id="rId21" Type="http://schemas.openxmlformats.org/officeDocument/2006/relationships/image" Target="media/image5.emf"/><Relationship Id="rId20" Type="http://schemas.openxmlformats.org/officeDocument/2006/relationships/oleObject" Target="embeddings/oleObject5.bin"/><Relationship Id="rId2" Type="http://schemas.openxmlformats.org/officeDocument/2006/relationships/settings" Target="settings.xml"/><Relationship Id="rId19" Type="http://schemas.openxmlformats.org/officeDocument/2006/relationships/image" Target="media/image4.emf"/><Relationship Id="rId18" Type="http://schemas.openxmlformats.org/officeDocument/2006/relationships/oleObject" Target="embeddings/oleObject4.bin"/><Relationship Id="rId17" Type="http://schemas.openxmlformats.org/officeDocument/2006/relationships/image" Target="media/image3.emf"/><Relationship Id="rId16" Type="http://schemas.openxmlformats.org/officeDocument/2006/relationships/oleObject" Target="embeddings/oleObject3.bin"/><Relationship Id="rId15" Type="http://schemas.openxmlformats.org/officeDocument/2006/relationships/image" Target="media/image2.emf"/><Relationship Id="rId14" Type="http://schemas.openxmlformats.org/officeDocument/2006/relationships/oleObject" Target="embeddings/oleObject2.bin"/><Relationship Id="rId13" Type="http://schemas.openxmlformats.org/officeDocument/2006/relationships/image" Target="media/image1.emf"/><Relationship Id="rId12" Type="http://schemas.openxmlformats.org/officeDocument/2006/relationships/oleObject" Target="embeddings/oleObject1.bin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266</Words>
  <Characters>1489</Characters>
  <Lines>15</Lines>
  <Paragraphs>4</Paragraphs>
  <TotalTime>2</TotalTime>
  <ScaleCrop>false</ScaleCrop>
  <LinksUpToDate>false</LinksUpToDate>
  <CharactersWithSpaces>1686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2024-09-22T14:47:00Z</dcterms:created>
  <dc:creator>a.a.stepacheva@mail.ru</dc:creator>
  <cp:lastModifiedBy>mengyuliang</cp:lastModifiedBy>
  <dcterms:modified xsi:type="dcterms:W3CDTF">2025-02-20T02:38:06Z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eyJoZGlkIjoiNmNjZTM1MDFjMzExNDU2NzczODQ3N2YzYWY2MmYxMWEiLCJ1c2VySWQiOiIyMDc5MTA4ODUifQ==</vt:lpwstr>
  </property>
  <property fmtid="{D5CDD505-2E9C-101B-9397-08002B2CF9AE}" pid="3" name="KSOProductBuildVer">
    <vt:lpwstr>2052-12.1.0.19770</vt:lpwstr>
  </property>
  <property fmtid="{D5CDD505-2E9C-101B-9397-08002B2CF9AE}" pid="4" name="ICV">
    <vt:lpwstr>5449AF8AA73D443A8ACBA322C7FBC1A3_12</vt:lpwstr>
  </property>
</Properties>
</file>